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8932A9">
      <w:pPr>
        <w:rPr>
          <w:rFonts w:hint="eastAsia" w:eastAsia="仿宋_GB2312"/>
          <w:color w:val="auto"/>
          <w:sz w:val="36"/>
          <w:szCs w:val="36"/>
          <w:lang w:eastAsia="zh-CN"/>
        </w:rPr>
      </w:pPr>
      <w:r>
        <w:drawing>
          <wp:anchor distT="0" distB="0" distL="114300" distR="114300" simplePos="0" relativeHeight="251674624" behindDoc="0" locked="0" layoutInCell="1" allowOverlap="1">
            <wp:simplePos x="0" y="0"/>
            <wp:positionH relativeFrom="column">
              <wp:posOffset>-181610</wp:posOffset>
            </wp:positionH>
            <wp:positionV relativeFrom="paragraph">
              <wp:posOffset>-31750</wp:posOffset>
            </wp:positionV>
            <wp:extent cx="5947410" cy="8394065"/>
            <wp:effectExtent l="0" t="0" r="15240" b="6985"/>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947410" cy="8394065"/>
                    </a:xfrm>
                    <a:prstGeom prst="rect">
                      <a:avLst/>
                    </a:prstGeom>
                    <a:noFill/>
                    <a:ln>
                      <a:noFill/>
                    </a:ln>
                  </pic:spPr>
                </pic:pic>
              </a:graphicData>
            </a:graphic>
          </wp:anchor>
        </w:drawing>
      </w:r>
    </w:p>
    <w:p w14:paraId="51573AE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eastAsia="仿宋_GB2312"/>
          <w:color w:val="auto"/>
          <w:sz w:val="36"/>
          <w:szCs w:val="36"/>
        </w:rPr>
      </w:pPr>
    </w:p>
    <w:p w14:paraId="70F3C26A">
      <w:pPr>
        <w:pStyle w:val="45"/>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ascii="Times New Roman" w:hAnsi="Times New Roman" w:eastAsia="宋体" w:cs="Times New Roman"/>
          <w:b w:val="0"/>
          <w:bCs w:val="0"/>
          <w:sz w:val="56"/>
          <w:szCs w:val="56"/>
        </w:rPr>
      </w:pPr>
      <w:bookmarkStart w:id="0" w:name="_Toc14596"/>
      <w:bookmarkStart w:id="1" w:name="_Toc2348"/>
      <w:bookmarkStart w:id="2" w:name="_Toc5240"/>
      <w:bookmarkStart w:id="3" w:name="_Toc21946"/>
      <w:r>
        <w:rPr>
          <w:rFonts w:ascii="Times New Roman" w:hAnsi="Times New Roman" w:eastAsia="宋体" w:cs="Times New Roman"/>
          <w:b w:val="0"/>
          <w:bCs w:val="0"/>
          <w:sz w:val="56"/>
          <w:szCs w:val="56"/>
        </w:rPr>
        <w:t>建设项目环境影响报告表</w:t>
      </w:r>
      <w:bookmarkEnd w:id="0"/>
      <w:bookmarkEnd w:id="1"/>
      <w:bookmarkEnd w:id="2"/>
      <w:bookmarkEnd w:id="3"/>
    </w:p>
    <w:p w14:paraId="3BB9CA80">
      <w:pPr>
        <w:pStyle w:val="45"/>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ascii="Times New Roman" w:hAnsi="Times New Roman" w:eastAsia="宋体" w:cs="Times New Roman"/>
          <w:b w:val="0"/>
          <w:bCs w:val="0"/>
          <w:sz w:val="56"/>
          <w:szCs w:val="56"/>
        </w:rPr>
      </w:pPr>
      <w:r>
        <w:rPr>
          <w:rFonts w:ascii="Times New Roman" w:hAnsi="Times New Roman" w:eastAsia="宋体" w:cs="Times New Roman"/>
          <w:b w:val="0"/>
          <w:bCs w:val="0"/>
          <w:sz w:val="56"/>
          <w:szCs w:val="56"/>
        </w:rPr>
        <w:t>（污染影响类）</w:t>
      </w:r>
    </w:p>
    <w:p w14:paraId="187D80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rPr>
      </w:pPr>
    </w:p>
    <w:p w14:paraId="6DCB9F84">
      <w:pPr>
        <w:pStyle w:val="40"/>
        <w:bidi w:val="0"/>
      </w:pPr>
    </w:p>
    <w:p w14:paraId="2B3A9196">
      <w:pPr>
        <w:pStyle w:val="40"/>
        <w:bidi w:val="0"/>
        <w:rPr>
          <w:rFonts w:hint="eastAsia" w:eastAsia="宋体"/>
          <w:lang w:eastAsia="zh-CN"/>
        </w:rPr>
      </w:pPr>
    </w:p>
    <w:p w14:paraId="28876498">
      <w:pPr>
        <w:keepNext w:val="0"/>
        <w:keepLines w:val="0"/>
        <w:pageBreakBefore w:val="0"/>
        <w:widowControl w:val="0"/>
        <w:kinsoku/>
        <w:wordWrap/>
        <w:overflowPunct/>
        <w:topLinePunct w:val="0"/>
        <w:autoSpaceDE/>
        <w:autoSpaceDN/>
        <w:bidi w:val="0"/>
        <w:ind w:firstLine="0" w:firstLineChars="0"/>
        <w:textAlignment w:val="auto"/>
        <w:rPr>
          <w:rFonts w:hint="eastAsia" w:eastAsia="仿宋"/>
          <w:color w:val="auto"/>
          <w:sz w:val="44"/>
          <w:szCs w:val="44"/>
          <w:lang w:eastAsia="zh-CN"/>
        </w:rPr>
      </w:pPr>
    </w:p>
    <w:p w14:paraId="08130777">
      <w:pPr>
        <w:keepNext w:val="0"/>
        <w:keepLines w:val="0"/>
        <w:pageBreakBefore w:val="0"/>
        <w:widowControl w:val="0"/>
        <w:kinsoku/>
        <w:wordWrap/>
        <w:overflowPunct/>
        <w:topLinePunct w:val="0"/>
        <w:autoSpaceDE/>
        <w:autoSpaceDN/>
        <w:bidi w:val="0"/>
        <w:ind w:firstLine="0" w:firstLineChars="0"/>
        <w:textAlignment w:val="auto"/>
        <w:rPr>
          <w:rFonts w:eastAsia="仿宋"/>
          <w:color w:val="auto"/>
          <w:sz w:val="44"/>
          <w:szCs w:val="44"/>
        </w:rPr>
      </w:pPr>
    </w:p>
    <w:p w14:paraId="3F93D505">
      <w:pPr>
        <w:keepNext w:val="0"/>
        <w:keepLines w:val="0"/>
        <w:pageBreakBefore w:val="0"/>
        <w:widowControl w:val="0"/>
        <w:kinsoku/>
        <w:wordWrap/>
        <w:overflowPunct/>
        <w:topLinePunct w:val="0"/>
        <w:autoSpaceDE/>
        <w:autoSpaceDN/>
        <w:bidi w:val="0"/>
        <w:ind w:firstLine="0" w:firstLineChars="0"/>
        <w:textAlignment w:val="auto"/>
        <w:rPr>
          <w:rFonts w:eastAsia="仿宋"/>
          <w:color w:val="auto"/>
          <w:sz w:val="44"/>
          <w:szCs w:val="44"/>
        </w:rPr>
      </w:pPr>
    </w:p>
    <w:p w14:paraId="44DB360F">
      <w:pPr>
        <w:keepNext w:val="0"/>
        <w:keepLines w:val="0"/>
        <w:pageBreakBefore w:val="0"/>
        <w:widowControl w:val="0"/>
        <w:kinsoku/>
        <w:wordWrap/>
        <w:overflowPunct/>
        <w:topLinePunct w:val="0"/>
        <w:autoSpaceDE/>
        <w:autoSpaceDN/>
        <w:bidi w:val="0"/>
        <w:ind w:firstLine="0" w:firstLineChars="0"/>
        <w:textAlignment w:val="auto"/>
        <w:rPr>
          <w:rFonts w:eastAsia="仿宋"/>
          <w:color w:val="auto"/>
          <w:sz w:val="44"/>
          <w:szCs w:val="44"/>
        </w:rPr>
      </w:pPr>
    </w:p>
    <w:p w14:paraId="03DACBB2">
      <w:pPr>
        <w:keepNext w:val="0"/>
        <w:keepLines w:val="0"/>
        <w:pageBreakBefore w:val="0"/>
        <w:widowControl w:val="0"/>
        <w:kinsoku/>
        <w:wordWrap/>
        <w:overflowPunct/>
        <w:topLinePunct w:val="0"/>
        <w:autoSpaceDE/>
        <w:autoSpaceDN/>
        <w:bidi w:val="0"/>
        <w:ind w:firstLine="0" w:firstLineChars="0"/>
        <w:textAlignment w:val="auto"/>
        <w:rPr>
          <w:rFonts w:eastAsia="仿宋"/>
          <w:color w:val="auto"/>
          <w:sz w:val="44"/>
          <w:szCs w:val="44"/>
        </w:rPr>
      </w:pPr>
    </w:p>
    <w:tbl>
      <w:tblPr>
        <w:tblStyle w:val="30"/>
        <w:tblW w:w="0" w:type="auto"/>
        <w:jc w:val="center"/>
        <w:tblLayout w:type="fixed"/>
        <w:tblCellMar>
          <w:top w:w="0" w:type="dxa"/>
          <w:left w:w="108" w:type="dxa"/>
          <w:bottom w:w="0" w:type="dxa"/>
          <w:right w:w="108" w:type="dxa"/>
        </w:tblCellMar>
      </w:tblPr>
      <w:tblGrid>
        <w:gridCol w:w="2364"/>
        <w:gridCol w:w="6575"/>
      </w:tblGrid>
      <w:tr w14:paraId="4A5F6AAF">
        <w:tblPrEx>
          <w:tblCellMar>
            <w:top w:w="0" w:type="dxa"/>
            <w:left w:w="108" w:type="dxa"/>
            <w:bottom w:w="0" w:type="dxa"/>
            <w:right w:w="108" w:type="dxa"/>
          </w:tblCellMar>
        </w:tblPrEx>
        <w:trPr>
          <w:trHeight w:val="1067" w:hRule="atLeast"/>
          <w:jc w:val="center"/>
        </w:trPr>
        <w:tc>
          <w:tcPr>
            <w:tcW w:w="2364" w:type="dxa"/>
            <w:tcBorders>
              <w:right w:val="nil"/>
            </w:tcBorders>
            <w:vAlign w:val="bottom"/>
          </w:tcPr>
          <w:p w14:paraId="5EDAE484">
            <w:pPr>
              <w:pStyle w:val="45"/>
              <w:keepNext w:val="0"/>
              <w:keepLines w:val="0"/>
              <w:suppressLineNumbers w:val="0"/>
              <w:bidi w:val="0"/>
              <w:spacing w:before="0" w:beforeAutospacing="0" w:after="0" w:afterAutospacing="0"/>
              <w:ind w:left="0" w:right="0"/>
              <w:rPr>
                <w:rFonts w:hint="default"/>
                <w:b w:val="0"/>
                <w:bCs w:val="0"/>
              </w:rPr>
            </w:pPr>
            <w:r>
              <w:rPr>
                <w:rFonts w:hint="default"/>
                <w:b w:val="0"/>
                <w:bCs w:val="0"/>
              </w:rPr>
              <w:t>项  目  名  称</w:t>
            </w:r>
          </w:p>
        </w:tc>
        <w:tc>
          <w:tcPr>
            <w:tcW w:w="6575" w:type="dxa"/>
            <w:tcBorders>
              <w:top w:val="nil"/>
              <w:left w:val="nil"/>
              <w:bottom w:val="single" w:color="auto" w:sz="4" w:space="0"/>
              <w:right w:val="nil"/>
            </w:tcBorders>
            <w:vAlign w:val="bottom"/>
          </w:tcPr>
          <w:p w14:paraId="59885B72">
            <w:pPr>
              <w:pStyle w:val="45"/>
              <w:keepNext w:val="0"/>
              <w:keepLines w:val="0"/>
              <w:suppressLineNumbers w:val="0"/>
              <w:bidi w:val="0"/>
              <w:spacing w:before="0" w:beforeAutospacing="0" w:after="0" w:afterAutospacing="0"/>
              <w:ind w:left="0" w:right="0"/>
              <w:rPr>
                <w:rFonts w:hint="eastAsia" w:eastAsia="宋体"/>
                <w:b w:val="0"/>
                <w:bCs w:val="0"/>
                <w:lang w:eastAsia="zh-CN"/>
              </w:rPr>
            </w:pPr>
            <w:r>
              <w:rPr>
                <w:rFonts w:hint="eastAsia"/>
                <w:b w:val="0"/>
                <w:bCs w:val="0"/>
                <w:lang w:eastAsia="zh-CN"/>
              </w:rPr>
              <w:t>福清市三合电子科技有限公司年加工铝合金20万套、塑胶件30万套、钣金件10万套项目</w:t>
            </w:r>
          </w:p>
        </w:tc>
      </w:tr>
      <w:tr w14:paraId="195DE8C5">
        <w:tblPrEx>
          <w:tblCellMar>
            <w:top w:w="0" w:type="dxa"/>
            <w:left w:w="108" w:type="dxa"/>
            <w:bottom w:w="0" w:type="dxa"/>
            <w:right w:w="108" w:type="dxa"/>
          </w:tblCellMar>
        </w:tblPrEx>
        <w:trPr>
          <w:trHeight w:val="737" w:hRule="atLeast"/>
          <w:jc w:val="center"/>
        </w:trPr>
        <w:tc>
          <w:tcPr>
            <w:tcW w:w="2364" w:type="dxa"/>
            <w:tcBorders>
              <w:right w:val="nil"/>
            </w:tcBorders>
            <w:vAlign w:val="bottom"/>
          </w:tcPr>
          <w:p w14:paraId="5D6EAA42">
            <w:pPr>
              <w:pStyle w:val="45"/>
              <w:keepNext w:val="0"/>
              <w:keepLines w:val="0"/>
              <w:suppressLineNumbers w:val="0"/>
              <w:bidi w:val="0"/>
              <w:spacing w:before="0" w:beforeAutospacing="0" w:after="0" w:afterAutospacing="0"/>
              <w:ind w:left="0" w:right="0"/>
              <w:rPr>
                <w:rFonts w:hint="default"/>
                <w:b w:val="0"/>
                <w:bCs w:val="0"/>
              </w:rPr>
            </w:pPr>
            <w:r>
              <w:rPr>
                <w:rFonts w:hint="default"/>
                <w:b w:val="0"/>
                <w:bCs w:val="0"/>
              </w:rPr>
              <w:t>建设单位（盖章）</w:t>
            </w:r>
          </w:p>
        </w:tc>
        <w:tc>
          <w:tcPr>
            <w:tcW w:w="6575" w:type="dxa"/>
            <w:tcBorders>
              <w:top w:val="single" w:color="auto" w:sz="4" w:space="0"/>
              <w:left w:val="nil"/>
              <w:bottom w:val="single" w:color="auto" w:sz="4" w:space="0"/>
              <w:right w:val="nil"/>
            </w:tcBorders>
            <w:vAlign w:val="bottom"/>
          </w:tcPr>
          <w:p w14:paraId="49A570F9">
            <w:pPr>
              <w:pStyle w:val="45"/>
              <w:keepNext w:val="0"/>
              <w:keepLines w:val="0"/>
              <w:suppressLineNumbers w:val="0"/>
              <w:bidi w:val="0"/>
              <w:spacing w:before="0" w:beforeAutospacing="0" w:after="0" w:afterAutospacing="0"/>
              <w:ind w:left="0" w:right="0"/>
              <w:rPr>
                <w:rFonts w:hint="default"/>
                <w:b w:val="0"/>
                <w:bCs w:val="0"/>
              </w:rPr>
            </w:pPr>
            <w:r>
              <w:rPr>
                <w:rFonts w:hint="default"/>
                <w:b w:val="0"/>
                <w:bCs w:val="0"/>
              </w:rPr>
              <w:t>福清市三合电子科技有限公司</w:t>
            </w:r>
          </w:p>
        </w:tc>
      </w:tr>
      <w:tr w14:paraId="668A417D">
        <w:tblPrEx>
          <w:tblCellMar>
            <w:top w:w="0" w:type="dxa"/>
            <w:left w:w="108" w:type="dxa"/>
            <w:bottom w:w="0" w:type="dxa"/>
            <w:right w:w="108" w:type="dxa"/>
          </w:tblCellMar>
        </w:tblPrEx>
        <w:trPr>
          <w:trHeight w:val="737" w:hRule="atLeast"/>
          <w:jc w:val="center"/>
        </w:trPr>
        <w:tc>
          <w:tcPr>
            <w:tcW w:w="2364" w:type="dxa"/>
            <w:tcBorders>
              <w:right w:val="nil"/>
            </w:tcBorders>
            <w:vAlign w:val="bottom"/>
          </w:tcPr>
          <w:p w14:paraId="17F7FD23">
            <w:pPr>
              <w:pStyle w:val="45"/>
              <w:keepNext w:val="0"/>
              <w:keepLines w:val="0"/>
              <w:suppressLineNumbers w:val="0"/>
              <w:bidi w:val="0"/>
              <w:spacing w:before="0" w:beforeAutospacing="0" w:after="0" w:afterAutospacing="0"/>
              <w:ind w:left="0" w:right="0"/>
              <w:rPr>
                <w:rFonts w:hint="default"/>
                <w:b w:val="0"/>
                <w:bCs w:val="0"/>
              </w:rPr>
            </w:pPr>
            <w:r>
              <w:rPr>
                <w:rFonts w:hint="default"/>
                <w:b w:val="0"/>
                <w:bCs w:val="0"/>
              </w:rPr>
              <mc:AlternateContent>
                <mc:Choice Requires="wps">
                  <w:drawing>
                    <wp:anchor distT="0" distB="0" distL="114300" distR="114300" simplePos="0" relativeHeight="251663360" behindDoc="0" locked="0" layoutInCell="0" allowOverlap="1">
                      <wp:simplePos x="0" y="0"/>
                      <wp:positionH relativeFrom="column">
                        <wp:posOffset>2222500</wp:posOffset>
                      </wp:positionH>
                      <wp:positionV relativeFrom="paragraph">
                        <wp:posOffset>-1270</wp:posOffset>
                      </wp:positionV>
                      <wp:extent cx="635" cy="0"/>
                      <wp:effectExtent l="0" t="4445" r="0" b="5080"/>
                      <wp:wrapNone/>
                      <wp:docPr id="45" name="直接连接符 4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75pt;margin-top:-0.1pt;height:0pt;width:0.05pt;z-index:251663360;mso-width-relative:page;mso-height-relative:page;" filled="f" stroked="t" coordsize="21600,21600" o:allowincell="f" o:gfxdata="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HqyOs0wAAAAcBAAAPAAAAAAAAAAEAIAAAACIAAABkcnMvZG93bnJldi54bWxQSwECFAAU&#10;AAAACACHTuJAgDI/7/YBAADwAwAADgAAAAAAAAABACAAAAAiAQAAZHJzL2Uyb0RvYy54bWxQSwUG&#10;AAAAAAYABgBZAQAAigUAAAAA&#10;">
                      <v:fill on="f" focussize="0,0"/>
                      <v:stroke color="#000000" joinstyle="round"/>
                      <v:imagedata o:title=""/>
                      <o:lock v:ext="edit" aspectratio="f"/>
                    </v:line>
                  </w:pict>
                </mc:Fallback>
              </mc:AlternateContent>
            </w:r>
            <w:r>
              <w:rPr>
                <w:rFonts w:hint="default"/>
                <w:b w:val="0"/>
                <w:bCs w:val="0"/>
              </w:rPr>
              <w:t>编制日期</w:t>
            </w:r>
          </w:p>
        </w:tc>
        <w:tc>
          <w:tcPr>
            <w:tcW w:w="6575" w:type="dxa"/>
            <w:tcBorders>
              <w:top w:val="single" w:color="auto" w:sz="4" w:space="0"/>
              <w:left w:val="nil"/>
              <w:bottom w:val="single" w:color="auto" w:sz="4" w:space="0"/>
              <w:right w:val="nil"/>
            </w:tcBorders>
            <w:vAlign w:val="bottom"/>
          </w:tcPr>
          <w:p w14:paraId="3DFFEDF9">
            <w:pPr>
              <w:pStyle w:val="45"/>
              <w:keepNext w:val="0"/>
              <w:keepLines w:val="0"/>
              <w:suppressLineNumbers w:val="0"/>
              <w:bidi w:val="0"/>
              <w:spacing w:before="0" w:beforeAutospacing="0" w:after="0" w:afterAutospacing="0"/>
              <w:ind w:left="0" w:right="0"/>
              <w:rPr>
                <w:rFonts w:hint="default"/>
                <w:b w:val="0"/>
                <w:bCs w:val="0"/>
              </w:rPr>
            </w:pPr>
            <w:r>
              <w:rPr>
                <w:rFonts w:hint="default"/>
                <w:b w:val="0"/>
                <w:bCs w:val="0"/>
              </w:rPr>
              <w:t>202</w:t>
            </w:r>
            <w:r>
              <w:rPr>
                <w:rFonts w:hint="eastAsia"/>
                <w:b w:val="0"/>
                <w:bCs w:val="0"/>
                <w:lang w:val="en-US" w:eastAsia="zh-CN"/>
              </w:rPr>
              <w:t>6</w:t>
            </w:r>
            <w:r>
              <w:rPr>
                <w:rFonts w:hint="default"/>
                <w:b w:val="0"/>
                <w:bCs w:val="0"/>
              </w:rPr>
              <w:t>年</w:t>
            </w:r>
            <w:r>
              <w:rPr>
                <w:rFonts w:hint="eastAsia"/>
                <w:b w:val="0"/>
                <w:bCs w:val="0"/>
                <w:lang w:val="en-US" w:eastAsia="zh-CN"/>
              </w:rPr>
              <w:t>4</w:t>
            </w:r>
            <w:r>
              <w:rPr>
                <w:rFonts w:hint="default"/>
                <w:b w:val="0"/>
                <w:bCs w:val="0"/>
              </w:rPr>
              <w:t>月</w:t>
            </w:r>
          </w:p>
        </w:tc>
      </w:tr>
    </w:tbl>
    <w:p w14:paraId="0489C0A8">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eastAsia="仿宋_GB2312"/>
          <w:color w:val="auto"/>
          <w:sz w:val="36"/>
          <w:szCs w:val="36"/>
          <w:u w:val="single"/>
        </w:rPr>
      </w:pPr>
      <w:bookmarkStart w:id="4" w:name="_Hlk57884087"/>
    </w:p>
    <w:p w14:paraId="28885E59">
      <w:pPr>
        <w:adjustRightInd w:val="0"/>
        <w:snapToGrid w:val="0"/>
        <w:spacing w:line="288" w:lineRule="auto"/>
        <w:rPr>
          <w:rFonts w:eastAsia="仿宋_GB2312"/>
          <w:color w:val="auto"/>
          <w:sz w:val="36"/>
          <w:szCs w:val="36"/>
        </w:rPr>
      </w:pPr>
    </w:p>
    <w:p w14:paraId="26BE88AD">
      <w:pPr>
        <w:adjustRightInd w:val="0"/>
        <w:snapToGrid w:val="0"/>
        <w:spacing w:line="288" w:lineRule="auto"/>
        <w:rPr>
          <w:rFonts w:eastAsia="仿宋_GB2312"/>
          <w:color w:val="auto"/>
          <w:sz w:val="36"/>
          <w:szCs w:val="36"/>
        </w:rPr>
      </w:pPr>
    </w:p>
    <w:bookmarkEnd w:id="4"/>
    <w:p w14:paraId="70C2C106">
      <w:pPr>
        <w:adjustRightInd w:val="0"/>
        <w:snapToGrid w:val="0"/>
        <w:spacing w:line="288" w:lineRule="auto"/>
        <w:ind w:firstLine="0" w:firstLineChars="0"/>
        <w:jc w:val="center"/>
        <w:rPr>
          <w:rFonts w:ascii="Times New Roman" w:hAnsi="Times New Roman" w:eastAsia="楷体_GB2312" w:cs="Times New Roman"/>
          <w:b w:val="0"/>
          <w:bCs w:val="0"/>
          <w:iCs w:val="0"/>
          <w:sz w:val="36"/>
          <w:szCs w:val="36"/>
        </w:rPr>
      </w:pPr>
      <w:r>
        <w:rPr>
          <w:rFonts w:ascii="Times New Roman" w:hAnsi="Times New Roman" w:eastAsia="楷体_GB2312" w:cs="Times New Roman"/>
          <w:b w:val="0"/>
          <w:bCs w:val="0"/>
          <w:iCs w:val="0"/>
          <w:sz w:val="36"/>
          <w:szCs w:val="36"/>
        </w:rPr>
        <w:t>中华人民共和国生态环境部制</w:t>
      </w:r>
    </w:p>
    <w:p w14:paraId="586B8E6D">
      <w:pPr>
        <w:rPr>
          <w:rFonts w:ascii="Times New Roman" w:hAnsi="Times New Roman" w:eastAsia="楷体_GB2312" w:cs="Times New Roman"/>
          <w:b w:val="0"/>
          <w:bCs w:val="0"/>
          <w:iCs w:val="0"/>
          <w:sz w:val="36"/>
          <w:szCs w:val="36"/>
        </w:rPr>
      </w:pPr>
      <w:r>
        <w:rPr>
          <w:rFonts w:ascii="Times New Roman" w:hAnsi="Times New Roman" w:eastAsia="楷体_GB2312" w:cs="Times New Roman"/>
          <w:b w:val="0"/>
          <w:bCs w:val="0"/>
          <w:iCs w:val="0"/>
          <w:sz w:val="36"/>
          <w:szCs w:val="36"/>
        </w:rPr>
        <w:br w:type="page"/>
      </w:r>
    </w:p>
    <w:p w14:paraId="7F2A4F73">
      <w:pPr>
        <w:adjustRightInd w:val="0"/>
        <w:snapToGrid w:val="0"/>
        <w:spacing w:line="288" w:lineRule="auto"/>
        <w:ind w:firstLine="0" w:firstLineChars="0"/>
        <w:jc w:val="center"/>
        <w:rPr>
          <w:rFonts w:hint="eastAsia" w:ascii="Times New Roman" w:hAnsi="Times New Roman" w:eastAsia="楷体_GB2312" w:cs="Times New Roman"/>
          <w:b w:val="0"/>
          <w:bCs w:val="0"/>
          <w:iCs w:val="0"/>
          <w:sz w:val="36"/>
          <w:szCs w:val="36"/>
          <w:lang w:eastAsia="zh-CN"/>
        </w:rPr>
        <w:sectPr>
          <w:headerReference r:id="rId5" w:type="default"/>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r>
        <w:rPr>
          <w:sz w:val="36"/>
        </w:rPr>
        <mc:AlternateContent>
          <mc:Choice Requires="wps">
            <w:drawing>
              <wp:anchor distT="0" distB="0" distL="114300" distR="114300" simplePos="0" relativeHeight="251682816" behindDoc="0" locked="0" layoutInCell="1" allowOverlap="1">
                <wp:simplePos x="0" y="0"/>
                <wp:positionH relativeFrom="column">
                  <wp:posOffset>846455</wp:posOffset>
                </wp:positionH>
                <wp:positionV relativeFrom="paragraph">
                  <wp:posOffset>4274185</wp:posOffset>
                </wp:positionV>
                <wp:extent cx="1323975" cy="228600"/>
                <wp:effectExtent l="0" t="0" r="9525" b="0"/>
                <wp:wrapNone/>
                <wp:docPr id="157" name="矩形 157"/>
                <wp:cNvGraphicFramePr/>
                <a:graphic xmlns:a="http://schemas.openxmlformats.org/drawingml/2006/main">
                  <a:graphicData uri="http://schemas.microsoft.com/office/word/2010/wordprocessingShape">
                    <wps:wsp>
                      <wps:cNvSpPr/>
                      <wps:spPr>
                        <a:xfrm>
                          <a:off x="0" y="0"/>
                          <a:ext cx="1323975" cy="2286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65pt;margin-top:336.55pt;height:18pt;width:104.25pt;z-index:251682816;v-text-anchor:middle;mso-width-relative:page;mso-height-relative:page;" fillcolor="#FFFFFF [3212]" filled="t" stroked="f" coordsize="21600,21600" o:gfxdata="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F&#10;PVdE1QAAAAsBAAAPAAAAAAAAAAEAIAAAACIAAABkcnMvZG93bnJldi54bWxQSwECFAAUAAAACACH&#10;TuJAxACVHWACAAC4BAAADgAAAAAAAAABACAAAAAkAQAAZHJzL2Uyb0RvYy54bWxQSwUGAAAAAAYA&#10;BgBZAQAA9gUAAAAA&#10;">
                <v:fill on="t" focussize="0,0"/>
                <v:stroke on="f" weight="2pt"/>
                <v:imagedata o:title=""/>
                <o:lock v:ext="edit" aspectratio="f"/>
              </v:rect>
            </w:pict>
          </mc:Fallback>
        </mc:AlternateContent>
      </w:r>
      <w:r>
        <w:rPr>
          <w:sz w:val="36"/>
        </w:rPr>
        <mc:AlternateContent>
          <mc:Choice Requires="wps">
            <w:drawing>
              <wp:anchor distT="0" distB="0" distL="114300" distR="114300" simplePos="0" relativeHeight="251681792" behindDoc="0" locked="0" layoutInCell="1" allowOverlap="1">
                <wp:simplePos x="0" y="0"/>
                <wp:positionH relativeFrom="column">
                  <wp:posOffset>1732280</wp:posOffset>
                </wp:positionH>
                <wp:positionV relativeFrom="paragraph">
                  <wp:posOffset>3988435</wp:posOffset>
                </wp:positionV>
                <wp:extent cx="3161030" cy="200025"/>
                <wp:effectExtent l="0" t="0" r="1270" b="9525"/>
                <wp:wrapNone/>
                <wp:docPr id="156" name="矩形 156"/>
                <wp:cNvGraphicFramePr/>
                <a:graphic xmlns:a="http://schemas.openxmlformats.org/drawingml/2006/main">
                  <a:graphicData uri="http://schemas.microsoft.com/office/word/2010/wordprocessingShape">
                    <wps:wsp>
                      <wps:cNvSpPr/>
                      <wps:spPr>
                        <a:xfrm>
                          <a:off x="0" y="0"/>
                          <a:ext cx="3161030" cy="2000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4pt;margin-top:314.05pt;height:15.75pt;width:248.9pt;z-index:251681792;v-text-anchor:middle;mso-width-relative:page;mso-height-relative:page;" fillcolor="#FFFFFF [3212]" filled="t" stroked="f" coordsize="21600,21600" o:gfxdata="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obO&#10;yNYAAAALAQAADwAAAAAAAAABACAAAAAiAAAAZHJzL2Rvd25yZXYueG1sUEsBAhQAFAAAAAgAh07i&#10;QME4DPddAgAAuAQAAA4AAAAAAAAAAQAgAAAAJQEAAGRycy9lMm9Eb2MueG1sUEsFBgAAAAAGAAYA&#10;WQEAAPQFAAAAAA==&#10;">
                <v:fill on="t" focussize="0,0"/>
                <v:stroke on="f" weight="2pt"/>
                <v:imagedata o:title=""/>
                <o:lock v:ext="edit" aspectratio="f"/>
              </v:rect>
            </w:pict>
          </mc:Fallback>
        </mc:AlternateContent>
      </w:r>
      <w:r>
        <w:rPr>
          <w:sz w:val="36"/>
        </w:rPr>
        <mc:AlternateContent>
          <mc:Choice Requires="wps">
            <w:drawing>
              <wp:anchor distT="0" distB="0" distL="114300" distR="114300" simplePos="0" relativeHeight="251680768" behindDoc="0" locked="0" layoutInCell="1" allowOverlap="1">
                <wp:simplePos x="0" y="0"/>
                <wp:positionH relativeFrom="column">
                  <wp:posOffset>2122805</wp:posOffset>
                </wp:positionH>
                <wp:positionV relativeFrom="paragraph">
                  <wp:posOffset>3721735</wp:posOffset>
                </wp:positionV>
                <wp:extent cx="2037715" cy="228600"/>
                <wp:effectExtent l="0" t="0" r="635" b="0"/>
                <wp:wrapNone/>
                <wp:docPr id="155" name="矩形 155"/>
                <wp:cNvGraphicFramePr/>
                <a:graphic xmlns:a="http://schemas.openxmlformats.org/drawingml/2006/main">
                  <a:graphicData uri="http://schemas.microsoft.com/office/word/2010/wordprocessingShape">
                    <wps:wsp>
                      <wps:cNvSpPr/>
                      <wps:spPr>
                        <a:xfrm>
                          <a:off x="0" y="0"/>
                          <a:ext cx="2037715" cy="2286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7.15pt;margin-top:293.05pt;height:18pt;width:160.45pt;z-index:251680768;v-text-anchor:middle;mso-width-relative:page;mso-height-relative:page;" fillcolor="#FFFFFF [3212]" filled="t" stroked="f" coordsize="21600,21600" o:gfxdata="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3&#10;pjUC1wAAAAsBAAAPAAAAAAAAAAEAIAAAACIAAABkcnMvZG93bnJldi54bWxQSwECFAAUAAAACACH&#10;TuJA4C5IBl4CAAC4BAAADgAAAAAAAAABACAAAAAmAQAAZHJzL2Uyb0RvYy54bWxQSwUGAAAAAAYA&#10;BgBZAQAA9gUAAAAA&#10;">
                <v:fill on="t" focussize="0,0"/>
                <v:stroke on="f" weight="2pt"/>
                <v:imagedata o:title=""/>
                <o:lock v:ext="edit" aspectratio="f"/>
              </v:rect>
            </w:pict>
          </mc:Fallback>
        </mc:AlternateContent>
      </w:r>
      <w:r>
        <w:rPr>
          <w:sz w:val="36"/>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3702685</wp:posOffset>
                </wp:positionV>
                <wp:extent cx="2037715" cy="228600"/>
                <wp:effectExtent l="0" t="0" r="635" b="0"/>
                <wp:wrapNone/>
                <wp:docPr id="154" name="矩形 154"/>
                <wp:cNvGraphicFramePr/>
                <a:graphic xmlns:a="http://schemas.openxmlformats.org/drawingml/2006/main">
                  <a:graphicData uri="http://schemas.microsoft.com/office/word/2010/wordprocessingShape">
                    <wps:wsp>
                      <wps:cNvSpPr/>
                      <wps:spPr>
                        <a:xfrm>
                          <a:off x="0" y="0"/>
                          <a:ext cx="2037715" cy="2286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4pt;margin-top:291.55pt;height:18pt;width:160.45pt;z-index:251679744;v-text-anchor:middle;mso-width-relative:page;mso-height-relative:page;" fillcolor="#FFFFFF [3212]" filled="t" stroked="f" coordsize="21600,21600" o:gfxdata="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O&#10;qbZX1gAAAAsBAAAPAAAAAAAAAAEAIAAAACIAAABkcnMvZG93bnJldi54bWxQSwECFAAUAAAACACH&#10;TuJAEdVDg18CAAC4BAAADgAAAAAAAAABACAAAAAlAQAAZHJzL2Uyb0RvYy54bWxQSwUGAAAAAAYA&#10;BgBZAQAA9gUAAAAA&#10;">
                <v:fill on="t" focussize="0,0"/>
                <v:stroke on="f" weight="2pt"/>
                <v:imagedata o:title=""/>
                <o:lock v:ext="edit" aspectratio="f"/>
              </v:rect>
            </w:pict>
          </mc:Fallback>
        </mc:AlternateContent>
      </w:r>
      <w:r>
        <w:rPr>
          <w:sz w:val="36"/>
        </w:rPr>
        <mc:AlternateContent>
          <mc:Choice Requires="wps">
            <w:drawing>
              <wp:anchor distT="0" distB="0" distL="114300" distR="114300" simplePos="0" relativeHeight="251678720" behindDoc="0" locked="0" layoutInCell="1" allowOverlap="1">
                <wp:simplePos x="0" y="0"/>
                <wp:positionH relativeFrom="column">
                  <wp:posOffset>1160780</wp:posOffset>
                </wp:positionH>
                <wp:positionV relativeFrom="paragraph">
                  <wp:posOffset>3426460</wp:posOffset>
                </wp:positionV>
                <wp:extent cx="647700" cy="314325"/>
                <wp:effectExtent l="0" t="0" r="0" b="9525"/>
                <wp:wrapNone/>
                <wp:docPr id="153" name="矩形 153"/>
                <wp:cNvGraphicFramePr/>
                <a:graphic xmlns:a="http://schemas.openxmlformats.org/drawingml/2006/main">
                  <a:graphicData uri="http://schemas.microsoft.com/office/word/2010/wordprocessingShape">
                    <wps:wsp>
                      <wps:cNvSpPr/>
                      <wps:spPr>
                        <a:xfrm>
                          <a:off x="2132965" y="4506595"/>
                          <a:ext cx="647700" cy="3143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4pt;margin-top:269.8pt;height:24.75pt;width:51pt;z-index:251678720;v-text-anchor:middle;mso-width-relative:page;mso-height-relative:page;" fillcolor="#FFFFFF [3212]" filled="t" stroked="f" coordsize="21600,21600" o:gfxdata="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WOj15dYAAAALAQAADwAAAAAAAAABACAAAAAiAAAAZHJzL2Rvd25yZXYueG1s&#10;UEsBAhQAFAAAAAgAh07iQMVex0psAgAAwwQAAA4AAAAAAAAAAQAgAAAAJQEAAGRycy9lMm9Eb2Mu&#10;eG1sUEsFBgAAAAAGAAYAWQEAAAMGAAAAAA==&#10;">
                <v:fill on="t" focussize="0,0"/>
                <v:stroke on="f" weight="2pt"/>
                <v:imagedata o:title=""/>
                <o:lock v:ext="edit" aspectratio="f"/>
              </v:rect>
            </w:pict>
          </mc:Fallback>
        </mc:AlternateContent>
      </w:r>
      <w:r>
        <w:rPr>
          <w:sz w:val="36"/>
        </w:rPr>
        <mc:AlternateContent>
          <mc:Choice Requires="wps">
            <w:drawing>
              <wp:anchor distT="0" distB="0" distL="114300" distR="114300" simplePos="0" relativeHeight="251686912" behindDoc="0" locked="0" layoutInCell="1" allowOverlap="1">
                <wp:simplePos x="0" y="0"/>
                <wp:positionH relativeFrom="column">
                  <wp:posOffset>4046220</wp:posOffset>
                </wp:positionH>
                <wp:positionV relativeFrom="paragraph">
                  <wp:posOffset>6217285</wp:posOffset>
                </wp:positionV>
                <wp:extent cx="904240" cy="533400"/>
                <wp:effectExtent l="0" t="0" r="10160" b="0"/>
                <wp:wrapNone/>
                <wp:docPr id="161" name="矩形 161"/>
                <wp:cNvGraphicFramePr/>
                <a:graphic xmlns:a="http://schemas.openxmlformats.org/drawingml/2006/main">
                  <a:graphicData uri="http://schemas.microsoft.com/office/word/2010/wordprocessingShape">
                    <wps:wsp>
                      <wps:cNvSpPr/>
                      <wps:spPr>
                        <a:xfrm>
                          <a:off x="0" y="0"/>
                          <a:ext cx="904240" cy="5334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8.6pt;margin-top:489.55pt;height:42pt;width:71.2pt;z-index:251686912;v-text-anchor:middle;mso-width-relative:page;mso-height-relative:page;" fillcolor="#FFFFFF [3212]" filled="t" stroked="f" coordsize="21600,21600" o:gfxdata="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u&#10;ZFjXAAAADAEAAA8AAAAAAAAAAQAgAAAAIgAAAGRycy9kb3ducmV2LnhtbFBLAQIUABQAAAAIAIdO&#10;4kA5cWgZXQIAALcEAAAOAAAAAAAAAAEAIAAAACYBAABkcnMvZTJvRG9jLnhtbFBLBQYAAAAABgAG&#10;AFkBAAD1BQAAAAA=&#10;">
                <v:fill on="t" focussize="0,0"/>
                <v:stroke on="f" weight="2pt"/>
                <v:imagedata o:title=""/>
                <o:lock v:ext="edit" aspectratio="f"/>
              </v:rect>
            </w:pict>
          </mc:Fallback>
        </mc:AlternateContent>
      </w:r>
      <w:r>
        <w:rPr>
          <w:sz w:val="36"/>
        </w:rPr>
        <mc:AlternateContent>
          <mc:Choice Requires="wps">
            <w:drawing>
              <wp:anchor distT="0" distB="0" distL="114300" distR="114300" simplePos="0" relativeHeight="251685888" behindDoc="0" locked="0" layoutInCell="1" allowOverlap="1">
                <wp:simplePos x="0" y="0"/>
                <wp:positionH relativeFrom="column">
                  <wp:posOffset>902970</wp:posOffset>
                </wp:positionH>
                <wp:positionV relativeFrom="paragraph">
                  <wp:posOffset>6179185</wp:posOffset>
                </wp:positionV>
                <wp:extent cx="400050" cy="533400"/>
                <wp:effectExtent l="0" t="0" r="0" b="0"/>
                <wp:wrapNone/>
                <wp:docPr id="160" name="矩形 160"/>
                <wp:cNvGraphicFramePr/>
                <a:graphic xmlns:a="http://schemas.openxmlformats.org/drawingml/2006/main">
                  <a:graphicData uri="http://schemas.microsoft.com/office/word/2010/wordprocessingShape">
                    <wps:wsp>
                      <wps:cNvSpPr/>
                      <wps:spPr>
                        <a:xfrm>
                          <a:off x="0" y="0"/>
                          <a:ext cx="400050" cy="5334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1pt;margin-top:486.55pt;height:42pt;width:31.5pt;z-index:251685888;v-text-anchor:middle;mso-width-relative:page;mso-height-relative:page;" fillcolor="#FFFFFF [3212]" filled="t" stroked="f" coordsize="21600,21600" o:gfxdata="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QtSyTW&#10;AAAADAEAAA8AAAAAAAAAAQAgAAAAIgAAAGRycy9kb3ducmV2LnhtbFBLAQIUABQAAAAIAIdO4kDB&#10;scygWwIAALcEAAAOAAAAAAAAAAEAIAAAACUBAABkcnMvZTJvRG9jLnhtbFBLBQYAAAAABgAGAFkB&#10;AADyBQAAAAA=&#10;">
                <v:fill on="t" focussize="0,0"/>
                <v:stroke on="f" weight="2pt"/>
                <v:imagedata o:title=""/>
                <o:lock v:ext="edit" aspectratio="f"/>
              </v:rect>
            </w:pict>
          </mc:Fallback>
        </mc:AlternateContent>
      </w:r>
      <w:r>
        <w:rPr>
          <w:sz w:val="36"/>
        </w:rPr>
        <mc:AlternateContent>
          <mc:Choice Requires="wps">
            <w:drawing>
              <wp:anchor distT="0" distB="0" distL="114300" distR="114300" simplePos="0" relativeHeight="251684864" behindDoc="0" locked="0" layoutInCell="1" allowOverlap="1">
                <wp:simplePos x="0" y="0"/>
                <wp:positionH relativeFrom="column">
                  <wp:posOffset>760730</wp:posOffset>
                </wp:positionH>
                <wp:positionV relativeFrom="paragraph">
                  <wp:posOffset>5360035</wp:posOffset>
                </wp:positionV>
                <wp:extent cx="4113530" cy="304800"/>
                <wp:effectExtent l="0" t="0" r="1270" b="0"/>
                <wp:wrapNone/>
                <wp:docPr id="159" name="矩形 159"/>
                <wp:cNvGraphicFramePr/>
                <a:graphic xmlns:a="http://schemas.openxmlformats.org/drawingml/2006/main">
                  <a:graphicData uri="http://schemas.microsoft.com/office/word/2010/wordprocessingShape">
                    <wps:wsp>
                      <wps:cNvSpPr/>
                      <wps:spPr>
                        <a:xfrm>
                          <a:off x="0" y="0"/>
                          <a:ext cx="4113530" cy="3048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22.05pt;height:24pt;width:323.9pt;z-index:251684864;v-text-anchor:middle;mso-width-relative:page;mso-height-relative:page;" fillcolor="#FFFFFF [3212]" filled="t" stroked="f" coordsize="21600,21600" o:gfxdata="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x&#10;gj281gAAAAsBAAAPAAAAAAAAAAEAIAAAACIAAABkcnMvZG93bnJldi54bWxQSwECFAAUAAAACACH&#10;TuJAkfXrK18CAAC4BAAADgAAAAAAAAABACAAAAAlAQAAZHJzL2Uyb0RvYy54bWxQSwUGAAAAAAYA&#10;BgBZAQAA9gUAAAAA&#10;">
                <v:fill on="t" focussize="0,0"/>
                <v:stroke on="f" weight="2pt"/>
                <v:imagedata o:title=""/>
                <o:lock v:ext="edit" aspectratio="f"/>
              </v:rect>
            </w:pict>
          </mc:Fallback>
        </mc:AlternateContent>
      </w:r>
      <w:r>
        <w:rPr>
          <w:sz w:val="36"/>
        </w:rPr>
        <mc:AlternateContent>
          <mc:Choice Requires="wps">
            <w:drawing>
              <wp:anchor distT="0" distB="0" distL="114300" distR="114300" simplePos="0" relativeHeight="251683840" behindDoc="0" locked="0" layoutInCell="1" allowOverlap="1">
                <wp:simplePos x="0" y="0"/>
                <wp:positionH relativeFrom="column">
                  <wp:posOffset>1979930</wp:posOffset>
                </wp:positionH>
                <wp:positionV relativeFrom="paragraph">
                  <wp:posOffset>3026410</wp:posOffset>
                </wp:positionV>
                <wp:extent cx="2037715" cy="714375"/>
                <wp:effectExtent l="0" t="0" r="635" b="9525"/>
                <wp:wrapNone/>
                <wp:docPr id="158" name="矩形 158"/>
                <wp:cNvGraphicFramePr/>
                <a:graphic xmlns:a="http://schemas.openxmlformats.org/drawingml/2006/main">
                  <a:graphicData uri="http://schemas.microsoft.com/office/word/2010/wordprocessingShape">
                    <wps:wsp>
                      <wps:cNvSpPr/>
                      <wps:spPr>
                        <a:xfrm>
                          <a:off x="0" y="0"/>
                          <a:ext cx="2037715" cy="7143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9pt;margin-top:238.3pt;height:56.25pt;width:160.45pt;z-index:251683840;v-text-anchor:middle;mso-width-relative:page;mso-height-relative:page;" fillcolor="#FFFFFF [3212]" filled="t" stroked="f" coordsize="21600,21600" o:gfxdata="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s9XoNcAAAALAQAADwAAAAAAAAABACAAAAAiAAAAZHJzL2Rvd25yZXYueG1sUEsBAhQAFAAAAAgA&#10;h07iQBIksNpfAgAAuAQAAA4AAAAAAAAAAQAgAAAAJgEAAGRycy9lMm9Eb2MueG1sUEsFBgAAAAAG&#10;AAYAWQEAAPcFAAAAAA==&#10;">
                <v:fill on="t" focussize="0,0"/>
                <v:stroke on="f" weight="2pt"/>
                <v:imagedata o:title=""/>
                <o:lock v:ext="edit" aspectratio="f"/>
              </v:rect>
            </w:pict>
          </mc:Fallback>
        </mc:AlternateContent>
      </w:r>
      <w:r>
        <w:rPr>
          <w:sz w:val="36"/>
        </w:rPr>
        <mc:AlternateContent>
          <mc:Choice Requires="wps">
            <w:drawing>
              <wp:anchor distT="0" distB="0" distL="114300" distR="114300" simplePos="0" relativeHeight="251688960" behindDoc="0" locked="0" layoutInCell="1" allowOverlap="1">
                <wp:simplePos x="0" y="0"/>
                <wp:positionH relativeFrom="column">
                  <wp:posOffset>3903345</wp:posOffset>
                </wp:positionH>
                <wp:positionV relativeFrom="paragraph">
                  <wp:posOffset>1283335</wp:posOffset>
                </wp:positionV>
                <wp:extent cx="837565" cy="1551940"/>
                <wp:effectExtent l="0" t="0" r="635" b="10160"/>
                <wp:wrapNone/>
                <wp:docPr id="165" name="矩形 165"/>
                <wp:cNvGraphicFramePr/>
                <a:graphic xmlns:a="http://schemas.openxmlformats.org/drawingml/2006/main">
                  <a:graphicData uri="http://schemas.microsoft.com/office/word/2010/wordprocessingShape">
                    <wps:wsp>
                      <wps:cNvSpPr/>
                      <wps:spPr>
                        <a:xfrm>
                          <a:off x="0" y="0"/>
                          <a:ext cx="837565" cy="155194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7.35pt;margin-top:101.05pt;height:122.2pt;width:65.95pt;z-index:251688960;v-text-anchor:middle;mso-width-relative:page;mso-height-relative:page;" fillcolor="#FFFFFF [3212]" filled="t" stroked="f" coordsize="21600,21600" o:gfxdata="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10;aUzU1gAAAAsBAAAPAAAAAAAAAAEAIAAAACIAAABkcnMvZG93bnJldi54bWxQSwECFAAUAAAACACH&#10;TuJA9dADA18CAAC4BAAADgAAAAAAAAABACAAAAAlAQAAZHJzL2Uyb0RvYy54bWxQSwUGAAAAAAYA&#10;BgBZAQAA9gUAAAAA&#10;">
                <v:fill on="t" focussize="0,0"/>
                <v:stroke on="f" weight="2pt"/>
                <v:imagedata o:title=""/>
                <o:lock v:ext="edit" aspectratio="f"/>
              </v:rect>
            </w:pict>
          </mc:Fallback>
        </mc:AlternateContent>
      </w:r>
      <w:r>
        <w:rPr>
          <w:sz w:val="36"/>
        </w:rPr>
        <mc:AlternateContent>
          <mc:Choice Requires="wps">
            <w:drawing>
              <wp:anchor distT="0" distB="0" distL="114300" distR="114300" simplePos="0" relativeHeight="251687936" behindDoc="0" locked="0" layoutInCell="1" allowOverlap="1">
                <wp:simplePos x="0" y="0"/>
                <wp:positionH relativeFrom="column">
                  <wp:posOffset>1207770</wp:posOffset>
                </wp:positionH>
                <wp:positionV relativeFrom="paragraph">
                  <wp:posOffset>1188085</wp:posOffset>
                </wp:positionV>
                <wp:extent cx="1456690" cy="2380615"/>
                <wp:effectExtent l="0" t="0" r="10160" b="635"/>
                <wp:wrapNone/>
                <wp:docPr id="162" name="矩形 162"/>
                <wp:cNvGraphicFramePr/>
                <a:graphic xmlns:a="http://schemas.openxmlformats.org/drawingml/2006/main">
                  <a:graphicData uri="http://schemas.microsoft.com/office/word/2010/wordprocessingShape">
                    <wps:wsp>
                      <wps:cNvSpPr/>
                      <wps:spPr>
                        <a:xfrm>
                          <a:off x="0" y="0"/>
                          <a:ext cx="1456690" cy="238061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1pt;margin-top:93.55pt;height:187.45pt;width:114.7pt;z-index:251687936;v-text-anchor:middle;mso-width-relative:page;mso-height-relative:page;" fillcolor="#FFFFFF [3212]" filled="t" stroked="f" coordsize="21600,21600" o:gfxdata="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U&#10;bnY51gAAAAsBAAAPAAAAAAAAAAEAIAAAACIAAABkcnMvZG93bnJldi54bWxQSwECFAAUAAAACACH&#10;TuJAs5QxSF8CAAC5BAAADgAAAAAAAAABACAAAAAlAQAAZHJzL2Uyb0RvYy54bWxQSwUGAAAAAAYA&#10;BgBZAQAA9gUAAAAA&#10;">
                <v:fill on="t" focussize="0,0"/>
                <v:stroke on="f" weight="2pt"/>
                <v:imagedata o:title=""/>
                <o:lock v:ext="edit" aspectratio="f"/>
              </v:rect>
            </w:pict>
          </mc:Fallback>
        </mc:AlternateContent>
      </w:r>
      <w:r>
        <w:rPr>
          <w:sz w:val="36"/>
        </w:rPr>
        <mc:AlternateContent>
          <mc:Choice Requires="wps">
            <w:drawing>
              <wp:anchor distT="0" distB="0" distL="114300" distR="114300" simplePos="0" relativeHeight="251691008" behindDoc="0" locked="0" layoutInCell="1" allowOverlap="1">
                <wp:simplePos x="0" y="0"/>
                <wp:positionH relativeFrom="column">
                  <wp:posOffset>2255520</wp:posOffset>
                </wp:positionH>
                <wp:positionV relativeFrom="paragraph">
                  <wp:posOffset>5569585</wp:posOffset>
                </wp:positionV>
                <wp:extent cx="3065780" cy="304800"/>
                <wp:effectExtent l="0" t="0" r="1270" b="0"/>
                <wp:wrapNone/>
                <wp:docPr id="169" name="矩形 169"/>
                <wp:cNvGraphicFramePr/>
                <a:graphic xmlns:a="http://schemas.openxmlformats.org/drawingml/2006/main">
                  <a:graphicData uri="http://schemas.microsoft.com/office/word/2010/wordprocessingShape">
                    <wps:wsp>
                      <wps:cNvSpPr/>
                      <wps:spPr>
                        <a:xfrm>
                          <a:off x="0" y="0"/>
                          <a:ext cx="3065780" cy="3048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6pt;margin-top:438.55pt;height:24pt;width:241.4pt;z-index:251691008;v-text-anchor:middle;mso-width-relative:page;mso-height-relative:page;" fillcolor="#FFFFFF [3212]" filled="t" stroked="f" coordsize="21600,21600" o:gfxdata="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nWJ0bXAAAACwEAAA8AAAAAAAAAAQAgAAAAIgAAAGRycy9kb3ducmV2LnhtbFBLAQIUABQAAAAI&#10;AIdO4kDLK9c4YAIAALgEAAAOAAAAAAAAAAEAIAAAACYBAABkcnMvZTJvRG9jLnhtbFBLBQYAAAAA&#10;BgAGAFkBAAD4BQAAAAA=&#10;">
                <v:fill on="t" focussize="0,0"/>
                <v:stroke on="f" weight="2pt"/>
                <v:imagedata o:title=""/>
                <o:lock v:ext="edit" aspectratio="f"/>
              </v:rect>
            </w:pict>
          </mc:Fallback>
        </mc:AlternateContent>
      </w:r>
      <w:r>
        <w:rPr>
          <w:sz w:val="36"/>
        </w:rPr>
        <mc:AlternateContent>
          <mc:Choice Requires="wps">
            <w:drawing>
              <wp:anchor distT="0" distB="0" distL="114300" distR="114300" simplePos="0" relativeHeight="251689984" behindDoc="0" locked="0" layoutInCell="1" allowOverlap="1">
                <wp:simplePos x="0" y="0"/>
                <wp:positionH relativeFrom="column">
                  <wp:posOffset>1541145</wp:posOffset>
                </wp:positionH>
                <wp:positionV relativeFrom="paragraph">
                  <wp:posOffset>1264285</wp:posOffset>
                </wp:positionV>
                <wp:extent cx="3065780" cy="304800"/>
                <wp:effectExtent l="0" t="0" r="1270" b="0"/>
                <wp:wrapNone/>
                <wp:docPr id="168" name="矩形 168"/>
                <wp:cNvGraphicFramePr/>
                <a:graphic xmlns:a="http://schemas.openxmlformats.org/drawingml/2006/main">
                  <a:graphicData uri="http://schemas.microsoft.com/office/word/2010/wordprocessingShape">
                    <wps:wsp>
                      <wps:cNvSpPr/>
                      <wps:spPr>
                        <a:xfrm>
                          <a:off x="0" y="0"/>
                          <a:ext cx="3065780" cy="3048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35pt;margin-top:99.55pt;height:24pt;width:241.4pt;z-index:251689984;v-text-anchor:middle;mso-width-relative:page;mso-height-relative:page;" fillcolor="#FFFFFF [3212]" filled="t" stroked="f" coordsize="21600,21600" o:gfxdata="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eGjtNYAAAALAQAADwAAAAAAAAABACAAAAAiAAAAZHJzL2Rvd25yZXYueG1sUEsBAhQAFAAAAAgA&#10;h07iQDrQ3L1gAgAAuAQAAA4AAAAAAAAAAQAgAAAAJQEAAGRycy9lMm9Eb2MueG1sUEsFBgAAAAAG&#10;AAYAWQEAAPcFAAAAAA==&#10;">
                <v:fill on="t" focussize="0,0"/>
                <v:stroke on="f" weight="2pt"/>
                <v:imagedata o:title=""/>
                <o:lock v:ext="edit" aspectratio="f"/>
              </v:rect>
            </w:pict>
          </mc:Fallback>
        </mc:AlternateContent>
      </w:r>
      <w:r>
        <w:rPr>
          <w:sz w:val="36"/>
        </w:rPr>
        <mc:AlternateContent>
          <mc:Choice Requires="wps">
            <w:drawing>
              <wp:anchor distT="0" distB="0" distL="114300" distR="114300" simplePos="0" relativeHeight="251693056" behindDoc="0" locked="0" layoutInCell="1" allowOverlap="1">
                <wp:simplePos x="0" y="0"/>
                <wp:positionH relativeFrom="column">
                  <wp:posOffset>2188845</wp:posOffset>
                </wp:positionH>
                <wp:positionV relativeFrom="paragraph">
                  <wp:posOffset>5407660</wp:posOffset>
                </wp:positionV>
                <wp:extent cx="3065780" cy="438150"/>
                <wp:effectExtent l="0" t="0" r="1270" b="0"/>
                <wp:wrapNone/>
                <wp:docPr id="171" name="矩形 171"/>
                <wp:cNvGraphicFramePr/>
                <a:graphic xmlns:a="http://schemas.openxmlformats.org/drawingml/2006/main">
                  <a:graphicData uri="http://schemas.microsoft.com/office/word/2010/wordprocessingShape">
                    <wps:wsp>
                      <wps:cNvSpPr/>
                      <wps:spPr>
                        <a:xfrm>
                          <a:off x="0" y="0"/>
                          <a:ext cx="3065780" cy="43815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2.35pt;margin-top:425.8pt;height:34.5pt;width:241.4pt;z-index:251693056;v-text-anchor:middle;mso-width-relative:page;mso-height-relative:page;" fillcolor="#FFFFFF [3212]" filled="t" stroked="f" coordsize="21600,21600" o:gfxdata="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8GNfdcAAAALAQAADwAAAAAAAAABACAAAAAiAAAAZHJzL2Rvd25yZXYueG1sUEsBAhQAFAAAAAgA&#10;h07iQL8a8VdfAgAAuAQAAA4AAAAAAAAAAQAgAAAAJgEAAGRycy9lMm9Eb2MueG1sUEsFBgAAAAAG&#10;AAYAWQEAAPcFAAAAAA==&#10;">
                <v:fill on="t" focussize="0,0"/>
                <v:stroke on="f" weight="2pt"/>
                <v:imagedata o:title=""/>
                <o:lock v:ext="edit" aspectratio="f"/>
              </v:rect>
            </w:pict>
          </mc:Fallback>
        </mc:AlternateContent>
      </w:r>
      <w:r>
        <w:rPr>
          <w:sz w:val="36"/>
        </w:rPr>
        <mc:AlternateContent>
          <mc:Choice Requires="wps">
            <w:drawing>
              <wp:anchor distT="0" distB="0" distL="114300" distR="114300" simplePos="0" relativeHeight="251692032" behindDoc="0" locked="0" layoutInCell="1" allowOverlap="1">
                <wp:simplePos x="0" y="0"/>
                <wp:positionH relativeFrom="column">
                  <wp:posOffset>1541145</wp:posOffset>
                </wp:positionH>
                <wp:positionV relativeFrom="paragraph">
                  <wp:posOffset>1264285</wp:posOffset>
                </wp:positionV>
                <wp:extent cx="3065780" cy="304800"/>
                <wp:effectExtent l="0" t="0" r="1270" b="0"/>
                <wp:wrapNone/>
                <wp:docPr id="170" name="矩形 170"/>
                <wp:cNvGraphicFramePr/>
                <a:graphic xmlns:a="http://schemas.openxmlformats.org/drawingml/2006/main">
                  <a:graphicData uri="http://schemas.microsoft.com/office/word/2010/wordprocessingShape">
                    <wps:wsp>
                      <wps:cNvSpPr/>
                      <wps:spPr>
                        <a:xfrm>
                          <a:off x="0" y="0"/>
                          <a:ext cx="3065780" cy="3048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35pt;margin-top:99.55pt;height:24pt;width:241.4pt;z-index:251692032;v-text-anchor:middle;mso-width-relative:page;mso-height-relative:page;" fillcolor="#FFFFFF [3212]" filled="t" stroked="f" coordsize="21600,21600" o:gfxdata="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N&#10;4aO01gAAAAsBAAAPAAAAAAAAAAEAIAAAACIAAABkcnMvZG93bnJldi54bWxQSwECFAAUAAAACACH&#10;TuJARdOahF8CAAC4BAAADgAAAAAAAAABACAAAAAlAQAAZHJzL2Uyb0RvYy54bWxQSwUGAAAAAAYA&#10;BgBZAQAA9gUAAAAA&#10;">
                <v:fill on="t" focussize="0,0"/>
                <v:stroke on="f" weight="2pt"/>
                <v:imagedata o:title=""/>
                <o:lock v:ext="edit" aspectratio="f"/>
              </v:rect>
            </w:pict>
          </mc:Fallback>
        </mc:AlternateContent>
      </w:r>
      <w:r>
        <w:rPr>
          <w:sz w:val="36"/>
        </w:rPr>
        <mc:AlternateContent>
          <mc:Choice Requires="wps">
            <w:drawing>
              <wp:anchor distT="0" distB="0" distL="114300" distR="114300" simplePos="0" relativeHeight="251694080" behindDoc="0" locked="0" layoutInCell="1" allowOverlap="1">
                <wp:simplePos x="0" y="0"/>
                <wp:positionH relativeFrom="column">
                  <wp:posOffset>912495</wp:posOffset>
                </wp:positionH>
                <wp:positionV relativeFrom="paragraph">
                  <wp:posOffset>2693670</wp:posOffset>
                </wp:positionV>
                <wp:extent cx="655955" cy="4866005"/>
                <wp:effectExtent l="0" t="0" r="10795" b="10795"/>
                <wp:wrapNone/>
                <wp:docPr id="172" name="矩形 172"/>
                <wp:cNvGraphicFramePr/>
                <a:graphic xmlns:a="http://schemas.openxmlformats.org/drawingml/2006/main">
                  <a:graphicData uri="http://schemas.microsoft.com/office/word/2010/wordprocessingShape">
                    <wps:wsp>
                      <wps:cNvSpPr/>
                      <wps:spPr>
                        <a:xfrm>
                          <a:off x="0" y="0"/>
                          <a:ext cx="655955" cy="486600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85pt;margin-top:212.1pt;height:383.15pt;width:51.65pt;z-index:251694080;v-text-anchor:middle;mso-width-relative:page;mso-height-relative:page;" fillcolor="#FFFFFF [3212]" filled="t" stroked="f" coordsize="21600,21600" o:gfxdata="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lN4cNYAAAAMAQAADwAAAAAAAAABACAAAAAiAAAAZHJzL2Rvd25yZXYueG1sUEsBAhQAFAAAAAgA&#10;h07iQEEDpVNgAgAAuAQAAA4AAAAAAAAAAQAgAAAAJQEAAGRycy9lMm9Eb2MueG1sUEsFBgAAAAAG&#10;AAYAWQEAAPcFAAAAAA==&#10;">
                <v:fill on="t" focussize="0,0"/>
                <v:stroke on="f" weight="2pt"/>
                <v:imagedata o:title=""/>
                <o:lock v:ext="edit" aspectratio="f"/>
              </v:rect>
            </w:pict>
          </mc:Fallback>
        </mc:AlternateContent>
      </w:r>
      <w:r>
        <w:rPr>
          <w:sz w:val="36"/>
        </w:rPr>
        <mc:AlternateContent>
          <mc:Choice Requires="wps">
            <w:drawing>
              <wp:anchor distT="0" distB="0" distL="114300" distR="114300" simplePos="0" relativeHeight="251695104" behindDoc="0" locked="0" layoutInCell="1" allowOverlap="1">
                <wp:simplePos x="0" y="0"/>
                <wp:positionH relativeFrom="column">
                  <wp:posOffset>912495</wp:posOffset>
                </wp:positionH>
                <wp:positionV relativeFrom="paragraph">
                  <wp:posOffset>2693670</wp:posOffset>
                </wp:positionV>
                <wp:extent cx="655955" cy="4866005"/>
                <wp:effectExtent l="0" t="0" r="10795" b="10795"/>
                <wp:wrapNone/>
                <wp:docPr id="173" name="矩形 173"/>
                <wp:cNvGraphicFramePr/>
                <a:graphic xmlns:a="http://schemas.openxmlformats.org/drawingml/2006/main">
                  <a:graphicData uri="http://schemas.microsoft.com/office/word/2010/wordprocessingShape">
                    <wps:wsp>
                      <wps:cNvSpPr/>
                      <wps:spPr>
                        <a:xfrm>
                          <a:off x="0" y="0"/>
                          <a:ext cx="655955" cy="486600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85pt;margin-top:212.1pt;height:383.15pt;width:51.65pt;z-index:251695104;v-text-anchor:middle;mso-width-relative:page;mso-height-relative:page;" fillcolor="#FFFFFF [3212]" filled="t" stroked="f" coordsize="21600,21600" o:gfxdata="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JTeHDWAAAADAEAAA8AAAAAAAAAAQAgAAAAIgAAAGRycy9kb3ducmV2LnhtbFBLAQIUABQAAAAI&#10;AIdO4kCw+K7WYQIAALgEAAAOAAAAAAAAAAEAIAAAACUBAABkcnMvZTJvRG9jLnhtbFBLBQYAAAAA&#10;BgAGAFkBAAD4BQAAAAA=&#10;">
                <v:fill on="t" focussize="0,0"/>
                <v:stroke on="f" weight="2pt"/>
                <v:imagedata o:title=""/>
                <o:lock v:ext="edit" aspectratio="f"/>
              </v:rect>
            </w:pict>
          </mc:Fallback>
        </mc:AlternateContent>
      </w:r>
    </w:p>
    <w:p w14:paraId="3ABDFB08">
      <w:pPr>
        <w:pStyle w:val="2"/>
        <w:bidi w:val="0"/>
        <w:rPr>
          <w:rFonts w:hint="eastAsia"/>
        </w:rPr>
      </w:pPr>
      <w:bookmarkStart w:id="5" w:name="_Toc7868"/>
      <w:bookmarkStart w:id="6" w:name="_Toc21854"/>
      <w:r>
        <w:rPr>
          <w:rFonts w:hint="eastAsia"/>
        </w:rPr>
        <w:t>建设项目基本情况</w:t>
      </w:r>
      <w:bookmarkEnd w:id="5"/>
      <w:bookmarkEnd w:id="6"/>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31"/>
        <w:gridCol w:w="2102"/>
        <w:gridCol w:w="1485"/>
        <w:gridCol w:w="3752"/>
      </w:tblGrid>
      <w:tr w14:paraId="604541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1" w:type="dxa"/>
            <w:noWrap w:val="0"/>
            <w:tcMar>
              <w:top w:w="16" w:type="dxa"/>
              <w:left w:w="16" w:type="dxa"/>
              <w:right w:w="16" w:type="dxa"/>
            </w:tcMar>
            <w:vAlign w:val="center"/>
          </w:tcPr>
          <w:p w14:paraId="414D03D7">
            <w:pPr>
              <w:pStyle w:val="41"/>
              <w:keepNext w:val="0"/>
              <w:keepLines w:val="0"/>
              <w:suppressLineNumbers w:val="0"/>
              <w:bidi w:val="0"/>
              <w:spacing w:before="0" w:beforeAutospacing="0" w:after="0" w:afterAutospacing="0"/>
              <w:ind w:left="0" w:right="0"/>
              <w:rPr>
                <w:rFonts w:hint="eastAsia"/>
              </w:rPr>
            </w:pPr>
            <w:r>
              <w:rPr>
                <w:rFonts w:hint="eastAsia"/>
              </w:rPr>
              <w:t>建设项目名称</w:t>
            </w:r>
          </w:p>
        </w:tc>
        <w:tc>
          <w:tcPr>
            <w:tcW w:w="7339" w:type="dxa"/>
            <w:gridSpan w:val="3"/>
            <w:noWrap w:val="0"/>
            <w:vAlign w:val="center"/>
          </w:tcPr>
          <w:p w14:paraId="12CE3D69">
            <w:pPr>
              <w:pStyle w:val="41"/>
              <w:keepNext w:val="0"/>
              <w:keepLines w:val="0"/>
              <w:suppressLineNumbers w:val="0"/>
              <w:bidi w:val="0"/>
              <w:spacing w:before="0" w:beforeAutospacing="0" w:after="0" w:afterAutospacing="0"/>
              <w:ind w:left="0" w:right="0"/>
              <w:rPr>
                <w:rFonts w:hint="eastAsia"/>
              </w:rPr>
            </w:pPr>
            <w:r>
              <w:rPr>
                <w:rFonts w:hint="eastAsia"/>
                <w:lang w:eastAsia="zh-CN"/>
              </w:rPr>
              <w:t>福清市三合电子科技有限公司年加工铝合金20万套、塑胶件30万套、钣金件10万套项目</w:t>
            </w:r>
          </w:p>
        </w:tc>
      </w:tr>
      <w:tr w14:paraId="23ADE0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1" w:type="dxa"/>
            <w:noWrap w:val="0"/>
            <w:tcMar>
              <w:top w:w="16" w:type="dxa"/>
              <w:left w:w="16" w:type="dxa"/>
              <w:right w:w="16" w:type="dxa"/>
            </w:tcMar>
            <w:vAlign w:val="center"/>
          </w:tcPr>
          <w:p w14:paraId="63B3FF24">
            <w:pPr>
              <w:pStyle w:val="41"/>
              <w:keepNext w:val="0"/>
              <w:keepLines w:val="0"/>
              <w:suppressLineNumbers w:val="0"/>
              <w:bidi w:val="0"/>
              <w:spacing w:before="0" w:beforeAutospacing="0" w:after="0" w:afterAutospacing="0"/>
              <w:ind w:left="0" w:right="0"/>
              <w:rPr>
                <w:rFonts w:hint="eastAsia"/>
              </w:rPr>
            </w:pPr>
            <w:r>
              <w:rPr>
                <w:rFonts w:hint="eastAsia"/>
              </w:rPr>
              <w:t>项目代码</w:t>
            </w:r>
          </w:p>
        </w:tc>
        <w:tc>
          <w:tcPr>
            <w:tcW w:w="7339" w:type="dxa"/>
            <w:gridSpan w:val="3"/>
            <w:noWrap w:val="0"/>
            <w:vAlign w:val="center"/>
          </w:tcPr>
          <w:p w14:paraId="26700856">
            <w:pPr>
              <w:pStyle w:val="4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2602-350181-04-01-134712</w:t>
            </w:r>
          </w:p>
        </w:tc>
      </w:tr>
      <w:tr w14:paraId="4D082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1" w:type="dxa"/>
            <w:noWrap w:val="0"/>
            <w:tcMar>
              <w:top w:w="16" w:type="dxa"/>
              <w:left w:w="16" w:type="dxa"/>
              <w:right w:w="16" w:type="dxa"/>
            </w:tcMar>
            <w:vAlign w:val="center"/>
          </w:tcPr>
          <w:p w14:paraId="40E828EC">
            <w:pPr>
              <w:pStyle w:val="41"/>
              <w:keepNext w:val="0"/>
              <w:keepLines w:val="0"/>
              <w:suppressLineNumbers w:val="0"/>
              <w:bidi w:val="0"/>
              <w:spacing w:before="0" w:beforeAutospacing="0" w:after="0" w:afterAutospacing="0"/>
              <w:ind w:left="0" w:right="0"/>
              <w:rPr>
                <w:rFonts w:hint="eastAsia"/>
              </w:rPr>
            </w:pPr>
            <w:r>
              <w:rPr>
                <w:rFonts w:hint="eastAsia"/>
              </w:rPr>
              <w:t>建设单位联系人</w:t>
            </w:r>
          </w:p>
        </w:tc>
        <w:tc>
          <w:tcPr>
            <w:tcW w:w="2102" w:type="dxa"/>
            <w:noWrap w:val="0"/>
            <w:vAlign w:val="center"/>
          </w:tcPr>
          <w:p w14:paraId="49753EDF">
            <w:pPr>
              <w:pStyle w:val="41"/>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郑*</w:t>
            </w:r>
          </w:p>
        </w:tc>
        <w:tc>
          <w:tcPr>
            <w:tcW w:w="1485" w:type="dxa"/>
            <w:noWrap w:val="0"/>
            <w:vAlign w:val="center"/>
          </w:tcPr>
          <w:p w14:paraId="5F937CAE">
            <w:pPr>
              <w:pStyle w:val="41"/>
              <w:keepNext w:val="0"/>
              <w:keepLines w:val="0"/>
              <w:suppressLineNumbers w:val="0"/>
              <w:bidi w:val="0"/>
              <w:spacing w:before="0" w:beforeAutospacing="0" w:after="0" w:afterAutospacing="0"/>
              <w:ind w:left="0" w:right="0"/>
              <w:rPr>
                <w:rFonts w:hint="eastAsia"/>
              </w:rPr>
            </w:pPr>
            <w:r>
              <w:rPr>
                <w:rFonts w:hint="eastAsia"/>
              </w:rPr>
              <w:t>联系方式</w:t>
            </w:r>
          </w:p>
        </w:tc>
        <w:tc>
          <w:tcPr>
            <w:tcW w:w="3752" w:type="dxa"/>
            <w:noWrap w:val="0"/>
            <w:vAlign w:val="center"/>
          </w:tcPr>
          <w:p w14:paraId="6CCB39C8">
            <w:pPr>
              <w:pStyle w:val="4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1355917****</w:t>
            </w:r>
          </w:p>
        </w:tc>
      </w:tr>
      <w:tr w14:paraId="4819FD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1" w:type="dxa"/>
            <w:noWrap w:val="0"/>
            <w:tcMar>
              <w:top w:w="16" w:type="dxa"/>
              <w:left w:w="16" w:type="dxa"/>
              <w:right w:w="16" w:type="dxa"/>
            </w:tcMar>
            <w:vAlign w:val="center"/>
          </w:tcPr>
          <w:p w14:paraId="1F9540F3">
            <w:pPr>
              <w:pStyle w:val="41"/>
              <w:keepNext w:val="0"/>
              <w:keepLines w:val="0"/>
              <w:suppressLineNumbers w:val="0"/>
              <w:bidi w:val="0"/>
              <w:spacing w:before="0" w:beforeAutospacing="0" w:after="0" w:afterAutospacing="0"/>
              <w:ind w:left="0" w:right="0"/>
              <w:rPr>
                <w:rFonts w:hint="eastAsia"/>
              </w:rPr>
            </w:pPr>
            <w:r>
              <w:rPr>
                <w:rFonts w:hint="eastAsia"/>
              </w:rPr>
              <w:t>建设地点</w:t>
            </w:r>
          </w:p>
        </w:tc>
        <w:tc>
          <w:tcPr>
            <w:tcW w:w="7339" w:type="dxa"/>
            <w:gridSpan w:val="3"/>
            <w:noWrap w:val="0"/>
            <w:vAlign w:val="center"/>
          </w:tcPr>
          <w:p w14:paraId="48CA549F">
            <w:pPr>
              <w:pStyle w:val="4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福清融侨经济技术开发区（租赁福清洪添科技有限公司车间2第3层）</w:t>
            </w:r>
          </w:p>
        </w:tc>
      </w:tr>
      <w:tr w14:paraId="2E72B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1" w:type="dxa"/>
            <w:noWrap w:val="0"/>
            <w:tcMar>
              <w:top w:w="16" w:type="dxa"/>
              <w:left w:w="16" w:type="dxa"/>
              <w:right w:w="16" w:type="dxa"/>
            </w:tcMar>
            <w:vAlign w:val="center"/>
          </w:tcPr>
          <w:p w14:paraId="6F979B3A">
            <w:pPr>
              <w:pStyle w:val="41"/>
              <w:keepNext w:val="0"/>
              <w:keepLines w:val="0"/>
              <w:suppressLineNumbers w:val="0"/>
              <w:bidi w:val="0"/>
              <w:spacing w:before="0" w:beforeAutospacing="0" w:after="0" w:afterAutospacing="0"/>
              <w:ind w:left="0" w:right="0"/>
              <w:rPr>
                <w:rFonts w:hint="eastAsia"/>
              </w:rPr>
            </w:pPr>
            <w:r>
              <w:rPr>
                <w:rFonts w:hint="eastAsia"/>
              </w:rPr>
              <w:t>地理坐标</w:t>
            </w:r>
          </w:p>
        </w:tc>
        <w:tc>
          <w:tcPr>
            <w:tcW w:w="7339" w:type="dxa"/>
            <w:gridSpan w:val="3"/>
            <w:noWrap w:val="0"/>
            <w:vAlign w:val="center"/>
          </w:tcPr>
          <w:p w14:paraId="35C6849D">
            <w:pPr>
              <w:pStyle w:val="41"/>
              <w:keepNext w:val="0"/>
              <w:keepLines w:val="0"/>
              <w:suppressLineNumbers w:val="0"/>
              <w:bidi w:val="0"/>
              <w:spacing w:before="0" w:beforeAutospacing="0" w:after="0" w:afterAutospacing="0"/>
              <w:ind w:left="0" w:right="0"/>
              <w:rPr>
                <w:rFonts w:hint="eastAsia"/>
              </w:rPr>
            </w:pPr>
            <w:r>
              <w:rPr>
                <w:rFonts w:hint="eastAsia"/>
              </w:rPr>
              <w:t xml:space="preserve">（ 119 度 </w:t>
            </w:r>
            <w:r>
              <w:rPr>
                <w:rFonts w:hint="eastAsia"/>
                <w:lang w:val="en-US" w:eastAsia="zh-CN"/>
              </w:rPr>
              <w:t>25</w:t>
            </w:r>
            <w:r>
              <w:rPr>
                <w:rFonts w:hint="eastAsia"/>
              </w:rPr>
              <w:t xml:space="preserve">  分 </w:t>
            </w:r>
            <w:r>
              <w:rPr>
                <w:rFonts w:hint="eastAsia"/>
                <w:lang w:val="en-US" w:eastAsia="zh-CN"/>
              </w:rPr>
              <w:t>14.142</w:t>
            </w:r>
            <w:r>
              <w:rPr>
                <w:rFonts w:hint="eastAsia"/>
              </w:rPr>
              <w:t xml:space="preserve"> 秒， 2</w:t>
            </w:r>
            <w:r>
              <w:rPr>
                <w:rFonts w:hint="eastAsia"/>
                <w:lang w:val="en-US" w:eastAsia="zh-CN"/>
              </w:rPr>
              <w:t>5</w:t>
            </w:r>
            <w:r>
              <w:rPr>
                <w:rFonts w:hint="eastAsia"/>
              </w:rPr>
              <w:t xml:space="preserve"> 度  </w:t>
            </w:r>
            <w:r>
              <w:rPr>
                <w:rFonts w:hint="eastAsia"/>
                <w:lang w:val="en-US" w:eastAsia="zh-CN"/>
              </w:rPr>
              <w:t>45</w:t>
            </w:r>
            <w:r>
              <w:rPr>
                <w:rFonts w:hint="eastAsia"/>
              </w:rPr>
              <w:t xml:space="preserve"> 分 </w:t>
            </w:r>
            <w:r>
              <w:rPr>
                <w:rFonts w:hint="eastAsia"/>
                <w:lang w:val="en-US" w:eastAsia="zh-CN"/>
              </w:rPr>
              <w:t>52.979</w:t>
            </w:r>
            <w:r>
              <w:rPr>
                <w:rFonts w:hint="eastAsia"/>
              </w:rPr>
              <w:t xml:space="preserve"> 秒）</w:t>
            </w:r>
          </w:p>
        </w:tc>
      </w:tr>
      <w:tr w14:paraId="06840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55" w:hRule="atLeast"/>
          <w:jc w:val="center"/>
        </w:trPr>
        <w:tc>
          <w:tcPr>
            <w:tcW w:w="1531" w:type="dxa"/>
            <w:noWrap w:val="0"/>
            <w:tcMar>
              <w:top w:w="16" w:type="dxa"/>
              <w:left w:w="16" w:type="dxa"/>
              <w:right w:w="16" w:type="dxa"/>
            </w:tcMar>
            <w:vAlign w:val="center"/>
          </w:tcPr>
          <w:p w14:paraId="43B78743">
            <w:pPr>
              <w:pStyle w:val="41"/>
              <w:keepNext w:val="0"/>
              <w:keepLines w:val="0"/>
              <w:suppressLineNumbers w:val="0"/>
              <w:bidi w:val="0"/>
              <w:spacing w:before="0" w:beforeAutospacing="0" w:after="0" w:afterAutospacing="0"/>
              <w:ind w:left="0" w:right="0"/>
              <w:rPr>
                <w:rFonts w:hint="eastAsia"/>
              </w:rPr>
            </w:pPr>
            <w:r>
              <w:rPr>
                <w:rFonts w:hint="eastAsia"/>
              </w:rPr>
              <w:t>国民经济</w:t>
            </w:r>
          </w:p>
          <w:p w14:paraId="6B5A7FEE">
            <w:pPr>
              <w:pStyle w:val="41"/>
              <w:keepNext w:val="0"/>
              <w:keepLines w:val="0"/>
              <w:suppressLineNumbers w:val="0"/>
              <w:bidi w:val="0"/>
              <w:spacing w:before="0" w:beforeAutospacing="0" w:after="0" w:afterAutospacing="0"/>
              <w:ind w:left="0" w:right="0"/>
              <w:rPr>
                <w:rFonts w:hint="eastAsia"/>
              </w:rPr>
            </w:pPr>
            <w:r>
              <w:rPr>
                <w:rFonts w:hint="eastAsia"/>
              </w:rPr>
              <w:t>行业类别</w:t>
            </w:r>
          </w:p>
        </w:tc>
        <w:tc>
          <w:tcPr>
            <w:tcW w:w="2102" w:type="dxa"/>
            <w:noWrap w:val="0"/>
            <w:vAlign w:val="center"/>
          </w:tcPr>
          <w:p w14:paraId="21BDD3FE">
            <w:pPr>
              <w:pStyle w:val="41"/>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C2929塑料零件及其他塑料制品制造</w:t>
            </w:r>
          </w:p>
          <w:p w14:paraId="113C5442">
            <w:pPr>
              <w:pStyle w:val="41"/>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C3360金属表面处理及热处理加工</w:t>
            </w:r>
          </w:p>
        </w:tc>
        <w:tc>
          <w:tcPr>
            <w:tcW w:w="1485" w:type="dxa"/>
            <w:noWrap w:val="0"/>
            <w:vAlign w:val="center"/>
          </w:tcPr>
          <w:p w14:paraId="605DA799">
            <w:pPr>
              <w:pStyle w:val="41"/>
              <w:keepNext w:val="0"/>
              <w:keepLines w:val="0"/>
              <w:suppressLineNumbers w:val="0"/>
              <w:bidi w:val="0"/>
              <w:spacing w:before="0" w:beforeAutospacing="0" w:after="0" w:afterAutospacing="0"/>
              <w:ind w:left="0" w:right="0"/>
              <w:rPr>
                <w:rFonts w:hint="eastAsia"/>
              </w:rPr>
            </w:pPr>
            <w:bookmarkStart w:id="7" w:name="_Hlk49843745"/>
            <w:r>
              <w:rPr>
                <w:rFonts w:hint="eastAsia"/>
              </w:rPr>
              <w:t>建设项目</w:t>
            </w:r>
          </w:p>
          <w:p w14:paraId="68DB11E1">
            <w:pPr>
              <w:pStyle w:val="41"/>
              <w:keepNext w:val="0"/>
              <w:keepLines w:val="0"/>
              <w:suppressLineNumbers w:val="0"/>
              <w:bidi w:val="0"/>
              <w:spacing w:before="0" w:beforeAutospacing="0" w:after="0" w:afterAutospacing="0"/>
              <w:ind w:left="0" w:right="0"/>
              <w:rPr>
                <w:rFonts w:hint="eastAsia"/>
              </w:rPr>
            </w:pPr>
            <w:r>
              <w:rPr>
                <w:rFonts w:hint="eastAsia"/>
              </w:rPr>
              <w:t>行业类别</w:t>
            </w:r>
            <w:bookmarkEnd w:id="7"/>
          </w:p>
        </w:tc>
        <w:tc>
          <w:tcPr>
            <w:tcW w:w="3752" w:type="dxa"/>
            <w:noWrap w:val="0"/>
            <w:vAlign w:val="center"/>
          </w:tcPr>
          <w:p w14:paraId="3A80DD7D">
            <w:pPr>
              <w:pStyle w:val="41"/>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二十六、橡胶和塑料制品业 29 塑料制品业 292 其他（年用非溶剂型低VOCs含量涂料10吨以下的除外）</w:t>
            </w:r>
          </w:p>
          <w:p w14:paraId="6B3396A5">
            <w:pPr>
              <w:pStyle w:val="41"/>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三十、金属制品业 33 金属表面处理及热处理加工 其他（年用非溶剂型低VOCs含量涂料10吨以下的除外）</w:t>
            </w:r>
          </w:p>
        </w:tc>
      </w:tr>
      <w:tr w14:paraId="43B96E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31" w:type="dxa"/>
            <w:noWrap w:val="0"/>
            <w:tcMar>
              <w:top w:w="16" w:type="dxa"/>
              <w:left w:w="16" w:type="dxa"/>
              <w:right w:w="16" w:type="dxa"/>
            </w:tcMar>
            <w:vAlign w:val="center"/>
          </w:tcPr>
          <w:p w14:paraId="59038B14">
            <w:pPr>
              <w:pStyle w:val="41"/>
              <w:keepNext w:val="0"/>
              <w:keepLines w:val="0"/>
              <w:suppressLineNumbers w:val="0"/>
              <w:bidi w:val="0"/>
              <w:spacing w:before="0" w:beforeAutospacing="0" w:after="0" w:afterAutospacing="0"/>
              <w:ind w:left="0" w:right="0"/>
              <w:rPr>
                <w:rFonts w:hint="eastAsia"/>
              </w:rPr>
            </w:pPr>
            <w:r>
              <w:rPr>
                <w:rFonts w:hint="eastAsia"/>
              </w:rPr>
              <w:t>建设性质</w:t>
            </w:r>
          </w:p>
        </w:tc>
        <w:tc>
          <w:tcPr>
            <w:tcW w:w="2102" w:type="dxa"/>
            <w:noWrap w:val="0"/>
            <w:vAlign w:val="center"/>
          </w:tcPr>
          <w:p w14:paraId="7174D393">
            <w:pPr>
              <w:pStyle w:val="41"/>
              <w:keepNext w:val="0"/>
              <w:keepLines w:val="0"/>
              <w:suppressLineNumbers w:val="0"/>
              <w:bidi w:val="0"/>
              <w:spacing w:before="0" w:beforeAutospacing="0" w:after="0" w:afterAutospacing="0"/>
              <w:ind w:left="0" w:right="0"/>
              <w:jc w:val="both"/>
              <w:rPr>
                <w:rFonts w:hint="eastAsia"/>
              </w:rPr>
            </w:pPr>
            <w:r>
              <w:rPr>
                <w:rFonts w:hint="eastAsia"/>
                <w:lang w:eastAsia="zh-CN"/>
              </w:rPr>
              <w:t>☑</w:t>
            </w:r>
            <w:r>
              <w:rPr>
                <w:rFonts w:hint="eastAsia"/>
              </w:rPr>
              <w:t>新建（迁建）</w:t>
            </w:r>
          </w:p>
          <w:p w14:paraId="5B661433">
            <w:pPr>
              <w:pStyle w:val="41"/>
              <w:keepNext w:val="0"/>
              <w:keepLines w:val="0"/>
              <w:suppressLineNumbers w:val="0"/>
              <w:bidi w:val="0"/>
              <w:spacing w:before="0" w:beforeAutospacing="0" w:after="0" w:afterAutospacing="0"/>
              <w:ind w:left="0" w:right="0"/>
              <w:jc w:val="both"/>
              <w:rPr>
                <w:rFonts w:hint="eastAsia"/>
              </w:rPr>
            </w:pPr>
            <w:r>
              <w:rPr>
                <w:rFonts w:hint="eastAsia"/>
              </w:rPr>
              <w:t>□改建</w:t>
            </w:r>
          </w:p>
          <w:p w14:paraId="1B86B5BA">
            <w:pPr>
              <w:pStyle w:val="41"/>
              <w:keepNext w:val="0"/>
              <w:keepLines w:val="0"/>
              <w:suppressLineNumbers w:val="0"/>
              <w:bidi w:val="0"/>
              <w:spacing w:before="0" w:beforeAutospacing="0" w:after="0" w:afterAutospacing="0"/>
              <w:ind w:left="0" w:right="0"/>
              <w:jc w:val="both"/>
              <w:rPr>
                <w:rFonts w:hint="eastAsia"/>
              </w:rPr>
            </w:pPr>
            <w:r>
              <w:rPr>
                <w:rFonts w:hint="eastAsia"/>
                <w:lang w:eastAsia="zh-CN"/>
              </w:rPr>
              <w:t>□</w:t>
            </w:r>
            <w:r>
              <w:rPr>
                <w:rFonts w:hint="eastAsia"/>
              </w:rPr>
              <w:t>扩建</w:t>
            </w:r>
          </w:p>
          <w:p w14:paraId="37EECC27">
            <w:pPr>
              <w:pStyle w:val="41"/>
              <w:keepNext w:val="0"/>
              <w:keepLines w:val="0"/>
              <w:suppressLineNumbers w:val="0"/>
              <w:bidi w:val="0"/>
              <w:spacing w:before="0" w:beforeAutospacing="0" w:after="0" w:afterAutospacing="0"/>
              <w:ind w:left="0" w:right="0"/>
              <w:jc w:val="both"/>
              <w:rPr>
                <w:rFonts w:hint="eastAsia"/>
              </w:rPr>
            </w:pPr>
            <w:r>
              <w:rPr>
                <w:rFonts w:hint="eastAsia"/>
              </w:rPr>
              <w:t>□技术改造</w:t>
            </w:r>
          </w:p>
        </w:tc>
        <w:tc>
          <w:tcPr>
            <w:tcW w:w="1485" w:type="dxa"/>
            <w:noWrap w:val="0"/>
            <w:vAlign w:val="center"/>
          </w:tcPr>
          <w:p w14:paraId="13B4F5F5">
            <w:pPr>
              <w:pStyle w:val="41"/>
              <w:keepNext w:val="0"/>
              <w:keepLines w:val="0"/>
              <w:suppressLineNumbers w:val="0"/>
              <w:bidi w:val="0"/>
              <w:spacing w:before="0" w:beforeAutospacing="0" w:after="0" w:afterAutospacing="0"/>
              <w:ind w:left="0" w:right="0"/>
              <w:rPr>
                <w:rFonts w:hint="eastAsia"/>
              </w:rPr>
            </w:pPr>
            <w:r>
              <w:rPr>
                <w:rFonts w:hint="eastAsia"/>
              </w:rPr>
              <w:t>建设项目</w:t>
            </w:r>
          </w:p>
          <w:p w14:paraId="79938E97">
            <w:pPr>
              <w:pStyle w:val="41"/>
              <w:keepNext w:val="0"/>
              <w:keepLines w:val="0"/>
              <w:suppressLineNumbers w:val="0"/>
              <w:bidi w:val="0"/>
              <w:spacing w:before="0" w:beforeAutospacing="0" w:after="0" w:afterAutospacing="0"/>
              <w:ind w:left="0" w:right="0"/>
              <w:rPr>
                <w:rFonts w:hint="eastAsia"/>
              </w:rPr>
            </w:pPr>
            <w:r>
              <w:rPr>
                <w:rFonts w:hint="eastAsia"/>
              </w:rPr>
              <w:t>申报情形</w:t>
            </w:r>
          </w:p>
        </w:tc>
        <w:tc>
          <w:tcPr>
            <w:tcW w:w="3752" w:type="dxa"/>
            <w:noWrap w:val="0"/>
            <w:vAlign w:val="center"/>
          </w:tcPr>
          <w:p w14:paraId="05350B42">
            <w:pPr>
              <w:pStyle w:val="41"/>
              <w:keepNext w:val="0"/>
              <w:keepLines w:val="0"/>
              <w:suppressLineNumbers w:val="0"/>
              <w:bidi w:val="0"/>
              <w:spacing w:before="0" w:beforeAutospacing="0" w:after="0" w:afterAutospacing="0"/>
              <w:ind w:left="0" w:right="0"/>
              <w:jc w:val="both"/>
              <w:rPr>
                <w:rFonts w:hint="eastAsia"/>
              </w:rPr>
            </w:pPr>
            <w:r>
              <w:rPr>
                <w:rFonts w:hint="eastAsia"/>
              </w:rPr>
              <w:t xml:space="preserve">√首次申报项目             </w:t>
            </w:r>
          </w:p>
          <w:p w14:paraId="5B05E408">
            <w:pPr>
              <w:pStyle w:val="41"/>
              <w:keepNext w:val="0"/>
              <w:keepLines w:val="0"/>
              <w:suppressLineNumbers w:val="0"/>
              <w:bidi w:val="0"/>
              <w:spacing w:before="0" w:beforeAutospacing="0" w:after="0" w:afterAutospacing="0"/>
              <w:ind w:left="0" w:right="0"/>
              <w:jc w:val="both"/>
              <w:rPr>
                <w:rFonts w:hint="eastAsia"/>
              </w:rPr>
            </w:pPr>
            <w:r>
              <w:rPr>
                <w:rFonts w:hint="eastAsia"/>
              </w:rPr>
              <w:t>□不予批准后再次申报项目</w:t>
            </w:r>
          </w:p>
          <w:p w14:paraId="711D27B1">
            <w:pPr>
              <w:pStyle w:val="41"/>
              <w:keepNext w:val="0"/>
              <w:keepLines w:val="0"/>
              <w:suppressLineNumbers w:val="0"/>
              <w:bidi w:val="0"/>
              <w:spacing w:before="0" w:beforeAutospacing="0" w:after="0" w:afterAutospacing="0"/>
              <w:ind w:left="0" w:right="0"/>
              <w:jc w:val="both"/>
              <w:rPr>
                <w:rFonts w:hint="eastAsia"/>
              </w:rPr>
            </w:pPr>
            <w:r>
              <w:rPr>
                <w:rFonts w:hint="eastAsia"/>
              </w:rPr>
              <w:t xml:space="preserve">□超五年重新审核项目     </w:t>
            </w:r>
          </w:p>
          <w:p w14:paraId="3D091CC8">
            <w:pPr>
              <w:pStyle w:val="41"/>
              <w:keepNext w:val="0"/>
              <w:keepLines w:val="0"/>
              <w:suppressLineNumbers w:val="0"/>
              <w:bidi w:val="0"/>
              <w:spacing w:before="0" w:beforeAutospacing="0" w:after="0" w:afterAutospacing="0"/>
              <w:ind w:left="0" w:right="0"/>
              <w:jc w:val="both"/>
              <w:rPr>
                <w:rFonts w:hint="eastAsia"/>
              </w:rPr>
            </w:pPr>
            <w:r>
              <w:rPr>
                <w:rFonts w:hint="eastAsia"/>
              </w:rPr>
              <w:t>□重大变动重新报批项目</w:t>
            </w:r>
          </w:p>
        </w:tc>
      </w:tr>
      <w:tr w14:paraId="01022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31" w:type="dxa"/>
            <w:noWrap w:val="0"/>
            <w:tcMar>
              <w:top w:w="16" w:type="dxa"/>
              <w:left w:w="16" w:type="dxa"/>
              <w:right w:w="16" w:type="dxa"/>
            </w:tcMar>
            <w:vAlign w:val="center"/>
          </w:tcPr>
          <w:p w14:paraId="2E7D3628">
            <w:pPr>
              <w:pStyle w:val="41"/>
              <w:keepNext w:val="0"/>
              <w:keepLines w:val="0"/>
              <w:suppressLineNumbers w:val="0"/>
              <w:bidi w:val="0"/>
              <w:spacing w:before="0" w:beforeAutospacing="0" w:after="0" w:afterAutospacing="0"/>
              <w:ind w:left="0" w:right="0"/>
              <w:rPr>
                <w:rFonts w:hint="eastAsia"/>
              </w:rPr>
            </w:pPr>
            <w:r>
              <w:rPr>
                <w:rFonts w:hint="eastAsia"/>
              </w:rPr>
              <w:t>项目审批（核准/备案）部门（选填）</w:t>
            </w:r>
          </w:p>
        </w:tc>
        <w:tc>
          <w:tcPr>
            <w:tcW w:w="2102" w:type="dxa"/>
            <w:noWrap w:val="0"/>
            <w:vAlign w:val="center"/>
          </w:tcPr>
          <w:p w14:paraId="349D675A">
            <w:pPr>
              <w:pStyle w:val="41"/>
              <w:keepNext w:val="0"/>
              <w:keepLines w:val="0"/>
              <w:suppressLineNumbers w:val="0"/>
              <w:bidi w:val="0"/>
              <w:spacing w:before="0" w:beforeAutospacing="0" w:after="0" w:afterAutospacing="0"/>
              <w:ind w:left="0" w:right="0"/>
              <w:jc w:val="center"/>
              <w:rPr>
                <w:rFonts w:hint="eastAsia"/>
                <w:lang w:val="en-US" w:eastAsia="zh-CN"/>
              </w:rPr>
            </w:pPr>
            <w:r>
              <w:rPr>
                <w:rFonts w:hint="eastAsia"/>
                <w:lang w:val="en-US" w:eastAsia="zh-CN"/>
              </w:rPr>
              <w:t>福清市发展和改革局</w:t>
            </w:r>
          </w:p>
        </w:tc>
        <w:tc>
          <w:tcPr>
            <w:tcW w:w="1485" w:type="dxa"/>
            <w:noWrap w:val="0"/>
            <w:vAlign w:val="center"/>
          </w:tcPr>
          <w:p w14:paraId="7CAC915F">
            <w:pPr>
              <w:pStyle w:val="41"/>
              <w:keepNext w:val="0"/>
              <w:keepLines w:val="0"/>
              <w:suppressLineNumbers w:val="0"/>
              <w:bidi w:val="0"/>
              <w:spacing w:before="0" w:beforeAutospacing="0" w:after="0" w:afterAutospacing="0"/>
              <w:ind w:left="0" w:right="0"/>
              <w:rPr>
                <w:rFonts w:hint="eastAsia"/>
              </w:rPr>
            </w:pPr>
            <w:r>
              <w:rPr>
                <w:rFonts w:hint="eastAsia"/>
              </w:rPr>
              <w:t>项目审批（核准/备案）文号（选填）</w:t>
            </w:r>
          </w:p>
        </w:tc>
        <w:tc>
          <w:tcPr>
            <w:tcW w:w="3752" w:type="dxa"/>
            <w:noWrap w:val="0"/>
            <w:vAlign w:val="center"/>
          </w:tcPr>
          <w:p w14:paraId="2A0BDD84">
            <w:pPr>
              <w:pStyle w:val="41"/>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闽发改备〔2026〕A060034号</w:t>
            </w:r>
          </w:p>
        </w:tc>
      </w:tr>
      <w:tr w14:paraId="0BD8C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1531" w:type="dxa"/>
            <w:noWrap w:val="0"/>
            <w:tcMar>
              <w:top w:w="16" w:type="dxa"/>
              <w:left w:w="16" w:type="dxa"/>
              <w:right w:w="16" w:type="dxa"/>
            </w:tcMar>
            <w:vAlign w:val="center"/>
          </w:tcPr>
          <w:p w14:paraId="471CEE6F">
            <w:pPr>
              <w:pStyle w:val="41"/>
              <w:keepNext w:val="0"/>
              <w:keepLines w:val="0"/>
              <w:suppressLineNumbers w:val="0"/>
              <w:bidi w:val="0"/>
              <w:spacing w:before="0" w:beforeAutospacing="0" w:after="0" w:afterAutospacing="0"/>
              <w:ind w:left="0" w:right="0"/>
              <w:rPr>
                <w:rFonts w:hint="eastAsia"/>
              </w:rPr>
            </w:pPr>
            <w:r>
              <w:rPr>
                <w:rFonts w:hint="eastAsia"/>
              </w:rPr>
              <w:t>总投资（万元）</w:t>
            </w:r>
          </w:p>
        </w:tc>
        <w:tc>
          <w:tcPr>
            <w:tcW w:w="2102" w:type="dxa"/>
            <w:noWrap w:val="0"/>
            <w:vAlign w:val="center"/>
          </w:tcPr>
          <w:p w14:paraId="67991920">
            <w:pPr>
              <w:pStyle w:val="41"/>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120</w:t>
            </w:r>
          </w:p>
        </w:tc>
        <w:tc>
          <w:tcPr>
            <w:tcW w:w="1485" w:type="dxa"/>
            <w:noWrap w:val="0"/>
            <w:tcMar>
              <w:top w:w="16" w:type="dxa"/>
              <w:left w:w="16" w:type="dxa"/>
              <w:right w:w="16" w:type="dxa"/>
            </w:tcMar>
            <w:vAlign w:val="center"/>
          </w:tcPr>
          <w:p w14:paraId="531056B8">
            <w:pPr>
              <w:pStyle w:val="41"/>
              <w:keepNext w:val="0"/>
              <w:keepLines w:val="0"/>
              <w:suppressLineNumbers w:val="0"/>
              <w:bidi w:val="0"/>
              <w:spacing w:before="0" w:beforeAutospacing="0" w:after="0" w:afterAutospacing="0"/>
              <w:ind w:left="0" w:right="0"/>
              <w:rPr>
                <w:rFonts w:hint="eastAsia"/>
              </w:rPr>
            </w:pPr>
            <w:r>
              <w:rPr>
                <w:rFonts w:hint="eastAsia"/>
              </w:rPr>
              <w:t>环保投资（万元）</w:t>
            </w:r>
          </w:p>
        </w:tc>
        <w:tc>
          <w:tcPr>
            <w:tcW w:w="3752" w:type="dxa"/>
            <w:noWrap w:val="0"/>
            <w:vAlign w:val="center"/>
          </w:tcPr>
          <w:p w14:paraId="7D42533E">
            <w:pPr>
              <w:pStyle w:val="41"/>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30</w:t>
            </w:r>
          </w:p>
        </w:tc>
      </w:tr>
      <w:tr w14:paraId="07067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1" w:type="dxa"/>
            <w:noWrap w:val="0"/>
            <w:tcMar>
              <w:top w:w="16" w:type="dxa"/>
              <w:left w:w="16" w:type="dxa"/>
              <w:right w:w="16" w:type="dxa"/>
            </w:tcMar>
            <w:vAlign w:val="center"/>
          </w:tcPr>
          <w:p w14:paraId="0F366AD9">
            <w:pPr>
              <w:pStyle w:val="41"/>
              <w:keepNext w:val="0"/>
              <w:keepLines w:val="0"/>
              <w:suppressLineNumbers w:val="0"/>
              <w:bidi w:val="0"/>
              <w:spacing w:before="0" w:beforeAutospacing="0" w:after="0" w:afterAutospacing="0"/>
              <w:ind w:left="0" w:right="0"/>
              <w:rPr>
                <w:rFonts w:hint="eastAsia"/>
              </w:rPr>
            </w:pPr>
            <w:r>
              <w:rPr>
                <w:rFonts w:hint="eastAsia"/>
              </w:rPr>
              <w:t>环保投资占比（%）</w:t>
            </w:r>
          </w:p>
        </w:tc>
        <w:tc>
          <w:tcPr>
            <w:tcW w:w="2102" w:type="dxa"/>
            <w:noWrap w:val="0"/>
            <w:vAlign w:val="center"/>
          </w:tcPr>
          <w:p w14:paraId="580FEFD8">
            <w:pPr>
              <w:pStyle w:val="41"/>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25</w:t>
            </w:r>
          </w:p>
        </w:tc>
        <w:tc>
          <w:tcPr>
            <w:tcW w:w="1485" w:type="dxa"/>
            <w:noWrap w:val="0"/>
            <w:tcMar>
              <w:top w:w="16" w:type="dxa"/>
              <w:left w:w="16" w:type="dxa"/>
              <w:right w:w="16" w:type="dxa"/>
            </w:tcMar>
            <w:vAlign w:val="center"/>
          </w:tcPr>
          <w:p w14:paraId="46F69D30">
            <w:pPr>
              <w:pStyle w:val="41"/>
              <w:keepNext w:val="0"/>
              <w:keepLines w:val="0"/>
              <w:suppressLineNumbers w:val="0"/>
              <w:bidi w:val="0"/>
              <w:spacing w:before="0" w:beforeAutospacing="0" w:after="0" w:afterAutospacing="0"/>
              <w:ind w:left="0" w:right="0"/>
              <w:rPr>
                <w:rFonts w:hint="eastAsia"/>
              </w:rPr>
            </w:pPr>
            <w:r>
              <w:rPr>
                <w:rFonts w:hint="eastAsia"/>
              </w:rPr>
              <w:t>施工工期</w:t>
            </w:r>
          </w:p>
        </w:tc>
        <w:tc>
          <w:tcPr>
            <w:tcW w:w="3752" w:type="dxa"/>
            <w:noWrap w:val="0"/>
            <w:vAlign w:val="center"/>
          </w:tcPr>
          <w:p w14:paraId="2D37FF0B">
            <w:pPr>
              <w:pStyle w:val="41"/>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10个月</w:t>
            </w:r>
          </w:p>
        </w:tc>
      </w:tr>
      <w:tr w14:paraId="3C11FA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31" w:type="dxa"/>
            <w:noWrap w:val="0"/>
            <w:tcMar>
              <w:top w:w="16" w:type="dxa"/>
              <w:left w:w="16" w:type="dxa"/>
              <w:right w:w="16" w:type="dxa"/>
            </w:tcMar>
            <w:vAlign w:val="center"/>
          </w:tcPr>
          <w:p w14:paraId="2CB63446">
            <w:pPr>
              <w:pStyle w:val="41"/>
              <w:keepNext w:val="0"/>
              <w:keepLines w:val="0"/>
              <w:suppressLineNumbers w:val="0"/>
              <w:bidi w:val="0"/>
              <w:spacing w:before="0" w:beforeAutospacing="0" w:after="0" w:afterAutospacing="0"/>
              <w:ind w:left="0" w:right="0"/>
              <w:rPr>
                <w:rFonts w:hint="eastAsia"/>
              </w:rPr>
            </w:pPr>
            <w:r>
              <w:rPr>
                <w:rFonts w:hint="eastAsia"/>
              </w:rPr>
              <w:t>是否开工建设</w:t>
            </w:r>
          </w:p>
        </w:tc>
        <w:tc>
          <w:tcPr>
            <w:tcW w:w="2102" w:type="dxa"/>
            <w:noWrap w:val="0"/>
            <w:vAlign w:val="center"/>
          </w:tcPr>
          <w:p w14:paraId="5D198B6B">
            <w:pPr>
              <w:pStyle w:val="41"/>
              <w:keepNext w:val="0"/>
              <w:keepLines w:val="0"/>
              <w:suppressLineNumbers w:val="0"/>
              <w:bidi w:val="0"/>
              <w:spacing w:before="0" w:beforeAutospacing="0" w:after="0" w:afterAutospacing="0"/>
              <w:ind w:left="0" w:right="0"/>
              <w:jc w:val="both"/>
              <w:rPr>
                <w:rFonts w:hint="eastAsia"/>
              </w:rPr>
            </w:pPr>
            <w:r>
              <w:rPr>
                <w:rFonts w:hint="eastAsia"/>
              </w:rPr>
              <w:t>√否</w:t>
            </w:r>
          </w:p>
          <w:p w14:paraId="79024C59">
            <w:pPr>
              <w:pStyle w:val="41"/>
              <w:keepNext w:val="0"/>
              <w:keepLines w:val="0"/>
              <w:suppressLineNumbers w:val="0"/>
              <w:bidi w:val="0"/>
              <w:spacing w:before="0" w:beforeAutospacing="0" w:after="0" w:afterAutospacing="0"/>
              <w:ind w:left="0" w:right="0"/>
              <w:jc w:val="both"/>
              <w:rPr>
                <w:rFonts w:hint="eastAsia"/>
              </w:rPr>
            </w:pPr>
            <w:r>
              <w:rPr>
                <w:rFonts w:hint="eastAsia"/>
              </w:rPr>
              <w:t xml:space="preserve">□是：     </w:t>
            </w:r>
          </w:p>
        </w:tc>
        <w:tc>
          <w:tcPr>
            <w:tcW w:w="1485" w:type="dxa"/>
            <w:noWrap w:val="0"/>
            <w:tcMar>
              <w:top w:w="16" w:type="dxa"/>
              <w:left w:w="16" w:type="dxa"/>
              <w:right w:w="16" w:type="dxa"/>
            </w:tcMar>
            <w:vAlign w:val="center"/>
          </w:tcPr>
          <w:p w14:paraId="2AEBBA23">
            <w:pPr>
              <w:pStyle w:val="41"/>
              <w:keepNext w:val="0"/>
              <w:keepLines w:val="0"/>
              <w:suppressLineNumbers w:val="0"/>
              <w:bidi w:val="0"/>
              <w:spacing w:before="0" w:beforeAutospacing="0" w:after="0" w:afterAutospacing="0"/>
              <w:ind w:left="0" w:right="0"/>
              <w:rPr>
                <w:rFonts w:hint="eastAsia"/>
              </w:rPr>
            </w:pPr>
            <w:r>
              <w:rPr>
                <w:rFonts w:hint="eastAsia"/>
              </w:rPr>
              <w:t>用地（用海）</w:t>
            </w:r>
          </w:p>
          <w:p w14:paraId="45681835">
            <w:pPr>
              <w:pStyle w:val="41"/>
              <w:keepNext w:val="0"/>
              <w:keepLines w:val="0"/>
              <w:suppressLineNumbers w:val="0"/>
              <w:bidi w:val="0"/>
              <w:spacing w:before="0" w:beforeAutospacing="0" w:after="0" w:afterAutospacing="0"/>
              <w:ind w:left="0" w:right="0"/>
              <w:rPr>
                <w:rFonts w:hint="eastAsia"/>
              </w:rPr>
            </w:pPr>
            <w:r>
              <w:rPr>
                <w:rFonts w:hint="eastAsia"/>
              </w:rPr>
              <w:t>面积（m</w:t>
            </w:r>
            <w:r>
              <w:rPr>
                <w:rFonts w:hint="eastAsia"/>
                <w:vertAlign w:val="superscript"/>
              </w:rPr>
              <w:t>2</w:t>
            </w:r>
            <w:r>
              <w:rPr>
                <w:rFonts w:hint="eastAsia"/>
              </w:rPr>
              <w:t>）</w:t>
            </w:r>
          </w:p>
        </w:tc>
        <w:tc>
          <w:tcPr>
            <w:tcW w:w="3752" w:type="dxa"/>
            <w:noWrap w:val="0"/>
            <w:vAlign w:val="center"/>
          </w:tcPr>
          <w:p w14:paraId="2DD636E9">
            <w:pPr>
              <w:pStyle w:val="41"/>
              <w:keepNext w:val="0"/>
              <w:keepLines w:val="0"/>
              <w:suppressLineNumbers w:val="0"/>
              <w:bidi w:val="0"/>
              <w:spacing w:before="0" w:beforeAutospacing="0" w:after="0" w:afterAutospacing="0"/>
              <w:ind w:left="0" w:right="0"/>
              <w:jc w:val="center"/>
              <w:rPr>
                <w:rFonts w:hint="default"/>
                <w:lang w:val="en-US" w:eastAsia="zh-CN"/>
              </w:rPr>
            </w:pPr>
            <w:r>
              <w:rPr>
                <w:rFonts w:hint="eastAsia"/>
              </w:rPr>
              <w:t>租赁厂房面积</w:t>
            </w:r>
            <w:r>
              <w:rPr>
                <w:rFonts w:hint="eastAsia"/>
                <w:lang w:val="en-US" w:eastAsia="zh-CN"/>
              </w:rPr>
              <w:t>2212.46</w:t>
            </w:r>
          </w:p>
        </w:tc>
      </w:tr>
      <w:tr w14:paraId="167390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531" w:type="dxa"/>
            <w:noWrap w:val="0"/>
            <w:vAlign w:val="center"/>
          </w:tcPr>
          <w:p w14:paraId="3B4FDC37">
            <w:pPr>
              <w:pStyle w:val="41"/>
              <w:keepNext w:val="0"/>
              <w:keepLines w:val="0"/>
              <w:suppressLineNumbers w:val="0"/>
              <w:bidi w:val="0"/>
              <w:spacing w:before="0" w:beforeAutospacing="0" w:after="0" w:afterAutospacing="0"/>
              <w:ind w:left="0" w:right="0"/>
              <w:rPr>
                <w:rFonts w:hint="eastAsia"/>
              </w:rPr>
            </w:pPr>
            <w:r>
              <w:rPr>
                <w:rFonts w:hint="eastAsia"/>
              </w:rPr>
              <w:t>专项评价设置情况</w:t>
            </w:r>
          </w:p>
        </w:tc>
        <w:tc>
          <w:tcPr>
            <w:tcW w:w="7339" w:type="dxa"/>
            <w:gridSpan w:val="3"/>
            <w:noWrap w:val="0"/>
            <w:vAlign w:val="center"/>
          </w:tcPr>
          <w:p w14:paraId="64650911">
            <w:pPr>
              <w:keepNext w:val="0"/>
              <w:keepLines w:val="0"/>
              <w:suppressLineNumbers w:val="0"/>
              <w:bidi w:val="0"/>
              <w:spacing w:before="0" w:beforeAutospacing="0" w:after="0" w:afterAutospacing="0"/>
              <w:ind w:left="0" w:right="0"/>
              <w:rPr>
                <w:rFonts w:hint="eastAsia"/>
                <w:b w:val="0"/>
                <w:bCs w:val="0"/>
                <w:iCs w:val="0"/>
                <w:color w:val="auto"/>
              </w:rPr>
            </w:pPr>
            <w:r>
              <w:rPr>
                <w:rFonts w:hint="eastAsia"/>
                <w:b w:val="0"/>
                <w:bCs w:val="0"/>
                <w:iCs w:val="0"/>
              </w:rPr>
              <w:t>根据《建设项目环境影响报告表编制技术指南（污染影响类试行）》，项目工程专项设置情况参照专项评价设置原则表，项目不设置专项评价，具体详见表1</w:t>
            </w:r>
            <w:r>
              <w:rPr>
                <w:rFonts w:hint="eastAsia"/>
                <w:b w:val="0"/>
                <w:bCs w:val="0"/>
                <w:iCs w:val="0"/>
                <w:lang w:val="en-US" w:eastAsia="zh-CN"/>
              </w:rPr>
              <w:t>.1</w:t>
            </w:r>
            <w:r>
              <w:rPr>
                <w:rFonts w:hint="eastAsia"/>
                <w:b w:val="0"/>
                <w:bCs w:val="0"/>
                <w:iCs w:val="0"/>
              </w:rPr>
              <w:t>-1。</w:t>
            </w:r>
          </w:p>
          <w:p w14:paraId="1319CE75">
            <w:pPr>
              <w:pStyle w:val="40"/>
              <w:keepNext w:val="0"/>
              <w:keepLines w:val="0"/>
              <w:suppressLineNumbers w:val="0"/>
              <w:bidi w:val="0"/>
              <w:spacing w:before="0" w:beforeAutospacing="0" w:after="0" w:afterAutospacing="0"/>
              <w:ind w:left="0" w:right="0"/>
              <w:rPr>
                <w:rFonts w:hint="eastAsia"/>
              </w:rPr>
            </w:pPr>
            <w:r>
              <w:rPr>
                <w:rFonts w:hint="eastAsia"/>
              </w:rPr>
              <w:t>表1</w:t>
            </w:r>
            <w:r>
              <w:rPr>
                <w:rFonts w:hint="eastAsia"/>
                <w:lang w:val="en-US" w:eastAsia="zh-CN"/>
              </w:rPr>
              <w:t>.1</w:t>
            </w:r>
            <w:r>
              <w:rPr>
                <w:rFonts w:hint="eastAsia"/>
              </w:rPr>
              <w:t>-1  专项评价设置表</w:t>
            </w:r>
          </w:p>
          <w:tbl>
            <w:tblPr>
              <w:tblStyle w:val="31"/>
              <w:tblW w:w="6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2557"/>
              <w:gridCol w:w="2171"/>
              <w:gridCol w:w="905"/>
            </w:tblGrid>
            <w:tr w14:paraId="6B5F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12" w:space="0"/>
                    <w:left w:val="nil"/>
                    <w:bottom w:val="single" w:color="auto" w:sz="4" w:space="0"/>
                    <w:right w:val="single" w:color="auto" w:sz="4" w:space="0"/>
                  </w:tcBorders>
                  <w:vAlign w:val="center"/>
                </w:tcPr>
                <w:p w14:paraId="60122CF4">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专项评价类别</w:t>
                  </w:r>
                </w:p>
              </w:tc>
              <w:tc>
                <w:tcPr>
                  <w:tcW w:w="2557" w:type="dxa"/>
                  <w:tcBorders>
                    <w:top w:val="single" w:color="auto" w:sz="12" w:space="0"/>
                    <w:left w:val="single" w:color="auto" w:sz="4" w:space="0"/>
                    <w:bottom w:val="single" w:color="auto" w:sz="4" w:space="0"/>
                    <w:right w:val="single" w:color="auto" w:sz="4" w:space="0"/>
                  </w:tcBorders>
                  <w:vAlign w:val="center"/>
                </w:tcPr>
                <w:p w14:paraId="34536D4D">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设置原则</w:t>
                  </w:r>
                </w:p>
              </w:tc>
              <w:tc>
                <w:tcPr>
                  <w:tcW w:w="2171" w:type="dxa"/>
                  <w:tcBorders>
                    <w:top w:val="single" w:color="auto" w:sz="12" w:space="0"/>
                    <w:left w:val="single" w:color="auto" w:sz="4" w:space="0"/>
                    <w:bottom w:val="single" w:color="auto" w:sz="4" w:space="0"/>
                    <w:right w:val="single" w:color="auto" w:sz="4" w:space="0"/>
                  </w:tcBorders>
                  <w:vAlign w:val="center"/>
                </w:tcPr>
                <w:p w14:paraId="7F94E295">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本项目情况</w:t>
                  </w:r>
                </w:p>
              </w:tc>
              <w:tc>
                <w:tcPr>
                  <w:tcW w:w="905" w:type="dxa"/>
                  <w:tcBorders>
                    <w:top w:val="single" w:color="auto" w:sz="12" w:space="0"/>
                    <w:left w:val="single" w:color="auto" w:sz="4" w:space="0"/>
                    <w:bottom w:val="single" w:color="auto" w:sz="4" w:space="0"/>
                    <w:right w:val="nil"/>
                  </w:tcBorders>
                  <w:vAlign w:val="center"/>
                </w:tcPr>
                <w:p w14:paraId="0DC57680">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是否设置专项评价</w:t>
                  </w:r>
                </w:p>
              </w:tc>
            </w:tr>
            <w:tr w14:paraId="6A57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4" w:space="0"/>
                    <w:left w:val="nil"/>
                    <w:bottom w:val="single" w:color="auto" w:sz="4" w:space="0"/>
                    <w:right w:val="single" w:color="auto" w:sz="4" w:space="0"/>
                  </w:tcBorders>
                  <w:vAlign w:val="center"/>
                </w:tcPr>
                <w:p w14:paraId="56B304B1">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大气</w:t>
                  </w:r>
                </w:p>
              </w:tc>
              <w:tc>
                <w:tcPr>
                  <w:tcW w:w="2557" w:type="dxa"/>
                  <w:tcBorders>
                    <w:top w:val="single" w:color="auto" w:sz="4" w:space="0"/>
                    <w:left w:val="single" w:color="auto" w:sz="4" w:space="0"/>
                    <w:bottom w:val="single" w:color="auto" w:sz="4" w:space="0"/>
                    <w:right w:val="single" w:color="auto" w:sz="4" w:space="0"/>
                  </w:tcBorders>
                  <w:vAlign w:val="center"/>
                </w:tcPr>
                <w:p w14:paraId="2CC7F183">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排放废气含有毒有害污染物1、二噁英、苯并[a]芘、氰化物、氯气且厂界外</w:t>
                  </w:r>
                  <w:r>
                    <w:rPr>
                      <w:rFonts w:hint="eastAsia"/>
                      <w:b w:val="0"/>
                      <w:bCs w:val="0"/>
                      <w:szCs w:val="22"/>
                      <w:lang w:eastAsia="zh-CN"/>
                    </w:rPr>
                    <w:t>50</w:t>
                  </w:r>
                  <w:r>
                    <w:rPr>
                      <w:rFonts w:hint="eastAsia"/>
                      <w:b w:val="0"/>
                      <w:bCs w:val="0"/>
                      <w:szCs w:val="22"/>
                    </w:rPr>
                    <w:t>0米范围内有环境空气保护目标2的建设项目。</w:t>
                  </w:r>
                </w:p>
              </w:tc>
              <w:tc>
                <w:tcPr>
                  <w:tcW w:w="2171" w:type="dxa"/>
                  <w:tcBorders>
                    <w:top w:val="single" w:color="auto" w:sz="4" w:space="0"/>
                    <w:left w:val="single" w:color="auto" w:sz="4" w:space="0"/>
                    <w:bottom w:val="single" w:color="auto" w:sz="4" w:space="0"/>
                    <w:right w:val="single" w:color="auto" w:sz="4" w:space="0"/>
                  </w:tcBorders>
                  <w:vAlign w:val="center"/>
                </w:tcPr>
                <w:p w14:paraId="0D89080F">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项目排放废气</w:t>
                  </w:r>
                  <w:r>
                    <w:rPr>
                      <w:rFonts w:hint="eastAsia"/>
                      <w:b w:val="0"/>
                      <w:bCs w:val="0"/>
                      <w:szCs w:val="22"/>
                      <w:lang w:val="en-US" w:eastAsia="zh-CN"/>
                    </w:rPr>
                    <w:t>主要为非甲烷总烃及颗粒物，</w:t>
                  </w:r>
                  <w:r>
                    <w:rPr>
                      <w:rFonts w:hint="eastAsia"/>
                      <w:b w:val="0"/>
                      <w:bCs w:val="0"/>
                      <w:szCs w:val="22"/>
                    </w:rPr>
                    <w:t>不含有毒有害污染物1、二噁英苯并[a]芘、氰化物、氯气。</w:t>
                  </w:r>
                </w:p>
              </w:tc>
              <w:tc>
                <w:tcPr>
                  <w:tcW w:w="905" w:type="dxa"/>
                  <w:tcBorders>
                    <w:top w:val="single" w:color="auto" w:sz="4" w:space="0"/>
                    <w:left w:val="single" w:color="auto" w:sz="4" w:space="0"/>
                    <w:bottom w:val="single" w:color="auto" w:sz="4" w:space="0"/>
                    <w:right w:val="nil"/>
                  </w:tcBorders>
                  <w:vAlign w:val="center"/>
                </w:tcPr>
                <w:p w14:paraId="5D06D647">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否</w:t>
                  </w:r>
                </w:p>
              </w:tc>
            </w:tr>
            <w:tr w14:paraId="1D79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4" w:space="0"/>
                    <w:left w:val="nil"/>
                    <w:bottom w:val="single" w:color="auto" w:sz="4" w:space="0"/>
                    <w:right w:val="single" w:color="auto" w:sz="4" w:space="0"/>
                  </w:tcBorders>
                  <w:vAlign w:val="center"/>
                </w:tcPr>
                <w:p w14:paraId="329CC4BC">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地表水</w:t>
                  </w:r>
                </w:p>
              </w:tc>
              <w:tc>
                <w:tcPr>
                  <w:tcW w:w="2557" w:type="dxa"/>
                  <w:tcBorders>
                    <w:top w:val="single" w:color="auto" w:sz="4" w:space="0"/>
                    <w:left w:val="single" w:color="auto" w:sz="4" w:space="0"/>
                    <w:bottom w:val="single" w:color="auto" w:sz="4" w:space="0"/>
                    <w:right w:val="single" w:color="auto" w:sz="4" w:space="0"/>
                  </w:tcBorders>
                  <w:vAlign w:val="center"/>
                </w:tcPr>
                <w:p w14:paraId="43343DA8">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新增工业废水直排建设项目（槽罐车外送污水处理厂的除外）；新增废水直排的污水集中处理厂</w:t>
                  </w:r>
                </w:p>
              </w:tc>
              <w:tc>
                <w:tcPr>
                  <w:tcW w:w="2171" w:type="dxa"/>
                  <w:tcBorders>
                    <w:top w:val="single" w:color="auto" w:sz="4" w:space="0"/>
                    <w:left w:val="single" w:color="auto" w:sz="4" w:space="0"/>
                    <w:bottom w:val="single" w:color="auto" w:sz="4" w:space="0"/>
                    <w:right w:val="single" w:color="auto" w:sz="4" w:space="0"/>
                  </w:tcBorders>
                  <w:vAlign w:val="center"/>
                </w:tcPr>
                <w:p w14:paraId="462E3C4F">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szCs w:val="22"/>
                    </w:rPr>
                    <w:t>项目外排的生活污水经化粪池处理达标后排入市政污水管网，纳入</w:t>
                  </w:r>
                  <w:r>
                    <w:rPr>
                      <w:rFonts w:hint="eastAsia"/>
                      <w:szCs w:val="22"/>
                      <w:lang w:eastAsia="zh-CN"/>
                    </w:rPr>
                    <w:t>福清市融元污水处理厂</w:t>
                  </w:r>
                  <w:r>
                    <w:rPr>
                      <w:rFonts w:hint="eastAsia"/>
                      <w:szCs w:val="22"/>
                    </w:rPr>
                    <w:t>集中处理；项目不外排生产废水</w:t>
                  </w:r>
                </w:p>
              </w:tc>
              <w:tc>
                <w:tcPr>
                  <w:tcW w:w="905" w:type="dxa"/>
                  <w:tcBorders>
                    <w:top w:val="single" w:color="auto" w:sz="4" w:space="0"/>
                    <w:left w:val="single" w:color="auto" w:sz="4" w:space="0"/>
                    <w:bottom w:val="single" w:color="auto" w:sz="4" w:space="0"/>
                    <w:right w:val="nil"/>
                  </w:tcBorders>
                  <w:vAlign w:val="center"/>
                </w:tcPr>
                <w:p w14:paraId="76CC7A36">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否</w:t>
                  </w:r>
                </w:p>
              </w:tc>
            </w:tr>
            <w:tr w14:paraId="35CA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4" w:space="0"/>
                    <w:left w:val="nil"/>
                    <w:bottom w:val="single" w:color="auto" w:sz="4" w:space="0"/>
                    <w:right w:val="single" w:color="auto" w:sz="4" w:space="0"/>
                  </w:tcBorders>
                  <w:vAlign w:val="center"/>
                </w:tcPr>
                <w:p w14:paraId="56C364B0">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环境风险</w:t>
                  </w:r>
                </w:p>
              </w:tc>
              <w:tc>
                <w:tcPr>
                  <w:tcW w:w="2557" w:type="dxa"/>
                  <w:tcBorders>
                    <w:top w:val="single" w:color="auto" w:sz="4" w:space="0"/>
                    <w:left w:val="single" w:color="auto" w:sz="4" w:space="0"/>
                    <w:bottom w:val="single" w:color="auto" w:sz="4" w:space="0"/>
                    <w:right w:val="single" w:color="auto" w:sz="4" w:space="0"/>
                  </w:tcBorders>
                  <w:vAlign w:val="center"/>
                </w:tcPr>
                <w:p w14:paraId="20FAA3E2">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有毒有害和易燃易爆危险物质存储量超过临界量</w:t>
                  </w:r>
                  <w:r>
                    <w:rPr>
                      <w:rFonts w:hint="eastAsia"/>
                      <w:b w:val="0"/>
                      <w:bCs w:val="0"/>
                      <w:szCs w:val="22"/>
                      <w:vertAlign w:val="superscript"/>
                      <w:lang w:val="en-US" w:eastAsia="zh-CN"/>
                    </w:rPr>
                    <w:t>3</w:t>
                  </w:r>
                  <w:r>
                    <w:rPr>
                      <w:rFonts w:hint="eastAsia"/>
                      <w:b w:val="0"/>
                      <w:bCs w:val="0"/>
                      <w:szCs w:val="22"/>
                    </w:rPr>
                    <w:t>的建设项目。</w:t>
                  </w:r>
                </w:p>
              </w:tc>
              <w:tc>
                <w:tcPr>
                  <w:tcW w:w="2171" w:type="dxa"/>
                  <w:tcBorders>
                    <w:top w:val="single" w:color="auto" w:sz="4" w:space="0"/>
                    <w:left w:val="single" w:color="auto" w:sz="4" w:space="0"/>
                    <w:bottom w:val="single" w:color="auto" w:sz="4" w:space="0"/>
                    <w:right w:val="single" w:color="auto" w:sz="4" w:space="0"/>
                  </w:tcBorders>
                  <w:vAlign w:val="center"/>
                </w:tcPr>
                <w:p w14:paraId="4A6DD6D0">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项目涉及的有毒有害和易燃易爆危险物质存储量未超过临界量</w:t>
                  </w:r>
                </w:p>
              </w:tc>
              <w:tc>
                <w:tcPr>
                  <w:tcW w:w="905" w:type="dxa"/>
                  <w:tcBorders>
                    <w:top w:val="single" w:color="auto" w:sz="4" w:space="0"/>
                    <w:left w:val="single" w:color="auto" w:sz="4" w:space="0"/>
                    <w:bottom w:val="single" w:color="auto" w:sz="4" w:space="0"/>
                    <w:right w:val="nil"/>
                  </w:tcBorders>
                  <w:vAlign w:val="center"/>
                </w:tcPr>
                <w:p w14:paraId="72D6CEDD">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否</w:t>
                  </w:r>
                </w:p>
              </w:tc>
            </w:tr>
            <w:tr w14:paraId="101A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4" w:space="0"/>
                    <w:left w:val="nil"/>
                    <w:bottom w:val="single" w:color="auto" w:sz="4" w:space="0"/>
                    <w:right w:val="single" w:color="auto" w:sz="4" w:space="0"/>
                  </w:tcBorders>
                  <w:vAlign w:val="center"/>
                </w:tcPr>
                <w:p w14:paraId="43A54D17">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生态</w:t>
                  </w:r>
                </w:p>
              </w:tc>
              <w:tc>
                <w:tcPr>
                  <w:tcW w:w="2557" w:type="dxa"/>
                  <w:tcBorders>
                    <w:top w:val="single" w:color="auto" w:sz="4" w:space="0"/>
                    <w:left w:val="single" w:color="auto" w:sz="4" w:space="0"/>
                    <w:bottom w:val="single" w:color="auto" w:sz="4" w:space="0"/>
                    <w:right w:val="single" w:color="auto" w:sz="4" w:space="0"/>
                  </w:tcBorders>
                  <w:vAlign w:val="center"/>
                </w:tcPr>
                <w:p w14:paraId="378B5382">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取水口下游</w:t>
                  </w:r>
                  <w:r>
                    <w:rPr>
                      <w:rFonts w:hint="eastAsia"/>
                      <w:b w:val="0"/>
                      <w:bCs w:val="0"/>
                      <w:szCs w:val="22"/>
                      <w:lang w:eastAsia="zh-CN"/>
                    </w:rPr>
                    <w:t>50</w:t>
                  </w:r>
                  <w:r>
                    <w:rPr>
                      <w:rFonts w:hint="eastAsia"/>
                      <w:b w:val="0"/>
                      <w:bCs w:val="0"/>
                      <w:szCs w:val="22"/>
                    </w:rPr>
                    <w:t>0米范围内有重要水生生物的自然产卵场、索饵场、越冬场和河游通道的新增河道取水的污染类建设项目</w:t>
                  </w:r>
                </w:p>
              </w:tc>
              <w:tc>
                <w:tcPr>
                  <w:tcW w:w="2171" w:type="dxa"/>
                  <w:tcBorders>
                    <w:top w:val="single" w:color="auto" w:sz="4" w:space="0"/>
                    <w:left w:val="single" w:color="auto" w:sz="4" w:space="0"/>
                    <w:bottom w:val="single" w:color="auto" w:sz="4" w:space="0"/>
                    <w:right w:val="single" w:color="auto" w:sz="4" w:space="0"/>
                  </w:tcBorders>
                  <w:vAlign w:val="center"/>
                </w:tcPr>
                <w:p w14:paraId="770F6822">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项目用水由市政给水管网供给，不设置取水口</w:t>
                  </w:r>
                </w:p>
              </w:tc>
              <w:tc>
                <w:tcPr>
                  <w:tcW w:w="905" w:type="dxa"/>
                  <w:tcBorders>
                    <w:top w:val="single" w:color="auto" w:sz="4" w:space="0"/>
                    <w:left w:val="single" w:color="auto" w:sz="4" w:space="0"/>
                    <w:bottom w:val="single" w:color="auto" w:sz="4" w:space="0"/>
                    <w:right w:val="nil"/>
                  </w:tcBorders>
                  <w:vAlign w:val="center"/>
                </w:tcPr>
                <w:p w14:paraId="251ACC40">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否</w:t>
                  </w:r>
                </w:p>
              </w:tc>
            </w:tr>
            <w:tr w14:paraId="28B4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127" w:type="dxa"/>
                  <w:tcBorders>
                    <w:top w:val="single" w:color="auto" w:sz="4" w:space="0"/>
                    <w:left w:val="nil"/>
                    <w:bottom w:val="single" w:color="auto" w:sz="4" w:space="0"/>
                    <w:right w:val="single" w:color="auto" w:sz="4" w:space="0"/>
                  </w:tcBorders>
                  <w:vAlign w:val="center"/>
                </w:tcPr>
                <w:p w14:paraId="631F99FF">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海洋</w:t>
                  </w:r>
                </w:p>
              </w:tc>
              <w:tc>
                <w:tcPr>
                  <w:tcW w:w="2557" w:type="dxa"/>
                  <w:tcBorders>
                    <w:top w:val="single" w:color="auto" w:sz="4" w:space="0"/>
                    <w:left w:val="single" w:color="auto" w:sz="4" w:space="0"/>
                    <w:bottom w:val="single" w:color="auto" w:sz="4" w:space="0"/>
                    <w:right w:val="single" w:color="auto" w:sz="4" w:space="0"/>
                  </w:tcBorders>
                  <w:vAlign w:val="center"/>
                </w:tcPr>
                <w:p w14:paraId="4E63A76C">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直接向海排放污染物的海洋工程建设项目</w:t>
                  </w:r>
                </w:p>
              </w:tc>
              <w:tc>
                <w:tcPr>
                  <w:tcW w:w="2171" w:type="dxa"/>
                  <w:tcBorders>
                    <w:top w:val="single" w:color="auto" w:sz="4" w:space="0"/>
                    <w:left w:val="single" w:color="auto" w:sz="4" w:space="0"/>
                    <w:bottom w:val="single" w:color="auto" w:sz="4" w:space="0"/>
                    <w:right w:val="single" w:color="auto" w:sz="4" w:space="0"/>
                  </w:tcBorders>
                  <w:vAlign w:val="center"/>
                </w:tcPr>
                <w:p w14:paraId="601AC7A1">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项目不属于海洋工程建设项目</w:t>
                  </w:r>
                </w:p>
              </w:tc>
              <w:tc>
                <w:tcPr>
                  <w:tcW w:w="905" w:type="dxa"/>
                  <w:tcBorders>
                    <w:top w:val="single" w:color="auto" w:sz="4" w:space="0"/>
                    <w:left w:val="single" w:color="auto" w:sz="4" w:space="0"/>
                    <w:bottom w:val="single" w:color="auto" w:sz="4" w:space="0"/>
                    <w:right w:val="nil"/>
                  </w:tcBorders>
                  <w:vAlign w:val="center"/>
                </w:tcPr>
                <w:p w14:paraId="7E694CD1">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否</w:t>
                  </w:r>
                </w:p>
              </w:tc>
            </w:tr>
            <w:tr w14:paraId="6A76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760" w:type="dxa"/>
                  <w:gridSpan w:val="4"/>
                  <w:tcBorders>
                    <w:top w:val="single" w:color="auto" w:sz="4" w:space="0"/>
                    <w:left w:val="nil"/>
                    <w:bottom w:val="single" w:color="auto" w:sz="12" w:space="0"/>
                    <w:right w:val="nil"/>
                  </w:tcBorders>
                  <w:vAlign w:val="center"/>
                </w:tcPr>
                <w:p w14:paraId="3FD85D0B">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tc>
            </w:tr>
          </w:tbl>
          <w:p w14:paraId="7C6AEA8E">
            <w:pPr>
              <w:pStyle w:val="41"/>
              <w:keepNext w:val="0"/>
              <w:keepLines w:val="0"/>
              <w:suppressLineNumbers w:val="0"/>
              <w:bidi w:val="0"/>
              <w:spacing w:before="0" w:beforeAutospacing="0" w:after="0" w:afterAutospacing="0"/>
              <w:ind w:left="0" w:right="0"/>
              <w:rPr>
                <w:rFonts w:hint="eastAsia"/>
              </w:rPr>
            </w:pPr>
          </w:p>
        </w:tc>
      </w:tr>
      <w:tr w14:paraId="74C210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531" w:type="dxa"/>
            <w:noWrap w:val="0"/>
            <w:vAlign w:val="center"/>
          </w:tcPr>
          <w:p w14:paraId="516B510E">
            <w:pPr>
              <w:pStyle w:val="41"/>
              <w:keepNext w:val="0"/>
              <w:keepLines w:val="0"/>
              <w:suppressLineNumbers w:val="0"/>
              <w:bidi w:val="0"/>
              <w:spacing w:before="0" w:beforeAutospacing="0" w:after="0" w:afterAutospacing="0"/>
              <w:ind w:left="0" w:right="0"/>
              <w:rPr>
                <w:rFonts w:hint="eastAsia"/>
              </w:rPr>
            </w:pPr>
            <w:r>
              <w:rPr>
                <w:rFonts w:hint="eastAsia"/>
              </w:rPr>
              <w:t>规划情况</w:t>
            </w:r>
          </w:p>
        </w:tc>
        <w:tc>
          <w:tcPr>
            <w:tcW w:w="7339" w:type="dxa"/>
            <w:gridSpan w:val="3"/>
            <w:noWrap w:val="0"/>
            <w:vAlign w:val="center"/>
          </w:tcPr>
          <w:p w14:paraId="1911DF5A">
            <w:pPr>
              <w:keepNext w:val="0"/>
              <w:keepLines w:val="0"/>
              <w:suppressLineNumbers w:val="0"/>
              <w:bidi w:val="0"/>
              <w:spacing w:before="0" w:beforeAutospacing="0" w:after="0" w:afterAutospacing="0"/>
              <w:ind w:left="0" w:leftChars="0" w:right="0" w:firstLine="0" w:firstLineChars="0"/>
              <w:rPr>
                <w:rFonts w:hint="eastAsia"/>
                <w:lang w:eastAsia="zh-CN"/>
              </w:rPr>
            </w:pPr>
            <w:r>
              <w:rPr>
                <w:rFonts w:hint="eastAsia" w:ascii="Times New Roman" w:hAnsi="Times New Roman" w:cs="Times New Roman"/>
                <w:b w:val="0"/>
                <w:color w:val="auto"/>
                <w:kern w:val="0"/>
                <w:sz w:val="24"/>
                <w:szCs w:val="24"/>
                <w:u w:val="none"/>
                <w:lang w:val="en-US" w:eastAsia="zh-CN" w:bidi="ar"/>
              </w:rPr>
              <w:t>（1）</w:t>
            </w:r>
            <w:r>
              <w:rPr>
                <w:rFonts w:hint="default" w:ascii="Times New Roman" w:hAnsi="Times New Roman" w:eastAsia="宋体" w:cs="Times New Roman"/>
                <w:b w:val="0"/>
                <w:color w:val="auto"/>
                <w:kern w:val="0"/>
                <w:sz w:val="24"/>
                <w:szCs w:val="24"/>
                <w:u w:val="none"/>
                <w:lang w:val="en-US" w:eastAsia="zh-CN" w:bidi="ar"/>
              </w:rPr>
              <w:t>规划名称：</w:t>
            </w:r>
            <w:r>
              <w:rPr>
                <w:rFonts w:hint="default"/>
                <w:lang w:val="en-US" w:eastAsia="zh-CN"/>
              </w:rPr>
              <w:t>《福清融侨经济技术开发区总体规划</w:t>
            </w:r>
            <w:r>
              <w:rPr>
                <w:rFonts w:hint="eastAsia"/>
                <w:lang w:val="en-US" w:eastAsia="zh-CN"/>
              </w:rPr>
              <w:t>（</w:t>
            </w:r>
            <w:r>
              <w:rPr>
                <w:rFonts w:hint="default"/>
                <w:lang w:val="en-US" w:eastAsia="zh-CN"/>
              </w:rPr>
              <w:t>2018-2035年</w:t>
            </w:r>
            <w:r>
              <w:rPr>
                <w:rFonts w:hint="eastAsia"/>
                <w:lang w:val="en-US" w:eastAsia="zh-CN"/>
              </w:rPr>
              <w:t>）</w:t>
            </w:r>
            <w:r>
              <w:rPr>
                <w:rFonts w:hint="default"/>
                <w:lang w:val="en-US" w:eastAsia="zh-CN"/>
              </w:rPr>
              <w:t>》</w:t>
            </w:r>
          </w:p>
          <w:p w14:paraId="4D19DA1C">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审批机关：</w:t>
            </w:r>
            <w:r>
              <w:rPr>
                <w:rFonts w:hint="eastAsia"/>
                <w:lang w:val="en-US" w:eastAsia="zh-CN"/>
              </w:rPr>
              <w:t>无</w:t>
            </w:r>
          </w:p>
          <w:p w14:paraId="6B8DF9BB">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审批文件名称及文号：</w:t>
            </w:r>
            <w:r>
              <w:rPr>
                <w:rFonts w:hint="eastAsia"/>
                <w:lang w:val="en-US" w:eastAsia="zh-CN"/>
              </w:rPr>
              <w:t>无</w:t>
            </w:r>
          </w:p>
          <w:p w14:paraId="7ABA47B9">
            <w:pPr>
              <w:keepNext w:val="0"/>
              <w:keepLines w:val="0"/>
              <w:suppressLineNumbers w:val="0"/>
              <w:bidi w:val="0"/>
              <w:spacing w:before="0" w:beforeAutospacing="0" w:after="0" w:afterAutospacing="0"/>
              <w:ind w:left="0" w:leftChars="0" w:right="0" w:firstLine="0" w:firstLineChars="0"/>
              <w:rPr>
                <w:rFonts w:hint="default"/>
                <w:lang w:val="en-US" w:eastAsia="zh-CN"/>
              </w:rPr>
            </w:pPr>
            <w:r>
              <w:rPr>
                <w:rFonts w:hint="eastAsia" w:ascii="Times New Roman" w:hAnsi="Times New Roman" w:cs="Times New Roman"/>
                <w:b w:val="0"/>
                <w:color w:val="auto"/>
                <w:kern w:val="0"/>
                <w:sz w:val="24"/>
                <w:szCs w:val="24"/>
                <w:u w:val="none"/>
                <w:lang w:val="en-US" w:eastAsia="zh-CN" w:bidi="ar"/>
              </w:rPr>
              <w:t>（2）</w:t>
            </w:r>
            <w:r>
              <w:rPr>
                <w:rFonts w:hint="default" w:ascii="Times New Roman" w:hAnsi="Times New Roman" w:eastAsia="宋体" w:cs="Times New Roman"/>
                <w:b w:val="0"/>
                <w:color w:val="auto"/>
                <w:kern w:val="0"/>
                <w:sz w:val="24"/>
                <w:szCs w:val="24"/>
                <w:u w:val="none"/>
                <w:lang w:val="en-US" w:eastAsia="zh-CN" w:bidi="ar"/>
              </w:rPr>
              <w:t>规划名称：</w:t>
            </w:r>
            <w:r>
              <w:rPr>
                <w:rFonts w:hint="default"/>
                <w:lang w:val="en-US" w:eastAsia="zh-CN"/>
              </w:rPr>
              <w:t>《福清市国土空间总体规划（2021—2035年）》</w:t>
            </w:r>
          </w:p>
          <w:p w14:paraId="0B1C6F70">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审批机关：福建省人民政府</w:t>
            </w:r>
            <w:r>
              <w:rPr>
                <w:rFonts w:hint="eastAsia"/>
                <w:lang w:val="en-US" w:eastAsia="zh-CN"/>
              </w:rPr>
              <w:t>；</w:t>
            </w:r>
          </w:p>
          <w:p w14:paraId="47CA1C72">
            <w:pPr>
              <w:keepNext w:val="0"/>
              <w:keepLines w:val="0"/>
              <w:suppressLineNumbers w:val="0"/>
              <w:bidi w:val="0"/>
              <w:spacing w:before="0" w:beforeAutospacing="0" w:after="0" w:afterAutospacing="0"/>
              <w:ind w:left="0" w:right="0"/>
              <w:rPr>
                <w:rFonts w:hint="eastAsia"/>
              </w:rPr>
            </w:pPr>
            <w:r>
              <w:rPr>
                <w:rFonts w:hint="default"/>
                <w:lang w:val="en-US" w:eastAsia="zh-CN"/>
              </w:rPr>
              <w:t>审批文件名称及文号：福建省人民政府关于福州市所辖6个县（市）国土空间总体规划（2021—2035年）的批复</w:t>
            </w:r>
            <w:r>
              <w:rPr>
                <w:rFonts w:hint="eastAsia"/>
                <w:lang w:val="en-US" w:eastAsia="zh-CN"/>
              </w:rPr>
              <w:t>（</w:t>
            </w:r>
            <w:r>
              <w:rPr>
                <w:rFonts w:hint="default"/>
                <w:lang w:val="en-US" w:eastAsia="zh-CN"/>
              </w:rPr>
              <w:t>闽政文〔2024〕420号</w:t>
            </w:r>
            <w:r>
              <w:rPr>
                <w:rFonts w:hint="eastAsia"/>
                <w:lang w:val="en-US" w:eastAsia="zh-CN"/>
              </w:rPr>
              <w:t>）</w:t>
            </w:r>
          </w:p>
        </w:tc>
      </w:tr>
      <w:tr w14:paraId="45DAC8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531" w:type="dxa"/>
            <w:noWrap w:val="0"/>
            <w:vAlign w:val="center"/>
          </w:tcPr>
          <w:p w14:paraId="02FC4FAF">
            <w:pPr>
              <w:pStyle w:val="41"/>
              <w:keepNext w:val="0"/>
              <w:keepLines w:val="0"/>
              <w:suppressLineNumbers w:val="0"/>
              <w:bidi w:val="0"/>
              <w:spacing w:before="0" w:beforeAutospacing="0" w:after="0" w:afterAutospacing="0"/>
              <w:ind w:left="0" w:right="0"/>
              <w:rPr>
                <w:rFonts w:hint="eastAsia"/>
              </w:rPr>
            </w:pPr>
            <w:r>
              <w:rPr>
                <w:rFonts w:hint="eastAsia"/>
              </w:rPr>
              <w:t>规划环境影响评价情况</w:t>
            </w:r>
          </w:p>
        </w:tc>
        <w:tc>
          <w:tcPr>
            <w:tcW w:w="7339" w:type="dxa"/>
            <w:gridSpan w:val="3"/>
            <w:noWrap w:val="0"/>
            <w:vAlign w:val="center"/>
          </w:tcPr>
          <w:p w14:paraId="0F1EFB69">
            <w:pPr>
              <w:keepNext w:val="0"/>
              <w:keepLines w:val="0"/>
              <w:suppressLineNumbers w:val="0"/>
              <w:bidi w:val="0"/>
              <w:spacing w:before="0" w:beforeAutospacing="0" w:after="0" w:afterAutospacing="0"/>
              <w:ind w:left="0" w:leftChars="0" w:right="0" w:firstLine="0" w:firstLineChars="0"/>
              <w:rPr>
                <w:rFonts w:hint="eastAsia"/>
                <w:lang w:val="en-US" w:eastAsia="zh-CN"/>
              </w:rPr>
            </w:pPr>
            <w:r>
              <w:rPr>
                <w:rFonts w:hint="eastAsia"/>
                <w:lang w:val="en-US" w:eastAsia="zh-CN"/>
              </w:rPr>
              <w:t>规划环境影响评价文件名称：《</w:t>
            </w:r>
            <w:r>
              <w:rPr>
                <w:rFonts w:hint="default"/>
                <w:lang w:val="en-US" w:eastAsia="zh-CN"/>
              </w:rPr>
              <w:t>福清融侨经济技术开发区总体规划</w:t>
            </w:r>
            <w:r>
              <w:rPr>
                <w:rFonts w:hint="eastAsia"/>
                <w:lang w:val="en-US" w:eastAsia="zh-CN"/>
              </w:rPr>
              <w:t>（</w:t>
            </w:r>
            <w:r>
              <w:rPr>
                <w:rFonts w:hint="default"/>
                <w:lang w:val="en-US" w:eastAsia="zh-CN"/>
              </w:rPr>
              <w:t>2018-2035年</w:t>
            </w:r>
            <w:r>
              <w:rPr>
                <w:rFonts w:hint="eastAsia"/>
                <w:lang w:val="en-US" w:eastAsia="zh-CN"/>
              </w:rPr>
              <w:t>）</w:t>
            </w:r>
            <w:r>
              <w:rPr>
                <w:rFonts w:hint="default"/>
                <w:lang w:val="en-US" w:eastAsia="zh-CN"/>
              </w:rPr>
              <w:t>环境影响报告书</w:t>
            </w:r>
            <w:r>
              <w:rPr>
                <w:rFonts w:hint="eastAsia"/>
                <w:lang w:val="en-US" w:eastAsia="zh-CN"/>
              </w:rPr>
              <w:t>》</w:t>
            </w:r>
          </w:p>
          <w:p w14:paraId="536391D7">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召集审查机关：中华人民共和国</w:t>
            </w:r>
            <w:r>
              <w:rPr>
                <w:rFonts w:hint="default"/>
                <w:lang w:val="en-US" w:eastAsia="zh-CN"/>
              </w:rPr>
              <w:t>生态环境部</w:t>
            </w:r>
          </w:p>
          <w:p w14:paraId="7D96D016">
            <w:pPr>
              <w:keepNext w:val="0"/>
              <w:keepLines w:val="0"/>
              <w:suppressLineNumbers w:val="0"/>
              <w:bidi w:val="0"/>
              <w:spacing w:before="0" w:beforeAutospacing="0" w:after="0" w:afterAutospacing="0"/>
              <w:ind w:left="0" w:right="0"/>
              <w:rPr>
                <w:rFonts w:hint="eastAsia"/>
              </w:rPr>
            </w:pPr>
            <w:r>
              <w:rPr>
                <w:rFonts w:hint="eastAsia"/>
                <w:lang w:val="en-US" w:eastAsia="zh-CN"/>
              </w:rPr>
              <w:t>审查文件名称及文号：</w:t>
            </w:r>
            <w:r>
              <w:rPr>
                <w:rFonts w:hint="default"/>
                <w:lang w:val="en-US" w:eastAsia="zh-CN"/>
              </w:rPr>
              <w:t>关于《福清融侨经济技术开发区总体规划</w:t>
            </w:r>
            <w:r>
              <w:rPr>
                <w:rFonts w:hint="eastAsia"/>
                <w:lang w:val="en-US" w:eastAsia="zh-CN"/>
              </w:rPr>
              <w:t>（</w:t>
            </w:r>
            <w:r>
              <w:rPr>
                <w:rFonts w:hint="default"/>
                <w:lang w:val="en-US" w:eastAsia="zh-CN"/>
              </w:rPr>
              <w:t>2018-2035年</w:t>
            </w:r>
            <w:r>
              <w:rPr>
                <w:rFonts w:hint="eastAsia"/>
                <w:lang w:val="en-US" w:eastAsia="zh-CN"/>
              </w:rPr>
              <w:t>）</w:t>
            </w:r>
            <w:r>
              <w:rPr>
                <w:rFonts w:hint="default"/>
                <w:lang w:val="en-US" w:eastAsia="zh-CN"/>
              </w:rPr>
              <w:t>环境影响报告书》的审查意见</w:t>
            </w:r>
            <w:r>
              <w:rPr>
                <w:rFonts w:hint="eastAsia"/>
                <w:lang w:val="en-US" w:eastAsia="zh-CN"/>
              </w:rPr>
              <w:t>（</w:t>
            </w:r>
            <w:r>
              <w:rPr>
                <w:rFonts w:hint="default"/>
                <w:lang w:val="en-US" w:eastAsia="zh-CN"/>
              </w:rPr>
              <w:t>环审</w:t>
            </w:r>
            <w:r>
              <w:rPr>
                <w:rFonts w:hint="eastAsia"/>
                <w:lang w:val="en-US" w:eastAsia="zh-CN"/>
              </w:rPr>
              <w:t>〔2020〕80号）</w:t>
            </w:r>
          </w:p>
        </w:tc>
      </w:tr>
      <w:tr w14:paraId="44FFC7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531" w:type="dxa"/>
            <w:noWrap w:val="0"/>
            <w:vAlign w:val="center"/>
          </w:tcPr>
          <w:p w14:paraId="74F59DC6">
            <w:pPr>
              <w:pStyle w:val="41"/>
              <w:keepNext w:val="0"/>
              <w:keepLines w:val="0"/>
              <w:suppressLineNumbers w:val="0"/>
              <w:bidi w:val="0"/>
              <w:spacing w:before="0" w:beforeAutospacing="0" w:after="0" w:afterAutospacing="0"/>
              <w:ind w:left="0" w:right="0"/>
              <w:rPr>
                <w:rFonts w:hint="eastAsia"/>
              </w:rPr>
            </w:pPr>
            <w:r>
              <w:rPr>
                <w:rFonts w:hint="eastAsia"/>
              </w:rPr>
              <w:t>规划及规划环境影响评价符合性分析</w:t>
            </w:r>
          </w:p>
        </w:tc>
        <w:tc>
          <w:tcPr>
            <w:tcW w:w="7339" w:type="dxa"/>
            <w:gridSpan w:val="3"/>
            <w:noWrap w:val="0"/>
            <w:vAlign w:val="center"/>
          </w:tcPr>
          <w:p w14:paraId="7961A9DB">
            <w:pPr>
              <w:pStyle w:val="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与</w:t>
            </w:r>
            <w:r>
              <w:rPr>
                <w:rFonts w:hint="default"/>
                <w:lang w:val="en-US" w:eastAsia="zh-CN"/>
              </w:rPr>
              <w:t>《福清融侨经济技术开发区总体规划</w:t>
            </w:r>
            <w:r>
              <w:rPr>
                <w:rFonts w:hint="eastAsia"/>
                <w:lang w:val="en-US" w:eastAsia="zh-CN"/>
              </w:rPr>
              <w:t>（</w:t>
            </w:r>
            <w:r>
              <w:rPr>
                <w:rFonts w:hint="default"/>
                <w:lang w:val="en-US" w:eastAsia="zh-CN"/>
              </w:rPr>
              <w:t>2018-2035年</w:t>
            </w:r>
            <w:r>
              <w:rPr>
                <w:rFonts w:hint="eastAsia"/>
                <w:lang w:val="en-US" w:eastAsia="zh-CN"/>
              </w:rPr>
              <w:t>）</w:t>
            </w:r>
            <w:r>
              <w:rPr>
                <w:rFonts w:hint="default"/>
                <w:lang w:val="en-US" w:eastAsia="zh-CN"/>
              </w:rPr>
              <w:t>》</w:t>
            </w:r>
            <w:r>
              <w:rPr>
                <w:rFonts w:hint="eastAsia"/>
                <w:lang w:val="en-US" w:eastAsia="zh-CN"/>
              </w:rPr>
              <w:t>符合性分析</w:t>
            </w:r>
          </w:p>
          <w:p w14:paraId="562D6351">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根据总体规划内容可知，开发区为理顺与中心城区的发展关系，建立健全</w:t>
            </w:r>
            <w:r>
              <w:rPr>
                <w:rFonts w:hint="eastAsia"/>
                <w:lang w:val="en-US" w:eastAsia="zh-CN"/>
              </w:rPr>
              <w:t>“</w:t>
            </w:r>
            <w:r>
              <w:rPr>
                <w:rFonts w:hint="default"/>
                <w:lang w:val="en-US" w:eastAsia="zh-CN"/>
              </w:rPr>
              <w:t>多规合一</w:t>
            </w:r>
            <w:r>
              <w:rPr>
                <w:rFonts w:hint="eastAsia"/>
                <w:lang w:val="en-US" w:eastAsia="zh-CN"/>
              </w:rPr>
              <w:t>”</w:t>
            </w:r>
            <w:r>
              <w:rPr>
                <w:rFonts w:hint="default"/>
                <w:lang w:val="en-US" w:eastAsia="zh-CN"/>
              </w:rPr>
              <w:t>体制机制，突出开发区核心产业优势，强调龙头企业引领，通过</w:t>
            </w:r>
            <w:r>
              <w:rPr>
                <w:rFonts w:hint="eastAsia"/>
                <w:lang w:val="en-US" w:eastAsia="zh-CN"/>
              </w:rPr>
              <w:t>“</w:t>
            </w:r>
            <w:r>
              <w:rPr>
                <w:rFonts w:hint="default"/>
                <w:lang w:val="en-US" w:eastAsia="zh-CN"/>
              </w:rPr>
              <w:t>组团式</w:t>
            </w:r>
            <w:r>
              <w:rPr>
                <w:rFonts w:hint="eastAsia"/>
                <w:lang w:val="en-US" w:eastAsia="zh-CN"/>
              </w:rPr>
              <w:t>”</w:t>
            </w:r>
            <w:r>
              <w:rPr>
                <w:rFonts w:hint="default"/>
                <w:lang w:val="en-US" w:eastAsia="zh-CN"/>
              </w:rPr>
              <w:t>布局，着力营造融侨经济技术开发区</w:t>
            </w:r>
            <w:r>
              <w:rPr>
                <w:rFonts w:hint="eastAsia"/>
                <w:lang w:val="en-US" w:eastAsia="zh-CN"/>
              </w:rPr>
              <w:t>“</w:t>
            </w:r>
            <w:r>
              <w:rPr>
                <w:rFonts w:hint="default"/>
                <w:lang w:val="en-US" w:eastAsia="zh-CN"/>
              </w:rPr>
              <w:t>现代生态开发区</w:t>
            </w:r>
            <w:r>
              <w:rPr>
                <w:rFonts w:hint="eastAsia"/>
                <w:lang w:val="en-US" w:eastAsia="zh-CN"/>
              </w:rPr>
              <w:t>”</w:t>
            </w:r>
            <w:r>
              <w:rPr>
                <w:rFonts w:hint="default"/>
                <w:lang w:val="en-US" w:eastAsia="zh-CN"/>
              </w:rPr>
              <w:t>的空间特色，规划整体形成</w:t>
            </w:r>
            <w:r>
              <w:rPr>
                <w:rFonts w:hint="eastAsia"/>
                <w:lang w:val="en-US" w:eastAsia="zh-CN"/>
              </w:rPr>
              <w:t>“</w:t>
            </w:r>
            <w:r>
              <w:rPr>
                <w:rFonts w:hint="default"/>
                <w:lang w:val="en-US" w:eastAsia="zh-CN"/>
              </w:rPr>
              <w:t>一区三园多组团</w:t>
            </w:r>
            <w:r>
              <w:rPr>
                <w:rFonts w:hint="eastAsia"/>
                <w:lang w:val="en-US" w:eastAsia="zh-CN"/>
              </w:rPr>
              <w:t>”</w:t>
            </w:r>
            <w:r>
              <w:rPr>
                <w:rFonts w:hint="default"/>
                <w:lang w:val="en-US" w:eastAsia="zh-CN"/>
              </w:rPr>
              <w:t>的空间结构。</w:t>
            </w:r>
            <w:r>
              <w:rPr>
                <w:rFonts w:hint="eastAsia"/>
                <w:lang w:val="en-US" w:eastAsia="zh-CN"/>
              </w:rPr>
              <w:t>“</w:t>
            </w:r>
            <w:r>
              <w:rPr>
                <w:rFonts w:hint="default"/>
                <w:lang w:val="en-US" w:eastAsia="zh-CN"/>
              </w:rPr>
              <w:t>一区</w:t>
            </w:r>
            <w:r>
              <w:rPr>
                <w:rFonts w:hint="eastAsia"/>
                <w:lang w:val="en-US" w:eastAsia="zh-CN"/>
              </w:rPr>
              <w:t>”即</w:t>
            </w:r>
            <w:r>
              <w:rPr>
                <w:rFonts w:hint="default"/>
                <w:lang w:val="en-US" w:eastAsia="zh-CN"/>
              </w:rPr>
              <w:t>融侨经济技术开发区。利用国家级开发区品牌，充分释放</w:t>
            </w:r>
            <w:r>
              <w:rPr>
                <w:rFonts w:hint="eastAsia"/>
                <w:lang w:val="en-US" w:eastAsia="zh-CN"/>
              </w:rPr>
              <w:t>“</w:t>
            </w:r>
            <w:r>
              <w:rPr>
                <w:rFonts w:hint="default"/>
                <w:lang w:val="en-US" w:eastAsia="zh-CN"/>
              </w:rPr>
              <w:t>五区叠加、一区毗邻</w:t>
            </w:r>
            <w:r>
              <w:rPr>
                <w:rFonts w:hint="eastAsia"/>
                <w:lang w:val="en-US" w:eastAsia="zh-CN"/>
              </w:rPr>
              <w:t>”</w:t>
            </w:r>
            <w:r>
              <w:rPr>
                <w:rFonts w:hint="default"/>
                <w:lang w:val="en-US" w:eastAsia="zh-CN"/>
              </w:rPr>
              <w:t>政策优势，以空间转型引领开发区的新一轮跨越发展。</w:t>
            </w:r>
            <w:r>
              <w:rPr>
                <w:rFonts w:hint="eastAsia"/>
                <w:lang w:val="en-US" w:eastAsia="zh-CN"/>
              </w:rPr>
              <w:t>“</w:t>
            </w:r>
            <w:r>
              <w:rPr>
                <w:rFonts w:hint="default"/>
                <w:lang w:val="en-US" w:eastAsia="zh-CN"/>
              </w:rPr>
              <w:t>三园</w:t>
            </w:r>
            <w:r>
              <w:rPr>
                <w:rFonts w:hint="eastAsia"/>
                <w:lang w:val="en-US" w:eastAsia="zh-CN"/>
              </w:rPr>
              <w:t>”即</w:t>
            </w:r>
            <w:r>
              <w:rPr>
                <w:rFonts w:hint="default"/>
                <w:lang w:val="en-US" w:eastAsia="zh-CN"/>
              </w:rPr>
              <w:t>中心产业园、城北产业园和南部产业园。其中中心产业园：重点发展电子信息、精密汽车部件等产业，配套创新研发、文化会展、商务金融、经贸交流等具有高附加值的现代服务业功能，打造成为开发区内电子信息、先进制造业核心产业基地，</w:t>
            </w:r>
            <w:r>
              <w:rPr>
                <w:rFonts w:hint="eastAsia"/>
                <w:lang w:val="en-US" w:eastAsia="zh-CN"/>
              </w:rPr>
              <w:t>“</w:t>
            </w:r>
            <w:r>
              <w:rPr>
                <w:rFonts w:hint="default"/>
                <w:lang w:val="en-US" w:eastAsia="zh-CN"/>
              </w:rPr>
              <w:t>双创</w:t>
            </w:r>
            <w:r>
              <w:rPr>
                <w:rFonts w:hint="eastAsia"/>
                <w:lang w:val="en-US" w:eastAsia="zh-CN"/>
              </w:rPr>
              <w:t>”</w:t>
            </w:r>
            <w:r>
              <w:rPr>
                <w:rFonts w:hint="default"/>
                <w:lang w:val="en-US" w:eastAsia="zh-CN"/>
              </w:rPr>
              <w:t>平台、现代服务业建设核心区，形成福清市极具影响力、辐射力和竞争力的大福清</w:t>
            </w:r>
            <w:r>
              <w:rPr>
                <w:rFonts w:hint="eastAsia"/>
                <w:lang w:val="en-US" w:eastAsia="zh-CN"/>
              </w:rPr>
              <w:t>“</w:t>
            </w:r>
            <w:r>
              <w:rPr>
                <w:rFonts w:hint="default"/>
                <w:lang w:val="en-US" w:eastAsia="zh-CN"/>
              </w:rPr>
              <w:t>副中心</w:t>
            </w:r>
            <w:r>
              <w:rPr>
                <w:rFonts w:hint="eastAsia"/>
                <w:lang w:val="en-US" w:eastAsia="zh-CN"/>
              </w:rPr>
              <w:t>”</w:t>
            </w:r>
            <w:r>
              <w:rPr>
                <w:rFonts w:hint="default"/>
                <w:lang w:val="en-US" w:eastAsia="zh-CN"/>
              </w:rPr>
              <w:t>。城北产业园：依托京东方等电子信息龙头企业优势，以电子信息、光学、机械电气为主导</w:t>
            </w:r>
            <w:r>
              <w:rPr>
                <w:rFonts w:hint="eastAsia"/>
                <w:lang w:val="en-US" w:eastAsia="zh-CN"/>
              </w:rPr>
              <w:t>，以</w:t>
            </w:r>
            <w:r>
              <w:rPr>
                <w:rFonts w:hint="default"/>
                <w:lang w:val="en-US" w:eastAsia="zh-CN"/>
              </w:rPr>
              <w:t>科技研发为支撑，突出转型升级、创新驱动、品牌带动和对台合作，建成高聚集效应、高技术水平、高带动力的高端科技创新产业园。南部产业园：依托龙头企业的强劲动力，以及沈海高速、324国道的交通区位，重点发展与电子信息、精密汽车部件、光学相关配套上下游产业，通过校企联合、企业自主创新等方式推动园区内产业转型升级。</w:t>
            </w:r>
          </w:p>
          <w:p w14:paraId="7A909A19">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本规划分为核心区和协调区2个层次。其中：</w:t>
            </w:r>
          </w:p>
          <w:p w14:paraId="67CF0572">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r>
              <w:rPr>
                <w:rFonts w:hint="default"/>
                <w:lang w:val="en-US" w:eastAsia="zh-CN"/>
              </w:rPr>
              <w:t>核心区</w:t>
            </w:r>
            <w:r>
              <w:rPr>
                <w:rFonts w:hint="eastAsia"/>
                <w:lang w:val="en-US" w:eastAsia="zh-CN"/>
              </w:rPr>
              <w:t>即</w:t>
            </w:r>
            <w:r>
              <w:rPr>
                <w:rFonts w:hint="default"/>
                <w:lang w:val="en-US" w:eastAsia="zh-CN"/>
              </w:rPr>
              <w:t>国家批复的融侨经济技术开发区范围。土地面积9.19平方公里，其中宏路中心区6.4平方公里，洪宽工业村2.79平方公里。</w:t>
            </w:r>
          </w:p>
          <w:p w14:paraId="6D4BF0F1">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r>
              <w:rPr>
                <w:rFonts w:hint="default"/>
                <w:lang w:val="en-US" w:eastAsia="zh-CN"/>
              </w:rPr>
              <w:t>协调区：考虑到开发区与福清城区一体化发展，结合开发区委托代管范围</w:t>
            </w:r>
            <w:r>
              <w:rPr>
                <w:rFonts w:hint="eastAsia"/>
                <w:lang w:val="en-US" w:eastAsia="zh-CN"/>
              </w:rPr>
              <w:t>，以</w:t>
            </w:r>
            <w:r>
              <w:rPr>
                <w:rFonts w:hint="default"/>
                <w:lang w:val="en-US" w:eastAsia="zh-CN"/>
              </w:rPr>
              <w:t>规划《福清市城市总体规划（2017-2035）》为依据，进一步将规划范围向外围扩展。协调区西至福厦高速，东依福长高速，北邻作坊村，南靠纵一路环线，土地面积53.2平方公里。本规划深度按协调区进行控制。</w:t>
            </w:r>
          </w:p>
          <w:p w14:paraId="7454A65E">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根据《福清融侨经济技术开发区总体规划</w:t>
            </w:r>
            <w:r>
              <w:rPr>
                <w:rFonts w:hint="eastAsia"/>
                <w:lang w:val="en-US" w:eastAsia="zh-CN"/>
              </w:rPr>
              <w:t>（</w:t>
            </w:r>
            <w:r>
              <w:rPr>
                <w:rFonts w:hint="default"/>
                <w:lang w:val="en-US" w:eastAsia="zh-CN"/>
              </w:rPr>
              <w:t>2018-2035年</w:t>
            </w:r>
            <w:r>
              <w:rPr>
                <w:rFonts w:hint="eastAsia"/>
                <w:lang w:val="en-US" w:eastAsia="zh-CN"/>
              </w:rPr>
              <w:t>）</w:t>
            </w:r>
            <w:r>
              <w:rPr>
                <w:rFonts w:hint="default"/>
                <w:lang w:val="en-US" w:eastAsia="zh-CN"/>
              </w:rPr>
              <w:t>》的</w:t>
            </w:r>
            <w:r>
              <w:rPr>
                <w:rFonts w:hint="eastAsia"/>
                <w:lang w:val="en-US" w:eastAsia="zh-CN"/>
              </w:rPr>
              <w:t>“</w:t>
            </w:r>
            <w:r>
              <w:rPr>
                <w:rFonts w:hint="default"/>
                <w:lang w:val="en-US" w:eastAsia="zh-CN"/>
              </w:rPr>
              <w:t>产业发展-第二十二条构建</w:t>
            </w:r>
            <w:r>
              <w:rPr>
                <w:rFonts w:hint="eastAsia"/>
                <w:lang w:val="en-US" w:eastAsia="zh-CN"/>
              </w:rPr>
              <w:t>“</w:t>
            </w:r>
            <w:r>
              <w:rPr>
                <w:rFonts w:hint="default"/>
                <w:lang w:val="en-US" w:eastAsia="zh-CN"/>
              </w:rPr>
              <w:t>3+1</w:t>
            </w:r>
            <w:r>
              <w:rPr>
                <w:rFonts w:hint="eastAsia"/>
                <w:lang w:val="en-US" w:eastAsia="zh-CN"/>
              </w:rPr>
              <w:t>”</w:t>
            </w:r>
            <w:r>
              <w:rPr>
                <w:rFonts w:hint="default"/>
                <w:lang w:val="en-US" w:eastAsia="zh-CN"/>
              </w:rPr>
              <w:t>的产业体系：</w:t>
            </w:r>
          </w:p>
          <w:p w14:paraId="5CB7F14F">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r>
              <w:rPr>
                <w:rFonts w:hint="default"/>
                <w:lang w:val="en-US" w:eastAsia="zh-CN"/>
              </w:rPr>
              <w:t>三大支柱产业</w:t>
            </w:r>
          </w:p>
          <w:p w14:paraId="12FA16FB">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电子信息产业：显示科技、云计算、电子元器件、光电科技、计算机与智能终端设备等。</w:t>
            </w:r>
          </w:p>
          <w:p w14:paraId="46DA6161">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精密汽车部件产业：汽车电气电子装置、动力传动装置、汽车轴承、新能源动力电池等。</w:t>
            </w:r>
          </w:p>
          <w:p w14:paraId="6E793AFE">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光学产业：光学部件、光通讯技术、电子光学、虚拟现实装置等。</w:t>
            </w:r>
          </w:p>
          <w:p w14:paraId="4710D4DF">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在三大支柱产业基础之上，完善与其相关的配套产业。</w:t>
            </w:r>
          </w:p>
          <w:p w14:paraId="00380F4B">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r>
              <w:rPr>
                <w:rFonts w:hint="default"/>
                <w:lang w:val="en-US" w:eastAsia="zh-CN"/>
              </w:rPr>
              <w:t>一项新兴产业</w:t>
            </w:r>
          </w:p>
          <w:p w14:paraId="3EFE5814">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现代服务业：金融商务、总部经济、科技研发、文化创意、物流展销都市型产业与服务型制造业。</w:t>
            </w:r>
          </w:p>
          <w:p w14:paraId="2E921780">
            <w:pPr>
              <w:keepNext w:val="0"/>
              <w:keepLines w:val="0"/>
              <w:suppressLineNumbers w:val="0"/>
              <w:bidi w:val="0"/>
              <w:spacing w:before="0" w:beforeAutospacing="0" w:after="0" w:afterAutospacing="0"/>
              <w:ind w:left="0" w:right="0"/>
              <w:rPr>
                <w:rFonts w:hint="default"/>
                <w:lang w:val="en-US" w:eastAsia="zh-CN"/>
              </w:rPr>
            </w:pPr>
            <w:r>
              <w:rPr>
                <w:rFonts w:hint="eastAsia"/>
                <w:lang w:val="en-GB" w:eastAsia="zh-CN"/>
              </w:rPr>
              <w:t>本项目位于福清融侨经济技术开发区（租赁福清洪添科技有限公司车间2第3层）</w:t>
            </w:r>
            <w:r>
              <w:rPr>
                <w:rFonts w:hint="eastAsia"/>
                <w:lang w:val="en-US" w:eastAsia="zh-CN"/>
              </w:rPr>
              <w:t>。根据福清融侨经济技术开发区对主导产业发展方向的定位，对照《国民经济行业分类》（GB/T4754-2017），主导行业涉及国民经济类别主要包括C29、C304、C33、C34、C35、C36、C38、C39、C40，</w:t>
            </w:r>
            <w:r>
              <w:rPr>
                <w:rFonts w:hint="eastAsia"/>
              </w:rPr>
              <w:t>禁止新建，含电镀工艺、冶炼工艺、电解铝的项目，现有生产能力一定期限内搬迁；包装印刷业禁止使用不符合环保要求的油墨、胶黏剂。</w:t>
            </w:r>
            <w:r>
              <w:rPr>
                <w:rFonts w:hint="eastAsia"/>
                <w:lang w:val="en-US" w:eastAsia="zh-CN"/>
              </w:rPr>
              <w:t>本项目行业类别为“C2929塑料零件及其他塑料制品制造、C3360金属表面处理及热处理加工”，属于规划区内主导产业。</w:t>
            </w:r>
            <w:r>
              <w:rPr>
                <w:rFonts w:hint="default"/>
                <w:lang w:val="en-US" w:eastAsia="zh-CN"/>
              </w:rPr>
              <w:t>因此</w:t>
            </w:r>
            <w:r>
              <w:rPr>
                <w:rFonts w:hint="eastAsia"/>
                <w:lang w:val="en-US" w:eastAsia="zh-CN"/>
              </w:rPr>
              <w:t>，</w:t>
            </w:r>
            <w:r>
              <w:rPr>
                <w:rFonts w:hint="default"/>
                <w:lang w:val="en-US" w:eastAsia="zh-CN"/>
              </w:rPr>
              <w:t>项目的建设符合《福清融侨经济技术开发区总体规划</w:t>
            </w:r>
            <w:r>
              <w:rPr>
                <w:rFonts w:hint="eastAsia"/>
                <w:lang w:val="en-US" w:eastAsia="zh-CN"/>
              </w:rPr>
              <w:t>（</w:t>
            </w:r>
            <w:r>
              <w:rPr>
                <w:rFonts w:hint="default"/>
                <w:lang w:val="en-US" w:eastAsia="zh-CN"/>
              </w:rPr>
              <w:t>2018-2035年</w:t>
            </w:r>
            <w:r>
              <w:rPr>
                <w:rFonts w:hint="eastAsia"/>
                <w:lang w:val="en-US" w:eastAsia="zh-CN"/>
              </w:rPr>
              <w:t>）</w:t>
            </w:r>
            <w:r>
              <w:rPr>
                <w:rFonts w:hint="default"/>
                <w:lang w:val="en-US" w:eastAsia="zh-CN"/>
              </w:rPr>
              <w:t>》有关要求。</w:t>
            </w:r>
          </w:p>
          <w:p w14:paraId="49B58A69">
            <w:pPr>
              <w:pStyle w:val="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与</w:t>
            </w:r>
            <w:r>
              <w:rPr>
                <w:rFonts w:hint="default"/>
                <w:lang w:val="en-US" w:eastAsia="zh-CN"/>
              </w:rPr>
              <w:t>《福清市国土空间总体规划（2021—2035年）》</w:t>
            </w:r>
            <w:r>
              <w:rPr>
                <w:rFonts w:hint="eastAsia"/>
                <w:lang w:val="en-US" w:eastAsia="zh-CN"/>
              </w:rPr>
              <w:t>符合性分析</w:t>
            </w:r>
          </w:p>
          <w:p w14:paraId="365B0CC1">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根据总体规划内容可知，</w:t>
            </w:r>
            <w:r>
              <w:rPr>
                <w:rFonts w:hint="eastAsia" w:cs="Times New Roman"/>
                <w:color w:val="auto"/>
                <w:sz w:val="24"/>
                <w:szCs w:val="24"/>
                <w:highlight w:val="none"/>
                <w:u w:val="none"/>
                <w:lang w:val="en-US" w:eastAsia="zh-CN"/>
              </w:rPr>
              <w:t>规划“一轴两湾五组团”的国土空间格局，一轴“龙江城市综合发展轴”、两湾“福清湾生态宜居湾、江阴湾临港产业湾”、五组团“中心城区组团、元洪港组团、江阴港城组团、龙高半岛城镇组团、西北部特色生态组团”。坚持底线思维，以国土空间规划为依据，将“三区三线”作为调整经济结构、规划产业发展、推进城镇化不可逾越的红线。严格保护永久基本农田“按照一定时期人口和经济社会发展对农产品的需求，依据国土空间规划确定的不得擅自占用或改变用途的耕地”。科学划定生态保护红线“生态空间范围内具有特殊重要生态功能，必须强制性严格保护的陆域、水域、海域等区域”。合理划定城镇开发边界“一定时期内因城镇发展需要，可以集中进行城镇开发建设完善城镇功能、提升空间品质的区域边界”。五组团“城西组团、城北组团、城中组团、城关组团、东部新城组团”的中心城区空间结构，延续“沿江向海、环湾发展”的城市方向，以龙江为带动，推动沿江、向海、环湾有序建设、集约发展，打造具有滨江滨海特色的现代化城区。构建现代产业体系，壮大四大优势产业“电子信息、食品、化工新材料、精密汽车部件”、培养四大新兴产业“氢能源和新能源、高端装备制造、海洋生物医药、互联网与大数据产业”、提升两大传统产业“塑胶产业、纺织产业”、发展两大特色产业“现代服务业、现代农业”、培育千百亿产业集群“三大千亿产业集群+N个百亿项目集群”。</w:t>
            </w:r>
          </w:p>
          <w:p w14:paraId="14151BF8">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构建现代化产业体系“一带两湾四区”的产业发展格局，形成“四个重点产业园区、多个工业集中区”的产业园区空间布局，加快推进重点产业园区标准化建设，统筹划定工业用地控制线。四区主要为融城现代产业综合区“以电子信息、食品、总部经济、电子商务、文化创意为主”、西部生态产业区“以特色种植、文化旅游为主”、高龙特色产业区“以现代农业、休闲农业、滨海旅游为主”、江阴临港产业区“以化工新材料、现代物流、智能制造、海洋经济为主”。</w:t>
            </w:r>
          </w:p>
          <w:p w14:paraId="74B9422B">
            <w:pPr>
              <w:pStyle w:val="16"/>
              <w:keepNext w:val="0"/>
              <w:keepLines w:val="0"/>
              <w:suppressLineNumbers w:val="0"/>
              <w:spacing w:before="0" w:beforeAutospacing="0" w:after="0" w:afterAutospacing="0"/>
              <w:ind w:left="0" w:right="0"/>
              <w:rPr>
                <w:rFonts w:hint="eastAsia" w:cs="Times New Roman"/>
                <w:color w:val="auto"/>
                <w:sz w:val="24"/>
                <w:szCs w:val="24"/>
                <w:highlight w:val="none"/>
                <w:u w:val="none"/>
                <w:lang w:val="en-US" w:eastAsia="zh-CN"/>
              </w:rPr>
            </w:pPr>
            <w:r>
              <w:rPr>
                <w:rFonts w:hint="eastAsia"/>
                <w:lang w:val="en-GB" w:eastAsia="zh-CN"/>
              </w:rPr>
              <w:t>本项目位于福清融侨经济技术开发区（租赁福清洪添科技有限公司车间2第3层）</w:t>
            </w:r>
            <w:r>
              <w:rPr>
                <w:rFonts w:hint="default"/>
                <w:lang w:val="en-US" w:eastAsia="zh-CN"/>
              </w:rPr>
              <w:t>，</w:t>
            </w:r>
            <w:r>
              <w:rPr>
                <w:rFonts w:hint="eastAsia"/>
                <w:lang w:val="en-US" w:eastAsia="zh-CN"/>
              </w:rPr>
              <w:t>位于城北组团（详见</w:t>
            </w:r>
            <w:r>
              <w:rPr>
                <w:rStyle w:val="46"/>
                <w:rFonts w:hint="eastAsia"/>
                <w:lang w:val="en-US" w:eastAsia="zh-CN"/>
              </w:rPr>
              <w:fldChar w:fldCharType="begin"/>
            </w:r>
            <w:r>
              <w:rPr>
                <w:rStyle w:val="46"/>
                <w:rFonts w:hint="eastAsia"/>
                <w:lang w:val="en-US" w:eastAsia="zh-CN"/>
              </w:rPr>
              <w:instrText xml:space="preserve"> REF _Ref9311 \h </w:instrText>
            </w:r>
            <w:r>
              <w:rPr>
                <w:rStyle w:val="46"/>
                <w:rFonts w:hint="eastAsia"/>
                <w:lang w:val="en-US" w:eastAsia="zh-CN"/>
              </w:rPr>
              <w:fldChar w:fldCharType="separate"/>
            </w:r>
            <w:r>
              <w:rPr>
                <w:rStyle w:val="46"/>
                <w:rFonts w:hint="eastAsia"/>
                <w:b/>
              </w:rPr>
              <w:t>附图 7</w:t>
            </w:r>
            <w:r>
              <w:rPr>
                <w:rStyle w:val="46"/>
                <w:rFonts w:hint="eastAsia"/>
                <w:lang w:val="en-US" w:eastAsia="zh-CN"/>
              </w:rPr>
              <w:fldChar w:fldCharType="end"/>
            </w:r>
            <w:r>
              <w:rPr>
                <w:rFonts w:hint="eastAsia"/>
                <w:lang w:val="en-US" w:eastAsia="zh-CN"/>
              </w:rPr>
              <w:t>），位于城镇开发边界内，不涉及</w:t>
            </w:r>
            <w:r>
              <w:rPr>
                <w:rFonts w:hint="eastAsia" w:cs="Times New Roman"/>
                <w:color w:val="auto"/>
                <w:sz w:val="24"/>
                <w:szCs w:val="24"/>
                <w:highlight w:val="none"/>
                <w:u w:val="none"/>
                <w:lang w:val="en-US" w:eastAsia="zh-CN"/>
              </w:rPr>
              <w:t>严格保护永久基本农田“按照一定时期人口和经济社会发展对农产品的需求，依据国土空间规划确定的不得擅自占用或改变用途的耕地”</w:t>
            </w:r>
            <w:r>
              <w:rPr>
                <w:rFonts w:hint="eastAsia"/>
                <w:lang w:val="en-US" w:eastAsia="zh-CN"/>
              </w:rPr>
              <w:t>。</w:t>
            </w:r>
          </w:p>
          <w:p w14:paraId="1E78A017">
            <w:pPr>
              <w:pStyle w:val="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与《福清融侨经济技术开发区总体规划环境影响报告书（2018</w:t>
            </w:r>
            <w:r>
              <w:rPr>
                <w:rFonts w:hint="eastAsia"/>
                <w:lang w:val="en-US" w:eastAsia="zh-CN"/>
              </w:rPr>
              <w:t>—</w:t>
            </w:r>
            <w:r>
              <w:rPr>
                <w:rFonts w:hint="default"/>
                <w:lang w:val="en-US" w:eastAsia="zh-CN"/>
              </w:rPr>
              <w:t>2035年）》符合性分析</w:t>
            </w:r>
          </w:p>
          <w:p w14:paraId="157CE5B0">
            <w:pPr>
              <w:keepNext w:val="0"/>
              <w:keepLines w:val="0"/>
              <w:suppressLineNumbers w:val="0"/>
              <w:bidi w:val="0"/>
              <w:spacing w:before="0" w:beforeAutospacing="0" w:after="0" w:afterAutospacing="0"/>
              <w:ind w:left="0" w:right="0"/>
              <w:rPr>
                <w:rFonts w:hint="eastAsia"/>
                <w:lang w:val="en-GB"/>
              </w:rPr>
            </w:pPr>
            <w:r>
              <w:rPr>
                <w:rFonts w:hint="eastAsia"/>
                <w:lang w:val="en-GB"/>
              </w:rPr>
              <w:t>根据《福清融侨经济技术开发区总体规划环境影响报告书</w:t>
            </w:r>
            <w:r>
              <w:rPr>
                <w:rFonts w:hint="eastAsia"/>
                <w:lang w:val="en-GB" w:eastAsia="zh-CN"/>
              </w:rPr>
              <w:t>（</w:t>
            </w:r>
            <w:r>
              <w:rPr>
                <w:rFonts w:hint="eastAsia"/>
                <w:lang w:val="en-GB"/>
              </w:rPr>
              <w:t>2018-2035年</w:t>
            </w:r>
            <w:r>
              <w:rPr>
                <w:rFonts w:hint="eastAsia"/>
                <w:lang w:val="en-GB" w:eastAsia="zh-CN"/>
              </w:rPr>
              <w:t>）</w:t>
            </w:r>
            <w:r>
              <w:rPr>
                <w:rFonts w:hint="eastAsia"/>
                <w:lang w:val="en-GB"/>
              </w:rPr>
              <w:t>》及其审查意见</w:t>
            </w:r>
            <w:r>
              <w:rPr>
                <w:rFonts w:hint="eastAsia"/>
                <w:lang w:val="en-GB" w:eastAsia="zh-CN"/>
              </w:rPr>
              <w:t>（</w:t>
            </w:r>
            <w:r>
              <w:rPr>
                <w:rFonts w:hint="eastAsia"/>
                <w:lang w:val="en-GB"/>
              </w:rPr>
              <w:t>环审</w:t>
            </w:r>
            <w:r>
              <w:rPr>
                <w:rFonts w:hint="eastAsia"/>
                <w:lang w:val="en-GB" w:eastAsia="zh-CN"/>
              </w:rPr>
              <w:t>〔2020〕80号）</w:t>
            </w:r>
            <w:r>
              <w:rPr>
                <w:rFonts w:hint="eastAsia"/>
                <w:lang w:val="en-GB"/>
              </w:rPr>
              <w:t>，融侨经济技术开发区主要以电子信息：显示科技、光电科技、电子元器件、通讯设备、计算机与智能终端设备等。机械电气：数控机床、精密磨具、光机电一体化等。汽车零配件：汽配玻璃、汽车零部件、变速器、汽车轴承等。根据开发区对主导产业发展方向的定位，对照《国民经济行业分类》</w:t>
            </w:r>
            <w:r>
              <w:rPr>
                <w:rFonts w:hint="eastAsia"/>
                <w:lang w:val="en-GB" w:eastAsia="zh-CN"/>
              </w:rPr>
              <w:t>（</w:t>
            </w:r>
            <w:r>
              <w:rPr>
                <w:rFonts w:hint="eastAsia"/>
                <w:lang w:val="en-GB"/>
              </w:rPr>
              <w:t>GB/T4754-2017</w:t>
            </w:r>
            <w:r>
              <w:rPr>
                <w:rFonts w:hint="eastAsia"/>
                <w:lang w:val="en-GB" w:eastAsia="zh-CN"/>
              </w:rPr>
              <w:t>）</w:t>
            </w:r>
            <w:r>
              <w:rPr>
                <w:rFonts w:hint="eastAsia"/>
                <w:lang w:val="en-GB"/>
              </w:rPr>
              <w:t>，主导行业涉及国民经济类别主要包括C29、C304、C33、C34、C35、C36、C38、C39、C40；项目从事</w:t>
            </w:r>
            <w:r>
              <w:rPr>
                <w:rFonts w:hint="eastAsia"/>
                <w:lang w:val="en-US" w:eastAsia="zh-CN"/>
              </w:rPr>
              <w:t>铝合金、塑胶件及钣金件加工生产</w:t>
            </w:r>
            <w:r>
              <w:rPr>
                <w:rFonts w:hint="eastAsia"/>
                <w:lang w:val="en-GB"/>
              </w:rPr>
              <w:t>，属于</w:t>
            </w:r>
            <w:r>
              <w:rPr>
                <w:rFonts w:hint="eastAsia"/>
                <w:lang w:val="en-GB" w:eastAsia="zh-CN"/>
              </w:rPr>
              <w:t>C2929塑料零件及其他塑料制品制造</w:t>
            </w:r>
            <w:r>
              <w:rPr>
                <w:rFonts w:hint="eastAsia"/>
                <w:lang w:val="en-US" w:eastAsia="zh-CN"/>
              </w:rPr>
              <w:t>以及C3360金属表面处理及热处理加工</w:t>
            </w:r>
            <w:r>
              <w:rPr>
                <w:rFonts w:hint="eastAsia"/>
                <w:lang w:val="en-GB"/>
              </w:rPr>
              <w:t>。符合该园区规划环评的主导产业政策。</w:t>
            </w:r>
          </w:p>
          <w:p w14:paraId="2BD18069">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Cs w:val="24"/>
                <w:lang w:val="en-GB"/>
              </w:rPr>
            </w:pPr>
            <w:r>
              <w:rPr>
                <w:rFonts w:hint="eastAsia"/>
                <w:lang w:val="en-GB"/>
              </w:rPr>
              <w:t>对照《福清融侨经济技术开发区总体规划环境影响报告书</w:t>
            </w:r>
            <w:r>
              <w:rPr>
                <w:rFonts w:hint="eastAsia"/>
                <w:lang w:val="en-GB" w:eastAsia="zh-CN"/>
              </w:rPr>
              <w:t>（</w:t>
            </w:r>
            <w:r>
              <w:rPr>
                <w:rFonts w:hint="eastAsia"/>
                <w:lang w:val="en-GB"/>
              </w:rPr>
              <w:t>2018-2035年</w:t>
            </w:r>
            <w:r>
              <w:rPr>
                <w:rFonts w:hint="eastAsia"/>
                <w:lang w:val="en-GB" w:eastAsia="zh-CN"/>
              </w:rPr>
              <w:t>）</w:t>
            </w:r>
            <w:r>
              <w:rPr>
                <w:rFonts w:hint="eastAsia"/>
                <w:lang w:val="en-GB"/>
              </w:rPr>
              <w:t>》中规划区配套及其他行业环境准入要求，项目与规划区主导产业环境准入清单符合性分析及批复相符性分析详见下表。</w:t>
            </w:r>
          </w:p>
          <w:p w14:paraId="6D2056CC">
            <w:pPr>
              <w:pStyle w:val="40"/>
              <w:keepNext w:val="0"/>
              <w:keepLines w:val="0"/>
              <w:suppressLineNumbers w:val="0"/>
              <w:bidi w:val="0"/>
              <w:spacing w:before="0" w:beforeAutospacing="0" w:after="0" w:afterAutospacing="0"/>
              <w:ind w:left="0" w:right="0"/>
              <w:rPr>
                <w:rFonts w:hint="eastAsia" w:eastAsia="宋体"/>
                <w:lang w:eastAsia="zh-CN"/>
              </w:rPr>
            </w:pPr>
            <w:r>
              <w:rPr>
                <w:rFonts w:hint="default"/>
              </w:rPr>
              <w:t>表</w:t>
            </w:r>
            <w:r>
              <w:rPr>
                <w:rFonts w:hint="eastAsia"/>
                <w:lang w:val="en-US" w:eastAsia="zh-CN"/>
              </w:rPr>
              <w:t>1.3-1</w:t>
            </w:r>
            <w:r>
              <w:rPr>
                <w:rFonts w:hint="default"/>
              </w:rPr>
              <w:t>本项目与规划区主导产业环境准入清单符合性分析表</w:t>
            </w:r>
            <w:r>
              <w:rPr>
                <w:rFonts w:hint="eastAsia"/>
                <w:lang w:eastAsia="zh-CN"/>
              </w:rPr>
              <w:t>（</w:t>
            </w:r>
            <w:r>
              <w:rPr>
                <w:rFonts w:hint="default"/>
              </w:rPr>
              <w:t>摘录</w:t>
            </w:r>
            <w:r>
              <w:rPr>
                <w:rFonts w:hint="eastAsia"/>
                <w:lang w:eastAsia="zh-CN"/>
              </w:rPr>
              <w:t>）</w:t>
            </w:r>
          </w:p>
          <w:tbl>
            <w:tblPr>
              <w:tblStyle w:val="30"/>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3232"/>
              <w:gridCol w:w="2410"/>
              <w:gridCol w:w="701"/>
            </w:tblGrid>
            <w:tr w14:paraId="2188E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3" w:type="pct"/>
                  <w:noWrap w:val="0"/>
                  <w:vAlign w:val="center"/>
                </w:tcPr>
                <w:p w14:paraId="2FB7450E">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lang w:val="en-US" w:eastAsia="zh-CN"/>
                    </w:rPr>
                    <w:t>类别名称</w:t>
                  </w:r>
                </w:p>
              </w:tc>
              <w:tc>
                <w:tcPr>
                  <w:tcW w:w="2270" w:type="pct"/>
                  <w:noWrap w:val="0"/>
                  <w:vAlign w:val="center"/>
                </w:tcPr>
                <w:p w14:paraId="710D1B85">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rPr>
                    <w:t>空间布局</w:t>
                  </w:r>
                  <w:r>
                    <w:rPr>
                      <w:rFonts w:hint="default"/>
                      <w:szCs w:val="22"/>
                      <w:highlight w:val="none"/>
                      <w:lang w:val="en-US" w:eastAsia="zh-CN"/>
                    </w:rPr>
                    <w:t>约束</w:t>
                  </w:r>
                </w:p>
              </w:tc>
              <w:tc>
                <w:tcPr>
                  <w:tcW w:w="1693" w:type="pct"/>
                  <w:noWrap w:val="0"/>
                  <w:vAlign w:val="center"/>
                </w:tcPr>
                <w:p w14:paraId="588D808E">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本项目</w:t>
                  </w:r>
                </w:p>
              </w:tc>
              <w:tc>
                <w:tcPr>
                  <w:tcW w:w="492" w:type="pct"/>
                  <w:noWrap w:val="0"/>
                  <w:vAlign w:val="center"/>
                </w:tcPr>
                <w:p w14:paraId="4289AC1F">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rPr>
                    <w:t>符合性</w:t>
                  </w:r>
                </w:p>
              </w:tc>
            </w:tr>
            <w:tr w14:paraId="54518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3" w:type="pct"/>
                  <w:noWrap w:val="0"/>
                  <w:vAlign w:val="center"/>
                </w:tcPr>
                <w:p w14:paraId="48E23853">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29橡胶和塑料制品业</w:t>
                  </w:r>
                </w:p>
              </w:tc>
              <w:tc>
                <w:tcPr>
                  <w:tcW w:w="2270" w:type="pct"/>
                  <w:noWrap w:val="0"/>
                  <w:vAlign w:val="center"/>
                </w:tcPr>
                <w:p w14:paraId="13D0EAA8">
                  <w:pPr>
                    <w:pStyle w:val="39"/>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禁止新建：</w:t>
                  </w:r>
                </w:p>
                <w:p w14:paraId="7F5CBD17">
                  <w:pPr>
                    <w:pStyle w:val="39"/>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default"/>
                      <w:szCs w:val="22"/>
                      <w:highlight w:val="none"/>
                    </w:rPr>
                    <w:t>1、涉及开炼、密炼、硫化工艺</w:t>
                  </w:r>
                  <w:r>
                    <w:rPr>
                      <w:rFonts w:hint="default"/>
                      <w:szCs w:val="22"/>
                      <w:highlight w:val="none"/>
                      <w:lang w:eastAsia="zh-CN"/>
                    </w:rPr>
                    <w:t>；</w:t>
                  </w:r>
                </w:p>
                <w:p w14:paraId="2BE57FCB">
                  <w:pPr>
                    <w:pStyle w:val="39"/>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default"/>
                      <w:szCs w:val="22"/>
                      <w:highlight w:val="none"/>
                    </w:rPr>
                    <w:t>2、采用煤、油、生物质等非清洁能源</w:t>
                  </w:r>
                  <w:r>
                    <w:rPr>
                      <w:rFonts w:hint="default"/>
                      <w:szCs w:val="22"/>
                      <w:highlight w:val="none"/>
                      <w:lang w:eastAsia="zh-CN"/>
                    </w:rPr>
                    <w:t>；</w:t>
                  </w:r>
                </w:p>
                <w:p w14:paraId="6F0863ED">
                  <w:pPr>
                    <w:pStyle w:val="39"/>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default"/>
                      <w:szCs w:val="22"/>
                      <w:highlight w:val="none"/>
                    </w:rPr>
                    <w:t>3、再生橡胶制造、橡胶加工、橡胶制品翻新</w:t>
                  </w:r>
                  <w:r>
                    <w:rPr>
                      <w:rFonts w:hint="default"/>
                      <w:szCs w:val="22"/>
                      <w:highlight w:val="none"/>
                      <w:lang w:eastAsia="zh-CN"/>
                    </w:rPr>
                    <w:t>；</w:t>
                  </w:r>
                </w:p>
                <w:p w14:paraId="2B31D5EF">
                  <w:pPr>
                    <w:pStyle w:val="39"/>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default"/>
                      <w:szCs w:val="22"/>
                      <w:highlight w:val="none"/>
                    </w:rPr>
                    <w:t>4、废旧塑料再生现有生产能力允许企业在一定期限内采取措施改造升级</w:t>
                  </w:r>
                  <w:r>
                    <w:rPr>
                      <w:rFonts w:hint="default"/>
                      <w:szCs w:val="22"/>
                      <w:highlight w:val="none"/>
                      <w:lang w:eastAsia="zh-CN"/>
                    </w:rPr>
                    <w:t>。</w:t>
                  </w:r>
                </w:p>
              </w:tc>
              <w:tc>
                <w:tcPr>
                  <w:tcW w:w="1693" w:type="pct"/>
                  <w:noWrap w:val="0"/>
                  <w:vAlign w:val="center"/>
                </w:tcPr>
                <w:p w14:paraId="3C490DB3">
                  <w:pPr>
                    <w:pStyle w:val="39"/>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default"/>
                      <w:szCs w:val="22"/>
                      <w:highlight w:val="none"/>
                      <w:lang w:val="en-US" w:eastAsia="zh-CN"/>
                    </w:rPr>
                    <w:t>1、本项目不涉及</w:t>
                  </w:r>
                  <w:r>
                    <w:rPr>
                      <w:rFonts w:hint="default"/>
                      <w:szCs w:val="22"/>
                      <w:highlight w:val="none"/>
                    </w:rPr>
                    <w:t>开炼、密炼、硫化工艺</w:t>
                  </w:r>
                  <w:r>
                    <w:rPr>
                      <w:rFonts w:hint="default"/>
                      <w:szCs w:val="22"/>
                      <w:highlight w:val="none"/>
                      <w:lang w:eastAsia="zh-CN"/>
                    </w:rPr>
                    <w:t>；</w:t>
                  </w:r>
                </w:p>
                <w:p w14:paraId="3EBB09E6">
                  <w:pPr>
                    <w:pStyle w:val="39"/>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default"/>
                      <w:szCs w:val="22"/>
                      <w:highlight w:val="none"/>
                      <w:lang w:val="en-US" w:eastAsia="zh-CN"/>
                    </w:rPr>
                    <w:t>2、本项目不</w:t>
                  </w:r>
                  <w:r>
                    <w:rPr>
                      <w:rFonts w:hint="default"/>
                      <w:szCs w:val="22"/>
                      <w:highlight w:val="none"/>
                    </w:rPr>
                    <w:t>采用煤、油、生物质等非清洁能源</w:t>
                  </w:r>
                  <w:r>
                    <w:rPr>
                      <w:rFonts w:hint="default"/>
                      <w:szCs w:val="22"/>
                      <w:highlight w:val="none"/>
                      <w:lang w:eastAsia="zh-CN"/>
                    </w:rPr>
                    <w:t>；</w:t>
                  </w:r>
                </w:p>
                <w:p w14:paraId="0EFE87BA">
                  <w:pPr>
                    <w:pStyle w:val="39"/>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default"/>
                      <w:szCs w:val="22"/>
                      <w:highlight w:val="none"/>
                      <w:lang w:val="en-US" w:eastAsia="zh-CN"/>
                    </w:rPr>
                    <w:t>3、本项目不属于</w:t>
                  </w:r>
                  <w:r>
                    <w:rPr>
                      <w:rFonts w:hint="default"/>
                      <w:szCs w:val="22"/>
                      <w:highlight w:val="none"/>
                    </w:rPr>
                    <w:t>再生橡胶制造、橡胶加工、橡胶制品翻新</w:t>
                  </w:r>
                  <w:r>
                    <w:rPr>
                      <w:rFonts w:hint="default"/>
                      <w:szCs w:val="22"/>
                      <w:highlight w:val="none"/>
                      <w:lang w:eastAsia="zh-CN"/>
                    </w:rPr>
                    <w:t>；</w:t>
                  </w:r>
                </w:p>
                <w:p w14:paraId="32492F12">
                  <w:pPr>
                    <w:pStyle w:val="39"/>
                    <w:keepNext w:val="0"/>
                    <w:keepLines w:val="0"/>
                    <w:widowControl/>
                    <w:suppressLineNumbers w:val="0"/>
                    <w:bidi w:val="0"/>
                    <w:spacing w:before="0" w:beforeAutospacing="0" w:after="0" w:afterAutospacing="0"/>
                    <w:ind w:left="0" w:right="0"/>
                    <w:jc w:val="both"/>
                    <w:rPr>
                      <w:rFonts w:hint="default"/>
                      <w:szCs w:val="22"/>
                      <w:highlight w:val="none"/>
                      <w:lang w:val="en-US" w:eastAsia="zh-CN"/>
                    </w:rPr>
                  </w:pPr>
                  <w:r>
                    <w:rPr>
                      <w:rFonts w:hint="default"/>
                      <w:szCs w:val="22"/>
                      <w:highlight w:val="none"/>
                      <w:lang w:val="en-US" w:eastAsia="zh-CN"/>
                    </w:rPr>
                    <w:t>4、本项目不属于</w:t>
                  </w:r>
                  <w:r>
                    <w:rPr>
                      <w:rFonts w:hint="default"/>
                      <w:szCs w:val="22"/>
                      <w:highlight w:val="none"/>
                    </w:rPr>
                    <w:t>废旧塑料再生</w:t>
                  </w:r>
                  <w:r>
                    <w:rPr>
                      <w:rFonts w:hint="default"/>
                      <w:szCs w:val="22"/>
                      <w:highlight w:val="none"/>
                      <w:lang w:val="en-US" w:eastAsia="zh-CN"/>
                    </w:rPr>
                    <w:t>行业</w:t>
                  </w:r>
                  <w:r>
                    <w:rPr>
                      <w:rFonts w:hint="eastAsia"/>
                      <w:szCs w:val="22"/>
                      <w:highlight w:val="none"/>
                      <w:lang w:val="en-US" w:eastAsia="zh-CN"/>
                    </w:rPr>
                    <w:t>；</w:t>
                  </w:r>
                </w:p>
              </w:tc>
              <w:tc>
                <w:tcPr>
                  <w:tcW w:w="492" w:type="pct"/>
                  <w:noWrap w:val="0"/>
                  <w:vAlign w:val="center"/>
                </w:tcPr>
                <w:p w14:paraId="45C99F44">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符合</w:t>
                  </w:r>
                </w:p>
              </w:tc>
            </w:tr>
            <w:tr w14:paraId="5B7542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3" w:type="pct"/>
                  <w:noWrap w:val="0"/>
                  <w:vAlign w:val="center"/>
                </w:tcPr>
                <w:p w14:paraId="45F937F2">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33金属制品业</w:t>
                  </w:r>
                </w:p>
              </w:tc>
              <w:tc>
                <w:tcPr>
                  <w:tcW w:w="2270" w:type="pct"/>
                  <w:noWrap w:val="0"/>
                  <w:vAlign w:val="center"/>
                </w:tcPr>
                <w:p w14:paraId="2949F770">
                  <w:pPr>
                    <w:pStyle w:val="39"/>
                    <w:keepNext w:val="0"/>
                    <w:keepLines w:val="0"/>
                    <w:widowControl/>
                    <w:suppressLineNumbers w:val="0"/>
                    <w:bidi w:val="0"/>
                    <w:spacing w:before="0" w:beforeAutospacing="0" w:after="0" w:afterAutospacing="0"/>
                    <w:ind w:left="0" w:right="0"/>
                    <w:jc w:val="both"/>
                    <w:rPr>
                      <w:rFonts w:hint="eastAsia" w:eastAsia="宋体"/>
                      <w:szCs w:val="22"/>
                      <w:highlight w:val="none"/>
                      <w:lang w:eastAsia="zh-CN"/>
                    </w:rPr>
                  </w:pPr>
                  <w:r>
                    <w:rPr>
                      <w:rFonts w:hint="default"/>
                      <w:szCs w:val="22"/>
                      <w:highlight w:val="none"/>
                    </w:rPr>
                    <w:t>禁止新建</w:t>
                  </w:r>
                  <w:r>
                    <w:rPr>
                      <w:rFonts w:hint="eastAsia"/>
                      <w:szCs w:val="22"/>
                      <w:highlight w:val="none"/>
                      <w:lang w:eastAsia="zh-CN"/>
                    </w:rPr>
                    <w:t>；</w:t>
                  </w:r>
                </w:p>
                <w:p w14:paraId="7C520A16">
                  <w:pPr>
                    <w:pStyle w:val="39"/>
                    <w:keepNext w:val="0"/>
                    <w:keepLines w:val="0"/>
                    <w:widowControl/>
                    <w:suppressLineNumbers w:val="0"/>
                    <w:bidi w:val="0"/>
                    <w:spacing w:before="0" w:beforeAutospacing="0" w:after="0" w:afterAutospacing="0"/>
                    <w:ind w:left="0" w:right="0"/>
                    <w:jc w:val="both"/>
                    <w:rPr>
                      <w:rFonts w:hint="eastAsia" w:eastAsia="宋体"/>
                      <w:szCs w:val="22"/>
                      <w:highlight w:val="none"/>
                      <w:lang w:eastAsia="zh-CN"/>
                    </w:rPr>
                  </w:pPr>
                  <w:r>
                    <w:rPr>
                      <w:rFonts w:hint="default"/>
                      <w:szCs w:val="22"/>
                      <w:highlight w:val="none"/>
                    </w:rPr>
                    <w:t>1、使用有机涂层的</w:t>
                  </w:r>
                  <w:r>
                    <w:rPr>
                      <w:rFonts w:hint="eastAsia"/>
                      <w:szCs w:val="22"/>
                      <w:highlight w:val="none"/>
                      <w:lang w:eastAsia="zh-CN"/>
                    </w:rPr>
                    <w:t>（</w:t>
                  </w:r>
                  <w:r>
                    <w:rPr>
                      <w:rFonts w:hint="default"/>
                      <w:szCs w:val="22"/>
                      <w:highlight w:val="none"/>
                    </w:rPr>
                    <w:t>喷塑、电泳及高端项目配套除外</w:t>
                  </w:r>
                  <w:r>
                    <w:rPr>
                      <w:rFonts w:hint="eastAsia"/>
                      <w:szCs w:val="22"/>
                      <w:highlight w:val="none"/>
                      <w:lang w:eastAsia="zh-CN"/>
                    </w:rPr>
                    <w:t>）</w:t>
                  </w:r>
                </w:p>
                <w:p w14:paraId="5E7573DE">
                  <w:pPr>
                    <w:pStyle w:val="39"/>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2、涉及熔炼、电镀工艺</w:t>
                  </w:r>
                </w:p>
                <w:p w14:paraId="4E09BAD2">
                  <w:pPr>
                    <w:pStyle w:val="39"/>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3</w:t>
                  </w:r>
                  <w:r>
                    <w:rPr>
                      <w:rFonts w:hint="default"/>
                      <w:szCs w:val="22"/>
                      <w:highlight w:val="none"/>
                      <w:lang w:eastAsia="zh-CN"/>
                    </w:rPr>
                    <w:t>、</w:t>
                  </w:r>
                  <w:r>
                    <w:rPr>
                      <w:rFonts w:hint="default"/>
                      <w:szCs w:val="22"/>
                      <w:highlight w:val="none"/>
                    </w:rPr>
                    <w:t>涉及钝化工艺的热镀锌</w:t>
                  </w:r>
                </w:p>
                <w:p w14:paraId="5AED8583">
                  <w:pPr>
                    <w:pStyle w:val="39"/>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lang w:val="en-US" w:eastAsia="zh-CN"/>
                    </w:rPr>
                    <w:t>4、</w:t>
                  </w:r>
                  <w:r>
                    <w:rPr>
                      <w:rFonts w:hint="default"/>
                      <w:szCs w:val="22"/>
                      <w:highlight w:val="none"/>
                    </w:rPr>
                    <w:t>油性漆使用量超过 10t/a 喷漆工艺</w:t>
                  </w:r>
                </w:p>
                <w:p w14:paraId="5F4ADB72">
                  <w:pPr>
                    <w:pStyle w:val="39"/>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lang w:val="en-US" w:eastAsia="zh-CN"/>
                    </w:rPr>
                    <w:t>5、</w:t>
                  </w:r>
                  <w:r>
                    <w:rPr>
                      <w:rFonts w:hint="default"/>
                      <w:szCs w:val="22"/>
                      <w:highlight w:val="none"/>
                    </w:rPr>
                    <w:t>使用火焰法除旧漆，使用干喷砂除锈</w:t>
                  </w:r>
                </w:p>
                <w:p w14:paraId="389DBDD7">
                  <w:pPr>
                    <w:pStyle w:val="39"/>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lang w:val="en-US" w:eastAsia="zh-CN"/>
                    </w:rPr>
                    <w:t>6、</w:t>
                  </w:r>
                  <w:r>
                    <w:rPr>
                      <w:rFonts w:hint="default"/>
                      <w:szCs w:val="22"/>
                      <w:highlight w:val="none"/>
                    </w:rPr>
                    <w:t>采用煤、油、生物质等非清洁能源</w:t>
                  </w:r>
                </w:p>
                <w:p w14:paraId="788877CE">
                  <w:pPr>
                    <w:pStyle w:val="39"/>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lang w:val="en-US" w:eastAsia="zh-CN"/>
                    </w:rPr>
                    <w:t>7、</w:t>
                  </w:r>
                  <w:r>
                    <w:rPr>
                      <w:rFonts w:hint="default"/>
                      <w:szCs w:val="22"/>
                      <w:highlight w:val="none"/>
                    </w:rPr>
                    <w:t>铅酸蓄电池制造</w:t>
                  </w:r>
                </w:p>
                <w:p w14:paraId="7330F084">
                  <w:pPr>
                    <w:pStyle w:val="39"/>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8、印刷电路板</w:t>
                  </w:r>
                  <w:r>
                    <w:rPr>
                      <w:rFonts w:hint="eastAsia"/>
                      <w:szCs w:val="22"/>
                      <w:highlight w:val="none"/>
                      <w:lang w:eastAsia="zh-CN"/>
                    </w:rPr>
                    <w:t>（</w:t>
                  </w:r>
                  <w:r>
                    <w:rPr>
                      <w:rFonts w:hint="default"/>
                      <w:szCs w:val="22"/>
                      <w:highlight w:val="none"/>
                    </w:rPr>
                    <w:t>高密度印刷电路板和柔性电路板除外</w:t>
                  </w:r>
                  <w:r>
                    <w:rPr>
                      <w:rFonts w:hint="eastAsia"/>
                      <w:szCs w:val="22"/>
                      <w:highlight w:val="none"/>
                      <w:lang w:eastAsia="zh-CN"/>
                    </w:rPr>
                    <w:t>）</w:t>
                  </w:r>
                  <w:r>
                    <w:rPr>
                      <w:rFonts w:hint="default"/>
                      <w:szCs w:val="22"/>
                      <w:highlight w:val="none"/>
                    </w:rPr>
                    <w:t>现有生产能力允许企业在一定期限内采取措施改造升级</w:t>
                  </w:r>
                </w:p>
              </w:tc>
              <w:tc>
                <w:tcPr>
                  <w:tcW w:w="1693" w:type="pct"/>
                  <w:noWrap w:val="0"/>
                  <w:vAlign w:val="center"/>
                </w:tcPr>
                <w:p w14:paraId="39FFCD8B">
                  <w:pPr>
                    <w:pStyle w:val="39"/>
                    <w:keepNext w:val="0"/>
                    <w:keepLines w:val="0"/>
                    <w:widowControl/>
                    <w:suppressLineNumbers w:val="0"/>
                    <w:bidi w:val="0"/>
                    <w:spacing w:before="0" w:beforeAutospacing="0" w:after="0" w:afterAutospacing="0"/>
                    <w:ind w:left="0" w:right="0"/>
                    <w:jc w:val="both"/>
                    <w:rPr>
                      <w:rFonts w:hint="eastAsia"/>
                      <w:szCs w:val="22"/>
                      <w:highlight w:val="none"/>
                      <w:lang w:val="en-US" w:eastAsia="zh-CN"/>
                    </w:rPr>
                  </w:pPr>
                  <w:r>
                    <w:rPr>
                      <w:rFonts w:hint="eastAsia"/>
                      <w:szCs w:val="22"/>
                      <w:highlight w:val="none"/>
                      <w:lang w:val="en-US" w:eastAsia="zh-CN"/>
                    </w:rPr>
                    <w:t>1、本项目不涉及有机涂层；</w:t>
                  </w:r>
                </w:p>
                <w:p w14:paraId="37915227">
                  <w:pPr>
                    <w:pStyle w:val="39"/>
                    <w:keepNext w:val="0"/>
                    <w:keepLines w:val="0"/>
                    <w:widowControl/>
                    <w:suppressLineNumbers w:val="0"/>
                    <w:bidi w:val="0"/>
                    <w:spacing w:before="0" w:beforeAutospacing="0" w:after="0" w:afterAutospacing="0"/>
                    <w:ind w:left="0" w:right="0"/>
                    <w:jc w:val="both"/>
                    <w:rPr>
                      <w:rFonts w:hint="eastAsia"/>
                      <w:szCs w:val="22"/>
                      <w:highlight w:val="none"/>
                      <w:lang w:val="en-US" w:eastAsia="zh-CN"/>
                    </w:rPr>
                  </w:pPr>
                  <w:r>
                    <w:rPr>
                      <w:rFonts w:hint="eastAsia"/>
                      <w:szCs w:val="22"/>
                      <w:highlight w:val="none"/>
                      <w:lang w:val="en-US" w:eastAsia="zh-CN"/>
                    </w:rPr>
                    <w:t>2、本项目不涉及熔炼、电镀工艺；</w:t>
                  </w:r>
                </w:p>
                <w:p w14:paraId="04044C4A">
                  <w:pPr>
                    <w:pStyle w:val="39"/>
                    <w:keepNext w:val="0"/>
                    <w:keepLines w:val="0"/>
                    <w:widowControl/>
                    <w:suppressLineNumbers w:val="0"/>
                    <w:bidi w:val="0"/>
                    <w:spacing w:before="0" w:beforeAutospacing="0" w:after="0" w:afterAutospacing="0"/>
                    <w:ind w:left="0" w:right="0"/>
                    <w:jc w:val="both"/>
                    <w:rPr>
                      <w:rFonts w:hint="eastAsia"/>
                      <w:szCs w:val="22"/>
                      <w:highlight w:val="none"/>
                      <w:lang w:val="en-US" w:eastAsia="zh-CN"/>
                    </w:rPr>
                  </w:pPr>
                  <w:r>
                    <w:rPr>
                      <w:rFonts w:hint="eastAsia"/>
                      <w:szCs w:val="22"/>
                      <w:highlight w:val="none"/>
                      <w:lang w:val="en-US" w:eastAsia="zh-CN"/>
                    </w:rPr>
                    <w:t>3、本项目不涉及钝化工艺的热镀锌；</w:t>
                  </w:r>
                </w:p>
                <w:p w14:paraId="7000C50E">
                  <w:pPr>
                    <w:pStyle w:val="39"/>
                    <w:keepNext w:val="0"/>
                    <w:keepLines w:val="0"/>
                    <w:widowControl/>
                    <w:suppressLineNumbers w:val="0"/>
                    <w:bidi w:val="0"/>
                    <w:spacing w:before="0" w:beforeAutospacing="0" w:after="0" w:afterAutospacing="0"/>
                    <w:ind w:left="0" w:right="0"/>
                    <w:jc w:val="both"/>
                    <w:rPr>
                      <w:rFonts w:hint="eastAsia"/>
                      <w:szCs w:val="22"/>
                      <w:highlight w:val="none"/>
                      <w:lang w:val="en-US" w:eastAsia="zh-CN"/>
                    </w:rPr>
                  </w:pPr>
                  <w:r>
                    <w:rPr>
                      <w:rFonts w:hint="eastAsia"/>
                      <w:szCs w:val="22"/>
                      <w:highlight w:val="none"/>
                      <w:lang w:val="en-US" w:eastAsia="zh-CN"/>
                    </w:rPr>
                    <w:t>4、本项目油性漆使用量为3.9t/a，不超过10t/a，符合要求；</w:t>
                  </w:r>
                </w:p>
                <w:p w14:paraId="1D9C0E47">
                  <w:pPr>
                    <w:pStyle w:val="39"/>
                    <w:keepNext w:val="0"/>
                    <w:keepLines w:val="0"/>
                    <w:widowControl/>
                    <w:suppressLineNumbers w:val="0"/>
                    <w:bidi w:val="0"/>
                    <w:spacing w:before="0" w:beforeAutospacing="0" w:after="0" w:afterAutospacing="0"/>
                    <w:ind w:left="0" w:right="0"/>
                    <w:jc w:val="both"/>
                    <w:rPr>
                      <w:rFonts w:hint="eastAsia"/>
                      <w:szCs w:val="22"/>
                      <w:highlight w:val="none"/>
                      <w:lang w:val="en-US" w:eastAsia="zh-CN"/>
                    </w:rPr>
                  </w:pPr>
                  <w:r>
                    <w:rPr>
                      <w:rFonts w:hint="eastAsia"/>
                      <w:szCs w:val="22"/>
                      <w:highlight w:val="none"/>
                      <w:lang w:val="en-US" w:eastAsia="zh-CN"/>
                    </w:rPr>
                    <w:t>5、本项目不涉及火焰法除旧漆，不使用干喷砂除锈；</w:t>
                  </w:r>
                </w:p>
                <w:p w14:paraId="11046865">
                  <w:pPr>
                    <w:pStyle w:val="39"/>
                    <w:keepNext w:val="0"/>
                    <w:keepLines w:val="0"/>
                    <w:widowControl/>
                    <w:suppressLineNumbers w:val="0"/>
                    <w:bidi w:val="0"/>
                    <w:spacing w:before="0" w:beforeAutospacing="0" w:after="0" w:afterAutospacing="0"/>
                    <w:ind w:left="0" w:right="0"/>
                    <w:jc w:val="both"/>
                    <w:rPr>
                      <w:rFonts w:hint="eastAsia"/>
                      <w:szCs w:val="22"/>
                      <w:highlight w:val="none"/>
                      <w:lang w:val="en-US" w:eastAsia="zh-CN"/>
                    </w:rPr>
                  </w:pPr>
                  <w:r>
                    <w:rPr>
                      <w:rFonts w:hint="eastAsia"/>
                      <w:szCs w:val="22"/>
                      <w:highlight w:val="none"/>
                      <w:lang w:val="en-US" w:eastAsia="zh-CN"/>
                    </w:rPr>
                    <w:t>6、本项目使用电能作为能源；</w:t>
                  </w:r>
                </w:p>
                <w:p w14:paraId="3053DBCC">
                  <w:pPr>
                    <w:pStyle w:val="39"/>
                    <w:keepNext w:val="0"/>
                    <w:keepLines w:val="0"/>
                    <w:widowControl/>
                    <w:suppressLineNumbers w:val="0"/>
                    <w:bidi w:val="0"/>
                    <w:spacing w:before="0" w:beforeAutospacing="0" w:after="0" w:afterAutospacing="0"/>
                    <w:ind w:left="0" w:right="0"/>
                    <w:jc w:val="both"/>
                    <w:rPr>
                      <w:rFonts w:hint="eastAsia"/>
                      <w:szCs w:val="22"/>
                      <w:highlight w:val="none"/>
                      <w:lang w:val="en-US" w:eastAsia="zh-CN"/>
                    </w:rPr>
                  </w:pPr>
                  <w:r>
                    <w:rPr>
                      <w:rFonts w:hint="eastAsia"/>
                      <w:szCs w:val="22"/>
                      <w:highlight w:val="none"/>
                      <w:lang w:val="en-US" w:eastAsia="zh-CN"/>
                    </w:rPr>
                    <w:t>7、本项目不涉及铅酸蓄电池制造；</w:t>
                  </w:r>
                </w:p>
                <w:p w14:paraId="0C22F447">
                  <w:pPr>
                    <w:pStyle w:val="39"/>
                    <w:keepNext w:val="0"/>
                    <w:keepLines w:val="0"/>
                    <w:widowControl/>
                    <w:suppressLineNumbers w:val="0"/>
                    <w:bidi w:val="0"/>
                    <w:spacing w:before="0" w:beforeAutospacing="0" w:after="0" w:afterAutospacing="0"/>
                    <w:ind w:left="0" w:right="0"/>
                    <w:jc w:val="both"/>
                    <w:rPr>
                      <w:rFonts w:hint="default"/>
                      <w:szCs w:val="22"/>
                      <w:highlight w:val="none"/>
                      <w:lang w:val="en-US" w:eastAsia="zh-CN"/>
                    </w:rPr>
                  </w:pPr>
                  <w:r>
                    <w:rPr>
                      <w:rFonts w:hint="eastAsia"/>
                      <w:szCs w:val="22"/>
                      <w:highlight w:val="none"/>
                      <w:lang w:val="en-US" w:eastAsia="zh-CN"/>
                    </w:rPr>
                    <w:t>8、本项目不涉及印刷电路板</w:t>
                  </w:r>
                </w:p>
              </w:tc>
              <w:tc>
                <w:tcPr>
                  <w:tcW w:w="492" w:type="pct"/>
                  <w:noWrap w:val="0"/>
                  <w:vAlign w:val="center"/>
                </w:tcPr>
                <w:p w14:paraId="722229B5">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符合</w:t>
                  </w:r>
                </w:p>
              </w:tc>
            </w:tr>
            <w:tr w14:paraId="315F0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3" w:type="pct"/>
                  <w:noWrap w:val="0"/>
                  <w:vAlign w:val="center"/>
                </w:tcPr>
                <w:p w14:paraId="1BB6E80D">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lang w:val="en-US" w:eastAsia="zh-CN"/>
                    </w:rPr>
                    <w:t>类别名称</w:t>
                  </w:r>
                </w:p>
              </w:tc>
              <w:tc>
                <w:tcPr>
                  <w:tcW w:w="2270" w:type="pct"/>
                  <w:noWrap w:val="0"/>
                  <w:vAlign w:val="center"/>
                </w:tcPr>
                <w:p w14:paraId="2567B196">
                  <w:pPr>
                    <w:pStyle w:val="39"/>
                    <w:keepNext w:val="0"/>
                    <w:keepLines w:val="0"/>
                    <w:widowControl/>
                    <w:suppressLineNumbers w:val="0"/>
                    <w:bidi w:val="0"/>
                    <w:spacing w:before="0" w:beforeAutospacing="0" w:after="0" w:afterAutospacing="0"/>
                    <w:ind w:left="0" w:right="0"/>
                    <w:jc w:val="center"/>
                    <w:rPr>
                      <w:rFonts w:hint="default"/>
                      <w:szCs w:val="22"/>
                      <w:highlight w:val="none"/>
                      <w:lang w:val="en-US" w:eastAsia="zh-CN"/>
                    </w:rPr>
                  </w:pPr>
                  <w:r>
                    <w:rPr>
                      <w:rFonts w:hint="default"/>
                      <w:szCs w:val="22"/>
                      <w:highlight w:val="none"/>
                    </w:rPr>
                    <w:t>环境风险</w:t>
                  </w:r>
                  <w:r>
                    <w:rPr>
                      <w:rFonts w:hint="default"/>
                      <w:szCs w:val="22"/>
                      <w:highlight w:val="none"/>
                      <w:lang w:val="en-US" w:eastAsia="zh-CN"/>
                    </w:rPr>
                    <w:t>防控</w:t>
                  </w:r>
                </w:p>
              </w:tc>
              <w:tc>
                <w:tcPr>
                  <w:tcW w:w="1693" w:type="pct"/>
                  <w:noWrap w:val="0"/>
                  <w:vAlign w:val="center"/>
                </w:tcPr>
                <w:p w14:paraId="78CF70AD">
                  <w:pPr>
                    <w:pStyle w:val="39"/>
                    <w:keepNext w:val="0"/>
                    <w:keepLines w:val="0"/>
                    <w:widowControl/>
                    <w:suppressLineNumbers w:val="0"/>
                    <w:bidi w:val="0"/>
                    <w:spacing w:before="0" w:beforeAutospacing="0" w:after="0" w:afterAutospacing="0"/>
                    <w:ind w:left="0" w:right="0"/>
                    <w:jc w:val="center"/>
                    <w:rPr>
                      <w:rFonts w:hint="default"/>
                      <w:szCs w:val="22"/>
                      <w:highlight w:val="none"/>
                    </w:rPr>
                  </w:pPr>
                  <w:r>
                    <w:rPr>
                      <w:rFonts w:hint="default"/>
                      <w:szCs w:val="22"/>
                      <w:highlight w:val="none"/>
                    </w:rPr>
                    <w:t>本项目</w:t>
                  </w:r>
                </w:p>
              </w:tc>
              <w:tc>
                <w:tcPr>
                  <w:tcW w:w="492" w:type="pct"/>
                  <w:noWrap w:val="0"/>
                  <w:vAlign w:val="center"/>
                </w:tcPr>
                <w:p w14:paraId="0E964265">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符合性</w:t>
                  </w:r>
                </w:p>
              </w:tc>
            </w:tr>
            <w:tr w14:paraId="3CE91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3" w:type="pct"/>
                  <w:noWrap w:val="0"/>
                  <w:vAlign w:val="center"/>
                </w:tcPr>
                <w:p w14:paraId="053D213C">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29橡胶和塑料制品业</w:t>
                  </w:r>
                </w:p>
              </w:tc>
              <w:tc>
                <w:tcPr>
                  <w:tcW w:w="2270" w:type="pct"/>
                  <w:vMerge w:val="restart"/>
                  <w:noWrap w:val="0"/>
                  <w:vAlign w:val="center"/>
                </w:tcPr>
                <w:p w14:paraId="3207C23E">
                  <w:pPr>
                    <w:pStyle w:val="39"/>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1、必须规范配套应急池，建设企业、园区和周边水系三级环境风险防控工程，确保有效拦截、降污和倒流；受园区排污影响的周边水系应建设应急闸门，防止泄漏物和消防水等排入外环境。</w:t>
                  </w:r>
                </w:p>
                <w:p w14:paraId="5A1A76F2">
                  <w:pPr>
                    <w:pStyle w:val="39"/>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2、开发区内污水处理设施应采取必要的防渗处理，不得污染地下水环境。</w:t>
                  </w:r>
                </w:p>
              </w:tc>
              <w:tc>
                <w:tcPr>
                  <w:tcW w:w="1693" w:type="pct"/>
                  <w:vMerge w:val="restart"/>
                  <w:noWrap w:val="0"/>
                  <w:vAlign w:val="center"/>
                </w:tcPr>
                <w:p w14:paraId="7570C55A">
                  <w:pPr>
                    <w:pStyle w:val="39"/>
                    <w:keepNext w:val="0"/>
                    <w:keepLines w:val="0"/>
                    <w:widowControl/>
                    <w:suppressLineNumbers w:val="0"/>
                    <w:bidi w:val="0"/>
                    <w:spacing w:before="0" w:beforeAutospacing="0" w:after="0" w:afterAutospacing="0"/>
                    <w:ind w:left="0" w:right="0"/>
                    <w:jc w:val="both"/>
                    <w:rPr>
                      <w:rFonts w:hint="default"/>
                      <w:szCs w:val="22"/>
                      <w:highlight w:val="none"/>
                      <w:lang w:val="en-US" w:eastAsia="zh-CN"/>
                    </w:rPr>
                  </w:pPr>
                  <w:r>
                    <w:rPr>
                      <w:rFonts w:hint="default"/>
                      <w:szCs w:val="22"/>
                      <w:highlight w:val="none"/>
                      <w:lang w:val="en-US" w:eastAsia="zh-CN"/>
                    </w:rPr>
                    <w:t>项目不涉及生产废水排放，生活污水依托厂区内现有的化粪池预处理后排入市政污水管网。</w:t>
                  </w:r>
                </w:p>
              </w:tc>
              <w:tc>
                <w:tcPr>
                  <w:tcW w:w="492" w:type="pct"/>
                  <w:vMerge w:val="restart"/>
                  <w:noWrap w:val="0"/>
                  <w:vAlign w:val="center"/>
                </w:tcPr>
                <w:p w14:paraId="0D461BB4">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符合</w:t>
                  </w:r>
                </w:p>
              </w:tc>
            </w:tr>
            <w:tr w14:paraId="12769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3" w:type="pct"/>
                  <w:noWrap w:val="0"/>
                  <w:vAlign w:val="center"/>
                </w:tcPr>
                <w:p w14:paraId="70BC4947">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33金属制品业</w:t>
                  </w:r>
                </w:p>
              </w:tc>
              <w:tc>
                <w:tcPr>
                  <w:tcW w:w="2270" w:type="pct"/>
                  <w:vMerge w:val="continue"/>
                  <w:noWrap w:val="0"/>
                  <w:vAlign w:val="center"/>
                </w:tcPr>
                <w:p w14:paraId="7072C3FA">
                  <w:pPr>
                    <w:pStyle w:val="39"/>
                    <w:keepNext w:val="0"/>
                    <w:keepLines w:val="0"/>
                    <w:widowControl/>
                    <w:suppressLineNumbers w:val="0"/>
                    <w:bidi w:val="0"/>
                    <w:spacing w:before="0" w:beforeAutospacing="0" w:after="0" w:afterAutospacing="0"/>
                    <w:ind w:left="0" w:right="0"/>
                    <w:jc w:val="both"/>
                    <w:rPr>
                      <w:rFonts w:hint="default"/>
                      <w:szCs w:val="22"/>
                      <w:highlight w:val="none"/>
                    </w:rPr>
                  </w:pPr>
                </w:p>
              </w:tc>
              <w:tc>
                <w:tcPr>
                  <w:tcW w:w="1693" w:type="pct"/>
                  <w:vMerge w:val="continue"/>
                  <w:noWrap w:val="0"/>
                  <w:vAlign w:val="center"/>
                </w:tcPr>
                <w:p w14:paraId="443439EF">
                  <w:pPr>
                    <w:pStyle w:val="39"/>
                    <w:keepNext w:val="0"/>
                    <w:keepLines w:val="0"/>
                    <w:widowControl/>
                    <w:suppressLineNumbers w:val="0"/>
                    <w:bidi w:val="0"/>
                    <w:spacing w:before="0" w:beforeAutospacing="0" w:after="0" w:afterAutospacing="0"/>
                    <w:ind w:left="0" w:right="0"/>
                    <w:jc w:val="both"/>
                    <w:rPr>
                      <w:rFonts w:hint="default"/>
                      <w:szCs w:val="22"/>
                      <w:highlight w:val="none"/>
                      <w:lang w:val="en-US" w:eastAsia="zh-CN"/>
                    </w:rPr>
                  </w:pPr>
                </w:p>
              </w:tc>
              <w:tc>
                <w:tcPr>
                  <w:tcW w:w="492" w:type="pct"/>
                  <w:vMerge w:val="continue"/>
                  <w:noWrap w:val="0"/>
                  <w:vAlign w:val="center"/>
                </w:tcPr>
                <w:p w14:paraId="36A4E132">
                  <w:pPr>
                    <w:pStyle w:val="39"/>
                    <w:keepNext w:val="0"/>
                    <w:keepLines w:val="0"/>
                    <w:widowControl/>
                    <w:suppressLineNumbers w:val="0"/>
                    <w:bidi w:val="0"/>
                    <w:spacing w:before="0" w:beforeAutospacing="0" w:after="0" w:afterAutospacing="0"/>
                    <w:ind w:left="0" w:right="0"/>
                    <w:rPr>
                      <w:rFonts w:hint="default"/>
                      <w:szCs w:val="22"/>
                      <w:highlight w:val="none"/>
                    </w:rPr>
                  </w:pPr>
                </w:p>
              </w:tc>
            </w:tr>
            <w:tr w14:paraId="2ABC50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3" w:type="pct"/>
                  <w:noWrap w:val="0"/>
                  <w:vAlign w:val="center"/>
                </w:tcPr>
                <w:p w14:paraId="2A4C95F9">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lang w:val="en-US" w:eastAsia="zh-CN"/>
                    </w:rPr>
                    <w:t>类别名称</w:t>
                  </w:r>
                </w:p>
              </w:tc>
              <w:tc>
                <w:tcPr>
                  <w:tcW w:w="2270" w:type="pct"/>
                  <w:noWrap w:val="0"/>
                  <w:vAlign w:val="center"/>
                </w:tcPr>
                <w:p w14:paraId="43D4CB93">
                  <w:pPr>
                    <w:pStyle w:val="39"/>
                    <w:keepNext w:val="0"/>
                    <w:keepLines w:val="0"/>
                    <w:widowControl/>
                    <w:suppressLineNumbers w:val="0"/>
                    <w:bidi w:val="0"/>
                    <w:spacing w:before="0" w:beforeAutospacing="0" w:after="0" w:afterAutospacing="0"/>
                    <w:ind w:left="0" w:right="0"/>
                    <w:jc w:val="center"/>
                    <w:rPr>
                      <w:rFonts w:hint="default"/>
                      <w:szCs w:val="22"/>
                      <w:highlight w:val="none"/>
                      <w:lang w:val="en-US" w:eastAsia="zh-CN"/>
                    </w:rPr>
                  </w:pPr>
                  <w:r>
                    <w:rPr>
                      <w:rFonts w:hint="default"/>
                      <w:szCs w:val="22"/>
                      <w:highlight w:val="none"/>
                    </w:rPr>
                    <w:t>污染物排放管</w:t>
                  </w:r>
                  <w:r>
                    <w:rPr>
                      <w:rFonts w:hint="default"/>
                      <w:szCs w:val="22"/>
                      <w:highlight w:val="none"/>
                      <w:lang w:val="en-US" w:eastAsia="zh-CN"/>
                    </w:rPr>
                    <w:t>控</w:t>
                  </w:r>
                </w:p>
              </w:tc>
              <w:tc>
                <w:tcPr>
                  <w:tcW w:w="1693" w:type="pct"/>
                  <w:noWrap w:val="0"/>
                  <w:vAlign w:val="center"/>
                </w:tcPr>
                <w:p w14:paraId="3B944D7B">
                  <w:pPr>
                    <w:pStyle w:val="39"/>
                    <w:keepNext w:val="0"/>
                    <w:keepLines w:val="0"/>
                    <w:widowControl/>
                    <w:suppressLineNumbers w:val="0"/>
                    <w:bidi w:val="0"/>
                    <w:spacing w:before="0" w:beforeAutospacing="0" w:after="0" w:afterAutospacing="0"/>
                    <w:ind w:left="0" w:right="0"/>
                    <w:jc w:val="center"/>
                    <w:rPr>
                      <w:rFonts w:hint="default"/>
                      <w:szCs w:val="22"/>
                      <w:highlight w:val="none"/>
                    </w:rPr>
                  </w:pPr>
                  <w:r>
                    <w:rPr>
                      <w:rFonts w:hint="default"/>
                      <w:szCs w:val="22"/>
                      <w:highlight w:val="none"/>
                    </w:rPr>
                    <w:t>本项目</w:t>
                  </w:r>
                </w:p>
              </w:tc>
              <w:tc>
                <w:tcPr>
                  <w:tcW w:w="492" w:type="pct"/>
                  <w:noWrap w:val="0"/>
                  <w:vAlign w:val="center"/>
                </w:tcPr>
                <w:p w14:paraId="441A8781">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rPr>
                    <w:t>符合性</w:t>
                  </w:r>
                </w:p>
              </w:tc>
            </w:tr>
            <w:tr w14:paraId="3E173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3" w:type="pct"/>
                  <w:noWrap w:val="0"/>
                  <w:vAlign w:val="center"/>
                </w:tcPr>
                <w:p w14:paraId="7B62A967">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29橡胶和塑料制品业</w:t>
                  </w:r>
                </w:p>
              </w:tc>
              <w:tc>
                <w:tcPr>
                  <w:tcW w:w="2270" w:type="pct"/>
                  <w:vMerge w:val="restart"/>
                  <w:noWrap w:val="0"/>
                  <w:vAlign w:val="center"/>
                </w:tcPr>
                <w:p w14:paraId="3B9BC2C3">
                  <w:pPr>
                    <w:pStyle w:val="39"/>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1、新、改、扩建项目新增大气污染物</w:t>
                  </w:r>
                  <w:r>
                    <w:rPr>
                      <w:rFonts w:hint="eastAsia"/>
                      <w:szCs w:val="22"/>
                      <w:highlight w:val="none"/>
                      <w:lang w:val="en-US" w:eastAsia="zh-CN"/>
                    </w:rPr>
                    <w:t>（</w:t>
                  </w:r>
                  <w:r>
                    <w:rPr>
                      <w:rFonts w:hint="default"/>
                      <w:szCs w:val="22"/>
                      <w:highlight w:val="none"/>
                    </w:rPr>
                    <w:t>现阶段指SO</w:t>
                  </w:r>
                  <w:r>
                    <w:rPr>
                      <w:rFonts w:hint="default"/>
                      <w:szCs w:val="22"/>
                      <w:highlight w:val="none"/>
                      <w:vertAlign w:val="subscript"/>
                    </w:rPr>
                    <w:t>2</w:t>
                  </w:r>
                  <w:r>
                    <w:rPr>
                      <w:rFonts w:hint="default"/>
                      <w:szCs w:val="22"/>
                      <w:highlight w:val="none"/>
                    </w:rPr>
                    <w:t>、NOx</w:t>
                  </w:r>
                  <w:r>
                    <w:rPr>
                      <w:rFonts w:hint="eastAsia"/>
                      <w:szCs w:val="22"/>
                      <w:highlight w:val="none"/>
                      <w:lang w:val="en-US" w:eastAsia="zh-CN"/>
                    </w:rPr>
                    <w:t>）</w:t>
                  </w:r>
                  <w:r>
                    <w:rPr>
                      <w:rFonts w:hint="default"/>
                      <w:szCs w:val="22"/>
                      <w:highlight w:val="none"/>
                    </w:rPr>
                    <w:t>排放量实行1.5 倍削减替代</w:t>
                  </w:r>
                  <w:r>
                    <w:rPr>
                      <w:rFonts w:hint="eastAsia"/>
                      <w:szCs w:val="22"/>
                      <w:highlight w:val="none"/>
                      <w:lang w:val="en-US" w:eastAsia="zh-CN"/>
                    </w:rPr>
                    <w:t>（</w:t>
                  </w:r>
                  <w:r>
                    <w:rPr>
                      <w:rFonts w:hint="default"/>
                      <w:szCs w:val="22"/>
                      <w:highlight w:val="none"/>
                    </w:rPr>
                    <w:t>不含使用天然气、液化石油气等作为燃料的非火电锅炉和</w:t>
                  </w:r>
                </w:p>
                <w:p w14:paraId="141818B8">
                  <w:pPr>
                    <w:pStyle w:val="39"/>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工业炉窑</w:t>
                  </w:r>
                  <w:r>
                    <w:rPr>
                      <w:rFonts w:hint="eastAsia"/>
                      <w:szCs w:val="22"/>
                      <w:highlight w:val="none"/>
                      <w:lang w:val="en-US" w:eastAsia="zh-CN"/>
                    </w:rPr>
                    <w:t>）</w:t>
                  </w:r>
                  <w:r>
                    <w:rPr>
                      <w:rFonts w:hint="default"/>
                      <w:szCs w:val="22"/>
                      <w:highlight w:val="none"/>
                    </w:rPr>
                    <w:t>。</w:t>
                  </w:r>
                </w:p>
                <w:p w14:paraId="781E9812">
                  <w:pPr>
                    <w:pStyle w:val="39"/>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2、新、改、扩建项目新增</w:t>
                  </w:r>
                  <w:r>
                    <w:rPr>
                      <w:rFonts w:hint="eastAsia"/>
                      <w:szCs w:val="22"/>
                      <w:highlight w:val="none"/>
                      <w:lang w:eastAsia="zh-CN"/>
                    </w:rPr>
                    <w:t>VOCs</w:t>
                  </w:r>
                  <w:r>
                    <w:rPr>
                      <w:rFonts w:hint="default"/>
                      <w:szCs w:val="22"/>
                      <w:highlight w:val="none"/>
                    </w:rPr>
                    <w:t xml:space="preserve"> 排放量实行倍量削减替代。</w:t>
                  </w:r>
                </w:p>
                <w:p w14:paraId="76913C61">
                  <w:pPr>
                    <w:pStyle w:val="39"/>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3、工业企业废水全部纳管进入</w:t>
                  </w:r>
                  <w:r>
                    <w:rPr>
                      <w:rFonts w:hint="eastAsia"/>
                      <w:szCs w:val="22"/>
                      <w:highlight w:val="none"/>
                      <w:lang w:eastAsia="zh-CN"/>
                    </w:rPr>
                    <w:t>污水处理厂</w:t>
                  </w:r>
                  <w:r>
                    <w:rPr>
                      <w:rFonts w:hint="default"/>
                      <w:szCs w:val="22"/>
                      <w:highlight w:val="none"/>
                    </w:rPr>
                    <w:t>集中处理后达标排放。</w:t>
                  </w:r>
                </w:p>
              </w:tc>
              <w:tc>
                <w:tcPr>
                  <w:tcW w:w="1693" w:type="pct"/>
                  <w:vMerge w:val="restart"/>
                  <w:noWrap w:val="0"/>
                  <w:vAlign w:val="center"/>
                </w:tcPr>
                <w:p w14:paraId="47CC4D31">
                  <w:pPr>
                    <w:pStyle w:val="39"/>
                    <w:keepNext w:val="0"/>
                    <w:keepLines w:val="0"/>
                    <w:widowControl/>
                    <w:suppressLineNumbers w:val="0"/>
                    <w:bidi w:val="0"/>
                    <w:spacing w:before="0" w:beforeAutospacing="0" w:after="0" w:afterAutospacing="0"/>
                    <w:ind w:left="0" w:right="0"/>
                    <w:jc w:val="both"/>
                    <w:rPr>
                      <w:rFonts w:hint="default"/>
                      <w:szCs w:val="22"/>
                      <w:highlight w:val="none"/>
                      <w:lang w:val="en-US" w:eastAsia="zh-CN"/>
                    </w:rPr>
                  </w:pPr>
                  <w:r>
                    <w:rPr>
                      <w:rFonts w:hint="default"/>
                      <w:szCs w:val="22"/>
                      <w:highlight w:val="none"/>
                      <w:lang w:val="en-US" w:eastAsia="zh-CN"/>
                    </w:rPr>
                    <w:t>1、项目不涉及</w:t>
                  </w:r>
                  <w:r>
                    <w:rPr>
                      <w:rFonts w:hint="default"/>
                      <w:szCs w:val="22"/>
                      <w:highlight w:val="none"/>
                    </w:rPr>
                    <w:t>SO</w:t>
                  </w:r>
                  <w:r>
                    <w:rPr>
                      <w:rFonts w:hint="default"/>
                      <w:szCs w:val="22"/>
                      <w:highlight w:val="none"/>
                      <w:vertAlign w:val="subscript"/>
                    </w:rPr>
                    <w:t>2</w:t>
                  </w:r>
                  <w:r>
                    <w:rPr>
                      <w:rFonts w:hint="default"/>
                      <w:szCs w:val="22"/>
                      <w:highlight w:val="none"/>
                    </w:rPr>
                    <w:t>、NOx</w:t>
                  </w:r>
                  <w:r>
                    <w:rPr>
                      <w:rFonts w:hint="default"/>
                      <w:szCs w:val="22"/>
                      <w:highlight w:val="none"/>
                      <w:lang w:val="en-US" w:eastAsia="zh-CN"/>
                    </w:rPr>
                    <w:t>等污染物排放。</w:t>
                  </w:r>
                </w:p>
                <w:p w14:paraId="699D583A">
                  <w:pPr>
                    <w:pStyle w:val="39"/>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default"/>
                      <w:szCs w:val="22"/>
                      <w:highlight w:val="none"/>
                      <w:lang w:val="en-US" w:eastAsia="zh-CN"/>
                    </w:rPr>
                    <w:t>2、</w:t>
                  </w:r>
                  <w:r>
                    <w:rPr>
                      <w:rFonts w:hint="default"/>
                      <w:szCs w:val="22"/>
                      <w:highlight w:val="none"/>
                    </w:rPr>
                    <w:t>项目排放的</w:t>
                  </w:r>
                  <w:r>
                    <w:rPr>
                      <w:rFonts w:hint="eastAsia"/>
                      <w:szCs w:val="22"/>
                      <w:highlight w:val="none"/>
                      <w:lang w:eastAsia="zh-CN"/>
                    </w:rPr>
                    <w:t>VOCs</w:t>
                  </w:r>
                  <w:r>
                    <w:rPr>
                      <w:rFonts w:hint="default"/>
                      <w:szCs w:val="22"/>
                      <w:highlight w:val="none"/>
                    </w:rPr>
                    <w:t>拟实行区域内倍量替代</w:t>
                  </w:r>
                  <w:r>
                    <w:rPr>
                      <w:rFonts w:hint="default"/>
                      <w:szCs w:val="22"/>
                      <w:highlight w:val="none"/>
                      <w:lang w:eastAsia="zh-CN"/>
                    </w:rPr>
                    <w:t>。</w:t>
                  </w:r>
                </w:p>
                <w:p w14:paraId="2F6A8B0F">
                  <w:pPr>
                    <w:pStyle w:val="39"/>
                    <w:keepNext w:val="0"/>
                    <w:keepLines w:val="0"/>
                    <w:widowControl/>
                    <w:suppressLineNumbers w:val="0"/>
                    <w:bidi w:val="0"/>
                    <w:spacing w:before="0" w:beforeAutospacing="0" w:after="0" w:afterAutospacing="0"/>
                    <w:ind w:left="0" w:right="0"/>
                    <w:jc w:val="both"/>
                    <w:rPr>
                      <w:rFonts w:hint="default"/>
                      <w:szCs w:val="22"/>
                      <w:highlight w:val="none"/>
                      <w:lang w:val="en-US" w:eastAsia="zh-CN"/>
                    </w:rPr>
                  </w:pPr>
                  <w:r>
                    <w:rPr>
                      <w:rFonts w:hint="default"/>
                      <w:szCs w:val="22"/>
                      <w:highlight w:val="none"/>
                      <w:lang w:val="en-US" w:eastAsia="zh-CN"/>
                    </w:rPr>
                    <w:t>3、项目不涉及生产废水排放，生活污水依托厂区内现有的化粪池预处理后排入市政污水管网。</w:t>
                  </w:r>
                </w:p>
              </w:tc>
              <w:tc>
                <w:tcPr>
                  <w:tcW w:w="492" w:type="pct"/>
                  <w:vMerge w:val="restart"/>
                  <w:noWrap w:val="0"/>
                  <w:vAlign w:val="center"/>
                </w:tcPr>
                <w:p w14:paraId="78471FA1">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符合</w:t>
                  </w:r>
                </w:p>
              </w:tc>
            </w:tr>
            <w:tr w14:paraId="01E03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3" w:type="pct"/>
                  <w:noWrap w:val="0"/>
                  <w:vAlign w:val="center"/>
                </w:tcPr>
                <w:p w14:paraId="57443B10">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33金属制品业</w:t>
                  </w:r>
                </w:p>
              </w:tc>
              <w:tc>
                <w:tcPr>
                  <w:tcW w:w="2270" w:type="pct"/>
                  <w:vMerge w:val="continue"/>
                  <w:noWrap w:val="0"/>
                  <w:vAlign w:val="center"/>
                </w:tcPr>
                <w:p w14:paraId="1C487823">
                  <w:pPr>
                    <w:pStyle w:val="39"/>
                    <w:keepNext w:val="0"/>
                    <w:keepLines w:val="0"/>
                    <w:widowControl/>
                    <w:suppressLineNumbers w:val="0"/>
                    <w:bidi w:val="0"/>
                    <w:spacing w:before="0" w:beforeAutospacing="0" w:after="0" w:afterAutospacing="0"/>
                    <w:ind w:left="0" w:right="0"/>
                    <w:jc w:val="both"/>
                    <w:rPr>
                      <w:rFonts w:hint="default"/>
                      <w:szCs w:val="22"/>
                      <w:highlight w:val="none"/>
                    </w:rPr>
                  </w:pPr>
                </w:p>
              </w:tc>
              <w:tc>
                <w:tcPr>
                  <w:tcW w:w="1693" w:type="pct"/>
                  <w:vMerge w:val="continue"/>
                  <w:noWrap w:val="0"/>
                  <w:vAlign w:val="center"/>
                </w:tcPr>
                <w:p w14:paraId="1F8D412F">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p>
              </w:tc>
              <w:tc>
                <w:tcPr>
                  <w:tcW w:w="492" w:type="pct"/>
                  <w:vMerge w:val="continue"/>
                  <w:noWrap w:val="0"/>
                  <w:vAlign w:val="center"/>
                </w:tcPr>
                <w:p w14:paraId="1F6B5666">
                  <w:pPr>
                    <w:pStyle w:val="39"/>
                    <w:keepNext w:val="0"/>
                    <w:keepLines w:val="0"/>
                    <w:widowControl/>
                    <w:suppressLineNumbers w:val="0"/>
                    <w:bidi w:val="0"/>
                    <w:spacing w:before="0" w:beforeAutospacing="0" w:after="0" w:afterAutospacing="0"/>
                    <w:ind w:left="0" w:right="0"/>
                    <w:rPr>
                      <w:rFonts w:hint="default"/>
                      <w:szCs w:val="22"/>
                      <w:highlight w:val="none"/>
                    </w:rPr>
                  </w:pPr>
                </w:p>
              </w:tc>
            </w:tr>
            <w:tr w14:paraId="3F0E5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3" w:type="pct"/>
                  <w:noWrap w:val="0"/>
                  <w:vAlign w:val="center"/>
                </w:tcPr>
                <w:p w14:paraId="002F4685">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lang w:val="en-US" w:eastAsia="zh-CN"/>
                    </w:rPr>
                    <w:t>类别名称</w:t>
                  </w:r>
                </w:p>
              </w:tc>
              <w:tc>
                <w:tcPr>
                  <w:tcW w:w="2270" w:type="pct"/>
                  <w:noWrap w:val="0"/>
                  <w:vAlign w:val="center"/>
                </w:tcPr>
                <w:p w14:paraId="05D474E9">
                  <w:pPr>
                    <w:pStyle w:val="39"/>
                    <w:keepNext w:val="0"/>
                    <w:keepLines w:val="0"/>
                    <w:widowControl/>
                    <w:suppressLineNumbers w:val="0"/>
                    <w:bidi w:val="0"/>
                    <w:spacing w:before="0" w:beforeAutospacing="0" w:after="0" w:afterAutospacing="0"/>
                    <w:ind w:left="0" w:leftChars="0" w:right="0" w:rightChars="0"/>
                    <w:jc w:val="center"/>
                    <w:rPr>
                      <w:rFonts w:hint="default"/>
                      <w:szCs w:val="22"/>
                      <w:highlight w:val="none"/>
                    </w:rPr>
                  </w:pPr>
                  <w:r>
                    <w:rPr>
                      <w:rFonts w:hint="default"/>
                      <w:szCs w:val="22"/>
                      <w:highlight w:val="none"/>
                    </w:rPr>
                    <w:t>资源环境效率管控</w:t>
                  </w:r>
                </w:p>
              </w:tc>
              <w:tc>
                <w:tcPr>
                  <w:tcW w:w="1693" w:type="pct"/>
                  <w:noWrap w:val="0"/>
                  <w:vAlign w:val="center"/>
                </w:tcPr>
                <w:p w14:paraId="35987F82">
                  <w:pPr>
                    <w:pStyle w:val="39"/>
                    <w:keepNext w:val="0"/>
                    <w:keepLines w:val="0"/>
                    <w:widowControl/>
                    <w:suppressLineNumbers w:val="0"/>
                    <w:bidi w:val="0"/>
                    <w:spacing w:before="0" w:beforeAutospacing="0" w:after="0" w:afterAutospacing="0"/>
                    <w:ind w:left="0" w:right="0"/>
                    <w:jc w:val="center"/>
                    <w:rPr>
                      <w:rFonts w:hint="default"/>
                      <w:szCs w:val="22"/>
                      <w:highlight w:val="none"/>
                    </w:rPr>
                  </w:pPr>
                  <w:r>
                    <w:rPr>
                      <w:rFonts w:hint="default"/>
                      <w:szCs w:val="22"/>
                      <w:highlight w:val="none"/>
                    </w:rPr>
                    <w:t>本项目</w:t>
                  </w:r>
                </w:p>
              </w:tc>
              <w:tc>
                <w:tcPr>
                  <w:tcW w:w="492" w:type="pct"/>
                  <w:noWrap w:val="0"/>
                  <w:vAlign w:val="center"/>
                </w:tcPr>
                <w:p w14:paraId="12EC2C9E">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符合性</w:t>
                  </w:r>
                </w:p>
              </w:tc>
            </w:tr>
            <w:tr w14:paraId="1B674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8" w:hRule="atLeast"/>
              </w:trPr>
              <w:tc>
                <w:tcPr>
                  <w:tcW w:w="543" w:type="pct"/>
                  <w:noWrap w:val="0"/>
                  <w:vAlign w:val="center"/>
                </w:tcPr>
                <w:p w14:paraId="0142B8EF">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29橡胶和塑料制品业</w:t>
                  </w:r>
                </w:p>
              </w:tc>
              <w:tc>
                <w:tcPr>
                  <w:tcW w:w="2270" w:type="pct"/>
                  <w:noWrap w:val="0"/>
                  <w:vAlign w:val="center"/>
                </w:tcPr>
                <w:p w14:paraId="741A5AA0">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1</w:t>
                  </w:r>
                  <w:r>
                    <w:rPr>
                      <w:rFonts w:hint="eastAsia"/>
                      <w:szCs w:val="22"/>
                      <w:lang w:val="en-US" w:eastAsia="zh-CN"/>
                    </w:rPr>
                    <w:t xml:space="preserve">、能耗不超过 </w:t>
                  </w:r>
                  <w:r>
                    <w:rPr>
                      <w:rFonts w:hint="default"/>
                      <w:szCs w:val="22"/>
                      <w:lang w:val="en-US" w:eastAsia="zh-CN"/>
                    </w:rPr>
                    <w:t xml:space="preserve">0.23 </w:t>
                  </w:r>
                  <w:r>
                    <w:rPr>
                      <w:rFonts w:hint="eastAsia"/>
                      <w:szCs w:val="22"/>
                      <w:lang w:val="en-US" w:eastAsia="zh-CN"/>
                    </w:rPr>
                    <w:t>吨标煤</w:t>
                  </w:r>
                  <w:r>
                    <w:rPr>
                      <w:rFonts w:hint="default"/>
                      <w:szCs w:val="22"/>
                      <w:lang w:val="en-US" w:eastAsia="zh-CN"/>
                    </w:rPr>
                    <w:t>/</w:t>
                  </w:r>
                  <w:r>
                    <w:rPr>
                      <w:rFonts w:hint="eastAsia"/>
                      <w:szCs w:val="22"/>
                      <w:lang w:val="en-US" w:eastAsia="zh-CN"/>
                    </w:rPr>
                    <w:t>万元工业增加值</w:t>
                  </w:r>
                </w:p>
                <w:p w14:paraId="57DF2F1C">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2</w:t>
                  </w:r>
                  <w:r>
                    <w:rPr>
                      <w:rFonts w:hint="eastAsia"/>
                      <w:szCs w:val="22"/>
                      <w:lang w:val="en-US" w:eastAsia="zh-CN"/>
                    </w:rPr>
                    <w:t xml:space="preserve">、水耗不超过 </w:t>
                  </w:r>
                  <w:r>
                    <w:rPr>
                      <w:rFonts w:hint="default"/>
                      <w:szCs w:val="22"/>
                      <w:lang w:val="en-US" w:eastAsia="zh-CN"/>
                    </w:rPr>
                    <w:t>1.19 t/</w:t>
                  </w:r>
                  <w:r>
                    <w:rPr>
                      <w:rFonts w:hint="eastAsia"/>
                      <w:szCs w:val="22"/>
                      <w:lang w:val="en-US" w:eastAsia="zh-CN"/>
                    </w:rPr>
                    <w:t>万元工业增加值</w:t>
                  </w:r>
                </w:p>
                <w:p w14:paraId="11E768F8">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3</w:t>
                  </w:r>
                  <w:r>
                    <w:rPr>
                      <w:rFonts w:hint="eastAsia"/>
                      <w:szCs w:val="22"/>
                      <w:lang w:val="en-US" w:eastAsia="zh-CN"/>
                    </w:rPr>
                    <w:t xml:space="preserve">、污水排放量不超过 </w:t>
                  </w:r>
                  <w:r>
                    <w:rPr>
                      <w:rFonts w:hint="default"/>
                      <w:szCs w:val="22"/>
                      <w:lang w:val="en-US" w:eastAsia="zh-CN"/>
                    </w:rPr>
                    <w:t>0.46t/</w:t>
                  </w:r>
                  <w:r>
                    <w:rPr>
                      <w:rFonts w:hint="eastAsia"/>
                      <w:szCs w:val="22"/>
                      <w:lang w:val="en-US" w:eastAsia="zh-CN"/>
                    </w:rPr>
                    <w:t>万元工业增加值</w:t>
                  </w:r>
                </w:p>
                <w:p w14:paraId="0305C1CC">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4</w:t>
                  </w:r>
                  <w:r>
                    <w:rPr>
                      <w:rFonts w:hint="eastAsia"/>
                      <w:szCs w:val="22"/>
                      <w:lang w:val="en-US" w:eastAsia="zh-CN"/>
                    </w:rPr>
                    <w:t>、</w:t>
                  </w:r>
                  <w:r>
                    <w:rPr>
                      <w:rFonts w:hint="default"/>
                      <w:szCs w:val="22"/>
                      <w:lang w:val="en-US" w:eastAsia="zh-CN"/>
                    </w:rPr>
                    <w:t xml:space="preserve">VOCs </w:t>
                  </w:r>
                  <w:r>
                    <w:rPr>
                      <w:rFonts w:hint="eastAsia"/>
                      <w:szCs w:val="22"/>
                      <w:lang w:val="en-US" w:eastAsia="zh-CN"/>
                    </w:rPr>
                    <w:t xml:space="preserve">排放量不超过 </w:t>
                  </w:r>
                  <w:r>
                    <w:rPr>
                      <w:rFonts w:hint="default"/>
                      <w:szCs w:val="22"/>
                      <w:lang w:val="en-US" w:eastAsia="zh-CN"/>
                    </w:rPr>
                    <w:t>0.46kg/</w:t>
                  </w:r>
                  <w:r>
                    <w:rPr>
                      <w:rFonts w:hint="eastAsia"/>
                      <w:szCs w:val="22"/>
                      <w:lang w:val="en-US" w:eastAsia="zh-CN"/>
                    </w:rPr>
                    <w:t>万元工业增加值</w:t>
                  </w:r>
                </w:p>
              </w:tc>
              <w:tc>
                <w:tcPr>
                  <w:tcW w:w="1693" w:type="pct"/>
                  <w:vMerge w:val="restart"/>
                  <w:noWrap w:val="0"/>
                  <w:vAlign w:val="center"/>
                </w:tcPr>
                <w:p w14:paraId="219C4E36">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根据建设单位提供</w:t>
                  </w:r>
                  <w:r>
                    <w:rPr>
                      <w:rFonts w:hint="eastAsia"/>
                      <w:szCs w:val="22"/>
                      <w:highlight w:val="none"/>
                      <w:lang w:val="en-US" w:eastAsia="zh-CN"/>
                    </w:rPr>
                    <w:t>的</w:t>
                  </w:r>
                  <w:r>
                    <w:rPr>
                      <w:rFonts w:hint="default"/>
                      <w:szCs w:val="22"/>
                      <w:highlight w:val="none"/>
                    </w:rPr>
                    <w:t>资料，项目建成投产后工业增加值约为</w:t>
                  </w:r>
                  <w:r>
                    <w:rPr>
                      <w:rFonts w:hint="eastAsia"/>
                      <w:szCs w:val="22"/>
                      <w:highlight w:val="none"/>
                      <w:lang w:val="en-US" w:eastAsia="zh-CN"/>
                    </w:rPr>
                    <w:t>1200</w:t>
                  </w:r>
                  <w:r>
                    <w:rPr>
                      <w:rFonts w:hint="default"/>
                      <w:szCs w:val="22"/>
                      <w:highlight w:val="none"/>
                    </w:rPr>
                    <w:t>万元：1、</w:t>
                  </w:r>
                  <w:r>
                    <w:rPr>
                      <w:rFonts w:hint="eastAsia"/>
                      <w:szCs w:val="22"/>
                      <w:highlight w:val="none"/>
                      <w:lang w:val="en-US" w:eastAsia="zh-CN"/>
                    </w:rPr>
                    <w:t>能耗为0.00205吨标煤/万元；</w:t>
                  </w:r>
                  <w:r>
                    <w:rPr>
                      <w:rFonts w:hint="default"/>
                      <w:szCs w:val="22"/>
                      <w:highlight w:val="none"/>
                    </w:rPr>
                    <w:t xml:space="preserve">2、水耗：0.1625 </w:t>
                  </w:r>
                  <w:r>
                    <w:rPr>
                      <w:rFonts w:hint="default"/>
                      <w:szCs w:val="22"/>
                    </w:rPr>
                    <w:t>t/万元工业增加值</w:t>
                  </w:r>
                  <w:r>
                    <w:rPr>
                      <w:rFonts w:hint="eastAsia"/>
                      <w:szCs w:val="22"/>
                      <w:lang w:eastAsia="zh-CN"/>
                    </w:rPr>
                    <w:t>；</w:t>
                  </w:r>
                  <w:r>
                    <w:rPr>
                      <w:rFonts w:hint="default"/>
                      <w:szCs w:val="22"/>
                      <w:highlight w:val="none"/>
                    </w:rPr>
                    <w:t>3、污水排量：0.13 t/万元</w:t>
                  </w:r>
                  <w:r>
                    <w:rPr>
                      <w:rFonts w:hint="default"/>
                      <w:szCs w:val="22"/>
                    </w:rPr>
                    <w:t>工业增加值</w:t>
                  </w:r>
                  <w:r>
                    <w:rPr>
                      <w:rFonts w:hint="eastAsia"/>
                      <w:szCs w:val="22"/>
                      <w:lang w:eastAsia="zh-CN"/>
                    </w:rPr>
                    <w:t>；</w:t>
                  </w:r>
                  <w:r>
                    <w:rPr>
                      <w:rFonts w:hint="default"/>
                      <w:szCs w:val="22"/>
                      <w:highlight w:val="none"/>
                    </w:rPr>
                    <w:t>4、VOCs排放量0.3838 kg/万元</w:t>
                  </w:r>
                  <w:r>
                    <w:rPr>
                      <w:rFonts w:hint="default"/>
                      <w:szCs w:val="22"/>
                    </w:rPr>
                    <w:t>工业增加值</w:t>
                  </w:r>
                  <w:r>
                    <w:rPr>
                      <w:rFonts w:hint="default"/>
                      <w:szCs w:val="22"/>
                      <w:highlight w:val="none"/>
                    </w:rPr>
                    <w:t>，不超过资源利用上限。</w:t>
                  </w:r>
                </w:p>
              </w:tc>
              <w:tc>
                <w:tcPr>
                  <w:tcW w:w="492" w:type="pct"/>
                  <w:vMerge w:val="restart"/>
                  <w:noWrap w:val="0"/>
                  <w:vAlign w:val="center"/>
                </w:tcPr>
                <w:p w14:paraId="4AA68723">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符合</w:t>
                  </w:r>
                </w:p>
              </w:tc>
            </w:tr>
            <w:tr w14:paraId="179AD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3" w:type="pct"/>
                  <w:noWrap w:val="0"/>
                  <w:vAlign w:val="center"/>
                </w:tcPr>
                <w:p w14:paraId="0C289112">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33金属制品业</w:t>
                  </w:r>
                </w:p>
              </w:tc>
              <w:tc>
                <w:tcPr>
                  <w:tcW w:w="2270" w:type="pct"/>
                  <w:noWrap w:val="0"/>
                  <w:vAlign w:val="center"/>
                </w:tcPr>
                <w:p w14:paraId="7F6EB36D">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1、能耗不超过 0.04 吨标煤/万元工业增加值</w:t>
                  </w:r>
                </w:p>
                <w:p w14:paraId="3DE16397">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2、水耗不超过 1.19 t/万元工业增加值</w:t>
                  </w:r>
                </w:p>
                <w:p w14:paraId="10634486">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3、污水排放量不超过 0.70t/万元工业增加值</w:t>
                  </w:r>
                </w:p>
                <w:p w14:paraId="45FFE3B6">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4、VOCs 排放量不超过 0.43kg/万元工业增加值</w:t>
                  </w:r>
                </w:p>
              </w:tc>
              <w:tc>
                <w:tcPr>
                  <w:tcW w:w="1693" w:type="pct"/>
                  <w:vMerge w:val="continue"/>
                  <w:noWrap w:val="0"/>
                  <w:vAlign w:val="center"/>
                </w:tcPr>
                <w:p w14:paraId="174FE54B">
                  <w:pPr>
                    <w:pStyle w:val="39"/>
                    <w:keepNext w:val="0"/>
                    <w:keepLines w:val="0"/>
                    <w:widowControl/>
                    <w:suppressLineNumbers w:val="0"/>
                    <w:bidi w:val="0"/>
                    <w:spacing w:before="0" w:beforeAutospacing="0" w:after="0" w:afterAutospacing="0"/>
                    <w:ind w:left="0" w:right="0"/>
                    <w:rPr>
                      <w:rFonts w:hint="default"/>
                      <w:szCs w:val="22"/>
                      <w:highlight w:val="none"/>
                    </w:rPr>
                  </w:pPr>
                </w:p>
              </w:tc>
              <w:tc>
                <w:tcPr>
                  <w:tcW w:w="492" w:type="pct"/>
                  <w:vMerge w:val="continue"/>
                  <w:noWrap w:val="0"/>
                  <w:vAlign w:val="center"/>
                </w:tcPr>
                <w:p w14:paraId="2AE6E4BF">
                  <w:pPr>
                    <w:pStyle w:val="39"/>
                    <w:keepNext w:val="0"/>
                    <w:keepLines w:val="0"/>
                    <w:widowControl/>
                    <w:suppressLineNumbers w:val="0"/>
                    <w:bidi w:val="0"/>
                    <w:spacing w:before="0" w:beforeAutospacing="0" w:after="0" w:afterAutospacing="0"/>
                    <w:ind w:left="0" w:right="0"/>
                    <w:rPr>
                      <w:rFonts w:hint="default"/>
                      <w:szCs w:val="22"/>
                      <w:highlight w:val="none"/>
                    </w:rPr>
                  </w:pPr>
                </w:p>
              </w:tc>
            </w:tr>
          </w:tbl>
          <w:p w14:paraId="5971EDAB">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
                <w:bCs/>
                <w:color w:val="auto"/>
                <w:lang w:eastAsia="zh-CN"/>
              </w:rPr>
            </w:pPr>
            <w:r>
              <w:rPr>
                <w:rFonts w:hint="default"/>
              </w:rPr>
              <w:t>表</w:t>
            </w:r>
            <w:r>
              <w:rPr>
                <w:rFonts w:hint="eastAsia"/>
                <w:lang w:val="en-US" w:eastAsia="zh-CN"/>
              </w:rPr>
              <w:t xml:space="preserve">1.3-2 </w:t>
            </w:r>
            <w:r>
              <w:rPr>
                <w:rFonts w:hint="default"/>
                <w:lang w:val="en-GB"/>
              </w:rPr>
              <w:t>项目与规划环评审查意见的符合性分析</w:t>
            </w:r>
            <w:r>
              <w:rPr>
                <w:rFonts w:hint="eastAsia"/>
                <w:lang w:val="en-GB" w:eastAsia="zh-CN"/>
              </w:rPr>
              <w:t>（</w:t>
            </w:r>
            <w:r>
              <w:rPr>
                <w:rFonts w:hint="default"/>
                <w:lang w:val="en-GB"/>
              </w:rPr>
              <w:t>摘录</w:t>
            </w:r>
            <w:r>
              <w:rPr>
                <w:rFonts w:hint="eastAsia"/>
                <w:lang w:val="en-GB" w:eastAsia="zh-CN"/>
              </w:rPr>
              <w:t>）</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28"/>
              <w:gridCol w:w="3551"/>
              <w:gridCol w:w="2238"/>
              <w:gridCol w:w="906"/>
            </w:tblGrid>
            <w:tr w14:paraId="6A4CCE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trPr>
              <w:tc>
                <w:tcPr>
                  <w:tcW w:w="3998" w:type="dxa"/>
                  <w:gridSpan w:val="2"/>
                  <w:tcBorders>
                    <w:top w:val="single" w:color="auto" w:sz="4" w:space="0"/>
                    <w:bottom w:val="single" w:color="auto" w:sz="4" w:space="0"/>
                  </w:tcBorders>
                  <w:noWrap w:val="0"/>
                  <w:vAlign w:val="center"/>
                </w:tcPr>
                <w:p w14:paraId="0A22F51C">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关于《福清融侨经济技术开发区总体规划（2018-2035 年）环境影响报告书》的审查意见</w:t>
                  </w:r>
                  <w:r>
                    <w:rPr>
                      <w:rFonts w:hint="eastAsia"/>
                      <w:szCs w:val="22"/>
                      <w:lang w:eastAsia="zh-CN"/>
                    </w:rPr>
                    <w:t>（</w:t>
                  </w:r>
                  <w:r>
                    <w:rPr>
                      <w:rFonts w:hint="default"/>
                      <w:szCs w:val="22"/>
                    </w:rPr>
                    <w:t>环审</w:t>
                  </w:r>
                  <w:r>
                    <w:rPr>
                      <w:rFonts w:hint="eastAsia"/>
                      <w:szCs w:val="22"/>
                      <w:lang w:eastAsia="zh-CN"/>
                    </w:rPr>
                    <w:t>〔2020〕80号）</w:t>
                  </w:r>
                  <w:r>
                    <w:rPr>
                      <w:rFonts w:hint="default"/>
                      <w:szCs w:val="22"/>
                    </w:rPr>
                    <w:t>摘录</w:t>
                  </w:r>
                </w:p>
              </w:tc>
              <w:tc>
                <w:tcPr>
                  <w:tcW w:w="2250" w:type="dxa"/>
                  <w:tcBorders>
                    <w:top w:val="single" w:color="auto" w:sz="4" w:space="0"/>
                    <w:bottom w:val="single" w:color="auto" w:sz="4" w:space="0"/>
                  </w:tcBorders>
                  <w:noWrap w:val="0"/>
                  <w:vAlign w:val="center"/>
                </w:tcPr>
                <w:p w14:paraId="47564755">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本项目情况</w:t>
                  </w:r>
                </w:p>
              </w:tc>
              <w:tc>
                <w:tcPr>
                  <w:tcW w:w="909" w:type="dxa"/>
                  <w:tcBorders>
                    <w:top w:val="single" w:color="auto" w:sz="4" w:space="0"/>
                    <w:bottom w:val="single" w:color="auto" w:sz="4" w:space="0"/>
                  </w:tcBorders>
                  <w:noWrap w:val="0"/>
                  <w:vAlign w:val="center"/>
                </w:tcPr>
                <w:p w14:paraId="6A769631">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符合性</w:t>
                  </w:r>
                </w:p>
              </w:tc>
            </w:tr>
            <w:tr w14:paraId="4C4668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10" w:hRule="atLeast"/>
              </w:trPr>
              <w:tc>
                <w:tcPr>
                  <w:tcW w:w="428" w:type="dxa"/>
                  <w:tcBorders>
                    <w:top w:val="single" w:color="auto" w:sz="4" w:space="0"/>
                  </w:tcBorders>
                  <w:noWrap w:val="0"/>
                  <w:vAlign w:val="center"/>
                </w:tcPr>
                <w:p w14:paraId="481C6C2F">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审查意见</w:t>
                  </w:r>
                </w:p>
              </w:tc>
              <w:tc>
                <w:tcPr>
                  <w:tcW w:w="3570" w:type="dxa"/>
                  <w:tcBorders>
                    <w:top w:val="single" w:color="auto" w:sz="4" w:space="0"/>
                  </w:tcBorders>
                  <w:noWrap w:val="0"/>
                  <w:vAlign w:val="center"/>
                </w:tcPr>
                <w:p w14:paraId="00C71B59">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严格入区项目生态环境准入……强化现有及入区企业挥发性有机物排放控制，禁止新增排放涉重金属污染物项目入区，禁止与主导行业不相关且污染物排放量大的项目入区。……</w:t>
                  </w:r>
                </w:p>
              </w:tc>
              <w:tc>
                <w:tcPr>
                  <w:tcW w:w="2250" w:type="dxa"/>
                  <w:tcBorders>
                    <w:top w:val="single" w:color="auto" w:sz="4" w:space="0"/>
                  </w:tcBorders>
                  <w:noWrap w:val="0"/>
                  <w:vAlign w:val="center"/>
                </w:tcPr>
                <w:p w14:paraId="7FB41FDA">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default"/>
                      <w:szCs w:val="22"/>
                    </w:rPr>
                    <w:t>本项目挥发性有机物排放量较小，对外环境影响较小</w:t>
                  </w:r>
                  <w:r>
                    <w:rPr>
                      <w:rFonts w:hint="eastAsia"/>
                      <w:szCs w:val="22"/>
                      <w:lang w:eastAsia="zh-CN"/>
                    </w:rPr>
                    <w:t>且</w:t>
                  </w:r>
                  <w:r>
                    <w:rPr>
                      <w:rFonts w:hint="default"/>
                      <w:szCs w:val="22"/>
                    </w:rPr>
                    <w:t>本项目不涉及重金属污染物的排放</w:t>
                  </w:r>
                  <w:r>
                    <w:rPr>
                      <w:rFonts w:hint="eastAsia"/>
                      <w:szCs w:val="22"/>
                      <w:lang w:eastAsia="zh-CN"/>
                    </w:rPr>
                    <w:t>。</w:t>
                  </w:r>
                </w:p>
              </w:tc>
              <w:tc>
                <w:tcPr>
                  <w:tcW w:w="909" w:type="dxa"/>
                  <w:tcBorders>
                    <w:top w:val="single" w:color="auto" w:sz="4" w:space="0"/>
                  </w:tcBorders>
                  <w:noWrap w:val="0"/>
                  <w:vAlign w:val="center"/>
                </w:tcPr>
                <w:p w14:paraId="2D1037FE">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符合</w:t>
                  </w:r>
                </w:p>
              </w:tc>
            </w:tr>
          </w:tbl>
          <w:p w14:paraId="76A57D30">
            <w:pPr>
              <w:keepNext w:val="0"/>
              <w:keepLines w:val="0"/>
              <w:suppressLineNumbers w:val="0"/>
              <w:bidi w:val="0"/>
              <w:spacing w:before="0" w:beforeAutospacing="0" w:after="0" w:afterAutospacing="0"/>
              <w:ind w:left="0" w:right="0"/>
              <w:rPr>
                <w:rFonts w:hint="eastAsia"/>
                <w:color w:val="auto"/>
              </w:rPr>
            </w:pPr>
            <w:r>
              <w:rPr>
                <w:rFonts w:hint="eastAsia"/>
              </w:rPr>
              <w:t>综上，项目符合《</w:t>
            </w:r>
            <w:r>
              <w:rPr>
                <w:rFonts w:hint="eastAsia"/>
                <w:lang w:val="en-GB"/>
              </w:rPr>
              <w:t>福清融侨经济技术开发区总体规划环境影响报告书</w:t>
            </w:r>
            <w:r>
              <w:rPr>
                <w:rFonts w:hint="eastAsia"/>
                <w:lang w:eastAsia="zh-CN"/>
              </w:rPr>
              <w:t>（</w:t>
            </w:r>
            <w:r>
              <w:rPr>
                <w:rFonts w:hint="eastAsia"/>
                <w:lang w:val="en-GB"/>
              </w:rPr>
              <w:t>2018</w:t>
            </w:r>
            <w:r>
              <w:rPr>
                <w:rFonts w:hint="eastAsia"/>
              </w:rPr>
              <w:t>-</w:t>
            </w:r>
            <w:r>
              <w:rPr>
                <w:rFonts w:hint="eastAsia"/>
                <w:lang w:val="en-GB"/>
              </w:rPr>
              <w:t>2035年</w:t>
            </w:r>
            <w:r>
              <w:rPr>
                <w:rFonts w:hint="eastAsia"/>
                <w:lang w:eastAsia="zh-CN"/>
              </w:rPr>
              <w:t>）</w:t>
            </w:r>
            <w:r>
              <w:rPr>
                <w:rFonts w:hint="eastAsia"/>
              </w:rPr>
              <w:t>》及其审查小组意见中的相关要求。</w:t>
            </w:r>
          </w:p>
        </w:tc>
      </w:tr>
      <w:tr w14:paraId="6F35E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31" w:type="dxa"/>
            <w:noWrap w:val="0"/>
            <w:vAlign w:val="center"/>
          </w:tcPr>
          <w:p w14:paraId="1FDB43EE">
            <w:pPr>
              <w:pStyle w:val="41"/>
              <w:keepNext w:val="0"/>
              <w:keepLines w:val="0"/>
              <w:suppressLineNumbers w:val="0"/>
              <w:bidi w:val="0"/>
              <w:spacing w:before="0" w:beforeAutospacing="0" w:after="0" w:afterAutospacing="0"/>
              <w:ind w:left="0" w:right="0"/>
              <w:rPr>
                <w:rFonts w:hint="eastAsia"/>
              </w:rPr>
            </w:pPr>
            <w:r>
              <w:rPr>
                <w:rFonts w:hint="eastAsia"/>
              </w:rPr>
              <w:t>其他符合性分析</w:t>
            </w:r>
          </w:p>
        </w:tc>
        <w:tc>
          <w:tcPr>
            <w:tcW w:w="7339" w:type="dxa"/>
            <w:gridSpan w:val="3"/>
            <w:noWrap w:val="0"/>
            <w:vAlign w:val="center"/>
          </w:tcPr>
          <w:p w14:paraId="452D4389">
            <w:pPr>
              <w:pStyle w:val="3"/>
              <w:keepNext w:val="0"/>
              <w:keepLines w:val="0"/>
              <w:suppressLineNumbers w:val="0"/>
              <w:bidi w:val="0"/>
              <w:spacing w:before="0" w:beforeAutospacing="0" w:after="0" w:afterAutospacing="0"/>
              <w:ind w:left="0" w:right="0"/>
              <w:rPr>
                <w:rFonts w:hint="default"/>
              </w:rPr>
            </w:pPr>
            <w:r>
              <w:rPr>
                <w:rStyle w:val="42"/>
                <w:rFonts w:hint="default"/>
                <w:b/>
                <w:bCs/>
              </w:rPr>
              <w:t>产业政策符合性分析</w:t>
            </w:r>
          </w:p>
          <w:p w14:paraId="3511B631">
            <w:pPr>
              <w:keepNext w:val="0"/>
              <w:keepLines w:val="0"/>
              <w:suppressLineNumbers w:val="0"/>
              <w:bidi w:val="0"/>
              <w:spacing w:before="0" w:beforeAutospacing="0" w:after="0" w:afterAutospacing="0"/>
              <w:ind w:left="0" w:right="0"/>
              <w:rPr>
                <w:rFonts w:hint="default"/>
              </w:rPr>
            </w:pPr>
            <w:r>
              <w:rPr>
                <w:rFonts w:hint="default"/>
              </w:rPr>
              <w:t>本项目主要从事</w:t>
            </w:r>
            <w:r>
              <w:rPr>
                <w:rFonts w:hint="eastAsia"/>
                <w:lang w:val="en-US" w:eastAsia="zh-CN"/>
              </w:rPr>
              <w:t>铝合金、塑胶件及钣金件加工生产</w:t>
            </w:r>
            <w:r>
              <w:rPr>
                <w:rFonts w:hint="default"/>
              </w:rPr>
              <w:t>，</w:t>
            </w:r>
            <w:r>
              <w:rPr>
                <w:rFonts w:hint="default"/>
                <w:color w:val="000000"/>
                <w:lang w:val="en-US" w:eastAsia="zh-CN"/>
              </w:rPr>
              <w:t>根据《产业结构调整指导目录（20</w:t>
            </w:r>
            <w:r>
              <w:rPr>
                <w:rFonts w:hint="eastAsia"/>
                <w:color w:val="000000"/>
                <w:lang w:val="en-US" w:eastAsia="zh-CN"/>
              </w:rPr>
              <w:t>24</w:t>
            </w:r>
            <w:r>
              <w:rPr>
                <w:rFonts w:hint="default"/>
                <w:color w:val="000000"/>
                <w:lang w:val="en-US" w:eastAsia="zh-CN"/>
              </w:rPr>
              <w:t>年本）》，本项目产品、生产工艺及设备均不属于产业政策中的限制和</w:t>
            </w:r>
            <w:r>
              <w:rPr>
                <w:rFonts w:hint="default"/>
                <w:color w:val="000000"/>
                <w:highlight w:val="none"/>
                <w:lang w:val="en-US" w:eastAsia="zh-CN"/>
              </w:rPr>
              <w:t>禁止类，符合国家产业政策</w:t>
            </w:r>
            <w:r>
              <w:rPr>
                <w:rFonts w:hint="eastAsia"/>
                <w:color w:val="000000"/>
                <w:highlight w:val="none"/>
                <w:lang w:val="en-US" w:eastAsia="zh-CN"/>
              </w:rPr>
              <w:t>。</w:t>
            </w:r>
            <w:r>
              <w:rPr>
                <w:rFonts w:hint="eastAsia"/>
                <w:highlight w:val="none"/>
                <w:lang w:val="en-US" w:eastAsia="zh-CN"/>
              </w:rPr>
              <w:t>该项目于2026年01月04日取得了福清市发展和改革局的备案（闽发改备〔2026〕A060034号，详见</w:t>
            </w:r>
            <w:r>
              <w:rPr>
                <w:rStyle w:val="46"/>
                <w:rFonts w:hint="eastAsia"/>
                <w:lang w:val="en-US" w:eastAsia="zh-CN"/>
              </w:rPr>
              <w:fldChar w:fldCharType="begin"/>
            </w:r>
            <w:r>
              <w:rPr>
                <w:rStyle w:val="46"/>
                <w:rFonts w:hint="eastAsia"/>
                <w:lang w:val="en-US" w:eastAsia="zh-CN"/>
              </w:rPr>
              <w:instrText xml:space="preserve"> REF _Ref22029 \h </w:instrText>
            </w:r>
            <w:r>
              <w:rPr>
                <w:rStyle w:val="46"/>
                <w:rFonts w:hint="eastAsia"/>
                <w:lang w:val="en-US" w:eastAsia="zh-CN"/>
              </w:rPr>
              <w:fldChar w:fldCharType="separate"/>
            </w:r>
            <w:r>
              <w:rPr>
                <w:rStyle w:val="46"/>
                <w:rFonts w:hint="eastAsia"/>
              </w:rPr>
              <w:t>附件 4</w:t>
            </w:r>
            <w:r>
              <w:rPr>
                <w:rStyle w:val="46"/>
                <w:rFonts w:hint="eastAsia"/>
                <w:lang w:val="en-US" w:eastAsia="zh-CN"/>
              </w:rPr>
              <w:fldChar w:fldCharType="end"/>
            </w:r>
            <w:r>
              <w:rPr>
                <w:rFonts w:hint="eastAsia"/>
                <w:highlight w:val="none"/>
                <w:lang w:val="en-US" w:eastAsia="zh-CN"/>
              </w:rPr>
              <w:t>），</w:t>
            </w:r>
            <w:r>
              <w:rPr>
                <w:rFonts w:hint="default"/>
                <w:highlight w:val="none"/>
              </w:rPr>
              <w:t>该项目的建设符合国家当前的产业政策要求。</w:t>
            </w:r>
          </w:p>
          <w:p w14:paraId="102B0677">
            <w:pPr>
              <w:pStyle w:val="3"/>
              <w:keepNext w:val="0"/>
              <w:keepLines w:val="0"/>
              <w:suppressLineNumbers w:val="0"/>
              <w:bidi w:val="0"/>
              <w:spacing w:before="0" w:beforeAutospacing="0" w:after="0" w:afterAutospacing="0"/>
              <w:ind w:left="0" w:right="0"/>
              <w:rPr>
                <w:rFonts w:hint="default"/>
              </w:rPr>
            </w:pPr>
            <w:r>
              <w:rPr>
                <w:rFonts w:hint="eastAsia"/>
                <w:color w:val="000000"/>
                <w:lang w:val="en-US" w:eastAsia="zh-CN"/>
              </w:rPr>
              <w:t>项目土地利用规划合理性</w:t>
            </w:r>
            <w:r>
              <w:rPr>
                <w:rFonts w:hint="default"/>
              </w:rPr>
              <w:t>分析</w:t>
            </w:r>
          </w:p>
          <w:p w14:paraId="29F2B348">
            <w:pPr>
              <w:keepNext w:val="0"/>
              <w:keepLines w:val="0"/>
              <w:suppressLineNumbers w:val="0"/>
              <w:bidi w:val="0"/>
              <w:spacing w:before="0" w:beforeAutospacing="0" w:after="0" w:afterAutospacing="0"/>
              <w:ind w:left="0" w:right="0"/>
              <w:rPr>
                <w:rFonts w:hint="default"/>
              </w:rPr>
            </w:pPr>
            <w:r>
              <w:rPr>
                <w:rFonts w:hint="eastAsia"/>
                <w:lang w:val="en-US" w:eastAsia="zh-CN"/>
              </w:rPr>
              <w:t>根据建设单位提供的租赁合同（见</w:t>
            </w:r>
            <w:r>
              <w:rPr>
                <w:rStyle w:val="46"/>
                <w:rFonts w:hint="eastAsia"/>
                <w:lang w:val="en-US" w:eastAsia="zh-CN"/>
              </w:rPr>
              <w:fldChar w:fldCharType="begin"/>
            </w:r>
            <w:r>
              <w:rPr>
                <w:rStyle w:val="46"/>
                <w:rFonts w:hint="eastAsia"/>
                <w:lang w:val="en-US" w:eastAsia="zh-CN"/>
              </w:rPr>
              <w:instrText xml:space="preserve"> REF _Ref4970 \h </w:instrText>
            </w:r>
            <w:r>
              <w:rPr>
                <w:rStyle w:val="46"/>
                <w:rFonts w:hint="eastAsia"/>
                <w:lang w:val="en-US" w:eastAsia="zh-CN"/>
              </w:rPr>
              <w:fldChar w:fldCharType="separate"/>
            </w:r>
            <w:r>
              <w:rPr>
                <w:rStyle w:val="46"/>
                <w:rFonts w:hint="eastAsia"/>
              </w:rPr>
              <w:t>附件 7</w:t>
            </w:r>
            <w:r>
              <w:rPr>
                <w:rStyle w:val="46"/>
                <w:rFonts w:hint="eastAsia"/>
                <w:lang w:val="en-US" w:eastAsia="zh-CN"/>
              </w:rPr>
              <w:fldChar w:fldCharType="end"/>
            </w:r>
            <w:r>
              <w:rPr>
                <w:rFonts w:hint="eastAsia"/>
                <w:lang w:val="en-US" w:eastAsia="zh-CN"/>
              </w:rPr>
              <w:t>），福清市三合电子科技有限公司</w:t>
            </w:r>
            <w:r>
              <w:rPr>
                <w:rFonts w:hint="default"/>
              </w:rPr>
              <w:t>租赁</w:t>
            </w:r>
            <w:r>
              <w:rPr>
                <w:rFonts w:hint="eastAsia"/>
                <w:lang w:val="en-US" w:eastAsia="zh-CN"/>
              </w:rPr>
              <w:t>福清洪添科技有限公司</w:t>
            </w:r>
            <w:r>
              <w:rPr>
                <w:rFonts w:hint="default"/>
              </w:rPr>
              <w:t>厂房作为生产用地。根据</w:t>
            </w:r>
            <w:r>
              <w:rPr>
                <w:rFonts w:hint="eastAsia"/>
                <w:lang w:eastAsia="zh-CN"/>
              </w:rPr>
              <w:t>福清洪添科技有限公司</w:t>
            </w:r>
            <w:r>
              <w:rPr>
                <w:rFonts w:hint="eastAsia"/>
                <w:lang w:val="en-US" w:eastAsia="zh-CN"/>
              </w:rPr>
              <w:t>产权</w:t>
            </w:r>
            <w:r>
              <w:rPr>
                <w:rFonts w:hint="default"/>
              </w:rPr>
              <w:t>证（见</w:t>
            </w:r>
            <w:r>
              <w:rPr>
                <w:rStyle w:val="46"/>
                <w:rFonts w:hint="default"/>
                <w:lang w:val="en-US"/>
              </w:rPr>
              <w:fldChar w:fldCharType="begin"/>
            </w:r>
            <w:r>
              <w:rPr>
                <w:rStyle w:val="46"/>
                <w:rFonts w:hint="default"/>
                <w:lang w:val="en-US"/>
              </w:rPr>
              <w:instrText xml:space="preserve"> REF _Ref5002 \h </w:instrText>
            </w:r>
            <w:r>
              <w:rPr>
                <w:rStyle w:val="46"/>
                <w:rFonts w:hint="default"/>
                <w:lang w:val="en-US"/>
              </w:rPr>
              <w:fldChar w:fldCharType="separate"/>
            </w:r>
            <w:r>
              <w:rPr>
                <w:rStyle w:val="46"/>
                <w:rFonts w:hint="eastAsia"/>
              </w:rPr>
              <w:t>附件 6</w:t>
            </w:r>
            <w:r>
              <w:rPr>
                <w:rStyle w:val="46"/>
                <w:rFonts w:hint="default"/>
                <w:lang w:val="en-US"/>
              </w:rPr>
              <w:fldChar w:fldCharType="end"/>
            </w:r>
            <w:r>
              <w:rPr>
                <w:rFonts w:hint="default"/>
              </w:rPr>
              <w:t>）可知，</w:t>
            </w:r>
            <w:r>
              <w:rPr>
                <w:rFonts w:hint="eastAsia"/>
              </w:rPr>
              <w:t>土地用途为</w:t>
            </w:r>
            <w:r>
              <w:rPr>
                <w:rFonts w:hint="eastAsia"/>
                <w:lang w:val="en-US" w:eastAsia="zh-CN"/>
              </w:rPr>
              <w:t>工业用地</w:t>
            </w:r>
            <w:r>
              <w:rPr>
                <w:rFonts w:hint="eastAsia"/>
              </w:rPr>
              <w:t>，本项目主要</w:t>
            </w:r>
            <w:r>
              <w:rPr>
                <w:rFonts w:hint="eastAsia"/>
                <w:lang w:eastAsia="zh-CN"/>
              </w:rPr>
              <w:t>从事</w:t>
            </w:r>
            <w:r>
              <w:rPr>
                <w:rFonts w:hint="eastAsia"/>
                <w:lang w:val="en-US" w:eastAsia="zh-CN"/>
              </w:rPr>
              <w:t>铝合金、塑胶件及钣金件加工生产</w:t>
            </w:r>
            <w:r>
              <w:rPr>
                <w:rFonts w:hint="eastAsia"/>
              </w:rPr>
              <w:t>，属于工业企业，因此，项目选址符合《福清融侨经济技术开发区总体规划（2018-2035年）》要求，故项目选址合理。</w:t>
            </w:r>
          </w:p>
          <w:p w14:paraId="61ACAE86">
            <w:pPr>
              <w:pStyle w:val="3"/>
              <w:keepNext w:val="0"/>
              <w:keepLines w:val="0"/>
              <w:suppressLineNumbers w:val="0"/>
              <w:bidi w:val="0"/>
              <w:spacing w:before="0" w:beforeAutospacing="0" w:after="0" w:afterAutospacing="0"/>
              <w:ind w:left="0" w:right="0"/>
              <w:rPr>
                <w:rFonts w:hint="default"/>
              </w:rPr>
            </w:pPr>
            <w:r>
              <w:rPr>
                <w:rFonts w:hint="default"/>
              </w:rPr>
              <w:t>环境功能区划符合性分析</w:t>
            </w:r>
          </w:p>
          <w:p w14:paraId="6548C0DB">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（1）废气</w:t>
            </w:r>
          </w:p>
          <w:p w14:paraId="6800BEB0">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项目运营期环境空气污染排放源强很低，对周围环境空气不会产生显著影响，符合</w:t>
            </w:r>
            <w:r>
              <w:rPr>
                <w:rFonts w:hint="eastAsia"/>
                <w:b w:val="0"/>
                <w:bCs w:val="0"/>
                <w:iCs w:val="0"/>
                <w:lang w:eastAsia="zh-CN"/>
              </w:rPr>
              <w:t>《环境空气质量标准》（GB 3095—2026）</w:t>
            </w:r>
            <w:r>
              <w:rPr>
                <w:rFonts w:hint="eastAsia"/>
                <w:b w:val="0"/>
                <w:bCs w:val="0"/>
                <w:iCs w:val="0"/>
              </w:rPr>
              <w:t>中二级标准的要求。</w:t>
            </w:r>
          </w:p>
          <w:p w14:paraId="06051AEF">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（2）废水</w:t>
            </w:r>
          </w:p>
          <w:p w14:paraId="4D6E32A5">
            <w:pPr>
              <w:keepNext w:val="0"/>
              <w:keepLines w:val="0"/>
              <w:suppressLineNumbers w:val="0"/>
              <w:bidi w:val="0"/>
              <w:spacing w:before="0" w:beforeAutospacing="0" w:after="0" w:afterAutospacing="0"/>
              <w:ind w:left="0" w:right="0"/>
              <w:rPr>
                <w:rFonts w:hint="eastAsia"/>
              </w:rPr>
            </w:pPr>
            <w:r>
              <w:rPr>
                <w:rFonts w:hint="eastAsia"/>
              </w:rPr>
              <w:t>项目职工生活污水经化粪池预处理达标后接入市政污水管网，由</w:t>
            </w:r>
            <w:r>
              <w:rPr>
                <w:rFonts w:hint="eastAsia"/>
                <w:lang w:eastAsia="zh-CN"/>
              </w:rPr>
              <w:t>福清市融元污水处理厂</w:t>
            </w:r>
            <w:r>
              <w:rPr>
                <w:rFonts w:hint="eastAsia"/>
              </w:rPr>
              <w:t>集中处理。因此，项目污水对周边水体环境造成影响较小。</w:t>
            </w:r>
          </w:p>
          <w:p w14:paraId="722B5F24">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（3）噪声</w:t>
            </w:r>
          </w:p>
          <w:p w14:paraId="4F1C67EA">
            <w:pPr>
              <w:keepNext w:val="0"/>
              <w:keepLines w:val="0"/>
              <w:suppressLineNumbers w:val="0"/>
              <w:bidi w:val="0"/>
              <w:spacing w:before="0" w:beforeAutospacing="0" w:after="0" w:afterAutospacing="0"/>
              <w:ind w:left="0" w:right="0"/>
              <w:rPr>
                <w:rFonts w:hint="eastAsia"/>
              </w:rPr>
            </w:pPr>
            <w:r>
              <w:rPr>
                <w:rFonts w:hint="eastAsia"/>
                <w:b w:val="0"/>
                <w:bCs w:val="0"/>
                <w:iCs w:val="0"/>
              </w:rPr>
              <w:t>项目在采取一定的噪声污染防治措施后，项目产生的噪声不会对周围环境产生显著影响，项目所在区域的环境可满足《声环境质量标准》（GB3096-2008）的</w:t>
            </w:r>
            <w:r>
              <w:rPr>
                <w:rFonts w:hint="eastAsia"/>
                <w:b w:val="0"/>
                <w:bCs w:val="0"/>
                <w:iCs w:val="0"/>
                <w:lang w:val="en-US" w:eastAsia="zh-CN"/>
              </w:rPr>
              <w:t>3</w:t>
            </w:r>
            <w:r>
              <w:rPr>
                <w:rFonts w:hint="eastAsia"/>
                <w:b w:val="0"/>
                <w:bCs w:val="0"/>
                <w:iCs w:val="0"/>
              </w:rPr>
              <w:t>类标准。因此，项目建设符合环境功能规划</w:t>
            </w:r>
            <w:r>
              <w:rPr>
                <w:rFonts w:hint="eastAsia"/>
              </w:rPr>
              <w:t>。</w:t>
            </w:r>
          </w:p>
          <w:p w14:paraId="121B64FD">
            <w:pPr>
              <w:pStyle w:val="3"/>
              <w:keepNext w:val="0"/>
              <w:keepLines w:val="0"/>
              <w:suppressLineNumbers w:val="0"/>
              <w:bidi w:val="0"/>
              <w:spacing w:before="0" w:beforeAutospacing="0" w:after="0" w:afterAutospacing="0"/>
              <w:ind w:left="0" w:right="0"/>
              <w:rPr>
                <w:rFonts w:hint="default"/>
                <w:lang w:val="en-US" w:eastAsia="zh-CN"/>
              </w:rPr>
            </w:pPr>
            <w:bookmarkStart w:id="8" w:name="_Toc16029"/>
            <w:bookmarkStart w:id="9" w:name="_Toc7228"/>
            <w:bookmarkStart w:id="10" w:name="_Toc3746"/>
            <w:bookmarkStart w:id="11" w:name="_Toc27236"/>
            <w:bookmarkStart w:id="12" w:name="_Toc3067"/>
            <w:r>
              <w:rPr>
                <w:rFonts w:hint="eastAsia"/>
                <w:lang w:val="en-US" w:eastAsia="zh-CN"/>
              </w:rPr>
              <w:t>“</w:t>
            </w:r>
            <w:r>
              <w:rPr>
                <w:rFonts w:hint="eastAsia"/>
                <w:color w:val="auto"/>
                <w:kern w:val="0"/>
                <w:highlight w:val="none"/>
                <w:lang w:val="en-US" w:eastAsia="zh-CN"/>
              </w:rPr>
              <w:t>生态环境分区管控</w:t>
            </w:r>
            <w:r>
              <w:rPr>
                <w:rFonts w:hint="eastAsia"/>
                <w:lang w:val="en-US" w:eastAsia="zh-CN"/>
              </w:rPr>
              <w:t>”</w:t>
            </w:r>
            <w:r>
              <w:rPr>
                <w:rFonts w:hint="default"/>
                <w:lang w:val="en-US" w:eastAsia="zh-CN"/>
              </w:rPr>
              <w:t>要求的符合性分析</w:t>
            </w:r>
          </w:p>
          <w:p w14:paraId="779FE3C5">
            <w:pPr>
              <w:pStyle w:val="16"/>
              <w:keepNext w:val="0"/>
              <w:keepLines w:val="0"/>
              <w:suppressLineNumbers w:val="0"/>
              <w:spacing w:before="0" w:beforeAutospacing="0" w:after="0" w:afterAutospacing="0"/>
              <w:ind w:left="0" w:right="0"/>
              <w:rPr>
                <w:rFonts w:hint="default"/>
              </w:rPr>
            </w:pPr>
            <w:r>
              <w:rPr>
                <w:rFonts w:hint="eastAsia" w:ascii="Times New Roman" w:hAnsi="Times New Roman" w:eastAsia="宋体" w:cs="Times New Roman"/>
                <w:lang w:val="en-US" w:eastAsia="zh-CN"/>
              </w:rPr>
              <w:t>根据</w:t>
            </w:r>
            <w:r>
              <w:rPr>
                <w:rFonts w:hint="eastAsia"/>
                <w:color w:val="auto"/>
                <w:kern w:val="0"/>
                <w:highlight w:val="none"/>
              </w:rPr>
              <w:t>《福州市人民政府办公厅关于印发〈福州市生态环境分区管控方案（2023年更新）〉的通知》（榕政办规〔2024〕20号）</w:t>
            </w:r>
            <w:r>
              <w:rPr>
                <w:rFonts w:hint="eastAsia"/>
                <w:color w:val="auto"/>
                <w:kern w:val="0"/>
                <w:highlight w:val="none"/>
                <w:lang w:val="en-US" w:eastAsia="zh-CN"/>
              </w:rPr>
              <w:t>和</w:t>
            </w:r>
            <w:r>
              <w:rPr>
                <w:rFonts w:hint="eastAsia"/>
                <w:color w:val="auto"/>
                <w:kern w:val="0"/>
                <w:highlight w:val="none"/>
              </w:rPr>
              <w:t>《</w:t>
            </w:r>
            <w:r>
              <w:rPr>
                <w:rFonts w:hint="eastAsia"/>
                <w:color w:val="auto"/>
                <w:kern w:val="0"/>
                <w:highlight w:val="none"/>
                <w:lang w:val="en-US" w:eastAsia="zh-CN"/>
              </w:rPr>
              <w:t>福州市生态环境局关于发布福州市2024年生态环境分区管控动态更新成果的通知</w:t>
            </w:r>
            <w:r>
              <w:rPr>
                <w:rFonts w:hint="eastAsia"/>
                <w:color w:val="auto"/>
                <w:kern w:val="0"/>
                <w:highlight w:val="none"/>
              </w:rPr>
              <w:t>》（榕环保综〔2025〕1号）</w:t>
            </w:r>
            <w:r>
              <w:rPr>
                <w:rFonts w:hint="eastAsia" w:ascii="Times New Roman" w:hAnsi="Times New Roman" w:eastAsia="宋体" w:cs="Times New Roman"/>
                <w:lang w:val="en-US" w:eastAsia="zh-CN"/>
              </w:rPr>
              <w:t>相关内容</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项目与福州市</w:t>
            </w:r>
            <w:r>
              <w:rPr>
                <w:rFonts w:hint="default" w:ascii="Times New Roman" w:hAnsi="Times New Roman" w:eastAsia="宋体" w:cs="Times New Roman"/>
              </w:rPr>
              <w:t>生态环境分区管控</w:t>
            </w:r>
            <w:r>
              <w:rPr>
                <w:rFonts w:hint="eastAsia" w:ascii="Times New Roman" w:hAnsi="Times New Roman" w:eastAsia="宋体" w:cs="Times New Roman"/>
                <w:lang w:val="en-US" w:eastAsia="zh-CN"/>
              </w:rPr>
              <w:t>的符合性分析如下：</w:t>
            </w:r>
          </w:p>
          <w:p w14:paraId="33F2D65E">
            <w:pPr>
              <w:keepNext w:val="0"/>
              <w:keepLines w:val="0"/>
              <w:suppressLineNumbers w:val="0"/>
              <w:bidi w:val="0"/>
              <w:spacing w:before="0" w:beforeAutospacing="0" w:after="0" w:afterAutospacing="0"/>
              <w:ind w:left="0" w:right="0"/>
              <w:rPr>
                <w:rFonts w:hint="default"/>
              </w:rPr>
            </w:pPr>
            <w:r>
              <w:rPr>
                <w:rFonts w:hint="eastAsia"/>
                <w:lang w:eastAsia="zh-CN"/>
              </w:rPr>
              <w:t>（</w:t>
            </w:r>
            <w:r>
              <w:rPr>
                <w:rFonts w:hint="eastAsia"/>
                <w:lang w:val="en-US" w:eastAsia="zh-CN"/>
              </w:rPr>
              <w:t>1</w:t>
            </w:r>
            <w:r>
              <w:rPr>
                <w:rFonts w:hint="eastAsia"/>
                <w:lang w:eastAsia="zh-CN"/>
              </w:rPr>
              <w:t>）</w:t>
            </w:r>
            <w:r>
              <w:rPr>
                <w:rFonts w:hint="default"/>
              </w:rPr>
              <w:t>生态保护红线</w:t>
            </w:r>
          </w:p>
          <w:p w14:paraId="6E62CDB0">
            <w:pPr>
              <w:keepNext w:val="0"/>
              <w:keepLines w:val="0"/>
              <w:suppressLineNumbers w:val="0"/>
              <w:bidi w:val="0"/>
              <w:spacing w:before="0" w:beforeAutospacing="0" w:after="0" w:afterAutospacing="0"/>
              <w:ind w:left="0" w:right="0"/>
              <w:rPr>
                <w:rFonts w:hint="default"/>
              </w:rPr>
            </w:pPr>
            <w:r>
              <w:rPr>
                <w:rFonts w:hint="default"/>
              </w:rPr>
              <w:t>对照《福建省生态保护红线划定方案》及其调整方案</w:t>
            </w:r>
            <w:r>
              <w:rPr>
                <w:rFonts w:hint="default"/>
                <w:lang w:eastAsia="zh-CN"/>
              </w:rPr>
              <w:t>、</w:t>
            </w:r>
            <w:r>
              <w:rPr>
                <w:rFonts w:hint="default"/>
                <w:lang w:val="en-GB"/>
              </w:rPr>
              <w:t>《福清市生态功能区划》</w:t>
            </w:r>
            <w:r>
              <w:rPr>
                <w:rFonts w:hint="eastAsia"/>
                <w:lang w:eastAsia="zh-CN"/>
              </w:rPr>
              <w:t>（</w:t>
            </w:r>
            <w:r>
              <w:rPr>
                <w:rFonts w:hint="default"/>
                <w:lang w:val="en-GB"/>
              </w:rPr>
              <w:t>2003年</w:t>
            </w:r>
            <w:r>
              <w:rPr>
                <w:rFonts w:hint="eastAsia"/>
                <w:lang w:eastAsia="zh-CN"/>
              </w:rPr>
              <w:t>）</w:t>
            </w:r>
            <w:r>
              <w:rPr>
                <w:rFonts w:hint="default"/>
              </w:rPr>
              <w:t>，本项目位于福建省福州市</w:t>
            </w:r>
            <w:r>
              <w:rPr>
                <w:rFonts w:hint="eastAsia"/>
                <w:lang w:eastAsia="zh-CN"/>
              </w:rPr>
              <w:t>福清融侨经济技术开发区（租赁福清洪添科技有限公司车间2第3层）</w:t>
            </w:r>
            <w:r>
              <w:rPr>
                <w:rFonts w:hint="default"/>
              </w:rPr>
              <w:t>。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14:paraId="4C109043">
            <w:pPr>
              <w:keepNext w:val="0"/>
              <w:keepLines w:val="0"/>
              <w:suppressLineNumbers w:val="0"/>
              <w:bidi w:val="0"/>
              <w:spacing w:before="0" w:beforeAutospacing="0" w:after="0" w:afterAutospacing="0"/>
              <w:ind w:left="0" w:right="0"/>
              <w:rPr>
                <w:rFonts w:hint="default"/>
              </w:rPr>
            </w:pPr>
            <w:r>
              <w:rPr>
                <w:rFonts w:hint="eastAsia"/>
                <w:lang w:eastAsia="zh-CN"/>
              </w:rPr>
              <w:t>（</w:t>
            </w:r>
            <w:r>
              <w:rPr>
                <w:rFonts w:hint="eastAsia"/>
                <w:lang w:val="en-US" w:eastAsia="zh-CN"/>
              </w:rPr>
              <w:t>2</w:t>
            </w:r>
            <w:r>
              <w:rPr>
                <w:rFonts w:hint="eastAsia"/>
                <w:lang w:eastAsia="zh-CN"/>
              </w:rPr>
              <w:t>）</w:t>
            </w:r>
            <w:r>
              <w:rPr>
                <w:rFonts w:hint="default"/>
              </w:rPr>
              <w:t>环境质量底线</w:t>
            </w:r>
          </w:p>
          <w:p w14:paraId="70926245">
            <w:pPr>
              <w:keepNext w:val="0"/>
              <w:keepLines w:val="0"/>
              <w:suppressLineNumbers w:val="0"/>
              <w:bidi w:val="0"/>
              <w:spacing w:before="0" w:beforeAutospacing="0" w:after="0" w:afterAutospacing="0"/>
              <w:ind w:left="0" w:right="0"/>
              <w:rPr>
                <w:rFonts w:hint="eastAsia"/>
                <w:lang w:eastAsia="zh-CN"/>
              </w:rPr>
            </w:pPr>
            <w:r>
              <w:rPr>
                <w:rFonts w:hint="default"/>
                <w:lang w:eastAsia="zh-CN"/>
              </w:rPr>
              <w:t>项目所在区域环境质量底线：环境空气质量目标为</w:t>
            </w:r>
            <w:r>
              <w:rPr>
                <w:rFonts w:hint="eastAsia"/>
                <w:lang w:eastAsia="zh-CN"/>
              </w:rPr>
              <w:t>《环境空气质量标准》（GB3095-2026）中的二级标准（过渡阶段浓度限值）</w:t>
            </w:r>
            <w:r>
              <w:rPr>
                <w:rFonts w:hint="default"/>
                <w:lang w:eastAsia="zh-CN"/>
              </w:rPr>
              <w:t>；</w:t>
            </w:r>
            <w:r>
              <w:rPr>
                <w:rFonts w:hint="eastAsia"/>
                <w:lang w:eastAsia="zh-CN"/>
              </w:rPr>
              <w:t>周边</w:t>
            </w:r>
            <w:r>
              <w:rPr>
                <w:rFonts w:hint="eastAsia"/>
                <w:lang w:val="en-US" w:eastAsia="zh-CN"/>
              </w:rPr>
              <w:t>大北溪</w:t>
            </w:r>
            <w:r>
              <w:rPr>
                <w:rFonts w:hint="eastAsia"/>
                <w:lang w:eastAsia="zh-CN"/>
              </w:rPr>
              <w:t>地表水环境质量目标为《地表水环境质量标准》（</w:t>
            </w:r>
            <w:r>
              <w:rPr>
                <w:rFonts w:hint="default"/>
                <w:lang w:eastAsia="zh-CN"/>
              </w:rPr>
              <w:t>GB3838-2002</w:t>
            </w:r>
            <w:r>
              <w:rPr>
                <w:rFonts w:hint="eastAsia"/>
                <w:lang w:eastAsia="zh-CN"/>
              </w:rPr>
              <w:t>）中Ⅳ类水质标准</w:t>
            </w:r>
            <w:r>
              <w:rPr>
                <w:rFonts w:hint="default"/>
                <w:lang w:eastAsia="zh-CN"/>
              </w:rPr>
              <w:t>；声环境质量目标为《声环境质量标准》（GB3096-2008）</w:t>
            </w:r>
            <w:r>
              <w:rPr>
                <w:rFonts w:hint="eastAsia"/>
                <w:lang w:eastAsia="zh-CN"/>
              </w:rPr>
              <w:t>3</w:t>
            </w:r>
            <w:r>
              <w:rPr>
                <w:rFonts w:hint="default"/>
                <w:lang w:eastAsia="zh-CN"/>
              </w:rPr>
              <w:t>类</w:t>
            </w:r>
            <w:r>
              <w:rPr>
                <w:rFonts w:hint="eastAsia"/>
                <w:lang w:eastAsia="zh-CN"/>
              </w:rPr>
              <w:t>。</w:t>
            </w:r>
          </w:p>
          <w:p w14:paraId="768073BC">
            <w:pPr>
              <w:keepNext w:val="0"/>
              <w:keepLines w:val="0"/>
              <w:suppressLineNumbers w:val="0"/>
              <w:bidi w:val="0"/>
              <w:spacing w:before="0" w:beforeAutospacing="0" w:after="0" w:afterAutospacing="0"/>
              <w:ind w:left="0" w:right="0"/>
              <w:rPr>
                <w:rFonts w:hint="default"/>
                <w:lang w:eastAsia="zh-CN"/>
              </w:rPr>
            </w:pPr>
            <w:r>
              <w:rPr>
                <w:rFonts w:hint="eastAsia"/>
                <w:lang w:val="en-US" w:eastAsia="zh-CN"/>
              </w:rPr>
              <w:t>本项目运营期生活污水经化粪池预处理后，排入市政污水管网纳入福清市融元污水处理厂</w:t>
            </w:r>
            <w:r>
              <w:rPr>
                <w:rFonts w:hint="eastAsia"/>
                <w:lang w:eastAsia="zh-CN"/>
              </w:rPr>
              <w:t>进行集中</w:t>
            </w:r>
            <w:r>
              <w:rPr>
                <w:rFonts w:hint="default"/>
                <w:lang w:eastAsia="zh-CN"/>
              </w:rPr>
              <w:t>处理</w:t>
            </w:r>
            <w:r>
              <w:rPr>
                <w:rFonts w:hint="eastAsia"/>
                <w:lang w:eastAsia="zh-CN"/>
              </w:rPr>
              <w:t>。产生的废水均不直接进入水体，</w:t>
            </w:r>
            <w:r>
              <w:rPr>
                <w:rFonts w:hint="default"/>
                <w:lang w:eastAsia="zh-CN"/>
              </w:rPr>
              <w:t>对区域水环境影响不大</w:t>
            </w:r>
            <w:r>
              <w:rPr>
                <w:rFonts w:hint="eastAsia"/>
                <w:lang w:eastAsia="zh-CN"/>
              </w:rPr>
              <w:t>。产生的废气采取相应的废气治理措施处理后达标排放，对周边环境的影响可接受。在采取隔声、降噪、减振以及合理布局等相应的噪声治理措施后</w:t>
            </w:r>
            <w:r>
              <w:rPr>
                <w:rFonts w:hint="default"/>
                <w:lang w:eastAsia="zh-CN"/>
              </w:rPr>
              <w:t>，</w:t>
            </w:r>
            <w:r>
              <w:rPr>
                <w:rFonts w:hint="eastAsia"/>
                <w:lang w:eastAsia="zh-CN"/>
              </w:rPr>
              <w:t>噪声源对</w:t>
            </w:r>
            <w:r>
              <w:rPr>
                <w:rFonts w:hint="default"/>
                <w:lang w:eastAsia="zh-CN"/>
              </w:rPr>
              <w:t>厂界的贡献值</w:t>
            </w:r>
            <w:r>
              <w:rPr>
                <w:rFonts w:hint="eastAsia"/>
                <w:lang w:eastAsia="zh-CN"/>
              </w:rPr>
              <w:t>可以满足噪声排放标准限值要求</w:t>
            </w:r>
            <w:r>
              <w:rPr>
                <w:rFonts w:hint="default"/>
                <w:lang w:eastAsia="zh-CN"/>
              </w:rPr>
              <w:t>。</w:t>
            </w:r>
            <w:r>
              <w:rPr>
                <w:rFonts w:hint="eastAsia"/>
                <w:lang w:eastAsia="zh-CN"/>
              </w:rPr>
              <w:t>全厂</w:t>
            </w:r>
            <w:r>
              <w:rPr>
                <w:rFonts w:hint="default"/>
                <w:lang w:eastAsia="zh-CN"/>
              </w:rPr>
              <w:t>各类固废均得到合理处置</w:t>
            </w:r>
            <w:r>
              <w:rPr>
                <w:rFonts w:hint="eastAsia"/>
                <w:lang w:eastAsia="zh-CN"/>
              </w:rPr>
              <w:t>，</w:t>
            </w:r>
            <w:r>
              <w:rPr>
                <w:rFonts w:hint="default"/>
                <w:lang w:eastAsia="zh-CN"/>
              </w:rPr>
              <w:t>不会对周边环境产生影响。</w:t>
            </w:r>
            <w:r>
              <w:rPr>
                <w:rFonts w:hint="eastAsia"/>
                <w:lang w:eastAsia="zh-CN"/>
              </w:rPr>
              <w:t>因此，在</w:t>
            </w:r>
            <w:r>
              <w:rPr>
                <w:rFonts w:hint="default"/>
                <w:lang w:eastAsia="zh-CN"/>
              </w:rPr>
              <w:t>采取相关</w:t>
            </w:r>
            <w:r>
              <w:rPr>
                <w:rFonts w:hint="eastAsia"/>
                <w:lang w:eastAsia="zh-CN"/>
              </w:rPr>
              <w:t>污染</w:t>
            </w:r>
            <w:r>
              <w:rPr>
                <w:rFonts w:hint="default"/>
                <w:lang w:eastAsia="zh-CN"/>
              </w:rPr>
              <w:t>防治</w:t>
            </w:r>
            <w:r>
              <w:rPr>
                <w:rFonts w:hint="eastAsia"/>
                <w:lang w:eastAsia="zh-CN"/>
              </w:rPr>
              <w:t>治理</w:t>
            </w:r>
            <w:r>
              <w:rPr>
                <w:rFonts w:hint="default"/>
                <w:lang w:eastAsia="zh-CN"/>
              </w:rPr>
              <w:t>措施后，项目排放的污染物不会突破区域的环境质量底线。因此，项目建设符合环境功能规划。</w:t>
            </w:r>
          </w:p>
          <w:p w14:paraId="2DCAD827">
            <w:pPr>
              <w:keepNext w:val="0"/>
              <w:keepLines w:val="0"/>
              <w:suppressLineNumbers w:val="0"/>
              <w:bidi w:val="0"/>
              <w:spacing w:before="0" w:beforeAutospacing="0" w:after="0" w:afterAutospacing="0"/>
              <w:ind w:left="0" w:right="0"/>
              <w:rPr>
                <w:rFonts w:hint="default"/>
              </w:rPr>
            </w:pPr>
            <w:r>
              <w:rPr>
                <w:rFonts w:hint="eastAsia"/>
                <w:lang w:eastAsia="zh-CN"/>
              </w:rPr>
              <w:t>（</w:t>
            </w:r>
            <w:r>
              <w:rPr>
                <w:rFonts w:hint="eastAsia"/>
                <w:lang w:val="en-US" w:eastAsia="zh-CN"/>
              </w:rPr>
              <w:t>3</w:t>
            </w:r>
            <w:r>
              <w:rPr>
                <w:rFonts w:hint="eastAsia"/>
                <w:lang w:eastAsia="zh-CN"/>
              </w:rPr>
              <w:t>）</w:t>
            </w:r>
            <w:r>
              <w:rPr>
                <w:rFonts w:hint="default"/>
              </w:rPr>
              <w:t>资源利用上线</w:t>
            </w:r>
          </w:p>
          <w:p w14:paraId="6711E3D9">
            <w:pPr>
              <w:keepNext w:val="0"/>
              <w:keepLines w:val="0"/>
              <w:suppressLineNumbers w:val="0"/>
              <w:bidi w:val="0"/>
              <w:spacing w:before="0" w:beforeAutospacing="0" w:after="0" w:afterAutospacing="0"/>
              <w:ind w:left="0" w:right="0"/>
              <w:rPr>
                <w:rFonts w:hint="default"/>
              </w:rPr>
            </w:pPr>
            <w:r>
              <w:rPr>
                <w:rFonts w:hint="default"/>
              </w:rPr>
              <w:t>项目用电为区域集中供应，项目的水、气等资源利用不会突破区域的资源利用上线。本项目使用电能作为主要消耗能源，电能属于清洁能源。</w:t>
            </w:r>
            <w:r>
              <w:rPr>
                <w:rFonts w:hint="eastAsia"/>
              </w:rPr>
              <w:t>项目资源的消耗量不大，不属于高耗能资源消耗型企业。项目建成运行后通过内部管理、设备选择、原辅材料的选用和管理、污染治理等多方面采取合理、可行、有效的防治措施，以</w:t>
            </w:r>
            <w:r>
              <w:rPr>
                <w:rFonts w:hint="eastAsia"/>
                <w:lang w:eastAsia="zh-CN"/>
              </w:rPr>
              <w:t>“</w:t>
            </w:r>
            <w:r>
              <w:rPr>
                <w:rFonts w:hint="eastAsia"/>
              </w:rPr>
              <w:t>节能、降耗、减污</w:t>
            </w:r>
            <w:r>
              <w:rPr>
                <w:rFonts w:hint="eastAsia"/>
                <w:lang w:eastAsia="zh-CN"/>
              </w:rPr>
              <w:t>”</w:t>
            </w:r>
            <w:r>
              <w:rPr>
                <w:rFonts w:hint="eastAsia"/>
              </w:rPr>
              <w:t>为目标，可有效控制污染及资源利用水平。项目不会突破区域资源利用</w:t>
            </w:r>
            <w:r>
              <w:rPr>
                <w:rFonts w:hint="eastAsia"/>
                <w:lang w:eastAsia="zh-CN"/>
              </w:rPr>
              <w:t>上限。</w:t>
            </w:r>
          </w:p>
          <w:p w14:paraId="0BC2C29F">
            <w:pPr>
              <w:keepNext w:val="0"/>
              <w:keepLines w:val="0"/>
              <w:suppressLineNumbers w:val="0"/>
              <w:bidi w:val="0"/>
              <w:spacing w:before="0" w:beforeAutospacing="0" w:after="0" w:afterAutospacing="0"/>
              <w:ind w:left="0" w:right="0"/>
              <w:rPr>
                <w:rFonts w:hint="default"/>
              </w:rPr>
            </w:pPr>
            <w:r>
              <w:rPr>
                <w:rFonts w:hint="eastAsia"/>
                <w:lang w:eastAsia="zh-CN"/>
              </w:rPr>
              <w:t>（</w:t>
            </w:r>
            <w:r>
              <w:rPr>
                <w:rFonts w:hint="eastAsia"/>
                <w:lang w:val="en-US" w:eastAsia="zh-CN"/>
              </w:rPr>
              <w:t>4</w:t>
            </w:r>
            <w:r>
              <w:rPr>
                <w:rFonts w:hint="eastAsia"/>
                <w:lang w:eastAsia="zh-CN"/>
              </w:rPr>
              <w:t>）</w:t>
            </w:r>
            <w:r>
              <w:rPr>
                <w:rFonts w:hint="default"/>
              </w:rPr>
              <w:t>环境准入负面清单</w:t>
            </w:r>
          </w:p>
          <w:p w14:paraId="395DC2F7">
            <w:pPr>
              <w:keepNext w:val="0"/>
              <w:keepLines w:val="0"/>
              <w:suppressLineNumbers w:val="0"/>
              <w:bidi w:val="0"/>
              <w:spacing w:before="0" w:beforeAutospacing="0" w:after="0" w:afterAutospacing="0"/>
              <w:ind w:left="0" w:right="0"/>
              <w:rPr>
                <w:rFonts w:hint="default"/>
                <w:lang w:val="en-US" w:eastAsia="zh-CN"/>
              </w:rPr>
            </w:pPr>
            <w:r>
              <w:rPr>
                <w:rFonts w:hint="default"/>
              </w:rPr>
              <w:t>本项目不属于《</w:t>
            </w:r>
            <w:r>
              <w:rPr>
                <w:rFonts w:hint="default"/>
                <w:lang w:eastAsia="zh-CN"/>
              </w:rPr>
              <w:t>产业结构调整指导目录</w:t>
            </w:r>
            <w:r>
              <w:rPr>
                <w:rFonts w:hint="eastAsia"/>
                <w:lang w:eastAsia="zh-CN"/>
              </w:rPr>
              <w:t>（</w:t>
            </w:r>
            <w:r>
              <w:rPr>
                <w:rFonts w:hint="default"/>
                <w:lang w:val="en-US" w:eastAsia="zh-CN"/>
              </w:rPr>
              <w:t>2024</w:t>
            </w:r>
            <w:r>
              <w:rPr>
                <w:rFonts w:hint="eastAsia"/>
                <w:lang w:val="en-US" w:eastAsia="zh-CN"/>
              </w:rPr>
              <w:t>）</w:t>
            </w:r>
            <w:r>
              <w:rPr>
                <w:rFonts w:hint="default"/>
              </w:rPr>
              <w:t>》中限制或淘汰类；满足《市场准入负面清单草案</w:t>
            </w:r>
            <w:r>
              <w:rPr>
                <w:rFonts w:hint="eastAsia"/>
                <w:lang w:eastAsia="zh-CN"/>
              </w:rPr>
              <w:t>（</w:t>
            </w:r>
            <w:r>
              <w:rPr>
                <w:rFonts w:hint="default"/>
              </w:rPr>
              <w:t>试点版</w:t>
            </w:r>
            <w:r>
              <w:rPr>
                <w:rFonts w:hint="eastAsia"/>
                <w:lang w:eastAsia="zh-CN"/>
              </w:rPr>
              <w:t>）</w:t>
            </w:r>
            <w:r>
              <w:rPr>
                <w:rFonts w:hint="default"/>
              </w:rPr>
              <w:t>》</w:t>
            </w:r>
            <w:r>
              <w:rPr>
                <w:rFonts w:hint="eastAsia"/>
                <w:lang w:eastAsia="zh-CN"/>
              </w:rPr>
              <w:t>（</w:t>
            </w:r>
            <w:r>
              <w:rPr>
                <w:rFonts w:hint="default"/>
              </w:rPr>
              <w:t>发改经体〔2016〕442号</w:t>
            </w:r>
            <w:r>
              <w:rPr>
                <w:rFonts w:hint="eastAsia"/>
                <w:lang w:eastAsia="zh-CN"/>
              </w:rPr>
              <w:t>）</w:t>
            </w:r>
            <w:r>
              <w:rPr>
                <w:rFonts w:hint="default"/>
              </w:rPr>
              <w:t>；项目无行业准入条件；不属于《福建省人民政府关于加强重点流域水环境</w:t>
            </w:r>
            <w:r>
              <w:rPr>
                <w:rFonts w:hint="default"/>
                <w:lang w:eastAsia="zh-CN"/>
              </w:rPr>
              <w:t>综合</w:t>
            </w:r>
            <w:r>
              <w:rPr>
                <w:rFonts w:hint="default"/>
              </w:rPr>
              <w:t>整治的意见》中禁止的产业；满足《福建省工业建设项目投资强度控制指标》相关要求；</w:t>
            </w:r>
            <w:r>
              <w:rPr>
                <w:rFonts w:hint="default"/>
                <w:lang w:eastAsia="zh-CN"/>
              </w:rPr>
              <w:t>项目符合国家产业政策，符合</w:t>
            </w:r>
            <w:r>
              <w:rPr>
                <w:rFonts w:hint="default"/>
                <w:lang w:val="en-US" w:eastAsia="zh-CN"/>
              </w:rPr>
              <w:t>《</w:t>
            </w:r>
            <w:r>
              <w:rPr>
                <w:rFonts w:hint="eastAsia"/>
                <w:lang w:val="en-US" w:eastAsia="zh-CN"/>
              </w:rPr>
              <w:t>福州市生态环境局关于发布福州市2024年生产环境分区管控动态更新成果的通知</w:t>
            </w:r>
            <w:r>
              <w:rPr>
                <w:rFonts w:hint="default"/>
                <w:lang w:val="en-US" w:eastAsia="zh-CN"/>
              </w:rPr>
              <w:t>》</w:t>
            </w:r>
            <w:r>
              <w:rPr>
                <w:rFonts w:hint="eastAsia"/>
                <w:lang w:val="en-US" w:eastAsia="zh-CN"/>
              </w:rPr>
              <w:t>（榕环保综</w:t>
            </w:r>
            <w:r>
              <w:rPr>
                <w:rFonts w:hint="default"/>
              </w:rPr>
              <w:t>〔202</w:t>
            </w:r>
            <w:r>
              <w:rPr>
                <w:rFonts w:hint="eastAsia"/>
                <w:lang w:val="en-US" w:eastAsia="zh-CN"/>
              </w:rPr>
              <w:t>5</w:t>
            </w:r>
            <w:r>
              <w:rPr>
                <w:rFonts w:hint="default"/>
              </w:rPr>
              <w:t>〕</w:t>
            </w:r>
            <w:r>
              <w:rPr>
                <w:rFonts w:hint="eastAsia"/>
                <w:lang w:val="en-US" w:eastAsia="zh-CN"/>
              </w:rPr>
              <w:t>1号）</w:t>
            </w:r>
            <w:r>
              <w:rPr>
                <w:rFonts w:hint="default"/>
                <w:lang w:eastAsia="zh-CN"/>
              </w:rPr>
              <w:t>的要求；不属于《市场准入负面清单》</w:t>
            </w:r>
            <w:r>
              <w:rPr>
                <w:rFonts w:hint="eastAsia"/>
                <w:lang w:eastAsia="zh-CN"/>
              </w:rPr>
              <w:t>（</w:t>
            </w:r>
            <w:r>
              <w:rPr>
                <w:rFonts w:hint="default"/>
                <w:lang w:eastAsia="zh-CN"/>
              </w:rPr>
              <w:t>2020年版</w:t>
            </w:r>
            <w:r>
              <w:rPr>
                <w:rFonts w:hint="eastAsia"/>
                <w:lang w:eastAsia="zh-CN"/>
              </w:rPr>
              <w:t>）</w:t>
            </w:r>
            <w:r>
              <w:rPr>
                <w:rFonts w:hint="default"/>
                <w:lang w:eastAsia="zh-CN"/>
              </w:rPr>
              <w:t>中禁止准入类的项目。</w:t>
            </w:r>
          </w:p>
          <w:p w14:paraId="7A3EA6D9">
            <w:pPr>
              <w:pStyle w:val="3"/>
              <w:keepNext w:val="0"/>
              <w:keepLines w:val="0"/>
              <w:suppressLineNumbers w:val="0"/>
              <w:spacing w:before="0" w:beforeAutospacing="0" w:after="0" w:afterAutospacing="0"/>
              <w:ind w:left="0" w:right="0"/>
              <w:rPr>
                <w:rFonts w:hint="default"/>
                <w:lang w:val="en-US" w:eastAsia="zh-CN"/>
              </w:rPr>
            </w:pPr>
            <w:r>
              <w:rPr>
                <w:rFonts w:hint="default"/>
                <w:lang w:val="en-US" w:eastAsia="zh-CN"/>
              </w:rPr>
              <w:t>与省、市生态环境分区管控的要求的符合性分析</w:t>
            </w:r>
          </w:p>
          <w:p w14:paraId="5619F62C">
            <w:pPr>
              <w:keepNext w:val="0"/>
              <w:keepLines w:val="0"/>
              <w:suppressLineNumbers w:val="0"/>
              <w:bidi w:val="0"/>
              <w:spacing w:before="0" w:beforeAutospacing="0" w:after="0" w:afterAutospacing="0"/>
              <w:ind w:left="0" w:right="0"/>
              <w:rPr>
                <w:rFonts w:hint="eastAsia"/>
              </w:rPr>
            </w:pPr>
            <w:r>
              <w:rPr>
                <w:rFonts w:hint="eastAsia"/>
                <w:lang w:val="en-US" w:eastAsia="zh-CN"/>
              </w:rPr>
              <w:t>根据《福州市人民政府办公厅关于印发〈福州市生态环境分区管控方案（2023年更新）〉的通知》（榕政办规〔2024〕20号）和《福州市生态环境局关于发布福州市2024年生态环境分区管控动态更新成果的通知》（榕环保综〔2025〕1号）以及</w:t>
            </w:r>
            <w:r>
              <w:rPr>
                <w:rFonts w:hint="default"/>
                <w:lang w:val="en-US" w:eastAsia="zh-CN"/>
              </w:rPr>
              <w:t>《福建省生态环境分区管控综合查询报告》报告编号：</w:t>
            </w:r>
            <w:r>
              <w:rPr>
                <w:rFonts w:hint="eastAsia"/>
                <w:lang w:val="en-US" w:eastAsia="zh-CN"/>
              </w:rPr>
              <w:t>FQGK1769394434226</w:t>
            </w:r>
            <w:r>
              <w:rPr>
                <w:rFonts w:hint="default"/>
                <w:lang w:val="en-US" w:eastAsia="zh-CN"/>
              </w:rPr>
              <w:t>。本项目</w:t>
            </w:r>
            <w:r>
              <w:rPr>
                <w:rFonts w:hint="eastAsia"/>
                <w:lang w:val="en-US" w:eastAsia="zh-CN"/>
              </w:rPr>
              <w:t>位于福清融侨经济技术开发区（租赁福清洪添科技有限公司车间2第3层）</w:t>
            </w:r>
            <w:r>
              <w:rPr>
                <w:rFonts w:hint="default"/>
                <w:lang w:val="en-US" w:eastAsia="zh-CN"/>
              </w:rPr>
              <w:t>，在</w:t>
            </w:r>
            <w:r>
              <w:rPr>
                <w:rFonts w:hint="eastAsia"/>
                <w:lang w:val="en-US" w:eastAsia="zh-CN"/>
              </w:rPr>
              <w:t>洪宽工业区（工业园区）内且</w:t>
            </w:r>
            <w:r>
              <w:rPr>
                <w:rFonts w:hint="default"/>
                <w:lang w:val="en-US" w:eastAsia="zh-CN"/>
              </w:rPr>
              <w:t>项目属于塑料零件及其他塑料制品制造</w:t>
            </w:r>
            <w:r>
              <w:rPr>
                <w:rFonts w:hint="eastAsia"/>
                <w:lang w:val="en-US" w:eastAsia="zh-CN"/>
              </w:rPr>
              <w:t>、</w:t>
            </w:r>
            <w:r>
              <w:rPr>
                <w:rFonts w:hint="default"/>
                <w:lang w:val="en-US" w:eastAsia="zh-CN"/>
              </w:rPr>
              <w:t>金属表面处理及热处理加工，不属于</w:t>
            </w:r>
            <w:r>
              <w:rPr>
                <w:rFonts w:hint="eastAsia"/>
                <w:lang w:val="en-US" w:eastAsia="zh-CN"/>
              </w:rPr>
              <w:t>“</w:t>
            </w:r>
            <w:r>
              <w:rPr>
                <w:rFonts w:hint="default"/>
                <w:lang w:val="en-US" w:eastAsia="zh-CN"/>
              </w:rPr>
              <w:t>福州市生态环境总体准入要求</w:t>
            </w:r>
            <w:r>
              <w:rPr>
                <w:rFonts w:hint="eastAsia"/>
                <w:lang w:val="en-US" w:eastAsia="zh-CN"/>
              </w:rPr>
              <w:t>”</w:t>
            </w:r>
            <w:r>
              <w:rPr>
                <w:rFonts w:hint="default"/>
                <w:lang w:val="en-US" w:eastAsia="zh-CN"/>
              </w:rPr>
              <w:t>中</w:t>
            </w:r>
            <w:r>
              <w:rPr>
                <w:rFonts w:hint="eastAsia"/>
                <w:lang w:val="en-US" w:eastAsia="zh-CN"/>
              </w:rPr>
              <w:t>“空间</w:t>
            </w:r>
            <w:r>
              <w:rPr>
                <w:rFonts w:hint="default"/>
                <w:lang w:val="en-US" w:eastAsia="zh-CN"/>
              </w:rPr>
              <w:t>布局约束</w:t>
            </w:r>
            <w:r>
              <w:rPr>
                <w:rFonts w:hint="eastAsia"/>
                <w:lang w:val="en-US" w:eastAsia="zh-CN"/>
              </w:rPr>
              <w:t>”</w:t>
            </w:r>
            <w:r>
              <w:rPr>
                <w:rFonts w:hint="default"/>
                <w:lang w:val="en-US" w:eastAsia="zh-CN"/>
              </w:rPr>
              <w:t>的工业区及特别规定的行业。全省生态环境总体准入要求符合性分析如下。</w:t>
            </w:r>
            <w:r>
              <w:rPr>
                <w:rFonts w:hint="default"/>
              </w:rPr>
              <w:t>相关要求分析见表</w:t>
            </w:r>
            <w:r>
              <w:rPr>
                <w:rFonts w:hint="eastAsia"/>
                <w:lang w:val="en-US" w:eastAsia="zh-CN"/>
              </w:rPr>
              <w:t>1.8-1</w:t>
            </w:r>
            <w:r>
              <w:rPr>
                <w:rFonts w:hint="default"/>
              </w:rPr>
              <w:t>。</w:t>
            </w:r>
            <w:r>
              <w:rPr>
                <w:rFonts w:hint="default"/>
                <w:lang w:val="en-US" w:eastAsia="zh-CN"/>
              </w:rPr>
              <w:t>与福州市生态环境总体准入要求进行对照分析，</w:t>
            </w:r>
            <w:r>
              <w:rPr>
                <w:rFonts w:hint="default"/>
              </w:rPr>
              <w:t>具体见表</w:t>
            </w:r>
            <w:r>
              <w:rPr>
                <w:rFonts w:hint="eastAsia"/>
                <w:lang w:val="en-US" w:eastAsia="zh-CN"/>
              </w:rPr>
              <w:t>1.8-2</w:t>
            </w:r>
            <w:r>
              <w:rPr>
                <w:rFonts w:hint="default"/>
              </w:rPr>
              <w:t>。与重点管控单元（环境管控单元编码</w:t>
            </w:r>
            <w:r>
              <w:rPr>
                <w:rFonts w:hint="eastAsia"/>
                <w:lang w:val="en-US" w:eastAsia="zh-CN"/>
              </w:rPr>
              <w:t>：ZH35018120003</w:t>
            </w:r>
            <w:r>
              <w:rPr>
                <w:rFonts w:hint="default"/>
                <w:lang w:val="en-US" w:eastAsia="zh-CN"/>
              </w:rPr>
              <w:t>）</w:t>
            </w:r>
            <w:r>
              <w:rPr>
                <w:rFonts w:hint="default"/>
              </w:rPr>
              <w:t>准入要求符合性分析见表1</w:t>
            </w:r>
            <w:r>
              <w:rPr>
                <w:rFonts w:hint="default"/>
                <w:lang w:val="en-US" w:eastAsia="zh-CN"/>
              </w:rPr>
              <w:t>.</w:t>
            </w:r>
            <w:r>
              <w:rPr>
                <w:rFonts w:hint="eastAsia"/>
                <w:lang w:val="en-US" w:eastAsia="zh-CN"/>
              </w:rPr>
              <w:t>8-3</w:t>
            </w:r>
            <w:r>
              <w:rPr>
                <w:rFonts w:hint="default"/>
              </w:rPr>
              <w:t>。福建省生态环境分区管控数据应用平台查询结果截图</w:t>
            </w:r>
            <w:r>
              <w:rPr>
                <w:rFonts w:hint="eastAsia"/>
                <w:lang w:eastAsia="zh-CN"/>
              </w:rPr>
              <w:t>、</w:t>
            </w:r>
            <w:r>
              <w:rPr>
                <w:rFonts w:hint="default"/>
              </w:rPr>
              <w:t>福建省生态环境分区管控综合查询报告详见</w:t>
            </w:r>
            <w:r>
              <w:rPr>
                <w:rFonts w:hint="default"/>
                <w:lang w:val="en-US"/>
              </w:rPr>
              <w:fldChar w:fldCharType="begin"/>
            </w:r>
            <w:r>
              <w:rPr>
                <w:rFonts w:hint="default"/>
                <w:lang w:val="en-US"/>
              </w:rPr>
              <w:instrText xml:space="preserve"> REF _Ref5378 \h </w:instrText>
            </w:r>
            <w:r>
              <w:rPr>
                <w:rFonts w:hint="default"/>
                <w:lang w:val="en-US"/>
              </w:rPr>
              <w:fldChar w:fldCharType="separate"/>
            </w:r>
            <w:r>
              <w:rPr>
                <w:rFonts w:hint="eastAsia"/>
              </w:rPr>
              <w:t>附件 5</w:t>
            </w:r>
            <w:r>
              <w:rPr>
                <w:rFonts w:hint="default"/>
                <w:lang w:val="en-US"/>
              </w:rPr>
              <w:fldChar w:fldCharType="end"/>
            </w:r>
            <w:r>
              <w:rPr>
                <w:rFonts w:hint="eastAsia"/>
                <w:lang w:val="en-US" w:eastAsia="zh-CN"/>
              </w:rPr>
              <w:t>。</w:t>
            </w:r>
            <w:bookmarkEnd w:id="8"/>
            <w:bookmarkEnd w:id="9"/>
            <w:bookmarkEnd w:id="10"/>
            <w:bookmarkEnd w:id="11"/>
            <w:bookmarkEnd w:id="12"/>
          </w:p>
        </w:tc>
      </w:tr>
    </w:tbl>
    <w:p w14:paraId="04806096">
      <w:pPr>
        <w:spacing w:line="360" w:lineRule="auto"/>
        <w:outlineLvl w:val="9"/>
        <w:rPr>
          <w:rFonts w:eastAsia="黑体"/>
          <w:color w:val="auto"/>
          <w:sz w:val="30"/>
        </w:rPr>
        <w:sectPr>
          <w:headerReference r:id="rId7" w:type="default"/>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3227"/>
      </w:tblGrid>
      <w:tr w14:paraId="138E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 w:type="dxa"/>
            <w:vAlign w:val="center"/>
          </w:tcPr>
          <w:p w14:paraId="6A3995F1">
            <w:pPr>
              <w:pStyle w:val="41"/>
              <w:keepNext w:val="0"/>
              <w:keepLines w:val="0"/>
              <w:suppressLineNumbers w:val="0"/>
              <w:bidi w:val="0"/>
              <w:spacing w:before="0" w:beforeAutospacing="0" w:after="0" w:afterAutospacing="0"/>
              <w:ind w:left="0" w:right="0"/>
              <w:jc w:val="center"/>
              <w:rPr>
                <w:rFonts w:hint="eastAsia" w:eastAsia="黑体"/>
                <w:color w:val="auto"/>
                <w:vertAlign w:val="baseline"/>
              </w:rPr>
            </w:pPr>
            <w:r>
              <w:rPr>
                <w:rFonts w:hint="eastAsia"/>
              </w:rPr>
              <w:t>其他符合性分析</w:t>
            </w:r>
          </w:p>
        </w:tc>
        <w:tc>
          <w:tcPr>
            <w:tcW w:w="13227" w:type="dxa"/>
          </w:tcPr>
          <w:p w14:paraId="55EED812">
            <w:pPr>
              <w:pStyle w:val="40"/>
              <w:keepNext w:val="0"/>
              <w:keepLines w:val="0"/>
              <w:suppressLineNumbers w:val="0"/>
              <w:bidi w:val="0"/>
              <w:spacing w:before="0" w:beforeAutospacing="0" w:after="0" w:afterAutospacing="0"/>
              <w:ind w:left="0" w:right="0"/>
              <w:rPr>
                <w:rFonts w:hint="default"/>
              </w:rPr>
            </w:pPr>
            <w:r>
              <w:rPr>
                <w:rFonts w:hint="default"/>
              </w:rPr>
              <w:t>表1</w:t>
            </w:r>
            <w:r>
              <w:rPr>
                <w:rFonts w:hint="eastAsia"/>
                <w:lang w:val="en-US" w:eastAsia="zh-CN"/>
              </w:rPr>
              <w:t>.8-1</w:t>
            </w:r>
            <w:r>
              <w:rPr>
                <w:rFonts w:hint="default"/>
              </w:rPr>
              <w:t xml:space="preserve"> 与全省生态环境总体准入要求的符合性分析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020"/>
              <w:gridCol w:w="872"/>
              <w:gridCol w:w="6686"/>
              <w:gridCol w:w="3504"/>
              <w:gridCol w:w="929"/>
            </w:tblGrid>
            <w:tr w14:paraId="3E53CB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391" w:type="pct"/>
                  <w:noWrap w:val="0"/>
                  <w:vAlign w:val="center"/>
                </w:tcPr>
                <w:p w14:paraId="174EF3F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适用范围</w:t>
                  </w:r>
                </w:p>
              </w:tc>
              <w:tc>
                <w:tcPr>
                  <w:tcW w:w="2904" w:type="pct"/>
                  <w:gridSpan w:val="2"/>
                  <w:noWrap w:val="0"/>
                  <w:vAlign w:val="center"/>
                </w:tcPr>
                <w:p w14:paraId="47AE669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准入要求</w:t>
                  </w:r>
                </w:p>
              </w:tc>
              <w:tc>
                <w:tcPr>
                  <w:tcW w:w="1346" w:type="pct"/>
                  <w:noWrap w:val="0"/>
                  <w:vAlign w:val="center"/>
                </w:tcPr>
                <w:p w14:paraId="00CB3D5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本项目情况</w:t>
                  </w:r>
                </w:p>
              </w:tc>
              <w:tc>
                <w:tcPr>
                  <w:tcW w:w="357" w:type="pct"/>
                  <w:noWrap w:val="0"/>
                  <w:vAlign w:val="center"/>
                </w:tcPr>
                <w:p w14:paraId="5F3082C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符合性</w:t>
                  </w:r>
                </w:p>
              </w:tc>
            </w:tr>
            <w:tr w14:paraId="088FB3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391" w:type="pct"/>
                  <w:vMerge w:val="restart"/>
                  <w:noWrap w:val="0"/>
                  <w:vAlign w:val="center"/>
                </w:tcPr>
                <w:p w14:paraId="35D2F5F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全省陆域</w:t>
                  </w:r>
                </w:p>
              </w:tc>
              <w:tc>
                <w:tcPr>
                  <w:tcW w:w="335" w:type="pct"/>
                  <w:noWrap w:val="0"/>
                  <w:vAlign w:val="center"/>
                </w:tcPr>
                <w:p w14:paraId="2F32EF1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空间布局约束</w:t>
                  </w:r>
                </w:p>
              </w:tc>
              <w:tc>
                <w:tcPr>
                  <w:tcW w:w="2569" w:type="pct"/>
                  <w:noWrap w:val="0"/>
                  <w:vAlign w:val="center"/>
                </w:tcPr>
                <w:p w14:paraId="34BE6B1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1、石化、汽车、船舶、冶金、水泥、制浆造纸、印染等重点产业，要符合全省规划布局要求。</w:t>
                  </w:r>
                </w:p>
                <w:p w14:paraId="2421BF1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2、严控钢铁、水泥、平板玻璃等产能过剩行业新增产能，新增产能应实施产能等量或减量置换。</w:t>
                  </w:r>
                </w:p>
                <w:p w14:paraId="2D0318E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3、除列入国家规划的大型煤电和符合相关要求的等容量替代项目，以及以供热为主的热电联产项目外，原则上不再建设新的煤电项目。</w:t>
                  </w:r>
                </w:p>
                <w:p w14:paraId="7C1DB88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4、氟化工产业应集中布局在《关于促进我省氟化工产业绿色高效发展的若干意见》中确定的园区，在上述园区之外不再新建氟化工项目，园区之外现有氟化工项目不再扩大规模。</w:t>
                  </w:r>
                </w:p>
                <w:p w14:paraId="5AC384E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5、禁止在水环境质量不能稳定达标的区域内，建设新增相应不达标污染物指标排放量的工业项目。</w:t>
                  </w:r>
                </w:p>
              </w:tc>
              <w:tc>
                <w:tcPr>
                  <w:tcW w:w="1346" w:type="pct"/>
                  <w:noWrap w:val="0"/>
                  <w:vAlign w:val="center"/>
                </w:tcPr>
                <w:p w14:paraId="6DA1675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本项目主要从事铝合金、塑胶件及钣金件加工生产，项目所在区域水环境质量能稳定达标，项目建设与空间布局约束要求不相冲突</w:t>
                  </w:r>
                </w:p>
              </w:tc>
              <w:tc>
                <w:tcPr>
                  <w:tcW w:w="357" w:type="pct"/>
                  <w:noWrap w:val="0"/>
                  <w:vAlign w:val="center"/>
                </w:tcPr>
                <w:p w14:paraId="341408D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符合</w:t>
                  </w:r>
                </w:p>
              </w:tc>
            </w:tr>
            <w:tr w14:paraId="22513B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391" w:type="pct"/>
                  <w:vMerge w:val="continue"/>
                  <w:noWrap w:val="0"/>
                  <w:vAlign w:val="center"/>
                </w:tcPr>
                <w:p w14:paraId="5CB10EE6">
                  <w:pPr>
                    <w:pStyle w:val="39"/>
                    <w:keepNext w:val="0"/>
                    <w:keepLines w:val="0"/>
                    <w:widowControl/>
                    <w:suppressLineNumbers w:val="0"/>
                    <w:bidi w:val="0"/>
                    <w:spacing w:before="0" w:beforeAutospacing="0" w:after="0" w:afterAutospacing="0"/>
                    <w:ind w:left="0" w:right="0"/>
                    <w:rPr>
                      <w:rFonts w:hint="eastAsia"/>
                      <w:szCs w:val="22"/>
                    </w:rPr>
                  </w:pPr>
                </w:p>
              </w:tc>
              <w:tc>
                <w:tcPr>
                  <w:tcW w:w="335" w:type="pct"/>
                  <w:noWrap w:val="0"/>
                  <w:vAlign w:val="center"/>
                </w:tcPr>
                <w:p w14:paraId="5FABB7B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污染物排放管控</w:t>
                  </w:r>
                </w:p>
              </w:tc>
              <w:tc>
                <w:tcPr>
                  <w:tcW w:w="2569" w:type="pct"/>
                  <w:noWrap w:val="0"/>
                  <w:vAlign w:val="center"/>
                </w:tcPr>
                <w:p w14:paraId="616DF19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建设项目新增的主要污染物排放量应按要求实行等量或倍量替代。涉及总磷排放的建设项目应按照要求实行总磷排放量倍量或等量削减替代。涉及重金属重点行业建设项目新增的重点重金属污染物应按要求实行</w:t>
                  </w:r>
                  <w:r>
                    <w:rPr>
                      <w:rFonts w:hint="eastAsia"/>
                      <w:szCs w:val="22"/>
                      <w:lang w:eastAsia="zh-CN"/>
                    </w:rPr>
                    <w:t>“</w:t>
                  </w:r>
                  <w:r>
                    <w:rPr>
                      <w:rFonts w:hint="eastAsia"/>
                      <w:szCs w:val="22"/>
                    </w:rPr>
                    <w:t>减量置换</w:t>
                  </w:r>
                  <w:r>
                    <w:rPr>
                      <w:rFonts w:hint="eastAsia"/>
                      <w:szCs w:val="22"/>
                      <w:lang w:eastAsia="zh-CN"/>
                    </w:rPr>
                    <w:t>”</w:t>
                  </w:r>
                  <w:r>
                    <w:rPr>
                      <w:rFonts w:hint="eastAsia"/>
                      <w:szCs w:val="22"/>
                    </w:rPr>
                    <w:t>或等量替换。涉新增</w:t>
                  </w:r>
                  <w:r>
                    <w:rPr>
                      <w:rFonts w:hint="eastAsia"/>
                      <w:szCs w:val="22"/>
                      <w:lang w:eastAsia="zh-CN"/>
                    </w:rPr>
                    <w:t>VOCs</w:t>
                  </w:r>
                  <w:r>
                    <w:rPr>
                      <w:rFonts w:hint="eastAsia"/>
                      <w:szCs w:val="22"/>
                    </w:rPr>
                    <w:t>排放项目，</w:t>
                  </w:r>
                  <w:r>
                    <w:rPr>
                      <w:rFonts w:hint="eastAsia"/>
                      <w:szCs w:val="22"/>
                      <w:lang w:eastAsia="zh-CN"/>
                    </w:rPr>
                    <w:t>VOCs</w:t>
                  </w:r>
                  <w:r>
                    <w:rPr>
                      <w:rFonts w:hint="eastAsia"/>
                      <w:szCs w:val="22"/>
                    </w:rPr>
                    <w:t>排放实行区域内等量替代。福州、厦门、漳州、泉州、莆田、宁德等6个重点控制区可实施倍量替代。</w:t>
                  </w:r>
                </w:p>
                <w:p w14:paraId="2DA4647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2、新建水泥、有色金属项目应执行大气污染物特别排放限值，钢铁项目应执行超低排放指标要求，火电项目应达到超低排放限值。</w:t>
                  </w:r>
                </w:p>
                <w:p w14:paraId="0173F90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3、尾水排入近岸海域汇水区域、</w:t>
                  </w:r>
                  <w:r>
                    <w:rPr>
                      <w:rFonts w:hint="eastAsia"/>
                      <w:szCs w:val="22"/>
                      <w:lang w:eastAsia="zh-CN"/>
                    </w:rPr>
                    <w:t>“</w:t>
                  </w:r>
                  <w:r>
                    <w:rPr>
                      <w:rFonts w:hint="eastAsia"/>
                      <w:szCs w:val="22"/>
                    </w:rPr>
                    <w:t>六江两溪</w:t>
                  </w:r>
                  <w:r>
                    <w:rPr>
                      <w:rFonts w:hint="eastAsia"/>
                      <w:szCs w:val="22"/>
                      <w:lang w:eastAsia="zh-CN"/>
                    </w:rPr>
                    <w:t>”</w:t>
                  </w:r>
                  <w:r>
                    <w:rPr>
                      <w:rFonts w:hint="eastAsia"/>
                      <w:szCs w:val="22"/>
                    </w:rPr>
                    <w:t>流域以及湖泊、水库等封闭、半封闭水域的城镇污水处理设施执行不低于一级 A 排放标准。</w:t>
                  </w:r>
                </w:p>
              </w:tc>
              <w:tc>
                <w:tcPr>
                  <w:tcW w:w="1346" w:type="pct"/>
                  <w:noWrap w:val="0"/>
                  <w:vAlign w:val="center"/>
                </w:tcPr>
                <w:p w14:paraId="30DA9A3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1、项目位于</w:t>
                  </w:r>
                  <w:r>
                    <w:rPr>
                      <w:rFonts w:hint="eastAsia"/>
                      <w:szCs w:val="22"/>
                      <w:lang w:eastAsia="zh-CN"/>
                    </w:rPr>
                    <w:t>福建省福州市福清融侨经济技术开发区内</w:t>
                  </w:r>
                  <w:r>
                    <w:rPr>
                      <w:rFonts w:hint="eastAsia"/>
                      <w:szCs w:val="22"/>
                    </w:rPr>
                    <w:t>，属于其规定的污染物管控区域。项目涉及</w:t>
                  </w:r>
                  <w:r>
                    <w:rPr>
                      <w:rFonts w:hint="eastAsia"/>
                      <w:szCs w:val="22"/>
                      <w:lang w:eastAsia="zh-CN"/>
                    </w:rPr>
                    <w:t>VOCs</w:t>
                  </w:r>
                  <w:r>
                    <w:rPr>
                      <w:rFonts w:hint="eastAsia"/>
                      <w:szCs w:val="22"/>
                    </w:rPr>
                    <w:t>排放，需实施倍量替代。</w:t>
                  </w:r>
                </w:p>
                <w:p w14:paraId="05E807F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2、项目主要从事铝合金、塑胶件及钣金件加工生产，不属于水泥、有色金属、钢铁、火电项目。</w:t>
                  </w:r>
                </w:p>
                <w:p w14:paraId="14C0E49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3、项目无生产废水产生；生活污水经化粪池预处理后，排入市政污水管网，尾水排放达一级A排放标准</w:t>
                  </w:r>
                </w:p>
              </w:tc>
              <w:tc>
                <w:tcPr>
                  <w:tcW w:w="357" w:type="pct"/>
                  <w:noWrap w:val="0"/>
                  <w:vAlign w:val="center"/>
                </w:tcPr>
                <w:p w14:paraId="4A8C4D4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符合</w:t>
                  </w:r>
                </w:p>
              </w:tc>
            </w:tr>
          </w:tbl>
          <w:p w14:paraId="0E587715">
            <w:pPr>
              <w:keepNext w:val="0"/>
              <w:keepLines w:val="0"/>
              <w:suppressLineNumbers w:val="0"/>
              <w:bidi w:val="0"/>
              <w:spacing w:before="0" w:beforeAutospacing="0" w:after="0" w:afterAutospacing="0"/>
              <w:ind w:left="0" w:right="0"/>
              <w:rPr>
                <w:rFonts w:hint="eastAsia"/>
              </w:rPr>
            </w:pPr>
            <w:r>
              <w:rPr>
                <w:rFonts w:hint="eastAsia"/>
                <w:lang w:eastAsia="zh-CN"/>
              </w:rPr>
              <w:t>（</w:t>
            </w:r>
            <w:r>
              <w:rPr>
                <w:rFonts w:hint="eastAsia"/>
              </w:rPr>
              <w:t>2</w:t>
            </w:r>
            <w:r>
              <w:rPr>
                <w:rFonts w:hint="eastAsia"/>
                <w:lang w:eastAsia="zh-CN"/>
              </w:rPr>
              <w:t>）</w:t>
            </w:r>
            <w:r>
              <w:rPr>
                <w:rFonts w:hint="eastAsia"/>
              </w:rPr>
              <w:t>与</w:t>
            </w:r>
            <w:r>
              <w:rPr>
                <w:rFonts w:hint="eastAsia"/>
                <w:b w:val="0"/>
                <w:bCs w:val="0"/>
                <w:iCs w:val="0"/>
              </w:rPr>
              <w:t>《福州市生态环境局关于发布福州市2024年生态环境分区管控动态更新成果的通知》（榕</w:t>
            </w:r>
            <w:r>
              <w:rPr>
                <w:rFonts w:hint="eastAsia"/>
                <w:b w:val="0"/>
                <w:bCs w:val="0"/>
                <w:iCs w:val="0"/>
                <w:lang w:val="en-US" w:eastAsia="zh-CN"/>
              </w:rPr>
              <w:t>环保综</w:t>
            </w:r>
            <w:r>
              <w:rPr>
                <w:rFonts w:hint="eastAsia"/>
                <w:b w:val="0"/>
                <w:bCs w:val="0"/>
                <w:iCs w:val="0"/>
              </w:rPr>
              <w:t>〔202</w:t>
            </w:r>
            <w:r>
              <w:rPr>
                <w:rFonts w:hint="eastAsia"/>
                <w:b w:val="0"/>
                <w:bCs w:val="0"/>
                <w:iCs w:val="0"/>
                <w:lang w:val="en-US" w:eastAsia="zh-CN"/>
              </w:rPr>
              <w:t>5</w:t>
            </w:r>
            <w:r>
              <w:rPr>
                <w:rFonts w:hint="eastAsia"/>
                <w:b w:val="0"/>
                <w:bCs w:val="0"/>
                <w:iCs w:val="0"/>
              </w:rPr>
              <w:t>〕</w:t>
            </w:r>
            <w:r>
              <w:rPr>
                <w:rFonts w:hint="eastAsia"/>
                <w:b w:val="0"/>
                <w:bCs w:val="0"/>
                <w:iCs w:val="0"/>
                <w:lang w:val="en-US" w:eastAsia="zh-CN"/>
              </w:rPr>
              <w:t>1</w:t>
            </w:r>
            <w:r>
              <w:rPr>
                <w:rFonts w:hint="eastAsia"/>
                <w:b w:val="0"/>
                <w:bCs w:val="0"/>
                <w:iCs w:val="0"/>
              </w:rPr>
              <w:t>号）</w:t>
            </w:r>
            <w:r>
              <w:rPr>
                <w:rFonts w:hint="eastAsia"/>
              </w:rPr>
              <w:t>符合性分析</w:t>
            </w:r>
          </w:p>
          <w:p w14:paraId="5E4D7FFB">
            <w:pPr>
              <w:keepNext w:val="0"/>
              <w:keepLines w:val="0"/>
              <w:suppressLineNumbers w:val="0"/>
              <w:bidi w:val="0"/>
              <w:spacing w:before="0" w:beforeAutospacing="0" w:after="0" w:afterAutospacing="0"/>
              <w:ind w:left="0" w:right="0"/>
              <w:rPr>
                <w:rFonts w:hint="eastAsia"/>
              </w:rPr>
            </w:pPr>
            <w:r>
              <w:rPr>
                <w:rFonts w:hint="eastAsia"/>
                <w:b w:val="0"/>
                <w:bCs w:val="0"/>
                <w:iCs w:val="0"/>
              </w:rPr>
              <w:t>根据《福州市生态环境局关于发布福州市2024年生态环境分区管控动态更新成果的通知》（榕</w:t>
            </w:r>
            <w:r>
              <w:rPr>
                <w:rFonts w:hint="eastAsia"/>
                <w:b w:val="0"/>
                <w:bCs w:val="0"/>
                <w:iCs w:val="0"/>
                <w:lang w:val="en-US" w:eastAsia="zh-CN"/>
              </w:rPr>
              <w:t>环保综</w:t>
            </w:r>
            <w:r>
              <w:rPr>
                <w:rFonts w:hint="eastAsia"/>
                <w:b w:val="0"/>
                <w:bCs w:val="0"/>
                <w:iCs w:val="0"/>
              </w:rPr>
              <w:t>〔202</w:t>
            </w:r>
            <w:r>
              <w:rPr>
                <w:rFonts w:hint="eastAsia"/>
                <w:b w:val="0"/>
                <w:bCs w:val="0"/>
                <w:iCs w:val="0"/>
                <w:lang w:val="en-US" w:eastAsia="zh-CN"/>
              </w:rPr>
              <w:t>5</w:t>
            </w:r>
            <w:r>
              <w:rPr>
                <w:rFonts w:hint="eastAsia"/>
                <w:b w:val="0"/>
                <w:bCs w:val="0"/>
                <w:iCs w:val="0"/>
              </w:rPr>
              <w:t>〕</w:t>
            </w:r>
            <w:r>
              <w:rPr>
                <w:rFonts w:hint="eastAsia"/>
                <w:b w:val="0"/>
                <w:bCs w:val="0"/>
                <w:iCs w:val="0"/>
                <w:lang w:val="en-US" w:eastAsia="zh-CN"/>
              </w:rPr>
              <w:t>1</w:t>
            </w:r>
            <w:r>
              <w:rPr>
                <w:rFonts w:hint="eastAsia"/>
                <w:b w:val="0"/>
                <w:bCs w:val="0"/>
                <w:iCs w:val="0"/>
              </w:rPr>
              <w:t>号）中对</w:t>
            </w:r>
            <w:r>
              <w:rPr>
                <w:rFonts w:hint="eastAsia"/>
                <w:b w:val="0"/>
                <w:bCs w:val="0"/>
                <w:iCs w:val="0"/>
                <w:lang w:eastAsia="zh-CN"/>
              </w:rPr>
              <w:t>“</w:t>
            </w:r>
            <w:r>
              <w:rPr>
                <w:rFonts w:hint="eastAsia"/>
                <w:b w:val="0"/>
                <w:bCs w:val="0"/>
                <w:iCs w:val="0"/>
              </w:rPr>
              <w:t>生态分区管控的要求</w:t>
            </w:r>
            <w:r>
              <w:rPr>
                <w:rFonts w:hint="eastAsia"/>
                <w:b w:val="0"/>
                <w:bCs w:val="0"/>
                <w:iCs w:val="0"/>
                <w:lang w:eastAsia="zh-CN"/>
              </w:rPr>
              <w:t>”</w:t>
            </w:r>
            <w:r>
              <w:rPr>
                <w:rFonts w:hint="eastAsia"/>
              </w:rPr>
              <w:t>。具体分析见表</w:t>
            </w:r>
            <w:r>
              <w:rPr>
                <w:rFonts w:hint="eastAsia"/>
                <w:lang w:val="en-US" w:eastAsia="zh-CN"/>
              </w:rPr>
              <w:t>1.8-2、表1.8-3</w:t>
            </w:r>
            <w:r>
              <w:rPr>
                <w:rFonts w:hint="eastAsia"/>
              </w:rPr>
              <w:t>。</w:t>
            </w:r>
          </w:p>
          <w:p w14:paraId="0F168A09">
            <w:pPr>
              <w:pStyle w:val="40"/>
              <w:keepNext w:val="0"/>
              <w:keepLines w:val="0"/>
              <w:suppressLineNumbers w:val="0"/>
              <w:bidi w:val="0"/>
              <w:spacing w:before="0" w:beforeAutospacing="0" w:after="0" w:afterAutospacing="0"/>
              <w:ind w:left="0" w:right="0"/>
              <w:rPr>
                <w:rFonts w:hint="eastAsia"/>
              </w:rPr>
            </w:pPr>
            <w:r>
              <w:rPr>
                <w:rFonts w:hint="eastAsia"/>
              </w:rPr>
              <w:t>表</w:t>
            </w:r>
            <w:r>
              <w:rPr>
                <w:rFonts w:hint="eastAsia"/>
                <w:lang w:val="en-US" w:eastAsia="zh-CN"/>
              </w:rPr>
              <w:t>1.8-2</w:t>
            </w:r>
            <w:r>
              <w:rPr>
                <w:rFonts w:hint="eastAsia"/>
              </w:rPr>
              <w:t xml:space="preserve"> 与福州市生态环境总体准入要求的符合性分析</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934"/>
              <w:gridCol w:w="6840"/>
              <w:gridCol w:w="4212"/>
            </w:tblGrid>
            <w:tr w14:paraId="364B8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tcBorders>
                    <w:tl2br w:val="nil"/>
                    <w:tr2bl w:val="nil"/>
                  </w:tcBorders>
                  <w:vAlign w:val="center"/>
                </w:tcPr>
                <w:p w14:paraId="5AB8BFD2">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适用范围</w:t>
                  </w:r>
                </w:p>
              </w:tc>
              <w:tc>
                <w:tcPr>
                  <w:tcW w:w="359" w:type="pct"/>
                  <w:tcBorders>
                    <w:tl2br w:val="nil"/>
                    <w:tr2bl w:val="nil"/>
                  </w:tcBorders>
                  <w:vAlign w:val="center"/>
                </w:tcPr>
                <w:p w14:paraId="3FE76957">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类别</w:t>
                  </w:r>
                </w:p>
              </w:tc>
              <w:tc>
                <w:tcPr>
                  <w:tcW w:w="2629" w:type="pct"/>
                  <w:tcBorders>
                    <w:tl2br w:val="nil"/>
                    <w:tr2bl w:val="nil"/>
                  </w:tcBorders>
                  <w:vAlign w:val="center"/>
                </w:tcPr>
                <w:p w14:paraId="60AEA97B">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准入要求</w:t>
                  </w:r>
                </w:p>
              </w:tc>
              <w:tc>
                <w:tcPr>
                  <w:tcW w:w="1619" w:type="pct"/>
                  <w:tcBorders>
                    <w:tl2br w:val="nil"/>
                    <w:tr2bl w:val="nil"/>
                  </w:tcBorders>
                  <w:vAlign w:val="center"/>
                </w:tcPr>
                <w:p w14:paraId="5CAF37A7">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符合性分析</w:t>
                  </w:r>
                </w:p>
              </w:tc>
            </w:tr>
            <w:tr w14:paraId="1F655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0" w:hRule="atLeast"/>
                <w:jc w:val="center"/>
              </w:trPr>
              <w:tc>
                <w:tcPr>
                  <w:tcW w:w="392" w:type="pct"/>
                  <w:vMerge w:val="restart"/>
                  <w:tcBorders>
                    <w:tl2br w:val="nil"/>
                    <w:tr2bl w:val="nil"/>
                  </w:tcBorders>
                  <w:vAlign w:val="center"/>
                </w:tcPr>
                <w:p w14:paraId="2B1305DB">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福州市陆域</w:t>
                  </w:r>
                </w:p>
              </w:tc>
              <w:tc>
                <w:tcPr>
                  <w:tcW w:w="359" w:type="pct"/>
                  <w:tcBorders>
                    <w:tl2br w:val="nil"/>
                    <w:tr2bl w:val="nil"/>
                  </w:tcBorders>
                  <w:vAlign w:val="center"/>
                </w:tcPr>
                <w:p w14:paraId="696A321F">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空间布局约束</w:t>
                  </w:r>
                </w:p>
              </w:tc>
              <w:tc>
                <w:tcPr>
                  <w:tcW w:w="2629" w:type="pct"/>
                  <w:tcBorders>
                    <w:tl2br w:val="nil"/>
                    <w:tr2bl w:val="nil"/>
                  </w:tcBorders>
                  <w:vAlign w:val="center"/>
                </w:tcPr>
                <w:p w14:paraId="498351B2">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一、优先保护单元中的生态保护红线</w:t>
                  </w:r>
                </w:p>
                <w:p w14:paraId="4D979467">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1.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2D330EB3">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（1）管护巡护、保护执法、科学研究、调查监测、测绘导航、防灾减灾救灾、军事国防、疫情防控等活动及相关的必要设施修筑。</w:t>
                  </w:r>
                </w:p>
                <w:p w14:paraId="78839BC8">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7B18FF1D">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（3）经依法批准的考古调查发掘、古生物化石调查发掘、标本采集和文物保护活动。</w:t>
                  </w:r>
                </w:p>
                <w:p w14:paraId="0834DB73">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（4）按规定对人工商品林进行抚育采伐，或以提升森林质量、优化栖息地、建设生物防火隔离带等为目的的树种更新，依法开展的竹林采伐经营。</w:t>
                  </w:r>
                </w:p>
                <w:p w14:paraId="2736CBE2">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（5）不破坏生态功能的适度参观旅游、科普宣教及符合相关规划的配套性服务设施和相关的必要公共设施建设及维护。</w:t>
                  </w:r>
                </w:p>
                <w:p w14:paraId="1D37FBFA">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（6）必须且无法避让、符合县级以上国土空间规划的线性基础设施、通讯和防洪、供水设施建设和船舶航行、航道疏浚清淤等活动；已有的合法水利、交通运输等设施运行维护改造。</w:t>
                  </w:r>
                </w:p>
                <w:p w14:paraId="3AAC129D">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7C4161A6">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（8）依据县级以上国土空间规划和生态保护修复专项规划开展的生态修复。</w:t>
                  </w:r>
                </w:p>
                <w:p w14:paraId="1FBEC80D">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（9）法律法规规定允许的其他人为活动。</w:t>
                  </w:r>
                </w:p>
                <w:p w14:paraId="63BFC7F9">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2.依据《福建省自然资源厅福建省生态环境厅福建省林业局关于进一步加强生态保护红线监管的通知（试行）》（闽自然资发〔2023〕56号），允许占用生态保护红线的重大项目范围：</w:t>
                  </w:r>
                </w:p>
                <w:p w14:paraId="189BFE36">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（1）党中央、国务院发布文件或批准规划中明确具体名称的项目和国务院批准的项目。</w:t>
                  </w:r>
                </w:p>
                <w:p w14:paraId="003D83A4">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（2）中央军委及其有关部门批准的军事国防项目。</w:t>
                  </w:r>
                </w:p>
                <w:p w14:paraId="7D237C8B">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（3）国家级规划（指国务院及其有关部门正式颁布）明确的交通、水利项目。</w:t>
                  </w:r>
                </w:p>
                <w:p w14:paraId="43490897">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（4）国家级规划明确的电网项目，国家级规划明确的且符合国家产业政策的能源矿产勘查开采、油气管线、水电、核电项目。</w:t>
                  </w:r>
                </w:p>
                <w:p w14:paraId="0CF68CB9">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（5）为贯彻落实党中央、国务院重大决策部署</w:t>
                  </w:r>
                  <w:r>
                    <w:rPr>
                      <w:rFonts w:hint="eastAsia"/>
                      <w:b w:val="0"/>
                      <w:bCs w:val="0"/>
                      <w:szCs w:val="22"/>
                      <w:lang w:eastAsia="zh-CN"/>
                    </w:rPr>
                    <w:t>，由</w:t>
                  </w:r>
                  <w:r>
                    <w:rPr>
                      <w:rFonts w:hint="eastAsia"/>
                      <w:b w:val="0"/>
                      <w:bCs w:val="0"/>
                      <w:szCs w:val="22"/>
                    </w:rPr>
                    <w:t>国务院投资主管部门或国务院投资主管部门会同有关部门确认的交通、能源、水利等基础设施项目。</w:t>
                  </w:r>
                </w:p>
                <w:p w14:paraId="3F780D7D">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（6）按照国家重大项目用地保障工作机制要求，国家发展改革委会同有关部门确认的需中央加大建设用地保障力度，确实难以避让的国家重大项目。</w:t>
                  </w:r>
                </w:p>
                <w:p w14:paraId="59026AD7">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二、优先保护单元中的一般生态空间</w:t>
                  </w:r>
                </w:p>
                <w:p w14:paraId="0C402B81">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1.一般生态空间以保护和修复生态环境、提供生态产品和服务为首要任务，因地制宜地发展不影响主体功能定位的适宜产业。</w:t>
                  </w:r>
                </w:p>
                <w:p w14:paraId="78AC19E0">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2.一般生态空间内未纳入生态保护红线的饮用水水源保护区等各类法定保护地，其管控要求依照相关法律法规执行。</w:t>
                  </w:r>
                </w:p>
                <w:p w14:paraId="5EA1B250">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3.一般生态空间内现有合法的水泥厂、矿山开发等生产性设施及生活垃圾处置等民生工程予以保留，应按照法律法规要求落实污染防治和生态保护措施，避免对生态功能造成破坏。</w:t>
                  </w:r>
                </w:p>
                <w:p w14:paraId="4A2CC786">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三、其它要求</w:t>
                  </w:r>
                </w:p>
                <w:p w14:paraId="576EFADA">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1.福州市石化中上游项目重点在福州江阴港城经济区、可门港经济区化工新材料产业园布局。</w:t>
                  </w:r>
                </w:p>
                <w:p w14:paraId="7DB5175B">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2.禁止在闽江马尾罗星塔以上流域范围新、扩建制革项目，严控新（扩）建植物制浆、印染、合成革及人造革、电镀项目。</w:t>
                  </w:r>
                </w:p>
                <w:p w14:paraId="044F5862">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3.禁止在通风廊道和主导风向的上风向布局大气重污染企业，推进建成区大气重污染企业搬迁或升级改造、环境风险企业搬迁或关闭退出。</w:t>
                  </w:r>
                </w:p>
                <w:p w14:paraId="1A412895">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4.禁止新、改、扩建生产高</w:t>
                  </w:r>
                  <w:r>
                    <w:rPr>
                      <w:rFonts w:hint="eastAsia"/>
                      <w:b w:val="0"/>
                      <w:bCs w:val="0"/>
                      <w:szCs w:val="22"/>
                      <w:lang w:eastAsia="zh-CN"/>
                    </w:rPr>
                    <w:t>VOCs</w:t>
                  </w:r>
                  <w:r>
                    <w:rPr>
                      <w:rFonts w:hint="eastAsia"/>
                      <w:b w:val="0"/>
                      <w:bCs w:val="0"/>
                      <w:szCs w:val="22"/>
                    </w:rPr>
                    <w:t>含量有机溶剂型涂料、油墨和胶黏剂的项目。</w:t>
                  </w:r>
                </w:p>
                <w:p w14:paraId="3635AC5F">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5.持续加强闽清等地建陶产业的环境综合治理，充分衔接国土空间规划和生态环境分区管控，并对照产业政策、城市总体发展规划等要求，进一步明确发展定位，优化产业布局和规模。</w:t>
                  </w:r>
                </w:p>
                <w:p w14:paraId="53446B36">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6.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25DB1A4E">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7.禁止在流域上游新建、扩建重污染企业和项目。</w:t>
                  </w:r>
                </w:p>
                <w:p w14:paraId="4F43E960">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8.重要敏感水体及富营养化湖库生态缓冲带除相关政府部门批准的科学研究活动外，禁止其它可能对保护区构成危害或不良影响的大规模生产、建设活动。</w:t>
                  </w:r>
                </w:p>
                <w:p w14:paraId="3718B9FC">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9.新、改、扩建煤电、钢铁、建材、石化、化工等</w:t>
                  </w:r>
                  <w:r>
                    <w:rPr>
                      <w:rFonts w:hint="eastAsia"/>
                      <w:b w:val="0"/>
                      <w:bCs w:val="0"/>
                      <w:szCs w:val="22"/>
                      <w:lang w:eastAsia="zh-CN"/>
                    </w:rPr>
                    <w:t>“</w:t>
                  </w:r>
                  <w:r>
                    <w:rPr>
                      <w:rFonts w:hint="eastAsia"/>
                      <w:b w:val="0"/>
                      <w:bCs w:val="0"/>
                      <w:szCs w:val="22"/>
                    </w:rPr>
                    <w:t>两高</w:t>
                  </w:r>
                  <w:r>
                    <w:rPr>
                      <w:rFonts w:hint="eastAsia"/>
                      <w:b w:val="0"/>
                      <w:bCs w:val="0"/>
                      <w:szCs w:val="22"/>
                      <w:lang w:eastAsia="zh-CN"/>
                    </w:rPr>
                    <w:t>”</w:t>
                  </w:r>
                  <w:r>
                    <w:rPr>
                      <w:rFonts w:hint="eastAsia"/>
                      <w:b w:val="0"/>
                      <w:bCs w:val="0"/>
                      <w:szCs w:val="22"/>
                    </w:rPr>
                    <w:t>项目，严格落实国家、省、市产业规划、产业政策、</w:t>
                  </w:r>
                  <w:r>
                    <w:rPr>
                      <w:rFonts w:hint="eastAsia"/>
                      <w:b w:val="0"/>
                      <w:bCs w:val="0"/>
                      <w:szCs w:val="22"/>
                      <w:lang w:eastAsia="zh-CN"/>
                    </w:rPr>
                    <w:t>“</w:t>
                  </w:r>
                  <w:r>
                    <w:rPr>
                      <w:rFonts w:hint="eastAsia"/>
                      <w:b w:val="0"/>
                      <w:bCs w:val="0"/>
                      <w:szCs w:val="22"/>
                    </w:rPr>
                    <w:t>三线一单</w:t>
                  </w:r>
                  <w:r>
                    <w:rPr>
                      <w:rFonts w:hint="eastAsia"/>
                      <w:b w:val="0"/>
                      <w:bCs w:val="0"/>
                      <w:szCs w:val="22"/>
                      <w:lang w:eastAsia="zh-CN"/>
                    </w:rPr>
                    <w:t>”</w:t>
                  </w:r>
                  <w:r>
                    <w:rPr>
                      <w:rFonts w:hint="eastAsia"/>
                      <w:b w:val="0"/>
                      <w:bCs w:val="0"/>
                      <w:szCs w:val="22"/>
                    </w:rPr>
                    <w:t>、规划环评，以及产能置换、煤炭消费减量替代、区域污染削减等相关要求。</w:t>
                  </w:r>
                </w:p>
                <w:p w14:paraId="0B69456F">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10.单元内涉及永久基本农田的，应按照《福建省基本农田保护条例》（2010年修正本）、《国土资源部关于全面实行永久</w:t>
                  </w:r>
                  <w:r>
                    <w:rPr>
                      <w:rFonts w:hint="eastAsia"/>
                      <w:b w:val="0"/>
                      <w:bCs w:val="0"/>
                      <w:szCs w:val="22"/>
                      <w:lang w:eastAsia="zh-CN"/>
                    </w:rPr>
                    <w:t>基本农田</w:t>
                  </w:r>
                  <w:r>
                    <w:rPr>
                      <w:rFonts w:hint="eastAsia"/>
                      <w:b w:val="0"/>
                      <w:bCs w:val="0"/>
                      <w:szCs w:val="22"/>
                    </w:rPr>
                    <w:t>特殊保护的通知》（国土资规〔2018〕1号）、《</w:t>
                  </w:r>
                  <w:r>
                    <w:rPr>
                      <w:rFonts w:hint="eastAsia"/>
                      <w:b w:val="0"/>
                      <w:bCs w:val="0"/>
                      <w:szCs w:val="22"/>
                      <w:lang w:eastAsia="zh-CN"/>
                    </w:rPr>
                    <w:t>中共中央、国务院</w:t>
                  </w:r>
                  <w:r>
                    <w:rPr>
                      <w:rFonts w:hint="eastAsia"/>
                      <w:b w:val="0"/>
                      <w:bCs w:val="0"/>
                      <w:szCs w:val="22"/>
                    </w:rPr>
                    <w:t>关于加强耕地保护和改进占补平衡的意见》（2017年1月9日）等相关文件要求进</w:t>
                  </w:r>
                  <w:r>
                    <w:rPr>
                      <w:rFonts w:hint="eastAsia"/>
                      <w:b w:val="0"/>
                      <w:bCs w:val="0"/>
                      <w:szCs w:val="22"/>
                      <w:lang w:eastAsia="zh-CN"/>
                    </w:rPr>
                    <w:t>行严</w:t>
                  </w:r>
                  <w:r>
                    <w:rPr>
                      <w:rFonts w:hint="eastAsia"/>
                      <w:b w:val="0"/>
                      <w:bCs w:val="0"/>
                      <w:szCs w:val="22"/>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619" w:type="pct"/>
                  <w:tcBorders>
                    <w:tl2br w:val="nil"/>
                    <w:tr2bl w:val="nil"/>
                  </w:tcBorders>
                  <w:vAlign w:val="center"/>
                </w:tcPr>
                <w:p w14:paraId="18B04FCF">
                  <w:pPr>
                    <w:pStyle w:val="39"/>
                    <w:keepNext w:val="0"/>
                    <w:keepLines w:val="0"/>
                    <w:widowControl/>
                    <w:suppressLineNumbers w:val="0"/>
                    <w:bidi w:val="0"/>
                    <w:spacing w:before="0" w:beforeAutospacing="0" w:after="0" w:afterAutospacing="0"/>
                    <w:ind w:left="0" w:right="0"/>
                    <w:jc w:val="center"/>
                    <w:rPr>
                      <w:rFonts w:hint="eastAsia"/>
                      <w:b w:val="0"/>
                      <w:bCs w:val="0"/>
                      <w:szCs w:val="22"/>
                      <w:lang w:val="en-US" w:eastAsia="zh-CN"/>
                    </w:rPr>
                  </w:pPr>
                  <w:r>
                    <w:rPr>
                      <w:rFonts w:hint="eastAsia"/>
                      <w:b w:val="0"/>
                      <w:bCs w:val="0"/>
                      <w:szCs w:val="22"/>
                      <w:lang w:val="en-US" w:eastAsia="zh-CN"/>
                    </w:rPr>
                    <w:t>一、</w:t>
                  </w:r>
                  <w:r>
                    <w:rPr>
                      <w:rFonts w:hint="eastAsia"/>
                      <w:b w:val="0"/>
                      <w:bCs w:val="0"/>
                      <w:szCs w:val="22"/>
                    </w:rPr>
                    <w:t>1.本项目位于</w:t>
                  </w:r>
                  <w:r>
                    <w:rPr>
                      <w:rFonts w:hint="eastAsia"/>
                      <w:szCs w:val="22"/>
                      <w:lang w:val="en-US" w:eastAsia="zh-CN"/>
                    </w:rPr>
                    <w:t>福建省福州市福清融侨经济技术开发区内</w:t>
                  </w:r>
                  <w:r>
                    <w:rPr>
                      <w:rFonts w:hint="eastAsia"/>
                      <w:b w:val="0"/>
                      <w:bCs w:val="0"/>
                      <w:szCs w:val="22"/>
                    </w:rPr>
                    <w:t>，利用已建成厂房进行</w:t>
                  </w:r>
                  <w:r>
                    <w:rPr>
                      <w:rFonts w:hint="eastAsia"/>
                      <w:szCs w:val="22"/>
                    </w:rPr>
                    <w:t>铝合金、塑胶件及钣金件加工生产</w:t>
                  </w:r>
                  <w:r>
                    <w:rPr>
                      <w:rFonts w:hint="eastAsia"/>
                      <w:b w:val="0"/>
                      <w:bCs w:val="0"/>
                      <w:szCs w:val="22"/>
                    </w:rPr>
                    <w:t>，不扩大现有建设用地，不属于新建‘必须且无法避让的线性基础设施’等对国土空间规划有特殊要求的建设活动，不涉及种植、放牧、捕捞、养殖，考古研究、旅游业、地质调查与矿产资源勘查开采。</w:t>
                  </w:r>
                  <w:r>
                    <w:rPr>
                      <w:rFonts w:hint="eastAsia"/>
                      <w:b w:val="0"/>
                      <w:bCs w:val="0"/>
                      <w:szCs w:val="22"/>
                      <w:lang w:val="en-US" w:eastAsia="zh-CN"/>
                    </w:rPr>
                    <w:t>2.本项目不属于重大项目范围。</w:t>
                  </w:r>
                </w:p>
                <w:p w14:paraId="36C7BAF6">
                  <w:pPr>
                    <w:pStyle w:val="39"/>
                    <w:keepNext w:val="0"/>
                    <w:keepLines w:val="0"/>
                    <w:widowControl/>
                    <w:suppressLineNumbers w:val="0"/>
                    <w:bidi w:val="0"/>
                    <w:spacing w:before="0" w:beforeAutospacing="0" w:after="0" w:afterAutospacing="0"/>
                    <w:ind w:left="0" w:right="0"/>
                    <w:jc w:val="center"/>
                    <w:rPr>
                      <w:rFonts w:hint="eastAsia"/>
                      <w:b w:val="0"/>
                      <w:bCs w:val="0"/>
                      <w:szCs w:val="22"/>
                      <w:lang w:val="en-US" w:eastAsia="zh-CN"/>
                    </w:rPr>
                  </w:pPr>
                  <w:r>
                    <w:rPr>
                      <w:rFonts w:hint="eastAsia"/>
                      <w:b w:val="0"/>
                      <w:bCs w:val="0"/>
                      <w:szCs w:val="22"/>
                      <w:lang w:val="en-US" w:eastAsia="zh-CN"/>
                    </w:rPr>
                    <w:t>二、</w:t>
                  </w:r>
                  <w:r>
                    <w:rPr>
                      <w:rFonts w:hint="eastAsia"/>
                      <w:b w:val="0"/>
                      <w:bCs w:val="0"/>
                      <w:szCs w:val="22"/>
                    </w:rPr>
                    <w:t>本项目位于</w:t>
                  </w:r>
                  <w:r>
                    <w:rPr>
                      <w:rFonts w:hint="eastAsia"/>
                      <w:szCs w:val="22"/>
                      <w:lang w:val="en-US" w:eastAsia="zh-CN"/>
                    </w:rPr>
                    <w:t>福建省福州市福清融侨经济技术开发区内</w:t>
                  </w:r>
                  <w:r>
                    <w:rPr>
                      <w:rFonts w:hint="eastAsia"/>
                      <w:b w:val="0"/>
                      <w:bCs w:val="0"/>
                      <w:szCs w:val="22"/>
                      <w:lang w:eastAsia="zh-CN"/>
                    </w:rPr>
                    <w:t>，</w:t>
                  </w:r>
                  <w:r>
                    <w:rPr>
                      <w:rFonts w:hint="eastAsia"/>
                      <w:b w:val="0"/>
                      <w:bCs w:val="0"/>
                      <w:szCs w:val="22"/>
                      <w:lang w:val="en-US" w:eastAsia="zh-CN"/>
                    </w:rPr>
                    <w:t>不属于任何法定保护地，并承诺全面落实各项污染防治措施。</w:t>
                  </w:r>
                </w:p>
                <w:p w14:paraId="05E02E22">
                  <w:pPr>
                    <w:pStyle w:val="39"/>
                    <w:keepNext w:val="0"/>
                    <w:keepLines w:val="0"/>
                    <w:widowControl/>
                    <w:suppressLineNumbers w:val="0"/>
                    <w:bidi w:val="0"/>
                    <w:spacing w:before="0" w:beforeAutospacing="0" w:after="0" w:afterAutospacing="0"/>
                    <w:ind w:left="0" w:right="0"/>
                    <w:jc w:val="center"/>
                    <w:rPr>
                      <w:rFonts w:hint="default"/>
                      <w:b w:val="0"/>
                      <w:bCs w:val="0"/>
                      <w:szCs w:val="22"/>
                      <w:lang w:val="en-US" w:eastAsia="zh-CN"/>
                    </w:rPr>
                  </w:pPr>
                  <w:r>
                    <w:rPr>
                      <w:rFonts w:hint="eastAsia"/>
                      <w:b w:val="0"/>
                      <w:bCs w:val="0"/>
                      <w:szCs w:val="22"/>
                      <w:lang w:val="en-US" w:eastAsia="zh-CN"/>
                    </w:rPr>
                    <w:t>三、1-2、5-6.本项目</w:t>
                  </w:r>
                  <w:r>
                    <w:rPr>
                      <w:rFonts w:hint="eastAsia"/>
                      <w:b w:val="0"/>
                      <w:bCs w:val="0"/>
                      <w:szCs w:val="22"/>
                    </w:rPr>
                    <w:t>位于</w:t>
                  </w:r>
                  <w:r>
                    <w:rPr>
                      <w:rFonts w:hint="eastAsia"/>
                      <w:szCs w:val="22"/>
                      <w:lang w:val="en-US" w:eastAsia="zh-CN"/>
                    </w:rPr>
                    <w:t>福建省福州市福清融侨经济技术开发区内</w:t>
                  </w:r>
                  <w:r>
                    <w:rPr>
                      <w:rFonts w:hint="eastAsia"/>
                      <w:b w:val="0"/>
                      <w:bCs w:val="0"/>
                      <w:szCs w:val="22"/>
                      <w:lang w:val="en-US" w:eastAsia="zh-CN"/>
                    </w:rPr>
                    <w:t>，主要从事</w:t>
                  </w:r>
                  <w:r>
                    <w:rPr>
                      <w:rFonts w:hint="eastAsia"/>
                      <w:szCs w:val="22"/>
                    </w:rPr>
                    <w:t>铝合金、塑胶件及钣金件加工生产</w:t>
                  </w:r>
                  <w:r>
                    <w:rPr>
                      <w:rFonts w:hint="eastAsia"/>
                      <w:b w:val="0"/>
                      <w:bCs w:val="0"/>
                      <w:szCs w:val="22"/>
                      <w:lang w:val="en-US" w:eastAsia="zh-CN"/>
                    </w:rPr>
                    <w:t>，不涉及</w:t>
                  </w:r>
                  <w:r>
                    <w:rPr>
                      <w:rFonts w:hint="eastAsia"/>
                      <w:b w:val="0"/>
                      <w:bCs w:val="0"/>
                      <w:szCs w:val="22"/>
                    </w:rPr>
                    <w:t>植物制浆、印染、合成革及人造革、电镀</w:t>
                  </w:r>
                  <w:r>
                    <w:rPr>
                      <w:rFonts w:hint="eastAsia"/>
                      <w:b w:val="0"/>
                      <w:bCs w:val="0"/>
                      <w:szCs w:val="22"/>
                      <w:lang w:eastAsia="zh-CN"/>
                    </w:rPr>
                    <w:t>、</w:t>
                  </w:r>
                  <w:r>
                    <w:rPr>
                      <w:rFonts w:hint="eastAsia"/>
                      <w:b w:val="0"/>
                      <w:bCs w:val="0"/>
                      <w:szCs w:val="22"/>
                    </w:rPr>
                    <w:t>有色金属冶炼</w:t>
                  </w:r>
                  <w:r>
                    <w:rPr>
                      <w:rFonts w:hint="eastAsia"/>
                      <w:b w:val="0"/>
                      <w:bCs w:val="0"/>
                      <w:szCs w:val="22"/>
                      <w:lang w:eastAsia="zh-CN"/>
                    </w:rPr>
                    <w:t>、</w:t>
                  </w:r>
                  <w:r>
                    <w:rPr>
                      <w:rFonts w:hint="eastAsia"/>
                      <w:b w:val="0"/>
                      <w:bCs w:val="0"/>
                      <w:szCs w:val="22"/>
                    </w:rPr>
                    <w:t>铅蓄电池制造</w:t>
                  </w:r>
                  <w:r>
                    <w:rPr>
                      <w:rFonts w:hint="eastAsia"/>
                      <w:b w:val="0"/>
                      <w:bCs w:val="0"/>
                      <w:szCs w:val="22"/>
                      <w:lang w:eastAsia="zh-CN"/>
                    </w:rPr>
                    <w:t>、</w:t>
                  </w:r>
                  <w:r>
                    <w:rPr>
                      <w:rFonts w:hint="eastAsia"/>
                      <w:b w:val="0"/>
                      <w:bCs w:val="0"/>
                      <w:szCs w:val="22"/>
                    </w:rPr>
                    <w:t>用汞的电石法（聚）氯乙烯生产工艺</w:t>
                  </w:r>
                  <w:r>
                    <w:rPr>
                      <w:rFonts w:hint="eastAsia"/>
                      <w:b w:val="0"/>
                      <w:bCs w:val="0"/>
                      <w:szCs w:val="22"/>
                      <w:lang w:val="en-US" w:eastAsia="zh-CN"/>
                    </w:rPr>
                    <w:t>3、7.不属于</w:t>
                  </w:r>
                  <w:r>
                    <w:rPr>
                      <w:rFonts w:hint="eastAsia"/>
                      <w:b w:val="0"/>
                      <w:bCs w:val="0"/>
                      <w:szCs w:val="22"/>
                    </w:rPr>
                    <w:t>大气重污染企</w:t>
                  </w:r>
                  <w:r>
                    <w:rPr>
                      <w:rFonts w:hint="eastAsia"/>
                      <w:b w:val="0"/>
                      <w:bCs w:val="0"/>
                      <w:szCs w:val="22"/>
                      <w:highlight w:val="none"/>
                    </w:rPr>
                    <w:t>业</w:t>
                  </w:r>
                  <w:r>
                    <w:rPr>
                      <w:rFonts w:hint="eastAsia"/>
                      <w:b w:val="0"/>
                      <w:bCs w:val="0"/>
                      <w:szCs w:val="22"/>
                      <w:highlight w:val="none"/>
                      <w:lang w:val="en-US" w:eastAsia="zh-CN"/>
                    </w:rPr>
                    <w:t>4.</w:t>
                  </w:r>
                  <w:r>
                    <w:rPr>
                      <w:rFonts w:hint="default"/>
                      <w:b w:val="0"/>
                      <w:bCs w:val="0"/>
                      <w:szCs w:val="22"/>
                      <w:highlight w:val="none"/>
                      <w:lang w:val="en-US" w:eastAsia="zh-CN"/>
                    </w:rPr>
                    <w:t>本项目使用低</w:t>
                  </w:r>
                  <w:r>
                    <w:rPr>
                      <w:rFonts w:hint="eastAsia"/>
                      <w:b w:val="0"/>
                      <w:bCs w:val="0"/>
                      <w:szCs w:val="22"/>
                      <w:highlight w:val="none"/>
                      <w:lang w:val="en-US" w:eastAsia="zh-CN"/>
                    </w:rPr>
                    <w:t>VOCs</w:t>
                  </w:r>
                  <w:r>
                    <w:rPr>
                      <w:rFonts w:hint="default"/>
                      <w:b w:val="0"/>
                      <w:bCs w:val="0"/>
                      <w:szCs w:val="22"/>
                      <w:highlight w:val="none"/>
                      <w:lang w:val="en-US" w:eastAsia="zh-CN"/>
                    </w:rPr>
                    <w:t>含量原辅材料</w:t>
                  </w:r>
                  <w:r>
                    <w:rPr>
                      <w:rFonts w:hint="eastAsia"/>
                      <w:b w:val="0"/>
                      <w:bCs w:val="0"/>
                      <w:szCs w:val="22"/>
                      <w:highlight w:val="none"/>
                      <w:lang w:val="en-US" w:eastAsia="zh-CN"/>
                    </w:rPr>
                    <w:t>8.附近无</w:t>
                  </w:r>
                  <w:r>
                    <w:rPr>
                      <w:rFonts w:hint="eastAsia"/>
                      <w:b w:val="0"/>
                      <w:bCs w:val="0"/>
                      <w:szCs w:val="22"/>
                      <w:highlight w:val="none"/>
                    </w:rPr>
                    <w:t>重要敏感水体及富营养化湖</w:t>
                  </w:r>
                  <w:r>
                    <w:rPr>
                      <w:rFonts w:hint="eastAsia"/>
                      <w:b w:val="0"/>
                      <w:bCs w:val="0"/>
                      <w:szCs w:val="22"/>
                    </w:rPr>
                    <w:t>库生态缓冲带</w:t>
                  </w:r>
                  <w:r>
                    <w:rPr>
                      <w:rFonts w:hint="eastAsia"/>
                      <w:b w:val="0"/>
                      <w:bCs w:val="0"/>
                      <w:szCs w:val="22"/>
                      <w:lang w:val="en-US" w:eastAsia="zh-CN"/>
                    </w:rPr>
                    <w:t>9.本项目不涉及</w:t>
                  </w:r>
                  <w:r>
                    <w:rPr>
                      <w:rFonts w:hint="eastAsia"/>
                      <w:b w:val="0"/>
                      <w:bCs w:val="0"/>
                      <w:szCs w:val="22"/>
                    </w:rPr>
                    <w:t>新、改、扩建煤电、钢铁、建材、石化、化工等</w:t>
                  </w:r>
                  <w:r>
                    <w:rPr>
                      <w:rFonts w:hint="eastAsia"/>
                      <w:b w:val="0"/>
                      <w:bCs w:val="0"/>
                      <w:szCs w:val="22"/>
                      <w:lang w:eastAsia="zh-CN"/>
                    </w:rPr>
                    <w:t>“</w:t>
                  </w:r>
                  <w:r>
                    <w:rPr>
                      <w:rFonts w:hint="eastAsia"/>
                      <w:b w:val="0"/>
                      <w:bCs w:val="0"/>
                      <w:szCs w:val="22"/>
                    </w:rPr>
                    <w:t>两高</w:t>
                  </w:r>
                  <w:r>
                    <w:rPr>
                      <w:rFonts w:hint="eastAsia"/>
                      <w:b w:val="0"/>
                      <w:bCs w:val="0"/>
                      <w:szCs w:val="22"/>
                      <w:lang w:eastAsia="zh-CN"/>
                    </w:rPr>
                    <w:t>”</w:t>
                  </w:r>
                  <w:r>
                    <w:rPr>
                      <w:rFonts w:hint="eastAsia"/>
                      <w:b w:val="0"/>
                      <w:bCs w:val="0"/>
                      <w:szCs w:val="22"/>
                    </w:rPr>
                    <w:t>项目</w:t>
                  </w:r>
                  <w:r>
                    <w:rPr>
                      <w:rFonts w:hint="eastAsia"/>
                      <w:b w:val="0"/>
                      <w:bCs w:val="0"/>
                      <w:szCs w:val="22"/>
                      <w:lang w:eastAsia="zh-CN"/>
                    </w:rPr>
                    <w:t>，</w:t>
                  </w:r>
                  <w:r>
                    <w:rPr>
                      <w:rFonts w:hint="eastAsia"/>
                      <w:b w:val="0"/>
                      <w:bCs w:val="0"/>
                      <w:szCs w:val="22"/>
                      <w:lang w:val="en-US" w:eastAsia="zh-CN"/>
                    </w:rPr>
                    <w:t>非甲烷总烃施行</w:t>
                  </w:r>
                  <w:r>
                    <w:rPr>
                      <w:rFonts w:hint="eastAsia"/>
                      <w:b w:val="0"/>
                      <w:bCs w:val="0"/>
                      <w:szCs w:val="22"/>
                    </w:rPr>
                    <w:t>减量替代、区域污染削减等相关要求</w:t>
                  </w:r>
                  <w:r>
                    <w:rPr>
                      <w:rFonts w:hint="eastAsia"/>
                      <w:b w:val="0"/>
                      <w:bCs w:val="0"/>
                      <w:szCs w:val="22"/>
                      <w:lang w:val="en-US" w:eastAsia="zh-CN"/>
                    </w:rPr>
                    <w:t>10.本项目使用已建成厂房，不涉及永久基本农田。</w:t>
                  </w:r>
                </w:p>
              </w:tc>
            </w:tr>
            <w:tr w14:paraId="3317E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Merge w:val="continue"/>
                  <w:tcBorders>
                    <w:tl2br w:val="nil"/>
                    <w:tr2bl w:val="nil"/>
                  </w:tcBorders>
                  <w:vAlign w:val="center"/>
                </w:tcPr>
                <w:p w14:paraId="7BF654FA">
                  <w:pPr>
                    <w:pStyle w:val="39"/>
                    <w:keepNext w:val="0"/>
                    <w:keepLines w:val="0"/>
                    <w:widowControl/>
                    <w:suppressLineNumbers w:val="0"/>
                    <w:bidi w:val="0"/>
                    <w:spacing w:before="0" w:beforeAutospacing="0" w:after="0" w:afterAutospacing="0"/>
                    <w:ind w:left="0" w:right="0"/>
                    <w:jc w:val="center"/>
                    <w:rPr>
                      <w:rFonts w:hint="eastAsia"/>
                      <w:b w:val="0"/>
                      <w:bCs w:val="0"/>
                      <w:szCs w:val="22"/>
                    </w:rPr>
                  </w:pPr>
                </w:p>
              </w:tc>
              <w:tc>
                <w:tcPr>
                  <w:tcW w:w="359" w:type="pct"/>
                  <w:tcBorders>
                    <w:tl2br w:val="nil"/>
                    <w:tr2bl w:val="nil"/>
                  </w:tcBorders>
                  <w:vAlign w:val="center"/>
                </w:tcPr>
                <w:p w14:paraId="38D766B5">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污染物排放管控</w:t>
                  </w:r>
                </w:p>
              </w:tc>
              <w:tc>
                <w:tcPr>
                  <w:tcW w:w="2629" w:type="pct"/>
                  <w:tcBorders>
                    <w:tl2br w:val="nil"/>
                    <w:tr2bl w:val="nil"/>
                  </w:tcBorders>
                  <w:vAlign w:val="center"/>
                </w:tcPr>
                <w:p w14:paraId="5094FF1D">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1.工业类新（改、扩）建项目新增主要污染物（水污染物化学需氧量、氨氮和大气污染物二氧化硫、氮氧化物）排放总量指标应符合区域环境质量和总量控制要求，立足于通过</w:t>
                  </w:r>
                  <w:r>
                    <w:rPr>
                      <w:rFonts w:hint="eastAsia"/>
                      <w:b w:val="0"/>
                      <w:bCs w:val="0"/>
                      <w:szCs w:val="22"/>
                      <w:lang w:eastAsia="zh-CN"/>
                    </w:rPr>
                    <w:t>“</w:t>
                  </w:r>
                  <w:r>
                    <w:rPr>
                      <w:rFonts w:hint="eastAsia"/>
                      <w:b w:val="0"/>
                      <w:bCs w:val="0"/>
                      <w:szCs w:val="22"/>
                    </w:rPr>
                    <w:t>以新带老</w:t>
                  </w:r>
                  <w:r>
                    <w:rPr>
                      <w:rFonts w:hint="eastAsia"/>
                      <w:b w:val="0"/>
                      <w:bCs w:val="0"/>
                      <w:szCs w:val="22"/>
                      <w:lang w:eastAsia="zh-CN"/>
                    </w:rPr>
                    <w:t>”</w:t>
                  </w:r>
                  <w:r>
                    <w:rPr>
                      <w:rFonts w:hint="eastAsia"/>
                      <w:b w:val="0"/>
                      <w:bCs w:val="0"/>
                      <w:szCs w:val="22"/>
                    </w:rPr>
                    <w:t>、削减存量，努力实现区域、企业自身总量平衡。总量指标来源、审核和监督管理按照</w:t>
                  </w:r>
                  <w:r>
                    <w:rPr>
                      <w:rFonts w:hint="eastAsia"/>
                      <w:b w:val="0"/>
                      <w:bCs w:val="0"/>
                      <w:szCs w:val="22"/>
                      <w:lang w:eastAsia="zh-CN"/>
                    </w:rPr>
                    <w:t>“</w:t>
                  </w:r>
                  <w:r>
                    <w:rPr>
                      <w:rFonts w:hint="eastAsia"/>
                      <w:b w:val="0"/>
                      <w:bCs w:val="0"/>
                      <w:szCs w:val="22"/>
                    </w:rPr>
                    <w:t>榕环保综〔2017〕90号</w:t>
                  </w:r>
                  <w:r>
                    <w:rPr>
                      <w:rFonts w:hint="eastAsia"/>
                      <w:b w:val="0"/>
                      <w:bCs w:val="0"/>
                      <w:szCs w:val="22"/>
                      <w:lang w:eastAsia="zh-CN"/>
                    </w:rPr>
                    <w:t>”</w:t>
                  </w:r>
                  <w:r>
                    <w:rPr>
                      <w:rFonts w:hint="eastAsia"/>
                      <w:b w:val="0"/>
                      <w:bCs w:val="0"/>
                      <w:szCs w:val="22"/>
                    </w:rPr>
                    <w:t>等相关文件执行。</w:t>
                  </w:r>
                </w:p>
                <w:p w14:paraId="27663A43">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2.新、改、扩建涉</w:t>
                  </w:r>
                  <w:r>
                    <w:rPr>
                      <w:rFonts w:hint="eastAsia"/>
                      <w:b w:val="0"/>
                      <w:bCs w:val="0"/>
                      <w:szCs w:val="22"/>
                      <w:lang w:eastAsia="zh-CN"/>
                    </w:rPr>
                    <w:t>VOCs</w:t>
                  </w:r>
                  <w:r>
                    <w:rPr>
                      <w:rFonts w:hint="eastAsia"/>
                      <w:b w:val="0"/>
                      <w:bCs w:val="0"/>
                      <w:szCs w:val="22"/>
                    </w:rPr>
                    <w:t>排放项目污染物排放量应满足《福州市</w:t>
                  </w:r>
                  <w:r>
                    <w:rPr>
                      <w:rFonts w:hint="eastAsia"/>
                      <w:b w:val="0"/>
                      <w:bCs w:val="0"/>
                      <w:szCs w:val="22"/>
                      <w:lang w:eastAsia="zh-CN"/>
                    </w:rPr>
                    <w:t>“</w:t>
                  </w:r>
                  <w:r>
                    <w:rPr>
                      <w:rFonts w:hint="eastAsia"/>
                      <w:b w:val="0"/>
                      <w:bCs w:val="0"/>
                      <w:szCs w:val="22"/>
                    </w:rPr>
                    <w:t>十四五</w:t>
                  </w:r>
                  <w:r>
                    <w:rPr>
                      <w:rFonts w:hint="eastAsia"/>
                      <w:b w:val="0"/>
                      <w:bCs w:val="0"/>
                      <w:szCs w:val="22"/>
                      <w:lang w:eastAsia="zh-CN"/>
                    </w:rPr>
                    <w:t>”空气质量持续改善行动计划</w:t>
                  </w:r>
                  <w:r>
                    <w:rPr>
                      <w:rFonts w:hint="eastAsia"/>
                      <w:b w:val="0"/>
                      <w:bCs w:val="0"/>
                      <w:szCs w:val="22"/>
                    </w:rPr>
                    <w:t>》（榕环保综〔2023〕40号），应从源头加强控制，使用低（无）</w:t>
                  </w:r>
                  <w:r>
                    <w:rPr>
                      <w:rFonts w:hint="eastAsia"/>
                      <w:b w:val="0"/>
                      <w:bCs w:val="0"/>
                      <w:szCs w:val="22"/>
                      <w:lang w:eastAsia="zh-CN"/>
                    </w:rPr>
                    <w:t>VOCs</w:t>
                  </w:r>
                  <w:r>
                    <w:rPr>
                      <w:rFonts w:hint="eastAsia"/>
                      <w:b w:val="0"/>
                      <w:bCs w:val="0"/>
                      <w:szCs w:val="22"/>
                    </w:rPr>
                    <w:t>含量的原辅材料。</w:t>
                  </w:r>
                </w:p>
                <w:p w14:paraId="56354706">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3.严格控制新建、改建、扩建钢铁、水泥、平板玻璃、有色金属冶炼、化工等工业项目。新改扩建钢铁、火电项目</w:t>
                  </w:r>
                  <w:r>
                    <w:rPr>
                      <w:rFonts w:hint="eastAsia"/>
                      <w:b w:val="0"/>
                      <w:bCs w:val="0"/>
                      <w:szCs w:val="22"/>
                      <w:lang w:eastAsia="zh-CN"/>
                    </w:rPr>
                    <w:t>应当</w:t>
                  </w:r>
                  <w:r>
                    <w:rPr>
                      <w:rFonts w:hint="eastAsia"/>
                      <w:b w:val="0"/>
                      <w:bCs w:val="0"/>
                      <w:szCs w:val="22"/>
                    </w:rPr>
                    <w:t>执行超低排放限值，有色项目应当执行大气污染物特别排放限值。重点控制区新建化工、石化应当执行大气污染物特别排放限值。</w:t>
                  </w:r>
                </w:p>
                <w:p w14:paraId="48ECCC76">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4.氟化工、印染、电镀等行业企业实行水污染物特别排放限值。</w:t>
                  </w:r>
                </w:p>
                <w:p w14:paraId="24A5137F">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5.新、改、扩建重点行业［2］建设项目要遵循重点重金属污染物排放</w:t>
                  </w:r>
                  <w:r>
                    <w:rPr>
                      <w:rFonts w:hint="eastAsia"/>
                      <w:b w:val="0"/>
                      <w:bCs w:val="0"/>
                      <w:szCs w:val="22"/>
                      <w:lang w:eastAsia="zh-CN"/>
                    </w:rPr>
                    <w:t>“</w:t>
                  </w:r>
                  <w:r>
                    <w:rPr>
                      <w:rFonts w:hint="eastAsia"/>
                      <w:b w:val="0"/>
                      <w:bCs w:val="0"/>
                      <w:szCs w:val="22"/>
                    </w:rPr>
                    <w:t>等量替代</w:t>
                  </w:r>
                  <w:r>
                    <w:rPr>
                      <w:rFonts w:hint="eastAsia"/>
                      <w:b w:val="0"/>
                      <w:bCs w:val="0"/>
                      <w:szCs w:val="22"/>
                      <w:lang w:eastAsia="zh-CN"/>
                    </w:rPr>
                    <w:t>”</w:t>
                  </w:r>
                  <w:r>
                    <w:rPr>
                      <w:rFonts w:hint="eastAsia"/>
                      <w:b w:val="0"/>
                      <w:bCs w:val="0"/>
                      <w:szCs w:val="22"/>
                    </w:rPr>
                    <w:t>原则，总量来源原则上应是同一重点行业内的削减量，当同一重点行业无法满足时可从其他重点行业调剂。</w:t>
                  </w:r>
                </w:p>
                <w:p w14:paraId="035DD9E5">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6.每小时35（含）—65蒸吨燃煤锅炉和位于县级及以上城市建成区内保留的燃煤、燃油、燃生物质锅炉，原则上2024年底前必须全面实现超低排放。</w:t>
                  </w:r>
                </w:p>
                <w:p w14:paraId="4A8B346C">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7.水泥行业新改扩建项目严格对照超低排放、能效标杆水平建设实施；现有项目超低排放改造应按文件（闽环规〔2023〕2号）的时限要求分步推进，2025年底前全面完成［3］［4］。</w:t>
                  </w:r>
                </w:p>
                <w:p w14:paraId="1EBFB6A7">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8.化工园区新建项目实施</w:t>
                  </w:r>
                  <w:r>
                    <w:rPr>
                      <w:rFonts w:hint="eastAsia"/>
                      <w:b w:val="0"/>
                      <w:bCs w:val="0"/>
                      <w:szCs w:val="22"/>
                      <w:lang w:eastAsia="zh-CN"/>
                    </w:rPr>
                    <w:t>“</w:t>
                  </w:r>
                  <w:r>
                    <w:rPr>
                      <w:rFonts w:hint="eastAsia"/>
                      <w:b w:val="0"/>
                      <w:bCs w:val="0"/>
                      <w:szCs w:val="22"/>
                    </w:rPr>
                    <w:t>禁限控</w:t>
                  </w:r>
                  <w:r>
                    <w:rPr>
                      <w:rFonts w:hint="eastAsia"/>
                      <w:b w:val="0"/>
                      <w:bCs w:val="0"/>
                      <w:szCs w:val="22"/>
                      <w:lang w:eastAsia="zh-CN"/>
                    </w:rPr>
                    <w:t>”</w:t>
                  </w:r>
                  <w:r>
                    <w:rPr>
                      <w:rFonts w:hint="eastAsia"/>
                      <w:b w:val="0"/>
                      <w:bCs w:val="0"/>
                      <w:szCs w:val="22"/>
                    </w:rPr>
                    <w:t>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619" w:type="pct"/>
                  <w:tcBorders>
                    <w:tl2br w:val="nil"/>
                    <w:tr2bl w:val="nil"/>
                  </w:tcBorders>
                  <w:shd w:val="clear" w:color="auto" w:fill="auto"/>
                  <w:vAlign w:val="center"/>
                </w:tcPr>
                <w:p w14:paraId="28EEFED8">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highlight w:val="none"/>
                    </w:rPr>
                    <w:t>1.本项目</w:t>
                  </w:r>
                  <w:r>
                    <w:rPr>
                      <w:rFonts w:hint="eastAsia"/>
                      <w:b w:val="0"/>
                      <w:bCs w:val="0"/>
                      <w:szCs w:val="22"/>
                      <w:highlight w:val="none"/>
                      <w:lang w:val="en-US" w:eastAsia="zh-CN"/>
                    </w:rPr>
                    <w:t>无生产废水产生，</w:t>
                  </w:r>
                  <w:r>
                    <w:rPr>
                      <w:rFonts w:hint="eastAsia"/>
                      <w:szCs w:val="22"/>
                      <w:highlight w:val="none"/>
                      <w:lang w:val="en-US" w:eastAsia="zh-CN"/>
                    </w:rPr>
                    <w:t>水帘喷漆用水循环使用不外排</w:t>
                  </w:r>
                  <w:r>
                    <w:rPr>
                      <w:rFonts w:hint="default"/>
                      <w:szCs w:val="22"/>
                      <w:highlight w:val="none"/>
                      <w:lang w:eastAsia="zh-CN"/>
                    </w:rPr>
                    <w:t>，</w:t>
                  </w:r>
                  <w:r>
                    <w:rPr>
                      <w:rFonts w:hint="eastAsia"/>
                      <w:szCs w:val="22"/>
                      <w:highlight w:val="none"/>
                      <w:lang w:eastAsia="zh-CN"/>
                    </w:rPr>
                    <w:t>定期捞漆渣</w:t>
                  </w:r>
                  <w:r>
                    <w:rPr>
                      <w:rFonts w:hint="eastAsia"/>
                      <w:b w:val="0"/>
                      <w:bCs w:val="0"/>
                      <w:szCs w:val="22"/>
                      <w:highlight w:val="none"/>
                    </w:rPr>
                    <w:t>，</w:t>
                  </w:r>
                  <w:r>
                    <w:rPr>
                      <w:rFonts w:hint="eastAsia"/>
                      <w:b w:val="0"/>
                      <w:bCs w:val="0"/>
                      <w:szCs w:val="22"/>
                      <w:highlight w:val="none"/>
                      <w:lang w:val="en-US" w:eastAsia="zh-CN"/>
                    </w:rPr>
                    <w:t>更换水帘柜废液，漆渣及水帘柜废液作为危废处置，</w:t>
                  </w:r>
                  <w:r>
                    <w:rPr>
                      <w:rFonts w:hint="eastAsia"/>
                      <w:b w:val="0"/>
                      <w:bCs w:val="0"/>
                      <w:szCs w:val="22"/>
                      <w:highlight w:val="none"/>
                    </w:rPr>
                    <w:t>不涉及新增主要污染物2.本项目使用低</w:t>
                  </w:r>
                  <w:r>
                    <w:rPr>
                      <w:rFonts w:hint="eastAsia"/>
                      <w:b w:val="0"/>
                      <w:bCs w:val="0"/>
                      <w:szCs w:val="22"/>
                      <w:highlight w:val="none"/>
                      <w:lang w:eastAsia="zh-CN"/>
                    </w:rPr>
                    <w:t>VOCs</w:t>
                  </w:r>
                  <w:r>
                    <w:rPr>
                      <w:rFonts w:hint="eastAsia"/>
                      <w:b w:val="0"/>
                      <w:bCs w:val="0"/>
                      <w:szCs w:val="22"/>
                      <w:highlight w:val="none"/>
                    </w:rPr>
                    <w:t>含量原辅材料；3-4.本项目不涉及钢铁、水泥、平板玻璃、有色金属冶炼、化工、氟化工、印染、电镀等行业；5.本项目不涉及重金属污染物排放；6-8.本项目不涉及锅炉</w:t>
                  </w:r>
                  <w:r>
                    <w:rPr>
                      <w:rFonts w:hint="eastAsia"/>
                      <w:b w:val="0"/>
                      <w:bCs w:val="0"/>
                      <w:szCs w:val="22"/>
                    </w:rPr>
                    <w:t>使用，不涉及水泥及化工行业</w:t>
                  </w:r>
                  <w:r>
                    <w:rPr>
                      <w:rFonts w:hint="eastAsia"/>
                      <w:b w:val="0"/>
                      <w:bCs w:val="0"/>
                      <w:szCs w:val="22"/>
                      <w:lang w:eastAsia="zh-CN"/>
                    </w:rPr>
                    <w:t>且</w:t>
                  </w:r>
                  <w:r>
                    <w:rPr>
                      <w:rFonts w:hint="eastAsia"/>
                      <w:b w:val="0"/>
                      <w:bCs w:val="0"/>
                      <w:szCs w:val="22"/>
                    </w:rPr>
                    <w:t>项目所在地不属于化工园区。</w:t>
                  </w:r>
                </w:p>
              </w:tc>
            </w:tr>
            <w:tr w14:paraId="72282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Merge w:val="continue"/>
                  <w:tcBorders>
                    <w:tl2br w:val="nil"/>
                    <w:tr2bl w:val="nil"/>
                  </w:tcBorders>
                  <w:vAlign w:val="center"/>
                </w:tcPr>
                <w:p w14:paraId="1290A949">
                  <w:pPr>
                    <w:pStyle w:val="39"/>
                    <w:keepNext w:val="0"/>
                    <w:keepLines w:val="0"/>
                    <w:widowControl/>
                    <w:suppressLineNumbers w:val="0"/>
                    <w:bidi w:val="0"/>
                    <w:spacing w:before="0" w:beforeAutospacing="0" w:after="0" w:afterAutospacing="0"/>
                    <w:ind w:left="0" w:right="0"/>
                    <w:jc w:val="center"/>
                    <w:rPr>
                      <w:rFonts w:hint="eastAsia"/>
                      <w:b w:val="0"/>
                      <w:bCs w:val="0"/>
                      <w:szCs w:val="22"/>
                    </w:rPr>
                  </w:pPr>
                </w:p>
              </w:tc>
              <w:tc>
                <w:tcPr>
                  <w:tcW w:w="359" w:type="pct"/>
                  <w:tcBorders>
                    <w:tl2br w:val="nil"/>
                    <w:tr2bl w:val="nil"/>
                  </w:tcBorders>
                  <w:vAlign w:val="center"/>
                </w:tcPr>
                <w:p w14:paraId="758D7A5E">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资源开发效率要求</w:t>
                  </w:r>
                </w:p>
              </w:tc>
              <w:tc>
                <w:tcPr>
                  <w:tcW w:w="2629" w:type="pct"/>
                  <w:tcBorders>
                    <w:tl2br w:val="nil"/>
                    <w:tr2bl w:val="nil"/>
                  </w:tcBorders>
                  <w:vAlign w:val="center"/>
                </w:tcPr>
                <w:p w14:paraId="71C43711">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0BD1EC59">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2.按照</w:t>
                  </w:r>
                  <w:r>
                    <w:rPr>
                      <w:rFonts w:hint="eastAsia"/>
                      <w:b w:val="0"/>
                      <w:bCs w:val="0"/>
                      <w:szCs w:val="22"/>
                      <w:lang w:eastAsia="zh-CN"/>
                    </w:rPr>
                    <w:t>“</w:t>
                  </w:r>
                  <w:r>
                    <w:rPr>
                      <w:rFonts w:hint="eastAsia"/>
                      <w:b w:val="0"/>
                      <w:bCs w:val="0"/>
                      <w:szCs w:val="22"/>
                    </w:rPr>
                    <w:t>提气、转电、控煤</w:t>
                  </w:r>
                  <w:r>
                    <w:rPr>
                      <w:rFonts w:hint="eastAsia"/>
                      <w:b w:val="0"/>
                      <w:bCs w:val="0"/>
                      <w:szCs w:val="22"/>
                      <w:lang w:eastAsia="zh-CN"/>
                    </w:rPr>
                    <w:t>”</w:t>
                  </w:r>
                  <w:r>
                    <w:rPr>
                      <w:rFonts w:hint="eastAsia"/>
                      <w:b w:val="0"/>
                      <w:bCs w:val="0"/>
                      <w:szCs w:val="22"/>
                    </w:rPr>
                    <w:t>的发展思路，推动陶瓷行业进一步优化用能结构，实现能源消费清洁低碳化。</w:t>
                  </w:r>
                </w:p>
              </w:tc>
              <w:tc>
                <w:tcPr>
                  <w:tcW w:w="1619" w:type="pct"/>
                  <w:tcBorders>
                    <w:tl2br w:val="nil"/>
                    <w:tr2bl w:val="nil"/>
                  </w:tcBorders>
                  <w:vAlign w:val="center"/>
                </w:tcPr>
                <w:p w14:paraId="637F5000">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本项目不涉及锅炉使用，不属于陶瓷行业。</w:t>
                  </w:r>
                </w:p>
              </w:tc>
            </w:tr>
            <w:tr w14:paraId="1D863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tcBorders>
                    <w:tl2br w:val="nil"/>
                    <w:tr2bl w:val="nil"/>
                  </w:tcBorders>
                  <w:textDirection w:val="tbRlV"/>
                  <w:vAlign w:val="center"/>
                </w:tcPr>
                <w:p w14:paraId="48F7AA77">
                  <w:pPr>
                    <w:pStyle w:val="39"/>
                    <w:keepNext w:val="0"/>
                    <w:keepLines w:val="0"/>
                    <w:widowControl/>
                    <w:suppressLineNumbers w:val="0"/>
                    <w:bidi w:val="0"/>
                    <w:spacing w:before="0" w:beforeAutospacing="0" w:after="0" w:afterAutospacing="0"/>
                    <w:ind w:left="0" w:right="0"/>
                    <w:jc w:val="center"/>
                    <w:rPr>
                      <w:rFonts w:hint="eastAsia"/>
                      <w:b w:val="0"/>
                      <w:bCs w:val="0"/>
                      <w:szCs w:val="22"/>
                      <w:lang w:val="en-US" w:eastAsia="zh-CN"/>
                    </w:rPr>
                  </w:pPr>
                  <w:r>
                    <w:rPr>
                      <w:rFonts w:hint="eastAsia"/>
                      <w:b w:val="0"/>
                      <w:bCs w:val="0"/>
                      <w:szCs w:val="22"/>
                      <w:lang w:val="en-US" w:eastAsia="zh-CN"/>
                    </w:rPr>
                    <w:t>海岸线</w:t>
                  </w:r>
                </w:p>
              </w:tc>
              <w:tc>
                <w:tcPr>
                  <w:tcW w:w="359" w:type="pct"/>
                  <w:tcBorders>
                    <w:tl2br w:val="nil"/>
                    <w:tr2bl w:val="nil"/>
                  </w:tcBorders>
                  <w:vAlign w:val="center"/>
                </w:tcPr>
                <w:p w14:paraId="106BDC5D">
                  <w:pPr>
                    <w:pStyle w:val="39"/>
                    <w:keepNext w:val="0"/>
                    <w:keepLines w:val="0"/>
                    <w:widowControl/>
                    <w:suppressLineNumbers w:val="0"/>
                    <w:bidi w:val="0"/>
                    <w:spacing w:before="0" w:beforeAutospacing="0" w:after="0" w:afterAutospacing="0"/>
                    <w:ind w:left="0" w:right="0"/>
                    <w:jc w:val="center"/>
                    <w:rPr>
                      <w:rFonts w:hint="eastAsia"/>
                      <w:b w:val="0"/>
                      <w:bCs w:val="0"/>
                      <w:szCs w:val="22"/>
                      <w:lang w:val="en-US" w:eastAsia="zh-CN"/>
                    </w:rPr>
                  </w:pPr>
                  <w:r>
                    <w:rPr>
                      <w:rFonts w:hint="eastAsia"/>
                      <w:b w:val="0"/>
                      <w:bCs w:val="0"/>
                      <w:szCs w:val="22"/>
                      <w:lang w:val="en-US" w:eastAsia="zh-CN"/>
                    </w:rPr>
                    <w:t>空间布局约束</w:t>
                  </w:r>
                </w:p>
              </w:tc>
              <w:tc>
                <w:tcPr>
                  <w:tcW w:w="2629" w:type="pct"/>
                  <w:tcBorders>
                    <w:tl2br w:val="nil"/>
                    <w:tr2bl w:val="nil"/>
                  </w:tcBorders>
                  <w:vAlign w:val="center"/>
                </w:tcPr>
                <w:p w14:paraId="677C5B65">
                  <w:pPr>
                    <w:pStyle w:val="39"/>
                    <w:keepNext w:val="0"/>
                    <w:keepLines w:val="0"/>
                    <w:widowControl/>
                    <w:suppressLineNumbers w:val="0"/>
                    <w:bidi w:val="0"/>
                    <w:spacing w:before="0" w:beforeAutospacing="0" w:after="0" w:afterAutospacing="0"/>
                    <w:ind w:left="0" w:right="0"/>
                    <w:jc w:val="center"/>
                    <w:rPr>
                      <w:rFonts w:hint="eastAsia"/>
                      <w:b w:val="0"/>
                      <w:bCs w:val="0"/>
                      <w:szCs w:val="22"/>
                      <w:lang w:val="en-US" w:eastAsia="zh-CN"/>
                    </w:rPr>
                  </w:pPr>
                  <w:r>
                    <w:rPr>
                      <w:rFonts w:hint="eastAsia"/>
                      <w:b w:val="0"/>
                      <w:bCs w:val="0"/>
                      <w:szCs w:val="22"/>
                      <w:lang w:val="en-US" w:eastAsia="zh-CN"/>
                    </w:rPr>
                    <w:t>1.严格限制建设项目占用自然岸线，项目选址和平面设计应当避让自然岸线。国家重大项目需要新增围填海等改变海域自然属性，以及线性工程等基础设施，渔港、陆岛交通码头、防灾减灾等民生工程，海洋生态修复等公益项目，需要建设非透水构筑物且无法避让的，可以占用自然岸线。确需占用自然岸线的建设项目，要落实集约节约利用等要求，严格进行论证，按照规定允许建设项目占用自然岸线的，应当通过整治修复等措施补充生态恢复岸线，补充长度不少于占用长度。</w:t>
                  </w:r>
                </w:p>
                <w:p w14:paraId="23B6AC1A">
                  <w:pPr>
                    <w:pStyle w:val="39"/>
                    <w:keepNext w:val="0"/>
                    <w:keepLines w:val="0"/>
                    <w:widowControl/>
                    <w:suppressLineNumbers w:val="0"/>
                    <w:bidi w:val="0"/>
                    <w:spacing w:before="0" w:beforeAutospacing="0" w:after="0" w:afterAutospacing="0"/>
                    <w:ind w:left="0" w:right="0"/>
                    <w:jc w:val="center"/>
                    <w:rPr>
                      <w:rFonts w:hint="eastAsia"/>
                      <w:b w:val="0"/>
                      <w:bCs w:val="0"/>
                      <w:szCs w:val="22"/>
                      <w:lang w:val="en-US" w:eastAsia="zh-CN"/>
                    </w:rPr>
                  </w:pPr>
                  <w:r>
                    <w:rPr>
                      <w:rFonts w:hint="eastAsia"/>
                      <w:b w:val="0"/>
                      <w:bCs w:val="0"/>
                      <w:szCs w:val="22"/>
                      <w:lang w:val="en-US" w:eastAsia="zh-CN"/>
                    </w:rPr>
                    <w:t>2.适时搬迁或取消松门、长安、小长门等闽江口内港作业区的油品、液体化工品码头功能，适度控制新建企业专用码头，推行码头共用。</w:t>
                  </w:r>
                </w:p>
                <w:p w14:paraId="2D9EEF2F">
                  <w:pPr>
                    <w:pStyle w:val="39"/>
                    <w:keepNext w:val="0"/>
                    <w:keepLines w:val="0"/>
                    <w:widowControl/>
                    <w:suppressLineNumbers w:val="0"/>
                    <w:bidi w:val="0"/>
                    <w:spacing w:before="0" w:beforeAutospacing="0" w:after="0" w:afterAutospacing="0"/>
                    <w:ind w:left="0" w:right="0"/>
                    <w:jc w:val="center"/>
                    <w:rPr>
                      <w:rFonts w:hint="eastAsia"/>
                      <w:b w:val="0"/>
                      <w:bCs w:val="0"/>
                      <w:szCs w:val="22"/>
                      <w:lang w:val="en-US" w:eastAsia="zh-CN"/>
                    </w:rPr>
                  </w:pPr>
                  <w:r>
                    <w:rPr>
                      <w:rFonts w:hint="eastAsia"/>
                      <w:b w:val="0"/>
                      <w:bCs w:val="0"/>
                      <w:szCs w:val="22"/>
                      <w:lang w:val="en-US" w:eastAsia="zh-CN"/>
                    </w:rPr>
                    <w:t>3.实施港口建设分类引导和约束，严控港口重复建设。闽江口内港区重点准入对台“三通”客运项目，兼顾能源、集装箱等货运项目；福州（连江）国家远洋渔业基地核心区远洋渔业母港重点准入远洋渔业装卸码头、渔港、锚地、航道建设项目；江阴港区重点准入集装箱运输项目，兼顾散杂货、化工品和商品汽车运输项目；松下港区重点准入粮食、散杂货运输项目；罗源湾港区重点准入煤炭、矿石等散货运输项目。</w:t>
                  </w:r>
                </w:p>
              </w:tc>
              <w:tc>
                <w:tcPr>
                  <w:tcW w:w="1619" w:type="pct"/>
                  <w:tcBorders>
                    <w:tl2br w:val="nil"/>
                    <w:tr2bl w:val="nil"/>
                  </w:tcBorders>
                  <w:vAlign w:val="center"/>
                </w:tcPr>
                <w:p w14:paraId="64A26B36">
                  <w:pPr>
                    <w:pStyle w:val="39"/>
                    <w:keepNext w:val="0"/>
                    <w:keepLines w:val="0"/>
                    <w:widowControl/>
                    <w:suppressLineNumbers w:val="0"/>
                    <w:bidi w:val="0"/>
                    <w:spacing w:before="0" w:beforeAutospacing="0" w:after="0" w:afterAutospacing="0"/>
                    <w:ind w:left="0" w:right="0"/>
                    <w:jc w:val="center"/>
                    <w:rPr>
                      <w:rFonts w:hint="eastAsia"/>
                      <w:b w:val="0"/>
                      <w:bCs w:val="0"/>
                      <w:szCs w:val="22"/>
                      <w:lang w:eastAsia="zh-CN"/>
                    </w:rPr>
                  </w:pPr>
                  <w:r>
                    <w:rPr>
                      <w:rFonts w:hint="eastAsia"/>
                      <w:b w:val="0"/>
                      <w:bCs w:val="0"/>
                      <w:szCs w:val="22"/>
                    </w:rPr>
                    <w:t>1.本项目选址于</w:t>
                  </w:r>
                  <w:r>
                    <w:rPr>
                      <w:rFonts w:hint="eastAsia"/>
                      <w:b w:val="0"/>
                      <w:bCs w:val="0"/>
                      <w:szCs w:val="22"/>
                      <w:lang w:eastAsia="zh-CN"/>
                    </w:rPr>
                    <w:t>福建省福州市福清融侨经济技术开发区内</w:t>
                  </w:r>
                  <w:r>
                    <w:rPr>
                      <w:rFonts w:hint="eastAsia"/>
                      <w:b w:val="0"/>
                      <w:bCs w:val="0"/>
                      <w:szCs w:val="22"/>
                    </w:rPr>
                    <w:t>，利用已建成厂房，远离自然岸线2-3.本项目</w:t>
                  </w:r>
                  <w:r>
                    <w:rPr>
                      <w:rFonts w:hint="eastAsia"/>
                      <w:b w:val="0"/>
                      <w:bCs w:val="0"/>
                      <w:szCs w:val="22"/>
                      <w:lang w:eastAsia="zh-CN"/>
                    </w:rPr>
                    <w:t>主要从事铝合金、塑胶件及钣金件加工生产</w:t>
                  </w:r>
                  <w:r>
                    <w:rPr>
                      <w:rFonts w:hint="eastAsia"/>
                      <w:b w:val="0"/>
                      <w:bCs w:val="0"/>
                      <w:szCs w:val="22"/>
                    </w:rPr>
                    <w:t>，不属于闽江口内港作业区的油品、液体化工品码头以及港口建设</w:t>
                  </w:r>
                  <w:r>
                    <w:rPr>
                      <w:rFonts w:hint="eastAsia"/>
                      <w:b w:val="0"/>
                      <w:bCs w:val="0"/>
                      <w:szCs w:val="22"/>
                      <w:lang w:eastAsia="zh-CN"/>
                    </w:rPr>
                    <w:t>。</w:t>
                  </w:r>
                </w:p>
              </w:tc>
            </w:tr>
            <w:tr w14:paraId="2AEB1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Merge w:val="restart"/>
                  <w:tcBorders>
                    <w:tl2br w:val="nil"/>
                    <w:tr2bl w:val="nil"/>
                  </w:tcBorders>
                  <w:textDirection w:val="tbRlV"/>
                  <w:vAlign w:val="center"/>
                </w:tcPr>
                <w:p w14:paraId="40D2D0EB">
                  <w:pPr>
                    <w:pStyle w:val="39"/>
                    <w:keepNext w:val="0"/>
                    <w:keepLines w:val="0"/>
                    <w:widowControl/>
                    <w:suppressLineNumbers w:val="0"/>
                    <w:bidi w:val="0"/>
                    <w:spacing w:before="0" w:beforeAutospacing="0" w:after="0" w:afterAutospacing="0"/>
                    <w:ind w:left="0" w:right="0"/>
                    <w:jc w:val="center"/>
                    <w:rPr>
                      <w:rFonts w:hint="default"/>
                      <w:b w:val="0"/>
                      <w:bCs w:val="0"/>
                      <w:szCs w:val="22"/>
                      <w:lang w:val="en-US"/>
                    </w:rPr>
                  </w:pPr>
                  <w:r>
                    <w:rPr>
                      <w:rFonts w:hint="eastAsia"/>
                      <w:b w:val="0"/>
                      <w:bCs w:val="0"/>
                      <w:szCs w:val="22"/>
                      <w:lang w:val="en-US" w:eastAsia="zh-CN"/>
                    </w:rPr>
                    <w:t>近岸海域</w:t>
                  </w:r>
                </w:p>
              </w:tc>
              <w:tc>
                <w:tcPr>
                  <w:tcW w:w="359" w:type="pct"/>
                  <w:tcBorders>
                    <w:tl2br w:val="nil"/>
                    <w:tr2bl w:val="nil"/>
                  </w:tcBorders>
                  <w:vAlign w:val="center"/>
                </w:tcPr>
                <w:p w14:paraId="0F6EE6B2">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lang w:val="en-US" w:eastAsia="zh-CN"/>
                    </w:rPr>
                    <w:t>空间布局约束</w:t>
                  </w:r>
                </w:p>
              </w:tc>
              <w:tc>
                <w:tcPr>
                  <w:tcW w:w="2629" w:type="pct"/>
                  <w:tcBorders>
                    <w:tl2br w:val="nil"/>
                    <w:tr2bl w:val="nil"/>
                  </w:tcBorders>
                  <w:vAlign w:val="center"/>
                </w:tcPr>
                <w:p w14:paraId="00956DE2">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1.严格落实国家围填海管控规定，除国家重大项目外，全面禁止围填海。2.强化生态保护红线区的管控，确保邻近的交通运输用海、工矿通信用海等功能区开发活动不得影响生态保护红线区的功能。强化闽江口、福清湾及兴化湾重要滨海湿地保护，禁止破坏芦苇荡等植被群落，生产设施与水禽筑巢区、觅食及栖息地等集中分布区须保留安全距离；禁止高噪音等惊扰鸟类的作业，禁止大面积使用栖息水鸟害怕的颜色。</w:t>
                  </w:r>
                </w:p>
                <w:p w14:paraId="70DA05D2">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3.江阴特殊利用区内设置排污口，需严格论证并执行污水达标排放和设置深水排放口，不得影响临近的兴化湾水鸟省级自然保护区。</w:t>
                  </w:r>
                </w:p>
                <w:p w14:paraId="0F2A3964">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4.优化调整环罗源湾区域发展定位和产业布局。大官坂组团发展污染相对较低的石化中下游产业和精细化工产品，并适当控制其发展规模，不再扩大聚酰胺一体化及配套项目规模。松山片区禁止引进、建设集中电镀、制浆、医药、农药、酿造等重污染项目。</w:t>
                  </w:r>
                </w:p>
                <w:p w14:paraId="1D5EE699">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5.严格落实养殖水域滩涂规划，防止超规划养殖反弹回潮，进一步优化海水养殖空间布局。禁养区内和规划范围外的海水养殖予以退出；罗源湾禁养区禁止开展水产养殖，限养区不得开展网箱养殖。</w:t>
                  </w:r>
                </w:p>
                <w:p w14:paraId="2833127A">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6.涉及利用无居民海岛的，原则上仅允许按照相关规定对海岛自然岸线、表面积、岛体、植被改变轻微的低影响利用方式。</w:t>
                  </w:r>
                </w:p>
              </w:tc>
              <w:tc>
                <w:tcPr>
                  <w:tcW w:w="1619" w:type="pct"/>
                  <w:tcBorders>
                    <w:tl2br w:val="nil"/>
                    <w:tr2bl w:val="nil"/>
                  </w:tcBorders>
                  <w:vAlign w:val="center"/>
                </w:tcPr>
                <w:p w14:paraId="23EDBB46">
                  <w:pPr>
                    <w:pStyle w:val="39"/>
                    <w:keepNext w:val="0"/>
                    <w:keepLines w:val="0"/>
                    <w:widowControl/>
                    <w:suppressLineNumbers w:val="0"/>
                    <w:bidi w:val="0"/>
                    <w:spacing w:before="0" w:beforeAutospacing="0" w:after="0" w:afterAutospacing="0"/>
                    <w:ind w:left="0" w:right="0"/>
                    <w:jc w:val="center"/>
                    <w:rPr>
                      <w:rFonts w:hint="eastAsia"/>
                      <w:b w:val="0"/>
                      <w:bCs w:val="0"/>
                      <w:szCs w:val="22"/>
                      <w:lang w:eastAsia="zh-CN"/>
                    </w:rPr>
                  </w:pPr>
                  <w:r>
                    <w:rPr>
                      <w:rFonts w:hint="eastAsia"/>
                      <w:b w:val="0"/>
                      <w:bCs w:val="0"/>
                      <w:szCs w:val="22"/>
                    </w:rPr>
                    <w:t>本项目选址于</w:t>
                  </w:r>
                  <w:r>
                    <w:rPr>
                      <w:rFonts w:hint="eastAsia"/>
                      <w:b w:val="0"/>
                      <w:bCs w:val="0"/>
                      <w:szCs w:val="22"/>
                      <w:lang w:eastAsia="zh-CN"/>
                    </w:rPr>
                    <w:t>福建省福州市福清融侨经济技术开发区内</w:t>
                  </w:r>
                  <w:r>
                    <w:rPr>
                      <w:rFonts w:hint="eastAsia"/>
                      <w:b w:val="0"/>
                      <w:bCs w:val="0"/>
                      <w:szCs w:val="22"/>
                    </w:rPr>
                    <w:t>，利用已建成厂房，本项目</w:t>
                  </w:r>
                  <w:r>
                    <w:rPr>
                      <w:rFonts w:hint="eastAsia"/>
                      <w:b w:val="0"/>
                      <w:bCs w:val="0"/>
                      <w:szCs w:val="22"/>
                      <w:lang w:eastAsia="zh-CN"/>
                    </w:rPr>
                    <w:t>主要从事铝合金、塑胶件及钣金件加工生产</w:t>
                  </w:r>
                  <w:r>
                    <w:rPr>
                      <w:rFonts w:hint="eastAsia"/>
                      <w:b w:val="0"/>
                      <w:bCs w:val="0"/>
                      <w:szCs w:val="22"/>
                    </w:rPr>
                    <w:t>，不涉及围填海、海、工矿通信用海等功能区开发活动，不位于闽江口、福清湾及兴化湾重要滨海湿地、江阴特殊利用区、兴化湾水鸟省级自然保护区、罗源湾区、大官坂组团、松山片区、罗源湾禁养区，不涉及利用无居民海岛</w:t>
                  </w:r>
                  <w:r>
                    <w:rPr>
                      <w:rFonts w:hint="eastAsia"/>
                      <w:b w:val="0"/>
                      <w:bCs w:val="0"/>
                      <w:szCs w:val="22"/>
                      <w:lang w:eastAsia="zh-CN"/>
                    </w:rPr>
                    <w:t>。</w:t>
                  </w:r>
                </w:p>
              </w:tc>
            </w:tr>
            <w:tr w14:paraId="2F7C9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Merge w:val="continue"/>
                  <w:tcBorders>
                    <w:tl2br w:val="nil"/>
                    <w:tr2bl w:val="nil"/>
                  </w:tcBorders>
                  <w:textDirection w:val="tbRlV"/>
                  <w:vAlign w:val="center"/>
                </w:tcPr>
                <w:p w14:paraId="5D219210">
                  <w:pPr>
                    <w:pStyle w:val="39"/>
                    <w:keepNext w:val="0"/>
                    <w:keepLines w:val="0"/>
                    <w:widowControl/>
                    <w:suppressLineNumbers w:val="0"/>
                    <w:bidi w:val="0"/>
                    <w:spacing w:before="0" w:beforeAutospacing="0" w:after="0" w:afterAutospacing="0"/>
                    <w:ind w:left="0" w:right="0"/>
                    <w:jc w:val="center"/>
                    <w:rPr>
                      <w:rFonts w:hint="eastAsia"/>
                      <w:b w:val="0"/>
                      <w:bCs w:val="0"/>
                      <w:szCs w:val="22"/>
                    </w:rPr>
                  </w:pPr>
                </w:p>
              </w:tc>
              <w:tc>
                <w:tcPr>
                  <w:tcW w:w="359" w:type="pct"/>
                  <w:tcBorders>
                    <w:tl2br w:val="nil"/>
                    <w:tr2bl w:val="nil"/>
                  </w:tcBorders>
                  <w:vAlign w:val="center"/>
                </w:tcPr>
                <w:p w14:paraId="1351042E">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污染</w:t>
                  </w:r>
                </w:p>
                <w:p w14:paraId="594414E3">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物排</w:t>
                  </w:r>
                </w:p>
                <w:p w14:paraId="7D3871AB">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放管 控</w:t>
                  </w:r>
                </w:p>
              </w:tc>
              <w:tc>
                <w:tcPr>
                  <w:tcW w:w="2629" w:type="pct"/>
                  <w:tcBorders>
                    <w:tl2br w:val="nil"/>
                    <w:tr2bl w:val="nil"/>
                  </w:tcBorders>
                  <w:vAlign w:val="center"/>
                </w:tcPr>
                <w:p w14:paraId="73889815">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1.罗源湾实行主要污染物入海总量控制。合理设置湾内排污口，化工废水应全部引至湾外排放，可门经济区污水排放落实湾外深海排放。全面推进罗源湾入海排污口排查溯源、分类整治和起步溪等入海溪流综合整治。提升罗源湾港区污染物接收处理能力。</w:t>
                  </w:r>
                </w:p>
                <w:p w14:paraId="1DA65EC6">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2.实行闽江口主要污染物入海总量控制，控制闽江入海断面水质，削减氮磷入海总量。巩固深化闽江口综合整治成效，持续开展闽江口周边入海溪流水质提升行动，全面推进闽江口入海排污口排查溯源和分类整治。优化闽江口以北连江东部海域养殖结构和布局，控制养殖密度和规模。</w:t>
                  </w:r>
                </w:p>
                <w:p w14:paraId="5B402CC8">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3.全面开展福清湾入海排污口排查溯源和分类整治，加强福清湾及龙江沿岸农村生活污水、生活垃圾的收集处理处置。严格控制湾内投饵型网箱养殖规模和密度，实行生态养殖，强化养殖污染防治和养殖尾水治理监管。</w:t>
                  </w:r>
                </w:p>
                <w:p w14:paraId="44B00B03">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4.兴化湾实行主要污染物入海总量控制，全面开展兴化湾福州段入海排污口排查溯源和分类整治，加快推动沿岸乡镇配套污水管网建设及江阴工业区污水处理厂提标改造，湾内严格控制投饵型网箱养殖规模和密度，实行生态养殖，强化养殖污染防治和养殖尾水治理监管。</w:t>
                  </w:r>
                </w:p>
                <w:p w14:paraId="40DF0DB5">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5.近岸海域汇水区域内城镇污水处理设施执行不低于一级A排放标准，推进沿海农村生活污水收集处理。</w:t>
                  </w:r>
                </w:p>
                <w:p w14:paraId="2C233AE3">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6.出台福州市养殖尾水排放标准，强化养殖尾水治理和排放监测监管。控制养殖规模和密度，发展生态养殖，推进传统养殖设施的升级改造，推广环保型全塑胶鱼排和深水抗风浪网箱。实施海水养殖排污口排查整治，推进分类治理及规范化设置，实施规模化养殖池塘标准化改造。</w:t>
                  </w:r>
                </w:p>
                <w:p w14:paraId="43C688C9">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7.强化陆海污染联防联控，推动</w:t>
                  </w:r>
                  <w:r>
                    <w:rPr>
                      <w:rFonts w:hint="eastAsia"/>
                      <w:b w:val="0"/>
                      <w:bCs w:val="0"/>
                      <w:szCs w:val="22"/>
                      <w:lang w:eastAsia="zh-CN"/>
                    </w:rPr>
                    <w:t>“</w:t>
                  </w:r>
                  <w:r>
                    <w:rPr>
                      <w:rFonts w:hint="eastAsia"/>
                      <w:b w:val="0"/>
                      <w:bCs w:val="0"/>
                      <w:szCs w:val="22"/>
                    </w:rPr>
                    <w:t>蓝色海湾</w:t>
                  </w:r>
                  <w:r>
                    <w:rPr>
                      <w:rFonts w:hint="eastAsia"/>
                      <w:b w:val="0"/>
                      <w:bCs w:val="0"/>
                      <w:szCs w:val="22"/>
                      <w:lang w:eastAsia="zh-CN"/>
                    </w:rPr>
                    <w:t>”</w:t>
                  </w:r>
                  <w:r>
                    <w:rPr>
                      <w:rFonts w:hint="eastAsia"/>
                      <w:b w:val="0"/>
                      <w:bCs w:val="0"/>
                      <w:szCs w:val="22"/>
                    </w:rPr>
                    <w:t>整治项目、海岸带生态保护修复工程等重大工程建设，推进沿海岸线自然化和生态保护修复。</w:t>
                  </w:r>
                </w:p>
                <w:p w14:paraId="4B4F9457">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8.闽江口内港区现有油品和危险品（液化石油气）码头搬迁前应切实保障现有油污水处理设施的有效性，搬迁后由江阴港区、罗源湾港区在对应码头设立油污水接收处理系统。其他港区的生产性油污水由码头自建油污水处理设施处理达标后排入依托城市污水处理厂，杜绝港区油污水散排。</w:t>
                  </w:r>
                </w:p>
                <w:p w14:paraId="26701A4A">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9.提升海上环卫队伍专业化水平，强化海陆环卫无缝衔接，完善海漂垃圾收集处置设施建设实现海滩海面常态化清理保洁，强化渔业垃圾等管控，强化重点旅游岸段及罗源湾、兴化湾等重点岸段的监视监控，定期开展专项整治行动。</w:t>
                  </w:r>
                </w:p>
                <w:p w14:paraId="45A304E5">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10.巩固深化罗源湾、闽江口、福清湾、兴化湾等重点海湾综合治理，持续改善近岸海域环境质量。</w:t>
                  </w:r>
                </w:p>
                <w:p w14:paraId="597152DA">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11.加强陆海统筹和区域协同，深化闽江、敖江、龙江主要入海河流及占泽溪等入海小流域综合治理；因地制宜加强总氮排放控制，实施入海河流总氮削减工程。</w:t>
                  </w:r>
                </w:p>
                <w:p w14:paraId="007A98F3">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12.推进省级及以上工业园区完成污水零直排建设，建设福清江阴港城经济区等一批</w:t>
                  </w:r>
                  <w:r>
                    <w:rPr>
                      <w:rFonts w:hint="eastAsia"/>
                      <w:b w:val="0"/>
                      <w:bCs w:val="0"/>
                      <w:szCs w:val="22"/>
                      <w:lang w:eastAsia="zh-CN"/>
                    </w:rPr>
                    <w:t>“</w:t>
                  </w:r>
                  <w:r>
                    <w:rPr>
                      <w:rFonts w:hint="eastAsia"/>
                      <w:b w:val="0"/>
                      <w:bCs w:val="0"/>
                      <w:szCs w:val="22"/>
                    </w:rPr>
                    <w:t>污水零直排</w:t>
                  </w:r>
                  <w:r>
                    <w:rPr>
                      <w:rFonts w:hint="eastAsia"/>
                      <w:b w:val="0"/>
                      <w:bCs w:val="0"/>
                      <w:szCs w:val="22"/>
                      <w:lang w:eastAsia="zh-CN"/>
                    </w:rPr>
                    <w:t>”</w:t>
                  </w:r>
                  <w:r>
                    <w:rPr>
                      <w:rFonts w:hint="eastAsia"/>
                      <w:b w:val="0"/>
                      <w:bCs w:val="0"/>
                      <w:szCs w:val="22"/>
                    </w:rPr>
                    <w:t>示范园区。</w:t>
                  </w:r>
                </w:p>
                <w:p w14:paraId="21508AE5">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13.持续推进福州市美丽海湾保护与建设，到2025年，鉴江半岛-黄岐半岛东部海域湾区、长乐东部海域湾区建成国家级美丽海湾。</w:t>
                  </w:r>
                </w:p>
              </w:tc>
              <w:tc>
                <w:tcPr>
                  <w:tcW w:w="1619" w:type="pct"/>
                  <w:tcBorders>
                    <w:tl2br w:val="nil"/>
                    <w:tr2bl w:val="nil"/>
                  </w:tcBorders>
                  <w:vAlign w:val="center"/>
                </w:tcPr>
                <w:p w14:paraId="200E6812">
                  <w:pPr>
                    <w:pStyle w:val="39"/>
                    <w:keepNext w:val="0"/>
                    <w:keepLines w:val="0"/>
                    <w:widowControl/>
                    <w:suppressLineNumbers w:val="0"/>
                    <w:bidi w:val="0"/>
                    <w:spacing w:before="0" w:beforeAutospacing="0" w:after="0" w:afterAutospacing="0"/>
                    <w:ind w:left="0" w:right="0"/>
                    <w:jc w:val="center"/>
                    <w:rPr>
                      <w:rFonts w:hint="eastAsia"/>
                      <w:b w:val="0"/>
                      <w:bCs w:val="0"/>
                      <w:szCs w:val="22"/>
                      <w:highlight w:val="none"/>
                    </w:rPr>
                  </w:pPr>
                  <w:r>
                    <w:rPr>
                      <w:rFonts w:hint="eastAsia"/>
                      <w:b w:val="0"/>
                      <w:bCs w:val="0"/>
                      <w:szCs w:val="22"/>
                    </w:rPr>
                    <w:t>本项目选址于</w:t>
                  </w:r>
                  <w:r>
                    <w:rPr>
                      <w:rFonts w:hint="eastAsia"/>
                      <w:b w:val="0"/>
                      <w:bCs w:val="0"/>
                      <w:szCs w:val="22"/>
                      <w:lang w:eastAsia="zh-CN"/>
                    </w:rPr>
                    <w:t>福建省福州市福清融侨经济技术开发区内</w:t>
                  </w:r>
                  <w:r>
                    <w:rPr>
                      <w:rFonts w:hint="eastAsia"/>
                      <w:b w:val="0"/>
                      <w:bCs w:val="0"/>
                      <w:szCs w:val="22"/>
                    </w:rPr>
                    <w:t>，利用已建成厂房，本项目</w:t>
                  </w:r>
                  <w:r>
                    <w:rPr>
                      <w:rFonts w:hint="eastAsia"/>
                      <w:b w:val="0"/>
                      <w:bCs w:val="0"/>
                      <w:szCs w:val="22"/>
                      <w:lang w:eastAsia="zh-CN"/>
                    </w:rPr>
                    <w:t>主要从事铝合金、塑胶件及钣金件加工生产</w:t>
                  </w:r>
                  <w:r>
                    <w:rPr>
                      <w:rFonts w:hint="eastAsia"/>
                      <w:b w:val="0"/>
                      <w:bCs w:val="0"/>
                      <w:szCs w:val="22"/>
                    </w:rPr>
                    <w:t>，不涉及围填海、海、工矿通信用海等功能区开发活动，不位于罗源湾、可门经济区、</w:t>
                  </w:r>
                  <w:r>
                    <w:rPr>
                      <w:rFonts w:hint="eastAsia"/>
                      <w:b w:val="0"/>
                      <w:bCs w:val="0"/>
                      <w:szCs w:val="22"/>
                      <w:highlight w:val="none"/>
                    </w:rPr>
                    <w:t>福清湾、兴化湾、江阴工业区、不靠近海湾，不涉及养殖业</w:t>
                  </w:r>
                </w:p>
                <w:p w14:paraId="53741696">
                  <w:pPr>
                    <w:pStyle w:val="39"/>
                    <w:keepNext w:val="0"/>
                    <w:keepLines w:val="0"/>
                    <w:widowControl/>
                    <w:suppressLineNumbers w:val="0"/>
                    <w:bidi w:val="0"/>
                    <w:spacing w:before="0" w:beforeAutospacing="0" w:after="0" w:afterAutospacing="0"/>
                    <w:ind w:left="0" w:right="0"/>
                    <w:jc w:val="center"/>
                    <w:rPr>
                      <w:rFonts w:hint="eastAsia"/>
                      <w:b w:val="0"/>
                      <w:bCs w:val="0"/>
                      <w:szCs w:val="22"/>
                      <w:lang w:eastAsia="zh-CN"/>
                    </w:rPr>
                  </w:pPr>
                  <w:r>
                    <w:rPr>
                      <w:rFonts w:hint="eastAsia"/>
                      <w:b w:val="0"/>
                      <w:bCs w:val="0"/>
                      <w:szCs w:val="22"/>
                      <w:highlight w:val="none"/>
                    </w:rPr>
                    <w:t>本项目</w:t>
                  </w:r>
                  <w:r>
                    <w:rPr>
                      <w:rFonts w:hint="eastAsia"/>
                      <w:b w:val="0"/>
                      <w:bCs w:val="0"/>
                      <w:szCs w:val="22"/>
                      <w:highlight w:val="none"/>
                      <w:lang w:val="en-US" w:eastAsia="zh-CN"/>
                    </w:rPr>
                    <w:t>生产废水</w:t>
                  </w:r>
                  <w:r>
                    <w:rPr>
                      <w:rFonts w:hint="eastAsia"/>
                      <w:szCs w:val="22"/>
                      <w:highlight w:val="none"/>
                      <w:lang w:val="en-US" w:eastAsia="zh-CN"/>
                    </w:rPr>
                    <w:t>水帘喷漆用水循环使用不外排</w:t>
                  </w:r>
                  <w:r>
                    <w:rPr>
                      <w:rFonts w:hint="default"/>
                      <w:szCs w:val="22"/>
                      <w:highlight w:val="none"/>
                      <w:lang w:eastAsia="zh-CN"/>
                    </w:rPr>
                    <w:t>，</w:t>
                  </w:r>
                  <w:r>
                    <w:rPr>
                      <w:rFonts w:hint="eastAsia"/>
                      <w:szCs w:val="22"/>
                      <w:highlight w:val="none"/>
                      <w:lang w:eastAsia="zh-CN"/>
                    </w:rPr>
                    <w:t>定期捞漆渣</w:t>
                  </w:r>
                  <w:r>
                    <w:rPr>
                      <w:rFonts w:hint="eastAsia"/>
                      <w:b w:val="0"/>
                      <w:bCs w:val="0"/>
                      <w:szCs w:val="22"/>
                      <w:highlight w:val="none"/>
                    </w:rPr>
                    <w:t>，</w:t>
                  </w:r>
                  <w:r>
                    <w:rPr>
                      <w:rFonts w:hint="eastAsia"/>
                      <w:b w:val="0"/>
                      <w:bCs w:val="0"/>
                      <w:szCs w:val="22"/>
                      <w:highlight w:val="none"/>
                      <w:lang w:val="en-US" w:eastAsia="zh-CN"/>
                    </w:rPr>
                    <w:t>更换水帘柜废液，漆渣及水帘柜废液作为危废处置</w:t>
                  </w:r>
                  <w:r>
                    <w:rPr>
                      <w:rFonts w:hint="eastAsia"/>
                      <w:b w:val="0"/>
                      <w:bCs w:val="0"/>
                      <w:szCs w:val="22"/>
                      <w:highlight w:val="none"/>
                    </w:rPr>
                    <w:t>，生活污水</w:t>
                  </w:r>
                  <w:r>
                    <w:rPr>
                      <w:rFonts w:hint="eastAsia"/>
                      <w:b w:val="0"/>
                      <w:bCs w:val="0"/>
                      <w:szCs w:val="22"/>
                      <w:highlight w:val="none"/>
                      <w:lang w:val="en-US" w:eastAsia="zh-CN"/>
                    </w:rPr>
                    <w:t>经</w:t>
                  </w:r>
                  <w:r>
                    <w:rPr>
                      <w:rFonts w:hint="eastAsia"/>
                      <w:b w:val="0"/>
                      <w:bCs w:val="0"/>
                      <w:szCs w:val="22"/>
                      <w:highlight w:val="none"/>
                    </w:rPr>
                    <w:t>化粪池预处理后，接入市政</w:t>
                  </w:r>
                  <w:r>
                    <w:rPr>
                      <w:rFonts w:hint="eastAsia"/>
                      <w:b w:val="0"/>
                      <w:bCs w:val="0"/>
                      <w:szCs w:val="22"/>
                      <w:highlight w:val="none"/>
                      <w:lang w:val="en-US" w:eastAsia="zh-CN"/>
                    </w:rPr>
                    <w:t>污水</w:t>
                  </w:r>
                  <w:r>
                    <w:rPr>
                      <w:rFonts w:hint="eastAsia"/>
                      <w:b w:val="0"/>
                      <w:bCs w:val="0"/>
                      <w:szCs w:val="22"/>
                      <w:highlight w:val="none"/>
                    </w:rPr>
                    <w:t>管网，纳入</w:t>
                  </w:r>
                  <w:r>
                    <w:rPr>
                      <w:rFonts w:hint="eastAsia"/>
                      <w:b w:val="0"/>
                      <w:bCs w:val="0"/>
                      <w:szCs w:val="22"/>
                      <w:highlight w:val="none"/>
                      <w:lang w:val="en-US" w:eastAsia="zh-CN"/>
                    </w:rPr>
                    <w:t>福州福清市融元污水处理厂</w:t>
                  </w:r>
                  <w:r>
                    <w:rPr>
                      <w:rFonts w:hint="eastAsia"/>
                      <w:b w:val="0"/>
                      <w:bCs w:val="0"/>
                      <w:szCs w:val="22"/>
                      <w:highlight w:val="none"/>
                    </w:rPr>
                    <w:t>处理，尾水排放执行《城镇污水处理厂污染物排放标准》（GB18918-2002）及</w:t>
                  </w:r>
                  <w:r>
                    <w:rPr>
                      <w:rFonts w:hint="eastAsia"/>
                      <w:b w:val="0"/>
                      <w:bCs w:val="0"/>
                      <w:szCs w:val="22"/>
                    </w:rPr>
                    <w:t>其修改单表1的一级标准A标准，生活污水产生的总氮排放纳入</w:t>
                  </w:r>
                  <w:r>
                    <w:rPr>
                      <w:rFonts w:hint="eastAsia"/>
                      <w:b w:val="0"/>
                      <w:bCs w:val="0"/>
                      <w:szCs w:val="22"/>
                      <w:lang w:eastAsia="zh-CN"/>
                    </w:rPr>
                    <w:t>福清市融元污水处理厂</w:t>
                  </w:r>
                  <w:r>
                    <w:rPr>
                      <w:rFonts w:hint="eastAsia"/>
                      <w:b w:val="0"/>
                      <w:bCs w:val="0"/>
                      <w:szCs w:val="22"/>
                    </w:rPr>
                    <w:t>统一控制</w:t>
                  </w:r>
                  <w:r>
                    <w:rPr>
                      <w:rFonts w:hint="eastAsia"/>
                      <w:b w:val="0"/>
                      <w:bCs w:val="0"/>
                      <w:szCs w:val="22"/>
                      <w:lang w:eastAsia="zh-CN"/>
                    </w:rPr>
                    <w:t>。</w:t>
                  </w:r>
                </w:p>
              </w:tc>
            </w:tr>
          </w:tbl>
          <w:p w14:paraId="50BA2B6B">
            <w:pPr>
              <w:pStyle w:val="40"/>
              <w:keepNext w:val="0"/>
              <w:keepLines w:val="0"/>
              <w:suppressLineNumbers w:val="0"/>
              <w:bidi w:val="0"/>
              <w:spacing w:before="0" w:beforeAutospacing="0" w:after="0" w:afterAutospacing="0"/>
              <w:ind w:left="0" w:right="0"/>
              <w:rPr>
                <w:rFonts w:hint="eastAsia"/>
              </w:rPr>
            </w:pPr>
            <w:r>
              <w:rPr>
                <w:rFonts w:hint="default"/>
              </w:rPr>
              <w:t>表</w:t>
            </w:r>
            <w:r>
              <w:rPr>
                <w:rFonts w:hint="eastAsia"/>
                <w:lang w:val="en-US" w:eastAsia="zh-CN"/>
              </w:rPr>
              <w:t>1.8-3</w:t>
            </w:r>
            <w:r>
              <w:rPr>
                <w:rFonts w:hint="default"/>
              </w:rPr>
              <w:t>与福清融侨经济技术开发区生态环境准入要求的符合性分析</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675"/>
              <w:gridCol w:w="551"/>
              <w:gridCol w:w="601"/>
              <w:gridCol w:w="4513"/>
              <w:gridCol w:w="4513"/>
              <w:gridCol w:w="476"/>
            </w:tblGrid>
            <w:tr w14:paraId="50F60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blHeader/>
              </w:trPr>
              <w:tc>
                <w:tcPr>
                  <w:tcW w:w="1651" w:type="dxa"/>
                  <w:noWrap w:val="0"/>
                  <w:vAlign w:val="center"/>
                </w:tcPr>
                <w:p w14:paraId="2FF3F74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环境管控单元</w:t>
                  </w:r>
                </w:p>
                <w:p w14:paraId="6D0C6D3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编码</w:t>
                  </w:r>
                </w:p>
              </w:tc>
              <w:tc>
                <w:tcPr>
                  <w:tcW w:w="675" w:type="dxa"/>
                  <w:noWrap w:val="0"/>
                  <w:vAlign w:val="center"/>
                </w:tcPr>
                <w:p w14:paraId="2CE5DD5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环境管控单元名称</w:t>
                  </w:r>
                </w:p>
              </w:tc>
              <w:tc>
                <w:tcPr>
                  <w:tcW w:w="551" w:type="dxa"/>
                  <w:noWrap w:val="0"/>
                  <w:vAlign w:val="center"/>
                </w:tcPr>
                <w:p w14:paraId="2306FBD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管控单元类别</w:t>
                  </w:r>
                </w:p>
              </w:tc>
              <w:tc>
                <w:tcPr>
                  <w:tcW w:w="5114" w:type="dxa"/>
                  <w:gridSpan w:val="2"/>
                  <w:noWrap w:val="0"/>
                  <w:vAlign w:val="center"/>
                </w:tcPr>
                <w:p w14:paraId="5268458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管控要求</w:t>
                  </w:r>
                </w:p>
              </w:tc>
              <w:tc>
                <w:tcPr>
                  <w:tcW w:w="4513" w:type="dxa"/>
                  <w:noWrap w:val="0"/>
                  <w:vAlign w:val="center"/>
                </w:tcPr>
                <w:p w14:paraId="5307768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本项目情况</w:t>
                  </w:r>
                </w:p>
              </w:tc>
              <w:tc>
                <w:tcPr>
                  <w:tcW w:w="476" w:type="dxa"/>
                  <w:noWrap w:val="0"/>
                  <w:vAlign w:val="center"/>
                </w:tcPr>
                <w:p w14:paraId="07AC15A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符合性</w:t>
                  </w:r>
                </w:p>
              </w:tc>
            </w:tr>
            <w:tr w14:paraId="54B4F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651" w:type="dxa"/>
                  <w:vMerge w:val="restart"/>
                  <w:noWrap w:val="0"/>
                  <w:vAlign w:val="center"/>
                </w:tcPr>
                <w:p w14:paraId="3E64904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vertAlign w:val="baseline"/>
                      <w:lang w:val="en-US" w:eastAsia="zh-CN"/>
                    </w:rPr>
                    <w:t>ZH35018120003</w:t>
                  </w:r>
                </w:p>
              </w:tc>
              <w:tc>
                <w:tcPr>
                  <w:tcW w:w="675" w:type="dxa"/>
                  <w:vMerge w:val="restart"/>
                  <w:noWrap w:val="0"/>
                  <w:vAlign w:val="center"/>
                </w:tcPr>
                <w:p w14:paraId="6B7DB5A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福清融侨经济技术开发区</w:t>
                  </w:r>
                </w:p>
              </w:tc>
              <w:tc>
                <w:tcPr>
                  <w:tcW w:w="551" w:type="dxa"/>
                  <w:vMerge w:val="restart"/>
                  <w:noWrap w:val="0"/>
                  <w:vAlign w:val="center"/>
                </w:tcPr>
                <w:p w14:paraId="7769E49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重点管控单元</w:t>
                  </w:r>
                </w:p>
              </w:tc>
              <w:tc>
                <w:tcPr>
                  <w:tcW w:w="601" w:type="dxa"/>
                  <w:noWrap w:val="0"/>
                  <w:vAlign w:val="center"/>
                </w:tcPr>
                <w:p w14:paraId="41F2D218">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空间布局约束</w:t>
                  </w:r>
                </w:p>
              </w:tc>
              <w:tc>
                <w:tcPr>
                  <w:tcW w:w="4513" w:type="dxa"/>
                  <w:noWrap w:val="0"/>
                  <w:vAlign w:val="center"/>
                </w:tcPr>
                <w:p w14:paraId="18CE22E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禁止引进纺织业（含印染精加工）、造纸和纸制品业（纸制品制造除外）、化学原料和化学制品制造业（工业气体生产除外）和有色金属冶炼及压延加工业（压延加工除外）；禁止引入含电镀工艺（紧密配套型电镀工艺除外）、冶炼工艺、电解铝的项目；主导产业电气机械和器材制造业禁止类铅酸蓄电池制造。2.加强京东方一期、二期工程周边用地规划控制。3.积极推进区内高耗水的印染、造纸等重污染企业的搬迁工作。4.居住用地周边禁止布局潜在废气扰民的建设项目。5.新局调节库周边200米范围内禁止工业企业生产过程中使用危化品，禁止新建排放烟粉尘、</w:t>
                  </w:r>
                  <w:r>
                    <w:rPr>
                      <w:rFonts w:hint="eastAsia"/>
                      <w:szCs w:val="22"/>
                      <w:lang w:eastAsia="zh-CN"/>
                    </w:rPr>
                    <w:t>VOCs</w:t>
                  </w:r>
                  <w:r>
                    <w:rPr>
                      <w:rFonts w:hint="eastAsia"/>
                      <w:szCs w:val="22"/>
                    </w:rPr>
                    <w:t>废气的工业项目。</w:t>
                  </w:r>
                </w:p>
              </w:tc>
              <w:tc>
                <w:tcPr>
                  <w:tcW w:w="4513" w:type="dxa"/>
                  <w:noWrap w:val="0"/>
                  <w:vAlign w:val="center"/>
                </w:tcPr>
                <w:p w14:paraId="7F8C3C08">
                  <w:pPr>
                    <w:pStyle w:val="39"/>
                    <w:keepNext w:val="0"/>
                    <w:keepLines w:val="0"/>
                    <w:widowControl/>
                    <w:suppressLineNumbers w:val="0"/>
                    <w:bidi w:val="0"/>
                    <w:spacing w:before="0" w:beforeAutospacing="0" w:after="0" w:afterAutospacing="0"/>
                    <w:ind w:left="0" w:right="0"/>
                    <w:rPr>
                      <w:rFonts w:hint="default" w:eastAsia="宋体"/>
                      <w:szCs w:val="22"/>
                      <w:lang w:val="en-US" w:eastAsia="zh-CN"/>
                    </w:rPr>
                  </w:pPr>
                  <w:r>
                    <w:rPr>
                      <w:rFonts w:hint="eastAsia"/>
                      <w:szCs w:val="22"/>
                      <w:vertAlign w:val="baseline"/>
                      <w:lang w:val="en-US" w:eastAsia="zh-CN"/>
                    </w:rPr>
                    <w:t>1、3.本项目</w:t>
                  </w:r>
                  <w:r>
                    <w:rPr>
                      <w:rFonts w:hint="eastAsia"/>
                      <w:szCs w:val="22"/>
                    </w:rPr>
                    <w:t>属于C2929塑料零件及其他塑料制品制造以及C3360金属表面处理及热处理加工，主要</w:t>
                  </w:r>
                  <w:r>
                    <w:rPr>
                      <w:rFonts w:hint="eastAsia"/>
                      <w:szCs w:val="22"/>
                      <w:lang w:val="en-GB"/>
                    </w:rPr>
                    <w:t>从事铝合金、塑胶件及钣金件加工生产</w:t>
                  </w:r>
                  <w:r>
                    <w:rPr>
                      <w:rFonts w:hint="eastAsia"/>
                      <w:szCs w:val="22"/>
                    </w:rPr>
                    <w:t>不涉及纺织业（含印染精加工）、造纸和纸制品业（纸制品制造除外）、化学原料和化学制品制造业（工业气体生产除外）和有色金属冶炼及压延加工业（压延加工除外）</w:t>
                  </w:r>
                  <w:r>
                    <w:rPr>
                      <w:rFonts w:hint="eastAsia"/>
                      <w:szCs w:val="22"/>
                      <w:lang w:eastAsia="zh-CN"/>
                    </w:rPr>
                    <w:t>，</w:t>
                  </w:r>
                  <w:r>
                    <w:rPr>
                      <w:rFonts w:hint="eastAsia"/>
                      <w:szCs w:val="22"/>
                      <w:lang w:val="en-US" w:eastAsia="zh-CN"/>
                    </w:rPr>
                    <w:t>本项目不涉及</w:t>
                  </w:r>
                  <w:r>
                    <w:rPr>
                      <w:rFonts w:hint="eastAsia"/>
                      <w:szCs w:val="22"/>
                    </w:rPr>
                    <w:t>电镀工艺（紧密配套型电镀工艺除外）、冶炼工艺、电解铝的项目</w:t>
                  </w:r>
                  <w:r>
                    <w:rPr>
                      <w:rFonts w:hint="eastAsia"/>
                      <w:szCs w:val="22"/>
                      <w:lang w:val="en-US" w:eastAsia="zh-CN"/>
                    </w:rPr>
                    <w:t>以及</w:t>
                  </w:r>
                  <w:r>
                    <w:rPr>
                      <w:rFonts w:hint="eastAsia"/>
                      <w:szCs w:val="22"/>
                    </w:rPr>
                    <w:t>电气机械和器材制造业</w:t>
                  </w:r>
                  <w:r>
                    <w:rPr>
                      <w:rFonts w:hint="eastAsia"/>
                      <w:szCs w:val="22"/>
                      <w:lang w:eastAsia="zh-CN"/>
                    </w:rPr>
                    <w:t>，</w:t>
                  </w:r>
                  <w:r>
                    <w:rPr>
                      <w:rFonts w:hint="eastAsia"/>
                      <w:szCs w:val="22"/>
                    </w:rPr>
                    <w:t>印染、造纸等重污染企业</w:t>
                  </w:r>
                  <w:r>
                    <w:rPr>
                      <w:rFonts w:hint="eastAsia"/>
                      <w:szCs w:val="22"/>
                      <w:lang w:val="en-US" w:eastAsia="zh-CN"/>
                    </w:rPr>
                    <w:t>2、4.本项目位于融侨经济开发区内，租赁已有厂房，不位于京东方一期、二期工程附近、</w:t>
                  </w:r>
                  <w:r>
                    <w:rPr>
                      <w:rFonts w:hint="eastAsia"/>
                      <w:szCs w:val="22"/>
                    </w:rPr>
                    <w:t>新局调节库周边200米范围</w:t>
                  </w:r>
                  <w:r>
                    <w:rPr>
                      <w:rFonts w:hint="eastAsia"/>
                      <w:szCs w:val="22"/>
                      <w:lang w:eastAsia="zh-CN"/>
                    </w:rPr>
                    <w:t>，</w:t>
                  </w:r>
                  <w:r>
                    <w:rPr>
                      <w:rFonts w:hint="eastAsia"/>
                      <w:szCs w:val="22"/>
                      <w:lang w:val="en-US" w:eastAsia="zh-CN"/>
                    </w:rPr>
                    <w:t>位于工业园区内，距离居住用地较远</w:t>
                  </w:r>
                </w:p>
              </w:tc>
              <w:tc>
                <w:tcPr>
                  <w:tcW w:w="476" w:type="dxa"/>
                  <w:noWrap w:val="0"/>
                  <w:vAlign w:val="center"/>
                </w:tcPr>
                <w:p w14:paraId="7CDB439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符合</w:t>
                  </w:r>
                </w:p>
              </w:tc>
            </w:tr>
            <w:tr w14:paraId="482706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1651" w:type="dxa"/>
                  <w:vMerge w:val="continue"/>
                  <w:noWrap w:val="0"/>
                  <w:vAlign w:val="center"/>
                </w:tcPr>
                <w:p w14:paraId="1C495C12">
                  <w:pPr>
                    <w:pStyle w:val="39"/>
                    <w:keepNext w:val="0"/>
                    <w:keepLines w:val="0"/>
                    <w:widowControl/>
                    <w:suppressLineNumbers w:val="0"/>
                    <w:bidi w:val="0"/>
                    <w:spacing w:before="0" w:beforeAutospacing="0" w:after="0" w:afterAutospacing="0"/>
                    <w:ind w:left="0" w:right="0"/>
                    <w:rPr>
                      <w:rFonts w:hint="eastAsia"/>
                      <w:szCs w:val="22"/>
                    </w:rPr>
                  </w:pPr>
                </w:p>
              </w:tc>
              <w:tc>
                <w:tcPr>
                  <w:tcW w:w="675" w:type="dxa"/>
                  <w:vMerge w:val="continue"/>
                  <w:noWrap w:val="0"/>
                  <w:vAlign w:val="center"/>
                </w:tcPr>
                <w:p w14:paraId="5C1725EA">
                  <w:pPr>
                    <w:pStyle w:val="39"/>
                    <w:keepNext w:val="0"/>
                    <w:keepLines w:val="0"/>
                    <w:widowControl/>
                    <w:suppressLineNumbers w:val="0"/>
                    <w:bidi w:val="0"/>
                    <w:spacing w:before="0" w:beforeAutospacing="0" w:after="0" w:afterAutospacing="0"/>
                    <w:ind w:left="0" w:right="0"/>
                    <w:rPr>
                      <w:rFonts w:hint="eastAsia"/>
                      <w:szCs w:val="22"/>
                    </w:rPr>
                  </w:pPr>
                </w:p>
              </w:tc>
              <w:tc>
                <w:tcPr>
                  <w:tcW w:w="551" w:type="dxa"/>
                  <w:vMerge w:val="continue"/>
                  <w:noWrap w:val="0"/>
                  <w:vAlign w:val="center"/>
                </w:tcPr>
                <w:p w14:paraId="2277F134">
                  <w:pPr>
                    <w:pStyle w:val="39"/>
                    <w:keepNext w:val="0"/>
                    <w:keepLines w:val="0"/>
                    <w:widowControl/>
                    <w:suppressLineNumbers w:val="0"/>
                    <w:bidi w:val="0"/>
                    <w:spacing w:before="0" w:beforeAutospacing="0" w:after="0" w:afterAutospacing="0"/>
                    <w:ind w:left="0" w:right="0"/>
                    <w:rPr>
                      <w:rFonts w:hint="eastAsia"/>
                      <w:szCs w:val="22"/>
                    </w:rPr>
                  </w:pPr>
                </w:p>
              </w:tc>
              <w:tc>
                <w:tcPr>
                  <w:tcW w:w="601" w:type="dxa"/>
                  <w:noWrap w:val="0"/>
                  <w:vAlign w:val="center"/>
                </w:tcPr>
                <w:p w14:paraId="4575A15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污染物排放管控</w:t>
                  </w:r>
                </w:p>
              </w:tc>
              <w:tc>
                <w:tcPr>
                  <w:tcW w:w="4513" w:type="dxa"/>
                  <w:noWrap w:val="0"/>
                  <w:vAlign w:val="center"/>
                </w:tcPr>
                <w:p w14:paraId="3700C82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1.完善建设污水收集管网，确保园区内所有工业废水、生活污水纳入污水处理厂处理并达标排放。2.包装印刷业有机废气排放及控制应符合国家和地方相关标准和规范要求。3.落实新增二氧化硫、氮氧化物和</w:t>
                  </w:r>
                  <w:r>
                    <w:rPr>
                      <w:rFonts w:hint="eastAsia"/>
                      <w:szCs w:val="22"/>
                      <w:lang w:eastAsia="zh-CN"/>
                    </w:rPr>
                    <w:t>VOCs</w:t>
                  </w:r>
                  <w:r>
                    <w:rPr>
                      <w:rFonts w:hint="eastAsia"/>
                      <w:szCs w:val="22"/>
                    </w:rPr>
                    <w:t>排放总量控制要求。</w:t>
                  </w:r>
                </w:p>
              </w:tc>
              <w:tc>
                <w:tcPr>
                  <w:tcW w:w="4513" w:type="dxa"/>
                  <w:noWrap w:val="0"/>
                  <w:vAlign w:val="center"/>
                </w:tcPr>
                <w:p w14:paraId="7E45F8B5">
                  <w:pPr>
                    <w:pStyle w:val="39"/>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eastAsia"/>
                      <w:szCs w:val="22"/>
                      <w:lang w:val="en-US" w:eastAsia="zh-CN"/>
                    </w:rPr>
                    <w:t>1.本项目无生产废水，生活污水经化粪池预处理后，接入市政污水管网，纳入</w:t>
                  </w:r>
                  <w:r>
                    <w:rPr>
                      <w:rStyle w:val="47"/>
                      <w:rFonts w:hint="eastAsia"/>
                      <w:szCs w:val="22"/>
                      <w:lang w:eastAsia="zh-CN"/>
                    </w:rPr>
                    <w:t>福清市融元污水处理厂</w:t>
                  </w:r>
                  <w:r>
                    <w:rPr>
                      <w:rStyle w:val="47"/>
                      <w:rFonts w:hint="eastAsia"/>
                      <w:szCs w:val="22"/>
                    </w:rPr>
                    <w:t>集中处理</w:t>
                  </w:r>
                  <w:r>
                    <w:rPr>
                      <w:rStyle w:val="47"/>
                      <w:rFonts w:hint="eastAsia"/>
                      <w:szCs w:val="22"/>
                      <w:lang w:val="en-US"/>
                    </w:rPr>
                    <w:t>2.本项目不涉及包装印刷业3.</w:t>
                  </w:r>
                  <w:r>
                    <w:rPr>
                      <w:rFonts w:hint="default"/>
                      <w:szCs w:val="22"/>
                      <w:highlight w:val="none"/>
                      <w:lang w:val="en-US" w:eastAsia="zh-CN"/>
                    </w:rPr>
                    <w:t>项目不涉及</w:t>
                  </w:r>
                  <w:r>
                    <w:rPr>
                      <w:rFonts w:hint="default"/>
                      <w:szCs w:val="22"/>
                      <w:highlight w:val="none"/>
                    </w:rPr>
                    <w:t>SO</w:t>
                  </w:r>
                  <w:r>
                    <w:rPr>
                      <w:rFonts w:hint="default"/>
                      <w:szCs w:val="22"/>
                      <w:highlight w:val="none"/>
                      <w:vertAlign w:val="subscript"/>
                    </w:rPr>
                    <w:t>2</w:t>
                  </w:r>
                  <w:r>
                    <w:rPr>
                      <w:rFonts w:hint="default"/>
                      <w:szCs w:val="22"/>
                      <w:highlight w:val="none"/>
                    </w:rPr>
                    <w:t>、NOx</w:t>
                  </w:r>
                  <w:r>
                    <w:rPr>
                      <w:rFonts w:hint="default"/>
                      <w:szCs w:val="22"/>
                      <w:highlight w:val="none"/>
                      <w:lang w:val="en-US" w:eastAsia="zh-CN"/>
                    </w:rPr>
                    <w:t>等污染物排放。</w:t>
                  </w:r>
                  <w:r>
                    <w:rPr>
                      <w:rFonts w:hint="default"/>
                      <w:szCs w:val="22"/>
                      <w:highlight w:val="none"/>
                    </w:rPr>
                    <w:t>排放的</w:t>
                  </w:r>
                  <w:r>
                    <w:rPr>
                      <w:rFonts w:hint="eastAsia"/>
                      <w:szCs w:val="22"/>
                      <w:highlight w:val="none"/>
                      <w:lang w:eastAsia="zh-CN"/>
                    </w:rPr>
                    <w:t>VOCs</w:t>
                  </w:r>
                  <w:r>
                    <w:rPr>
                      <w:rFonts w:hint="default"/>
                      <w:szCs w:val="22"/>
                      <w:highlight w:val="none"/>
                    </w:rPr>
                    <w:t>拟实行区域内倍量替代</w:t>
                  </w:r>
                  <w:r>
                    <w:rPr>
                      <w:rFonts w:hint="default"/>
                      <w:szCs w:val="22"/>
                      <w:highlight w:val="none"/>
                      <w:lang w:eastAsia="zh-CN"/>
                    </w:rPr>
                    <w:t>。</w:t>
                  </w:r>
                </w:p>
                <w:p w14:paraId="29CCBC04">
                  <w:pPr>
                    <w:pStyle w:val="39"/>
                    <w:keepNext w:val="0"/>
                    <w:keepLines w:val="0"/>
                    <w:widowControl/>
                    <w:suppressLineNumbers w:val="0"/>
                    <w:bidi w:val="0"/>
                    <w:spacing w:before="0" w:beforeAutospacing="0" w:after="0" w:afterAutospacing="0"/>
                    <w:ind w:left="0" w:right="0"/>
                    <w:rPr>
                      <w:rFonts w:hint="default" w:eastAsia="宋体"/>
                      <w:szCs w:val="22"/>
                      <w:lang w:val="en-US" w:eastAsia="zh-CN"/>
                    </w:rPr>
                  </w:pPr>
                </w:p>
              </w:tc>
              <w:tc>
                <w:tcPr>
                  <w:tcW w:w="476" w:type="dxa"/>
                  <w:noWrap w:val="0"/>
                  <w:vAlign w:val="center"/>
                </w:tcPr>
                <w:p w14:paraId="1DC68A70">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符合</w:t>
                  </w:r>
                </w:p>
              </w:tc>
            </w:tr>
            <w:tr w14:paraId="2C243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51" w:type="dxa"/>
                  <w:vMerge w:val="continue"/>
                  <w:noWrap w:val="0"/>
                  <w:vAlign w:val="center"/>
                </w:tcPr>
                <w:p w14:paraId="306F26D2">
                  <w:pPr>
                    <w:pStyle w:val="39"/>
                    <w:keepNext w:val="0"/>
                    <w:keepLines w:val="0"/>
                    <w:widowControl/>
                    <w:suppressLineNumbers w:val="0"/>
                    <w:bidi w:val="0"/>
                    <w:spacing w:before="0" w:beforeAutospacing="0" w:after="0" w:afterAutospacing="0"/>
                    <w:ind w:left="0" w:right="0"/>
                    <w:rPr>
                      <w:rFonts w:hint="eastAsia"/>
                      <w:szCs w:val="22"/>
                    </w:rPr>
                  </w:pPr>
                </w:p>
              </w:tc>
              <w:tc>
                <w:tcPr>
                  <w:tcW w:w="675" w:type="dxa"/>
                  <w:vMerge w:val="continue"/>
                  <w:noWrap w:val="0"/>
                  <w:vAlign w:val="center"/>
                </w:tcPr>
                <w:p w14:paraId="7A5A658B">
                  <w:pPr>
                    <w:pStyle w:val="39"/>
                    <w:keepNext w:val="0"/>
                    <w:keepLines w:val="0"/>
                    <w:widowControl/>
                    <w:suppressLineNumbers w:val="0"/>
                    <w:bidi w:val="0"/>
                    <w:spacing w:before="0" w:beforeAutospacing="0" w:after="0" w:afterAutospacing="0"/>
                    <w:ind w:left="0" w:right="0"/>
                    <w:rPr>
                      <w:rFonts w:hint="eastAsia"/>
                      <w:szCs w:val="22"/>
                    </w:rPr>
                  </w:pPr>
                </w:p>
              </w:tc>
              <w:tc>
                <w:tcPr>
                  <w:tcW w:w="551" w:type="dxa"/>
                  <w:vMerge w:val="continue"/>
                  <w:noWrap w:val="0"/>
                  <w:vAlign w:val="center"/>
                </w:tcPr>
                <w:p w14:paraId="5F144569">
                  <w:pPr>
                    <w:pStyle w:val="39"/>
                    <w:keepNext w:val="0"/>
                    <w:keepLines w:val="0"/>
                    <w:widowControl/>
                    <w:suppressLineNumbers w:val="0"/>
                    <w:bidi w:val="0"/>
                    <w:spacing w:before="0" w:beforeAutospacing="0" w:after="0" w:afterAutospacing="0"/>
                    <w:ind w:left="0" w:right="0"/>
                    <w:rPr>
                      <w:rFonts w:hint="eastAsia"/>
                      <w:szCs w:val="22"/>
                    </w:rPr>
                  </w:pPr>
                </w:p>
              </w:tc>
              <w:tc>
                <w:tcPr>
                  <w:tcW w:w="601" w:type="dxa"/>
                  <w:noWrap w:val="0"/>
                  <w:vAlign w:val="center"/>
                </w:tcPr>
                <w:p w14:paraId="116F685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环境风险防控</w:t>
                  </w:r>
                </w:p>
              </w:tc>
              <w:tc>
                <w:tcPr>
                  <w:tcW w:w="4513" w:type="dxa"/>
                  <w:noWrap w:val="0"/>
                  <w:vAlign w:val="center"/>
                </w:tcPr>
                <w:p w14:paraId="6824AD5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建立健全环境风险防控体系，制定环境风险应急预案，建设事故应急池，成立应急组织机构，防止在处理安全生产事故过程中产生的可能严重污染水体的消防废水、废液直接排入水体。2.应采取有效措施防止园区建设对区域地下水、土壤造成污染。</w:t>
                  </w:r>
                </w:p>
              </w:tc>
              <w:tc>
                <w:tcPr>
                  <w:tcW w:w="4513" w:type="dxa"/>
                  <w:noWrap w:val="0"/>
                  <w:vAlign w:val="center"/>
                </w:tcPr>
                <w:p w14:paraId="70FE1D14">
                  <w:pPr>
                    <w:pStyle w:val="39"/>
                    <w:keepNext w:val="0"/>
                    <w:keepLines w:val="0"/>
                    <w:widowControl/>
                    <w:suppressLineNumbers w:val="0"/>
                    <w:bidi w:val="0"/>
                    <w:spacing w:before="0" w:beforeAutospacing="0" w:after="0" w:afterAutospacing="0"/>
                    <w:ind w:left="0" w:right="0"/>
                    <w:rPr>
                      <w:rFonts w:hint="default"/>
                      <w:szCs w:val="22"/>
                      <w:lang w:val="en-US"/>
                    </w:rPr>
                  </w:pPr>
                  <w:r>
                    <w:rPr>
                      <w:rFonts w:hint="eastAsia" w:cs="Times New Roman"/>
                      <w:color w:val="auto"/>
                      <w:sz w:val="21"/>
                      <w:szCs w:val="21"/>
                      <w:highlight w:val="none"/>
                      <w:vertAlign w:val="baseline"/>
                      <w:lang w:val="en-US" w:eastAsia="zh-CN"/>
                    </w:rPr>
                    <w:t>1.企业按照要求建立健全环境风险防控体系，成立应急组织机构，防止在处理安全生产事故过程中产生的可能严重污染水体的消防废水、废液直接排入水体。2.项目无生产废水产生，生活污水通过化粪池处理后接入市政污水管网，化粪池采取防渗处理，不会对地下水土壤造成污染。</w:t>
                  </w:r>
                </w:p>
              </w:tc>
              <w:tc>
                <w:tcPr>
                  <w:tcW w:w="476" w:type="dxa"/>
                  <w:noWrap w:val="0"/>
                  <w:vAlign w:val="center"/>
                </w:tcPr>
                <w:p w14:paraId="59B4F5A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符合</w:t>
                  </w:r>
                </w:p>
              </w:tc>
            </w:tr>
            <w:tr w14:paraId="2ACCB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51" w:type="dxa"/>
                  <w:vMerge w:val="continue"/>
                  <w:noWrap w:val="0"/>
                  <w:vAlign w:val="center"/>
                </w:tcPr>
                <w:p w14:paraId="3DFA3C83">
                  <w:pPr>
                    <w:pStyle w:val="39"/>
                    <w:keepNext w:val="0"/>
                    <w:keepLines w:val="0"/>
                    <w:widowControl/>
                    <w:suppressLineNumbers w:val="0"/>
                    <w:bidi w:val="0"/>
                    <w:spacing w:before="0" w:beforeAutospacing="0" w:after="0" w:afterAutospacing="0"/>
                    <w:ind w:left="0" w:right="0"/>
                    <w:rPr>
                      <w:rFonts w:hint="eastAsia"/>
                      <w:szCs w:val="22"/>
                    </w:rPr>
                  </w:pPr>
                </w:p>
              </w:tc>
              <w:tc>
                <w:tcPr>
                  <w:tcW w:w="675" w:type="dxa"/>
                  <w:vMerge w:val="continue"/>
                  <w:noWrap w:val="0"/>
                  <w:vAlign w:val="center"/>
                </w:tcPr>
                <w:p w14:paraId="3CEBB294">
                  <w:pPr>
                    <w:pStyle w:val="39"/>
                    <w:keepNext w:val="0"/>
                    <w:keepLines w:val="0"/>
                    <w:widowControl/>
                    <w:suppressLineNumbers w:val="0"/>
                    <w:bidi w:val="0"/>
                    <w:spacing w:before="0" w:beforeAutospacing="0" w:after="0" w:afterAutospacing="0"/>
                    <w:ind w:left="0" w:right="0"/>
                    <w:rPr>
                      <w:rFonts w:hint="eastAsia"/>
                      <w:szCs w:val="22"/>
                    </w:rPr>
                  </w:pPr>
                </w:p>
              </w:tc>
              <w:tc>
                <w:tcPr>
                  <w:tcW w:w="551" w:type="dxa"/>
                  <w:vMerge w:val="continue"/>
                  <w:noWrap w:val="0"/>
                  <w:vAlign w:val="center"/>
                </w:tcPr>
                <w:p w14:paraId="0FFD1D07">
                  <w:pPr>
                    <w:pStyle w:val="39"/>
                    <w:keepNext w:val="0"/>
                    <w:keepLines w:val="0"/>
                    <w:widowControl/>
                    <w:suppressLineNumbers w:val="0"/>
                    <w:bidi w:val="0"/>
                    <w:spacing w:before="0" w:beforeAutospacing="0" w:after="0" w:afterAutospacing="0"/>
                    <w:ind w:left="0" w:right="0"/>
                    <w:rPr>
                      <w:rFonts w:hint="eastAsia"/>
                      <w:szCs w:val="22"/>
                    </w:rPr>
                  </w:pPr>
                </w:p>
              </w:tc>
              <w:tc>
                <w:tcPr>
                  <w:tcW w:w="601" w:type="dxa"/>
                  <w:noWrap w:val="0"/>
                  <w:vAlign w:val="center"/>
                </w:tcPr>
                <w:p w14:paraId="7A76AAE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资源开发效率要求</w:t>
                  </w:r>
                </w:p>
              </w:tc>
              <w:tc>
                <w:tcPr>
                  <w:tcW w:w="4513" w:type="dxa"/>
                  <w:noWrap w:val="0"/>
                  <w:vAlign w:val="center"/>
                </w:tcPr>
                <w:p w14:paraId="6AEF880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vertAlign w:val="baseline"/>
                      <w:lang w:val="en-US" w:eastAsia="zh-CN"/>
                    </w:rPr>
                    <w:t>高污染燃料禁燃区内禁止燃用高污染燃料，禁止新建、扩建燃用高污染燃料的设施。已建的燃用高污染燃料设施，限期改用电、天然气、液化石油气等清洁能源。</w:t>
                  </w:r>
                </w:p>
              </w:tc>
              <w:tc>
                <w:tcPr>
                  <w:tcW w:w="4513" w:type="dxa"/>
                  <w:noWrap w:val="0"/>
                  <w:vAlign w:val="center"/>
                </w:tcPr>
                <w:p w14:paraId="344C357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本项目设备均采用电能，不涉及使用高污染燃料。</w:t>
                  </w:r>
                </w:p>
              </w:tc>
              <w:tc>
                <w:tcPr>
                  <w:tcW w:w="476" w:type="dxa"/>
                  <w:noWrap w:val="0"/>
                  <w:vAlign w:val="center"/>
                </w:tcPr>
                <w:p w14:paraId="6F9FF3E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符合</w:t>
                  </w:r>
                </w:p>
              </w:tc>
            </w:tr>
          </w:tbl>
          <w:p w14:paraId="324062B9">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根据上述分析，本项目与</w:t>
            </w:r>
            <w:r>
              <w:rPr>
                <w:rFonts w:hint="eastAsia" w:ascii="Times New Roman" w:hAnsi="Times New Roman"/>
                <w:sz w:val="24"/>
                <w:szCs w:val="24"/>
                <w:lang w:val="en-US" w:eastAsia="zh-CN"/>
              </w:rPr>
              <w:t>《福州市人民政府办公厅关于印发〈福州市生态环境分区管控方案（2023年更新）〉的通知》</w:t>
            </w:r>
            <w:r>
              <w:rPr>
                <w:rFonts w:hint="eastAsia"/>
                <w:lang w:val="en-US" w:eastAsia="zh-CN"/>
              </w:rPr>
              <w:t>、</w:t>
            </w:r>
            <w:r>
              <w:rPr>
                <w:rFonts w:hint="eastAsia" w:ascii="Times New Roman" w:hAnsi="Times New Roman"/>
                <w:sz w:val="24"/>
                <w:szCs w:val="24"/>
                <w:lang w:val="en-US" w:eastAsia="zh-CN"/>
              </w:rPr>
              <w:t>《福州市生态环境局关于发布福州市2024年生态环境分区管控动态更新成果的通知》（榕环保综〔2025〕1号）</w:t>
            </w:r>
            <w:r>
              <w:rPr>
                <w:rFonts w:hint="eastAsia"/>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《福建省生态环境分区管控综合查询报告》</w:t>
            </w:r>
            <w:r>
              <w:rPr>
                <w:rFonts w:hint="eastAsia"/>
                <w:lang w:val="en-US" w:eastAsia="zh-CN"/>
              </w:rPr>
              <w:t>中的相关规定是符合的。</w:t>
            </w:r>
          </w:p>
          <w:p w14:paraId="767AA6E7">
            <w:pPr>
              <w:keepNext w:val="0"/>
              <w:keepLines w:val="0"/>
              <w:suppressLineNumbers w:val="0"/>
              <w:spacing w:before="0" w:beforeAutospacing="0" w:after="0" w:afterAutospacing="0" w:line="360" w:lineRule="auto"/>
              <w:ind w:left="0" w:right="0"/>
              <w:outlineLvl w:val="9"/>
              <w:rPr>
                <w:rFonts w:hint="eastAsia" w:eastAsia="黑体"/>
                <w:color w:val="auto"/>
                <w:sz w:val="30"/>
                <w:vertAlign w:val="baseline"/>
              </w:rPr>
            </w:pPr>
          </w:p>
        </w:tc>
      </w:tr>
    </w:tbl>
    <w:p w14:paraId="43F68D48">
      <w:pPr>
        <w:spacing w:line="360" w:lineRule="auto"/>
        <w:outlineLvl w:val="9"/>
        <w:rPr>
          <w:rFonts w:eastAsia="黑体"/>
          <w:color w:val="auto"/>
          <w:sz w:val="30"/>
        </w:rPr>
        <w:sectPr>
          <w:footerReference r:id="rId9" w:type="default"/>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8447"/>
      </w:tblGrid>
      <w:tr w14:paraId="75CA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14:paraId="0A01EB56">
            <w:pPr>
              <w:pStyle w:val="41"/>
              <w:keepNext w:val="0"/>
              <w:keepLines w:val="0"/>
              <w:suppressLineNumbers w:val="0"/>
              <w:spacing w:before="0" w:beforeAutospacing="0" w:after="0" w:afterAutospacing="0"/>
              <w:ind w:left="0" w:right="0"/>
              <w:rPr>
                <w:rFonts w:hint="eastAsia" w:eastAsia="黑体"/>
                <w:color w:val="auto"/>
                <w:vertAlign w:val="baseline"/>
              </w:rPr>
            </w:pPr>
            <w:r>
              <w:rPr>
                <w:rFonts w:hint="eastAsia"/>
              </w:rPr>
              <w:t>其他符合性分析</w:t>
            </w:r>
          </w:p>
        </w:tc>
        <w:tc>
          <w:tcPr>
            <w:tcW w:w="8447" w:type="dxa"/>
          </w:tcPr>
          <w:p w14:paraId="2AB78C51">
            <w:pPr>
              <w:pStyle w:val="3"/>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平面布局合理性分析</w:t>
            </w:r>
          </w:p>
          <w:p w14:paraId="7F1B151C">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本</w:t>
            </w:r>
            <w:r>
              <w:rPr>
                <w:rFonts w:hint="default"/>
              </w:rPr>
              <w:t>项目</w:t>
            </w:r>
            <w:r>
              <w:rPr>
                <w:rFonts w:hint="eastAsia"/>
                <w:lang w:val="en-US" w:eastAsia="zh-CN"/>
              </w:rPr>
              <w:t>位于福清融侨经济技术开发区（租赁福清洪添科技有限公司车间2第3层）作为生产场所，合计面积2212.46m</w:t>
            </w:r>
            <w:r>
              <w:rPr>
                <w:rFonts w:hint="eastAsia"/>
                <w:vertAlign w:val="superscript"/>
                <w:lang w:val="en-US" w:eastAsia="zh-CN"/>
              </w:rPr>
              <w:t>2</w:t>
            </w:r>
            <w:r>
              <w:rPr>
                <w:rFonts w:hint="eastAsia"/>
                <w:lang w:val="en-US" w:eastAsia="zh-CN"/>
              </w:rPr>
              <w:t>（厂房租赁合同详见</w:t>
            </w:r>
            <w:r>
              <w:rPr>
                <w:rStyle w:val="46"/>
                <w:rFonts w:hint="eastAsia"/>
                <w:lang w:val="en-US" w:eastAsia="zh-CN"/>
              </w:rPr>
              <w:fldChar w:fldCharType="begin"/>
            </w:r>
            <w:r>
              <w:rPr>
                <w:rStyle w:val="46"/>
                <w:rFonts w:hint="eastAsia"/>
                <w:lang w:val="en-US" w:eastAsia="zh-CN"/>
              </w:rPr>
              <w:instrText xml:space="preserve"> REF _Ref4970 \h </w:instrText>
            </w:r>
            <w:r>
              <w:rPr>
                <w:rStyle w:val="46"/>
                <w:rFonts w:hint="eastAsia"/>
                <w:lang w:val="en-US" w:eastAsia="zh-CN"/>
              </w:rPr>
              <w:fldChar w:fldCharType="separate"/>
            </w:r>
            <w:r>
              <w:rPr>
                <w:rStyle w:val="46"/>
                <w:rFonts w:hint="eastAsia"/>
              </w:rPr>
              <w:t>附件 7</w:t>
            </w:r>
            <w:r>
              <w:rPr>
                <w:rStyle w:val="46"/>
                <w:rFonts w:hint="eastAsia"/>
                <w:lang w:val="en-US" w:eastAsia="zh-CN"/>
              </w:rPr>
              <w:fldChar w:fldCharType="end"/>
            </w:r>
            <w:r>
              <w:rPr>
                <w:rFonts w:hint="eastAsia"/>
                <w:lang w:val="en-US" w:eastAsia="zh-CN"/>
              </w:rPr>
              <w:t>）。</w:t>
            </w:r>
            <w:r>
              <w:rPr>
                <w:rFonts w:hint="default"/>
              </w:rPr>
              <w:t>厂区内厂房布置简单</w:t>
            </w:r>
            <w:r>
              <w:rPr>
                <w:rFonts w:hint="eastAsia"/>
                <w:lang w:eastAsia="zh-CN"/>
              </w:rPr>
              <w:t>，</w:t>
            </w:r>
            <w:r>
              <w:rPr>
                <w:rFonts w:hint="default"/>
              </w:rPr>
              <w:t>各功能分区明确，生产车间内平面布置基本上根据生产工艺需要和物料流向，各工序布置间距较近，便于生产操作，同时也避免物料来回运输消耗能源，厂区总平面布置基</w:t>
            </w:r>
            <w:r>
              <w:rPr>
                <w:rFonts w:hint="default"/>
                <w:lang w:val="en-US" w:eastAsia="zh-CN"/>
              </w:rPr>
              <w:t>本合理</w:t>
            </w:r>
            <w:r>
              <w:rPr>
                <w:rFonts w:hint="default"/>
              </w:rPr>
              <w:t>。</w:t>
            </w:r>
          </w:p>
          <w:p w14:paraId="35AB386C">
            <w:pPr>
              <w:pStyle w:val="3"/>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与周边相容性分析</w:t>
            </w:r>
          </w:p>
          <w:p w14:paraId="63CC9229">
            <w:pPr>
              <w:keepNext w:val="0"/>
              <w:keepLines w:val="0"/>
              <w:widowControl/>
              <w:suppressLineNumbers w:val="0"/>
              <w:spacing w:before="0" w:beforeAutospacing="0" w:after="0" w:afterAutospacing="0" w:line="360" w:lineRule="auto"/>
              <w:ind w:left="0" w:right="0" w:firstLine="480" w:firstLineChars="200"/>
              <w:jc w:val="both"/>
              <w:rPr>
                <w:rFonts w:hint="eastAsia"/>
                <w:lang w:val="en-US" w:eastAsia="zh-CN"/>
              </w:rPr>
            </w:pPr>
            <w:r>
              <w:rPr>
                <w:rFonts w:hint="default" w:ascii="Times New Roman" w:hAnsi="Times New Roman" w:eastAsia="宋体" w:cs="Times New Roman"/>
                <w:color w:val="auto"/>
                <w:sz w:val="24"/>
                <w:szCs w:val="24"/>
                <w:u w:val="none"/>
                <w:lang w:eastAsia="zh-CN"/>
              </w:rPr>
              <w:t>本项目位于</w:t>
            </w:r>
            <w:r>
              <w:rPr>
                <w:rFonts w:hint="eastAsia"/>
                <w:lang w:val="en-US" w:eastAsia="zh-CN"/>
              </w:rPr>
              <w:t>福清融侨经济技术开发区（租赁福清洪添科技有限公司车间2第3层）</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lang w:val="en-US" w:eastAsia="zh-CN"/>
              </w:rPr>
              <w:t>根据调查项目厂址不位于自然保护区、风景名胜区、饮用水水源保护区和其他需要特别保护等法律法规禁止开发建设的区域，用地为工业用地，与区域内土地利用规划不冲突。</w:t>
            </w:r>
            <w:r>
              <w:rPr>
                <w:rFonts w:hint="default" w:ascii="Times New Roman" w:hAnsi="Times New Roman" w:eastAsia="宋体" w:cs="Times New Roman"/>
                <w:color w:val="auto"/>
                <w:sz w:val="24"/>
                <w:lang w:val="en-US" w:eastAsia="zh-CN"/>
              </w:rPr>
              <w:t>根据现场勘查，</w:t>
            </w:r>
            <w:r>
              <w:rPr>
                <w:rFonts w:hint="eastAsia" w:ascii="Times New Roman" w:hAnsi="Times New Roman" w:eastAsia="宋体" w:cs="Times New Roman"/>
                <w:color w:val="auto"/>
                <w:sz w:val="24"/>
                <w:lang w:val="en-US" w:eastAsia="zh-CN"/>
              </w:rPr>
              <w:t>项目</w:t>
            </w:r>
            <w:r>
              <w:rPr>
                <w:rFonts w:hint="eastAsia"/>
                <w:color w:val="auto"/>
                <w:sz w:val="24"/>
                <w:lang w:val="en-US" w:eastAsia="zh-CN"/>
              </w:rPr>
              <w:t>厂界外50米范围内不存在声环境保护目标，大气环境厂界</w:t>
            </w:r>
            <w:r>
              <w:rPr>
                <w:rFonts w:hint="eastAsia" w:ascii="Times New Roman" w:hAnsi="Times New Roman" w:eastAsia="宋体" w:cs="Times New Roman"/>
                <w:color w:val="auto"/>
                <w:sz w:val="24"/>
                <w:lang w:val="en-US" w:eastAsia="zh-CN"/>
              </w:rPr>
              <w:t>外500米范围内距</w:t>
            </w:r>
            <w:r>
              <w:rPr>
                <w:rFonts w:hint="eastAsia" w:cs="Times New Roman"/>
                <w:color w:val="auto"/>
                <w:sz w:val="24"/>
                <w:lang w:val="en-US" w:eastAsia="zh-CN"/>
              </w:rPr>
              <w:t>玉岭村</w:t>
            </w:r>
            <w:r>
              <w:rPr>
                <w:rFonts w:hint="eastAsia" w:ascii="Times New Roman" w:hAnsi="Times New Roman" w:eastAsia="宋体" w:cs="Times New Roman"/>
                <w:color w:val="auto"/>
                <w:sz w:val="24"/>
                <w:lang w:val="en-US" w:eastAsia="zh-CN"/>
              </w:rPr>
              <w:t>离项目最近的居民点</w:t>
            </w:r>
            <w:r>
              <w:rPr>
                <w:rFonts w:hint="eastAsia" w:cs="Times New Roman"/>
                <w:color w:val="auto"/>
                <w:sz w:val="24"/>
                <w:lang w:val="en-US" w:eastAsia="zh-CN"/>
              </w:rPr>
              <w:t>位于项目南侧</w:t>
            </w:r>
            <w:r>
              <w:rPr>
                <w:rFonts w:hint="eastAsia" w:ascii="Times New Roman" w:hAnsi="Times New Roman" w:eastAsia="宋体" w:cs="Times New Roman"/>
                <w:color w:val="auto"/>
                <w:sz w:val="24"/>
                <w:lang w:val="en-US" w:eastAsia="zh-CN"/>
              </w:rPr>
              <w:t>约</w:t>
            </w:r>
            <w:r>
              <w:rPr>
                <w:rFonts w:hint="eastAsia" w:cs="Times New Roman"/>
                <w:color w:val="auto"/>
                <w:sz w:val="24"/>
                <w:lang w:val="en-US" w:eastAsia="zh-CN"/>
              </w:rPr>
              <w:t>204</w:t>
            </w:r>
            <w:r>
              <w:rPr>
                <w:rFonts w:hint="eastAsia" w:ascii="Times New Roman" w:hAnsi="Times New Roman" w:eastAsia="宋体" w:cs="Times New Roman"/>
                <w:color w:val="auto"/>
                <w:sz w:val="24"/>
                <w:lang w:val="en-US" w:eastAsia="zh-CN"/>
              </w:rPr>
              <w:t>m</w:t>
            </w:r>
            <w:r>
              <w:rPr>
                <w:rFonts w:hint="eastAsia" w:cs="Times New Roman"/>
                <w:color w:val="auto"/>
                <w:sz w:val="24"/>
                <w:lang w:val="en-US" w:eastAsia="zh-CN"/>
              </w:rPr>
              <w:t>处</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北侧146m处为洪宽工业村，东南侧147m处为潘厝后，距离大北溪203m远，</w:t>
            </w:r>
            <w:r>
              <w:rPr>
                <w:rFonts w:hint="default" w:ascii="Times New Roman" w:hAnsi="Times New Roman" w:eastAsia="宋体" w:cs="Times New Roman"/>
                <w:color w:val="auto"/>
                <w:sz w:val="24"/>
                <w:lang w:eastAsia="zh-CN"/>
              </w:rPr>
              <w:t>周边</w:t>
            </w:r>
            <w:r>
              <w:rPr>
                <w:rFonts w:hint="eastAsia" w:cs="Times New Roman"/>
                <w:color w:val="auto"/>
                <w:sz w:val="24"/>
                <w:lang w:eastAsia="zh-CN"/>
              </w:rPr>
              <w:t>分布以工业企业为主</w:t>
            </w:r>
            <w:r>
              <w:rPr>
                <w:rFonts w:hint="eastAsia" w:ascii="Times New Roman" w:hAnsi="Times New Roman" w:eastAsia="宋体" w:cs="Times New Roman"/>
                <w:color w:val="auto"/>
                <w:sz w:val="24"/>
                <w:lang w:val="en-US" w:eastAsia="zh-CN"/>
              </w:rPr>
              <w:t>等</w:t>
            </w:r>
            <w:r>
              <w:rPr>
                <w:rFonts w:hint="eastAsia" w:ascii="Times New Roman" w:hAnsi="Times New Roman" w:eastAsia="宋体" w:cs="Times New Roman"/>
                <w:color w:val="auto"/>
                <w:sz w:val="24"/>
                <w:lang w:eastAsia="zh-CN"/>
              </w:rPr>
              <w:t>，项目</w:t>
            </w:r>
            <w:r>
              <w:rPr>
                <w:rFonts w:hint="eastAsia" w:ascii="Times New Roman" w:hAnsi="Times New Roman" w:eastAsia="宋体" w:cs="Times New Roman"/>
                <w:color w:val="auto"/>
                <w:sz w:val="24"/>
                <w:highlight w:val="none"/>
                <w:lang w:eastAsia="zh-CN"/>
              </w:rPr>
              <w:t>周边环境示意图</w:t>
            </w:r>
            <w:r>
              <w:rPr>
                <w:rFonts w:hint="eastAsia" w:cs="Times New Roman"/>
                <w:color w:val="auto"/>
                <w:sz w:val="24"/>
                <w:highlight w:val="none"/>
                <w:lang w:val="en-US" w:eastAsia="zh-CN"/>
              </w:rPr>
              <w:t>及保护目标</w:t>
            </w:r>
            <w:r>
              <w:rPr>
                <w:rFonts w:hint="eastAsia" w:ascii="Times New Roman" w:hAnsi="Times New Roman" w:eastAsia="宋体" w:cs="Times New Roman"/>
                <w:color w:val="auto"/>
                <w:sz w:val="24"/>
                <w:highlight w:val="none"/>
                <w:lang w:eastAsia="zh-CN"/>
              </w:rPr>
              <w:t>详见</w:t>
            </w:r>
            <w:r>
              <w:rPr>
                <w:rStyle w:val="46"/>
                <w:rFonts w:hint="default"/>
                <w:lang w:val="en-US" w:eastAsia="zh-CN"/>
              </w:rPr>
              <w:fldChar w:fldCharType="begin"/>
            </w:r>
            <w:r>
              <w:rPr>
                <w:rStyle w:val="46"/>
                <w:rFonts w:hint="default"/>
                <w:lang w:val="en-US" w:eastAsia="zh-CN"/>
              </w:rPr>
              <w:instrText xml:space="preserve"> REF _Ref22753 \h </w:instrText>
            </w:r>
            <w:r>
              <w:rPr>
                <w:rStyle w:val="46"/>
                <w:rFonts w:hint="default"/>
                <w:lang w:val="en-US" w:eastAsia="zh-CN"/>
              </w:rPr>
              <w:fldChar w:fldCharType="separate"/>
            </w:r>
            <w:r>
              <w:rPr>
                <w:rStyle w:val="46"/>
                <w:rFonts w:hint="eastAsia"/>
              </w:rPr>
              <w:t>附图 2</w:t>
            </w:r>
            <w:r>
              <w:rPr>
                <w:rStyle w:val="46"/>
                <w:rFonts w:hint="default"/>
                <w:lang w:val="en-US" w:eastAsia="zh-CN"/>
              </w:rPr>
              <w:fldChar w:fldCharType="end"/>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pacing w:val="0"/>
                <w:sz w:val="24"/>
                <w:szCs w:val="24"/>
                <w:highlight w:val="none"/>
                <w:u w:val="none"/>
                <w:lang w:eastAsia="zh-CN"/>
              </w:rPr>
              <w:t>项目周边环境现状拍摄图详</w:t>
            </w:r>
            <w:r>
              <w:rPr>
                <w:rFonts w:hint="default" w:ascii="Times New Roman" w:hAnsi="Times New Roman" w:eastAsia="宋体" w:cs="Times New Roman"/>
                <w:color w:val="auto"/>
                <w:sz w:val="24"/>
                <w:highlight w:val="none"/>
                <w:lang w:eastAsia="zh-CN"/>
              </w:rPr>
              <w:t>见</w:t>
            </w:r>
            <w:r>
              <w:rPr>
                <w:rStyle w:val="46"/>
                <w:rFonts w:hint="default"/>
                <w:lang w:val="en-US" w:eastAsia="zh-CN"/>
              </w:rPr>
              <w:fldChar w:fldCharType="begin"/>
            </w:r>
            <w:r>
              <w:rPr>
                <w:rStyle w:val="46"/>
                <w:rFonts w:hint="default"/>
                <w:lang w:val="en-US" w:eastAsia="zh-CN"/>
              </w:rPr>
              <w:instrText xml:space="preserve"> REF _Ref22825 \h </w:instrText>
            </w:r>
            <w:r>
              <w:rPr>
                <w:rStyle w:val="46"/>
                <w:rFonts w:hint="default"/>
                <w:lang w:val="en-US" w:eastAsia="zh-CN"/>
              </w:rPr>
              <w:fldChar w:fldCharType="separate"/>
            </w:r>
            <w:r>
              <w:rPr>
                <w:rStyle w:val="46"/>
                <w:rFonts w:hint="eastAsia"/>
              </w:rPr>
              <w:t>附图 3</w:t>
            </w:r>
            <w:r>
              <w:rPr>
                <w:rStyle w:val="46"/>
                <w:rFonts w:hint="default"/>
                <w:lang w:val="en-US" w:eastAsia="zh-CN"/>
              </w:rPr>
              <w:fldChar w:fldCharType="end"/>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lang w:eastAsia="zh-CN"/>
              </w:rPr>
              <w:t>建设单位在</w:t>
            </w:r>
            <w:r>
              <w:rPr>
                <w:rFonts w:hint="eastAsia" w:cs="Times New Roman"/>
                <w:color w:val="auto"/>
                <w:sz w:val="24"/>
                <w:lang w:eastAsia="zh-CN"/>
              </w:rPr>
              <w:t>切实落实</w:t>
            </w:r>
            <w:r>
              <w:rPr>
                <w:rFonts w:hint="default" w:ascii="Times New Roman" w:hAnsi="Times New Roman" w:eastAsia="宋体" w:cs="Times New Roman"/>
                <w:color w:val="auto"/>
                <w:sz w:val="24"/>
                <w:lang w:eastAsia="zh-CN"/>
              </w:rPr>
              <w:t>本评价提出的各项污染治理措施的前提下，可实现污染物达标排放</w:t>
            </w:r>
            <w:r>
              <w:rPr>
                <w:rFonts w:hint="eastAsia" w:cs="Times New Roman"/>
                <w:color w:val="auto"/>
                <w:sz w:val="24"/>
                <w:lang w:eastAsia="zh-CN"/>
              </w:rPr>
              <w:t>且</w:t>
            </w:r>
            <w:r>
              <w:rPr>
                <w:rFonts w:hint="default" w:ascii="Times New Roman" w:hAnsi="Times New Roman" w:eastAsia="宋体" w:cs="Times New Roman"/>
                <w:color w:val="auto"/>
                <w:sz w:val="24"/>
                <w:lang w:eastAsia="zh-CN"/>
              </w:rPr>
              <w:t>各污染物排放源强较低，运营期产生的</w:t>
            </w:r>
            <w:r>
              <w:rPr>
                <w:rFonts w:hint="eastAsia" w:cs="Times New Roman"/>
                <w:color w:val="auto"/>
                <w:sz w:val="24"/>
                <w:lang w:eastAsia="zh-CN"/>
              </w:rPr>
              <w:t>“</w:t>
            </w:r>
            <w:r>
              <w:rPr>
                <w:rFonts w:hint="default" w:ascii="Times New Roman" w:hAnsi="Times New Roman" w:eastAsia="宋体" w:cs="Times New Roman"/>
                <w:color w:val="auto"/>
                <w:sz w:val="24"/>
                <w:lang w:eastAsia="zh-CN"/>
              </w:rPr>
              <w:t>三废</w:t>
            </w:r>
            <w:r>
              <w:rPr>
                <w:rFonts w:hint="eastAsia" w:cs="Times New Roman"/>
                <w:color w:val="auto"/>
                <w:sz w:val="24"/>
                <w:lang w:eastAsia="zh-CN"/>
              </w:rPr>
              <w:t>”</w:t>
            </w:r>
            <w:r>
              <w:rPr>
                <w:rFonts w:hint="default" w:ascii="Times New Roman" w:hAnsi="Times New Roman" w:eastAsia="宋体" w:cs="Times New Roman"/>
                <w:color w:val="auto"/>
                <w:sz w:val="24"/>
                <w:lang w:eastAsia="zh-CN"/>
              </w:rPr>
              <w:t>及噪声对周边环境影响不明显，因此，项目建设与周边环境基本相容。</w:t>
            </w:r>
          </w:p>
          <w:p w14:paraId="057B5793">
            <w:pPr>
              <w:keepNext w:val="0"/>
              <w:keepLines w:val="0"/>
              <w:suppressLineNumbers w:val="0"/>
              <w:spacing w:before="0" w:beforeAutospacing="0" w:after="0" w:afterAutospacing="0" w:line="360" w:lineRule="auto"/>
              <w:ind w:left="0" w:right="0"/>
              <w:outlineLvl w:val="9"/>
              <w:rPr>
                <w:rFonts w:hint="eastAsia" w:eastAsia="黑体"/>
                <w:color w:val="auto"/>
                <w:sz w:val="30"/>
                <w:vertAlign w:val="baseline"/>
              </w:rPr>
            </w:pPr>
          </w:p>
        </w:tc>
      </w:tr>
    </w:tbl>
    <w:p w14:paraId="462647B5">
      <w:pPr>
        <w:spacing w:line="360" w:lineRule="auto"/>
        <w:outlineLvl w:val="9"/>
        <w:rPr>
          <w:rFonts w:eastAsia="黑体"/>
          <w:color w:val="auto"/>
          <w:sz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13078"/>
      </w:tblGrid>
      <w:tr w14:paraId="477F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vAlign w:val="center"/>
          </w:tcPr>
          <w:p w14:paraId="7BD83372">
            <w:pPr>
              <w:pStyle w:val="41"/>
              <w:keepNext w:val="0"/>
              <w:keepLines w:val="0"/>
              <w:suppressLineNumbers w:val="0"/>
              <w:spacing w:before="0" w:beforeAutospacing="0" w:after="0" w:afterAutospacing="0"/>
              <w:ind w:left="0" w:right="0"/>
              <w:rPr>
                <w:rFonts w:hint="default" w:eastAsia="黑体"/>
                <w:color w:val="auto"/>
                <w:vertAlign w:val="baseline"/>
                <w:lang w:val="en-US" w:eastAsia="zh-CN"/>
              </w:rPr>
            </w:pPr>
            <w:r>
              <w:rPr>
                <w:rFonts w:hint="eastAsia"/>
                <w:lang w:val="en-US" w:eastAsia="zh-CN"/>
              </w:rPr>
              <w:t>其他符合性分析</w:t>
            </w:r>
          </w:p>
        </w:tc>
        <w:tc>
          <w:tcPr>
            <w:tcW w:w="13078" w:type="dxa"/>
          </w:tcPr>
          <w:p w14:paraId="0845ED58">
            <w:pPr>
              <w:pStyle w:val="3"/>
              <w:keepNext w:val="0"/>
              <w:keepLines w:val="0"/>
              <w:suppressLineNumbers w:val="0"/>
              <w:bidi w:val="0"/>
              <w:spacing w:before="0" w:beforeAutospacing="0" w:after="0" w:afterAutospacing="0"/>
              <w:ind w:left="0" w:right="0"/>
              <w:rPr>
                <w:rFonts w:hint="default"/>
              </w:rPr>
            </w:pPr>
            <w:r>
              <w:rPr>
                <w:rFonts w:hint="default"/>
              </w:rPr>
              <w:t>与污染防治相关政策符合性分析</w:t>
            </w:r>
          </w:p>
          <w:p w14:paraId="677BBF1C">
            <w:pPr>
              <w:keepNext w:val="0"/>
              <w:keepLines w:val="0"/>
              <w:suppressLineNumbers w:val="0"/>
              <w:bidi w:val="0"/>
              <w:spacing w:before="0" w:beforeAutospacing="0" w:after="0" w:afterAutospacing="0"/>
              <w:ind w:left="0" w:right="0"/>
              <w:rPr>
                <w:rFonts w:hint="default"/>
              </w:rPr>
            </w:pPr>
            <w:r>
              <w:rPr>
                <w:rFonts w:hint="default"/>
              </w:rPr>
              <w:t>本项目与挥发性有机物污染防治政策相关内容符合性分析详见表</w:t>
            </w:r>
            <w:r>
              <w:rPr>
                <w:rFonts w:hint="eastAsia"/>
                <w:lang w:val="en-US" w:eastAsia="zh-CN"/>
              </w:rPr>
              <w:t>1.11-1</w:t>
            </w:r>
            <w:r>
              <w:rPr>
                <w:rFonts w:hint="default"/>
              </w:rPr>
              <w:t>。</w:t>
            </w:r>
          </w:p>
          <w:p w14:paraId="2E42A885">
            <w:pPr>
              <w:pStyle w:val="40"/>
              <w:keepNext w:val="0"/>
              <w:keepLines w:val="0"/>
              <w:suppressLineNumbers w:val="0"/>
              <w:bidi w:val="0"/>
              <w:spacing w:before="0" w:beforeAutospacing="0" w:after="0" w:afterAutospacing="0"/>
              <w:ind w:left="0" w:right="0"/>
              <w:rPr>
                <w:rFonts w:hint="default"/>
              </w:rPr>
            </w:pPr>
            <w:r>
              <w:rPr>
                <w:rFonts w:hint="default"/>
              </w:rPr>
              <w:t>表</w:t>
            </w:r>
            <w:r>
              <w:rPr>
                <w:rFonts w:hint="eastAsia"/>
                <w:lang w:val="en-US" w:eastAsia="zh-CN"/>
              </w:rPr>
              <w:t>1.11-1</w:t>
            </w:r>
            <w:r>
              <w:rPr>
                <w:rFonts w:hint="default"/>
              </w:rPr>
              <w:t xml:space="preserve"> 挥发性有机物污染防治政策相关内容</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2847"/>
              <w:gridCol w:w="5524"/>
              <w:gridCol w:w="3804"/>
              <w:gridCol w:w="679"/>
            </w:tblGrid>
            <w:tr w14:paraId="1B6F83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1107" w:type="pct"/>
                  <w:noWrap w:val="0"/>
                  <w:vAlign w:val="center"/>
                </w:tcPr>
                <w:p w14:paraId="11D5D01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相关文件名称</w:t>
                  </w:r>
                </w:p>
              </w:tc>
              <w:tc>
                <w:tcPr>
                  <w:tcW w:w="2148" w:type="pct"/>
                  <w:noWrap w:val="0"/>
                  <w:vAlign w:val="center"/>
                </w:tcPr>
                <w:p w14:paraId="2365D220">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相关内容</w:t>
                  </w:r>
                </w:p>
              </w:tc>
              <w:tc>
                <w:tcPr>
                  <w:tcW w:w="1479" w:type="pct"/>
                  <w:noWrap w:val="0"/>
                  <w:vAlign w:val="center"/>
                </w:tcPr>
                <w:p w14:paraId="670A76F7">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本项目内容</w:t>
                  </w:r>
                </w:p>
              </w:tc>
              <w:tc>
                <w:tcPr>
                  <w:tcW w:w="264" w:type="pct"/>
                  <w:noWrap w:val="0"/>
                  <w:vAlign w:val="center"/>
                </w:tcPr>
                <w:p w14:paraId="2E3BCD5B">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符合性</w:t>
                  </w:r>
                </w:p>
              </w:tc>
            </w:tr>
            <w:tr w14:paraId="1E1950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107" w:type="pct"/>
                  <w:noWrap w:val="0"/>
                  <w:vAlign w:val="center"/>
                </w:tcPr>
                <w:p w14:paraId="707011C4">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《福建省</w:t>
                  </w:r>
                  <w:r>
                    <w:rPr>
                      <w:rFonts w:hint="eastAsia"/>
                      <w:szCs w:val="22"/>
                      <w:lang w:eastAsia="zh-CN"/>
                    </w:rPr>
                    <w:t>“</w:t>
                  </w:r>
                  <w:r>
                    <w:rPr>
                      <w:rFonts w:hint="eastAsia"/>
                      <w:szCs w:val="22"/>
                    </w:rPr>
                    <w:t>十四五</w:t>
                  </w:r>
                  <w:r>
                    <w:rPr>
                      <w:rFonts w:hint="eastAsia"/>
                      <w:szCs w:val="22"/>
                      <w:lang w:eastAsia="zh-CN"/>
                    </w:rPr>
                    <w:t>”</w:t>
                  </w:r>
                  <w:r>
                    <w:rPr>
                      <w:rFonts w:hint="eastAsia"/>
                      <w:szCs w:val="22"/>
                    </w:rPr>
                    <w:t>空气质量改善规划》</w:t>
                  </w:r>
                  <w:r>
                    <w:rPr>
                      <w:rFonts w:hint="eastAsia"/>
                      <w:szCs w:val="22"/>
                      <w:lang w:eastAsia="zh-CN"/>
                    </w:rPr>
                    <w:t>（</w:t>
                  </w:r>
                  <w:r>
                    <w:rPr>
                      <w:rFonts w:hint="eastAsia"/>
                      <w:szCs w:val="22"/>
                    </w:rPr>
                    <w:t>2022年</w:t>
                  </w:r>
                  <w:r>
                    <w:rPr>
                      <w:rFonts w:hint="eastAsia"/>
                      <w:szCs w:val="22"/>
                      <w:lang w:eastAsia="zh-CN"/>
                    </w:rPr>
                    <w:t>）</w:t>
                  </w:r>
                </w:p>
              </w:tc>
              <w:tc>
                <w:tcPr>
                  <w:tcW w:w="2148" w:type="pct"/>
                  <w:noWrap w:val="0"/>
                  <w:vAlign w:val="center"/>
                </w:tcPr>
                <w:p w14:paraId="69A44D89">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rPr>
                    <w:t>推广使用水性、高固体分、无溶剂、粉末等低</w:t>
                  </w:r>
                  <w:r>
                    <w:rPr>
                      <w:rFonts w:hint="eastAsia"/>
                      <w:szCs w:val="22"/>
                      <w:lang w:eastAsia="zh-CN"/>
                    </w:rPr>
                    <w:t>VOCs</w:t>
                  </w:r>
                  <w:r>
                    <w:rPr>
                      <w:rFonts w:hint="eastAsia"/>
                      <w:szCs w:val="22"/>
                    </w:rPr>
                    <w:t>含量涂料，木质家具制造、汽车零部件、工程机械使用比例达到50%以上；严格执行涂料、油墨、胶粘剂、清洗剂</w:t>
                  </w:r>
                  <w:r>
                    <w:rPr>
                      <w:rFonts w:hint="eastAsia"/>
                      <w:szCs w:val="22"/>
                      <w:lang w:eastAsia="zh-CN"/>
                    </w:rPr>
                    <w:t>VOCs</w:t>
                  </w:r>
                  <w:r>
                    <w:rPr>
                      <w:rFonts w:hint="eastAsia"/>
                      <w:szCs w:val="22"/>
                    </w:rPr>
                    <w:t>含量限值标准，加大抽检力度，确保生产、销售、进口、使用符合标准的产品。严格涉</w:t>
                  </w:r>
                  <w:r>
                    <w:rPr>
                      <w:rFonts w:hint="eastAsia"/>
                      <w:szCs w:val="22"/>
                      <w:lang w:eastAsia="zh-CN"/>
                    </w:rPr>
                    <w:t>VOCs</w:t>
                  </w:r>
                  <w:r>
                    <w:rPr>
                      <w:rFonts w:hint="eastAsia"/>
                      <w:szCs w:val="22"/>
                    </w:rPr>
                    <w:t>建设项目环境影响评价，</w:t>
                  </w:r>
                  <w:r>
                    <w:rPr>
                      <w:rFonts w:hint="eastAsia"/>
                      <w:szCs w:val="22"/>
                      <w:lang w:eastAsia="zh-CN"/>
                    </w:rPr>
                    <w:t>VOCs</w:t>
                  </w:r>
                  <w:r>
                    <w:rPr>
                      <w:rFonts w:hint="eastAsia"/>
                      <w:szCs w:val="22"/>
                    </w:rPr>
                    <w:t>排放实行区域内等量替代，福州、厦门、漳州、泉州、莆田、宁德实施</w:t>
                  </w:r>
                  <w:r>
                    <w:rPr>
                      <w:rFonts w:hint="eastAsia"/>
                      <w:szCs w:val="22"/>
                      <w:lang w:eastAsia="zh-CN"/>
                    </w:rPr>
                    <w:t>VOCs</w:t>
                  </w:r>
                  <w:r>
                    <w:rPr>
                      <w:rFonts w:hint="eastAsia"/>
                      <w:szCs w:val="22"/>
                    </w:rPr>
                    <w:t>倍量替代。</w:t>
                  </w:r>
                </w:p>
              </w:tc>
              <w:tc>
                <w:tcPr>
                  <w:tcW w:w="1479" w:type="pct"/>
                  <w:noWrap w:val="0"/>
                  <w:vAlign w:val="center"/>
                </w:tcPr>
                <w:p w14:paraId="6C96425A">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rPr>
                    <w:t>项目</w:t>
                  </w:r>
                  <w:r>
                    <w:rPr>
                      <w:rFonts w:hint="eastAsia"/>
                      <w:szCs w:val="22"/>
                      <w:lang w:val="en-US" w:eastAsia="zh-CN"/>
                    </w:rPr>
                    <w:t>使用的</w:t>
                  </w:r>
                  <w:r>
                    <w:rPr>
                      <w:rFonts w:hint="eastAsia"/>
                      <w:szCs w:val="22"/>
                    </w:rPr>
                    <w:t>涂料满足</w:t>
                  </w:r>
                  <w:r>
                    <w:rPr>
                      <w:rFonts w:hint="default"/>
                      <w:color w:val="auto"/>
                      <w:szCs w:val="22"/>
                    </w:rPr>
                    <w:t>《工业防护涂料中有害物质限量》（GB 30981-2020）</w:t>
                  </w:r>
                  <w:r>
                    <w:rPr>
                      <w:rFonts w:hint="eastAsia"/>
                      <w:color w:val="auto"/>
                      <w:szCs w:val="22"/>
                      <w:lang w:val="en-US" w:eastAsia="zh-CN"/>
                    </w:rPr>
                    <w:t>表</w:t>
                  </w:r>
                  <w:r>
                    <w:rPr>
                      <w:rFonts w:hint="default"/>
                      <w:color w:val="auto"/>
                      <w:szCs w:val="22"/>
                    </w:rPr>
                    <w:t>2中</w:t>
                  </w:r>
                  <w:r>
                    <w:rPr>
                      <w:rFonts w:hint="eastAsia"/>
                      <w:color w:val="auto"/>
                      <w:szCs w:val="22"/>
                      <w:lang w:val="en-US" w:eastAsia="zh-CN"/>
                    </w:rPr>
                    <w:t>溶剂型涂层-机械和设备用涂料（含零部件涂料）面漆及</w:t>
                  </w:r>
                  <w:r>
                    <w:rPr>
                      <w:rFonts w:hint="default"/>
                      <w:color w:val="auto"/>
                      <w:szCs w:val="22"/>
                    </w:rPr>
                    <w:t>《低挥发性有机化合物含量涂料产品技术要求》（GB/T38597-2020）</w:t>
                  </w:r>
                  <w:r>
                    <w:rPr>
                      <w:rFonts w:hint="eastAsia"/>
                      <w:color w:val="auto"/>
                      <w:szCs w:val="22"/>
                      <w:lang w:val="en-US" w:eastAsia="zh-CN"/>
                    </w:rPr>
                    <w:t>表</w:t>
                  </w:r>
                  <w:r>
                    <w:rPr>
                      <w:rFonts w:hint="default"/>
                      <w:color w:val="auto"/>
                      <w:szCs w:val="22"/>
                    </w:rPr>
                    <w:t>2中</w:t>
                  </w:r>
                  <w:r>
                    <w:rPr>
                      <w:rFonts w:hint="eastAsia"/>
                      <w:color w:val="auto"/>
                      <w:szCs w:val="22"/>
                      <w:lang w:val="en-US" w:eastAsia="zh-CN"/>
                    </w:rPr>
                    <w:t>工业防护涂料 机械设备涂料 港口机械和化工机械</w:t>
                  </w:r>
                  <w:r>
                    <w:rPr>
                      <w:rFonts w:hint="eastAsia"/>
                      <w:szCs w:val="22"/>
                      <w:lang w:val="en-US" w:eastAsia="zh-CN"/>
                    </w:rPr>
                    <w:t>涂料（含零部件涂料）面漆</w:t>
                  </w:r>
                  <w:r>
                    <w:rPr>
                      <w:rFonts w:hint="eastAsia"/>
                      <w:szCs w:val="22"/>
                    </w:rPr>
                    <w:t>的要求，为低挥发性有机物原辅材料；项目排放的</w:t>
                  </w:r>
                  <w:r>
                    <w:rPr>
                      <w:rFonts w:hint="eastAsia"/>
                      <w:szCs w:val="22"/>
                      <w:lang w:eastAsia="zh-CN"/>
                    </w:rPr>
                    <w:t>VOCs</w:t>
                  </w:r>
                  <w:r>
                    <w:rPr>
                      <w:rFonts w:hint="eastAsia"/>
                      <w:szCs w:val="22"/>
                    </w:rPr>
                    <w:t>拟实行区域内倍量替代</w:t>
                  </w:r>
                  <w:r>
                    <w:rPr>
                      <w:rFonts w:hint="eastAsia"/>
                      <w:szCs w:val="22"/>
                      <w:lang w:eastAsia="zh-CN"/>
                    </w:rPr>
                    <w:t>。</w:t>
                  </w:r>
                </w:p>
              </w:tc>
              <w:tc>
                <w:tcPr>
                  <w:tcW w:w="264" w:type="pct"/>
                  <w:noWrap w:val="0"/>
                  <w:vAlign w:val="center"/>
                </w:tcPr>
                <w:p w14:paraId="4248D378">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符合</w:t>
                  </w:r>
                </w:p>
              </w:tc>
            </w:tr>
            <w:tr w14:paraId="4F2DC9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107" w:type="pct"/>
                  <w:noWrap w:val="0"/>
                  <w:vAlign w:val="center"/>
                </w:tcPr>
                <w:p w14:paraId="69464D29">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eastAsia="zh-CN"/>
                    </w:rPr>
                    <w:t>《</w:t>
                  </w:r>
                  <w:r>
                    <w:rPr>
                      <w:rFonts w:hint="eastAsia"/>
                      <w:szCs w:val="22"/>
                    </w:rPr>
                    <w:t>福州市</w:t>
                  </w:r>
                  <w:r>
                    <w:rPr>
                      <w:rFonts w:hint="eastAsia"/>
                      <w:szCs w:val="22"/>
                      <w:lang w:eastAsia="zh-CN"/>
                    </w:rPr>
                    <w:t>“</w:t>
                  </w:r>
                  <w:r>
                    <w:rPr>
                      <w:rFonts w:hint="eastAsia"/>
                      <w:szCs w:val="22"/>
                    </w:rPr>
                    <w:t>十四五</w:t>
                  </w:r>
                  <w:r>
                    <w:rPr>
                      <w:rFonts w:hint="eastAsia"/>
                      <w:szCs w:val="22"/>
                      <w:lang w:eastAsia="zh-CN"/>
                    </w:rPr>
                    <w:t>”</w:t>
                  </w:r>
                  <w:r>
                    <w:rPr>
                      <w:rFonts w:hint="eastAsia"/>
                      <w:szCs w:val="22"/>
                    </w:rPr>
                    <w:t>生态环境保护规划</w:t>
                  </w:r>
                  <w:r>
                    <w:rPr>
                      <w:rFonts w:hint="eastAsia"/>
                      <w:szCs w:val="22"/>
                      <w:lang w:eastAsia="zh-CN"/>
                    </w:rPr>
                    <w:t>》（</w:t>
                  </w:r>
                  <w:r>
                    <w:rPr>
                      <w:rFonts w:hint="eastAsia"/>
                      <w:szCs w:val="22"/>
                    </w:rPr>
                    <w:t>榕政办〔2021〕123 号</w:t>
                  </w:r>
                  <w:r>
                    <w:rPr>
                      <w:rFonts w:hint="eastAsia"/>
                      <w:szCs w:val="22"/>
                      <w:lang w:eastAsia="zh-CN"/>
                    </w:rPr>
                    <w:t>）</w:t>
                  </w:r>
                </w:p>
              </w:tc>
              <w:tc>
                <w:tcPr>
                  <w:tcW w:w="2148" w:type="pct"/>
                  <w:noWrap w:val="0"/>
                  <w:vAlign w:val="center"/>
                </w:tcPr>
                <w:p w14:paraId="690997C1">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强化挥发性有机物整治。</w:t>
                  </w:r>
                  <w:r>
                    <w:rPr>
                      <w:rFonts w:hint="default"/>
                      <w:szCs w:val="22"/>
                      <w:lang w:val="en-US" w:eastAsia="zh-CN"/>
                    </w:rPr>
                    <w:t>......</w:t>
                  </w:r>
                  <w:r>
                    <w:rPr>
                      <w:rFonts w:hint="eastAsia"/>
                      <w:szCs w:val="22"/>
                    </w:rPr>
                    <w:t>实行挥发性有机物排放倍量替代。加大涉</w:t>
                  </w:r>
                  <w:r>
                    <w:rPr>
                      <w:rFonts w:hint="eastAsia"/>
                      <w:szCs w:val="22"/>
                      <w:lang w:eastAsia="zh-CN"/>
                    </w:rPr>
                    <w:t>VOCs</w:t>
                  </w:r>
                  <w:r>
                    <w:rPr>
                      <w:rFonts w:hint="eastAsia"/>
                      <w:szCs w:val="22"/>
                    </w:rPr>
                    <w:t>企业源头替代力度，推广使用低</w:t>
                  </w:r>
                  <w:r>
                    <w:rPr>
                      <w:rFonts w:hint="eastAsia"/>
                      <w:szCs w:val="22"/>
                      <w:lang w:eastAsia="zh-CN"/>
                    </w:rPr>
                    <w:t>（</w:t>
                  </w:r>
                  <w:r>
                    <w:rPr>
                      <w:rFonts w:hint="eastAsia"/>
                      <w:szCs w:val="22"/>
                    </w:rPr>
                    <w:t>无</w:t>
                  </w:r>
                  <w:r>
                    <w:rPr>
                      <w:rFonts w:hint="eastAsia"/>
                      <w:szCs w:val="22"/>
                      <w:lang w:eastAsia="zh-CN"/>
                    </w:rPr>
                    <w:t>）VOCs</w:t>
                  </w:r>
                  <w:r>
                    <w:rPr>
                      <w:rFonts w:hint="eastAsia"/>
                      <w:szCs w:val="22"/>
                    </w:rPr>
                    <w:t>原辅材料替代，禁止生产高</w:t>
                  </w:r>
                  <w:r>
                    <w:rPr>
                      <w:rFonts w:hint="eastAsia"/>
                      <w:szCs w:val="22"/>
                      <w:lang w:eastAsia="zh-CN"/>
                    </w:rPr>
                    <w:t>VOCs</w:t>
                  </w:r>
                  <w:r>
                    <w:rPr>
                      <w:rFonts w:hint="eastAsia"/>
                      <w:szCs w:val="22"/>
                    </w:rPr>
                    <w:t>含量有机溶剂型涂料、油墨和胶黏剂的新、改、扩建项目，推进重点企业</w:t>
                  </w:r>
                  <w:r>
                    <w:rPr>
                      <w:rFonts w:hint="eastAsia"/>
                      <w:szCs w:val="22"/>
                      <w:lang w:eastAsia="zh-CN"/>
                    </w:rPr>
                    <w:t>“</w:t>
                  </w:r>
                  <w:r>
                    <w:rPr>
                      <w:rFonts w:hint="eastAsia"/>
                      <w:szCs w:val="22"/>
                    </w:rPr>
                    <w:t>油改水</w:t>
                  </w:r>
                  <w:r>
                    <w:rPr>
                      <w:rFonts w:hint="eastAsia"/>
                      <w:szCs w:val="22"/>
                      <w:lang w:eastAsia="zh-CN"/>
                    </w:rPr>
                    <w:t>”</w:t>
                  </w:r>
                  <w:r>
                    <w:rPr>
                      <w:rFonts w:hint="eastAsia"/>
                      <w:szCs w:val="22"/>
                    </w:rPr>
                    <w:t>治理，提高有机溶剂回收率。</w:t>
                  </w:r>
                </w:p>
              </w:tc>
              <w:tc>
                <w:tcPr>
                  <w:tcW w:w="1479" w:type="pct"/>
                  <w:noWrap w:val="0"/>
                  <w:vAlign w:val="center"/>
                </w:tcPr>
                <w:p w14:paraId="4E080E15">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default"/>
                      <w:szCs w:val="22"/>
                      <w:lang w:val="en-US" w:eastAsia="zh-CN"/>
                    </w:rPr>
                    <w:t>项目排放的</w:t>
                  </w:r>
                  <w:r>
                    <w:rPr>
                      <w:rFonts w:hint="eastAsia"/>
                      <w:szCs w:val="22"/>
                      <w:lang w:val="en-US" w:eastAsia="zh-CN"/>
                    </w:rPr>
                    <w:t>VOCs</w:t>
                  </w:r>
                  <w:r>
                    <w:rPr>
                      <w:rFonts w:hint="default"/>
                      <w:szCs w:val="22"/>
                      <w:lang w:val="en-US" w:eastAsia="zh-CN"/>
                    </w:rPr>
                    <w:t>拟实行区域内倍量替代</w:t>
                  </w:r>
                  <w:r>
                    <w:rPr>
                      <w:rFonts w:hint="eastAsia"/>
                      <w:szCs w:val="22"/>
                      <w:lang w:val="en-US" w:eastAsia="zh-CN"/>
                    </w:rPr>
                    <w:t>；</w:t>
                  </w:r>
                  <w:r>
                    <w:rPr>
                      <w:rFonts w:hint="default"/>
                      <w:szCs w:val="22"/>
                      <w:lang w:val="en-US" w:eastAsia="zh-CN"/>
                    </w:rPr>
                    <w:t>项目仅涉及使用低</w:t>
                  </w:r>
                  <w:r>
                    <w:rPr>
                      <w:rFonts w:hint="eastAsia"/>
                      <w:szCs w:val="22"/>
                      <w:lang w:val="en-US" w:eastAsia="zh-CN"/>
                    </w:rPr>
                    <w:t>VOCs</w:t>
                  </w:r>
                  <w:r>
                    <w:rPr>
                      <w:rFonts w:hint="default"/>
                      <w:szCs w:val="22"/>
                      <w:lang w:val="en-US" w:eastAsia="zh-CN"/>
                    </w:rPr>
                    <w:t>含量的</w:t>
                  </w:r>
                  <w:r>
                    <w:rPr>
                      <w:rFonts w:hint="eastAsia"/>
                      <w:szCs w:val="22"/>
                      <w:lang w:val="en-US" w:eastAsia="zh-CN"/>
                    </w:rPr>
                    <w:t>原辅材料</w:t>
                  </w:r>
                  <w:r>
                    <w:rPr>
                      <w:rFonts w:hint="default"/>
                      <w:szCs w:val="22"/>
                      <w:lang w:val="en-US" w:eastAsia="zh-CN"/>
                    </w:rPr>
                    <w:t>，不涉及所需的</w:t>
                  </w:r>
                  <w:r>
                    <w:rPr>
                      <w:rFonts w:hint="eastAsia"/>
                      <w:szCs w:val="22"/>
                      <w:lang w:val="en-US" w:eastAsia="zh-CN"/>
                    </w:rPr>
                    <w:t>VOCs</w:t>
                  </w:r>
                  <w:r>
                    <w:rPr>
                      <w:rFonts w:hint="default"/>
                      <w:szCs w:val="22"/>
                      <w:lang w:val="en-US" w:eastAsia="zh-CN"/>
                    </w:rPr>
                    <w:t>原料的生产，全部外购。</w:t>
                  </w:r>
                </w:p>
              </w:tc>
              <w:tc>
                <w:tcPr>
                  <w:tcW w:w="264" w:type="pct"/>
                  <w:noWrap w:val="0"/>
                  <w:vAlign w:val="center"/>
                </w:tcPr>
                <w:p w14:paraId="4FA905AD">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符合</w:t>
                  </w:r>
                </w:p>
              </w:tc>
            </w:tr>
            <w:tr w14:paraId="6F33C8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874" w:hRule="atLeast"/>
                <w:jc w:val="center"/>
              </w:trPr>
              <w:tc>
                <w:tcPr>
                  <w:tcW w:w="1107" w:type="pct"/>
                  <w:noWrap w:val="0"/>
                  <w:vAlign w:val="center"/>
                </w:tcPr>
                <w:p w14:paraId="5542692F">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《关于开展福州市重点行业挥发性有机物综合治理工作（</w:t>
                  </w:r>
                  <w:r>
                    <w:rPr>
                      <w:rFonts w:hint="eastAsia"/>
                      <w:szCs w:val="22"/>
                      <w:lang w:eastAsia="zh-CN"/>
                    </w:rPr>
                    <w:t>VOCs</w:t>
                  </w:r>
                  <w:r>
                    <w:rPr>
                      <w:rFonts w:hint="eastAsia"/>
                      <w:szCs w:val="22"/>
                    </w:rPr>
                    <w:t>2.0）》</w:t>
                  </w:r>
                  <w:r>
                    <w:rPr>
                      <w:rFonts w:hint="eastAsia"/>
                      <w:szCs w:val="22"/>
                      <w:lang w:eastAsia="zh-CN"/>
                    </w:rPr>
                    <w:t>（</w:t>
                  </w:r>
                  <w:r>
                    <w:rPr>
                      <w:rFonts w:hint="eastAsia"/>
                      <w:szCs w:val="22"/>
                    </w:rPr>
                    <w:t>榕环保综</w:t>
                  </w:r>
                  <w:r>
                    <w:rPr>
                      <w:rFonts w:hint="eastAsia"/>
                      <w:szCs w:val="22"/>
                      <w:lang w:eastAsia="zh-CN"/>
                    </w:rPr>
                    <w:t>〔2021〕100号）</w:t>
                  </w:r>
                </w:p>
              </w:tc>
              <w:tc>
                <w:tcPr>
                  <w:tcW w:w="2148" w:type="pct"/>
                  <w:noWrap w:val="0"/>
                  <w:vAlign w:val="center"/>
                </w:tcPr>
                <w:p w14:paraId="4B89BEC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（三）严格审批，加强管控</w:t>
                  </w:r>
                </w:p>
                <w:p w14:paraId="29F98EB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1.严格涉挥发性有机物建设项目环境影响评价审批。新、改、扩建排放挥发性有机物的建设项目实行倍量替代。鼓励使用低（无）挥发性有机物含量的原辅材料</w:t>
                  </w:r>
                </w:p>
              </w:tc>
              <w:tc>
                <w:tcPr>
                  <w:tcW w:w="1479" w:type="pct"/>
                  <w:noWrap w:val="0"/>
                  <w:vAlign w:val="center"/>
                </w:tcPr>
                <w:p w14:paraId="11D2F0B1">
                  <w:pPr>
                    <w:pStyle w:val="39"/>
                    <w:keepNext w:val="0"/>
                    <w:keepLines w:val="0"/>
                    <w:widowControl/>
                    <w:suppressLineNumbers w:val="0"/>
                    <w:bidi w:val="0"/>
                    <w:spacing w:before="0" w:beforeAutospacing="0" w:after="0" w:afterAutospacing="0"/>
                    <w:ind w:left="0" w:right="0"/>
                    <w:jc w:val="both"/>
                    <w:rPr>
                      <w:rFonts w:hint="default"/>
                      <w:szCs w:val="22"/>
                      <w:lang w:val="en-US" w:eastAsia="zh-CN"/>
                    </w:rPr>
                  </w:pPr>
                  <w:r>
                    <w:rPr>
                      <w:rFonts w:hint="default"/>
                      <w:szCs w:val="22"/>
                      <w:lang w:val="en-US" w:eastAsia="zh-CN"/>
                    </w:rPr>
                    <w:t>项目使用低</w:t>
                  </w:r>
                  <w:r>
                    <w:rPr>
                      <w:rFonts w:hint="eastAsia"/>
                      <w:szCs w:val="22"/>
                      <w:lang w:val="en-US" w:eastAsia="zh-CN"/>
                    </w:rPr>
                    <w:t>VOCs</w:t>
                  </w:r>
                  <w:r>
                    <w:rPr>
                      <w:rFonts w:hint="default"/>
                      <w:szCs w:val="22"/>
                      <w:lang w:val="en-US" w:eastAsia="zh-CN"/>
                    </w:rPr>
                    <w:t>含量的</w:t>
                  </w:r>
                  <w:r>
                    <w:rPr>
                      <w:rFonts w:hint="eastAsia"/>
                      <w:szCs w:val="22"/>
                      <w:lang w:val="en-US" w:eastAsia="zh-CN"/>
                    </w:rPr>
                    <w:t>原辅材料</w:t>
                  </w:r>
                  <w:r>
                    <w:rPr>
                      <w:rFonts w:hint="default"/>
                      <w:szCs w:val="22"/>
                      <w:lang w:val="en-US" w:eastAsia="zh-CN"/>
                    </w:rPr>
                    <w:t>，</w:t>
                  </w:r>
                  <w:r>
                    <w:rPr>
                      <w:rFonts w:hint="eastAsia"/>
                      <w:szCs w:val="22"/>
                    </w:rPr>
                    <w:t>项目</w:t>
                  </w:r>
                  <w:r>
                    <w:rPr>
                      <w:rFonts w:hint="eastAsia"/>
                      <w:szCs w:val="22"/>
                      <w:lang w:eastAsia="zh-CN"/>
                    </w:rPr>
                    <w:t>VOCs</w:t>
                  </w:r>
                  <w:r>
                    <w:rPr>
                      <w:rFonts w:hint="eastAsia"/>
                      <w:szCs w:val="22"/>
                    </w:rPr>
                    <w:t>排放拟实行区域内倍量替代</w:t>
                  </w:r>
                  <w:r>
                    <w:rPr>
                      <w:rFonts w:hint="default"/>
                      <w:szCs w:val="22"/>
                      <w:lang w:val="en-US" w:eastAsia="zh-CN"/>
                    </w:rPr>
                    <w:t>。</w:t>
                  </w:r>
                </w:p>
              </w:tc>
              <w:tc>
                <w:tcPr>
                  <w:tcW w:w="264" w:type="pct"/>
                  <w:noWrap w:val="0"/>
                  <w:vAlign w:val="center"/>
                </w:tcPr>
                <w:p w14:paraId="26435EDB">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符合</w:t>
                  </w:r>
                </w:p>
              </w:tc>
            </w:tr>
            <w:tr w14:paraId="298CAE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107" w:type="pct"/>
                  <w:noWrap w:val="0"/>
                  <w:vAlign w:val="center"/>
                </w:tcPr>
                <w:p w14:paraId="1698A91B">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《福建省2020年挥发性有机物治理攻坚实施方案》的通知（闽环保大气〔2020〕6号）</w:t>
                  </w:r>
                </w:p>
              </w:tc>
              <w:tc>
                <w:tcPr>
                  <w:tcW w:w="2148" w:type="pct"/>
                  <w:noWrap w:val="0"/>
                  <w:vAlign w:val="center"/>
                </w:tcPr>
                <w:p w14:paraId="5391C85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eastAsia="zh-CN"/>
                    </w:rPr>
                    <w:t>（</w:t>
                  </w:r>
                  <w:r>
                    <w:rPr>
                      <w:rFonts w:hint="eastAsia"/>
                      <w:szCs w:val="22"/>
                      <w:lang w:val="en-US" w:eastAsia="zh-CN"/>
                    </w:rPr>
                    <w:t>1</w:t>
                  </w:r>
                  <w:r>
                    <w:rPr>
                      <w:rFonts w:hint="eastAsia"/>
                      <w:szCs w:val="22"/>
                      <w:lang w:eastAsia="zh-CN"/>
                    </w:rPr>
                    <w:t>）</w:t>
                  </w:r>
                  <w:r>
                    <w:rPr>
                      <w:rFonts w:hint="eastAsia"/>
                      <w:szCs w:val="22"/>
                    </w:rPr>
                    <w:t>大力推进源头替代，有效减少</w:t>
                  </w:r>
                  <w:r>
                    <w:rPr>
                      <w:rFonts w:hint="eastAsia"/>
                      <w:szCs w:val="22"/>
                      <w:lang w:eastAsia="zh-CN"/>
                    </w:rPr>
                    <w:t>VOCs</w:t>
                  </w:r>
                  <w:r>
                    <w:rPr>
                      <w:rFonts w:hint="eastAsia"/>
                      <w:szCs w:val="22"/>
                    </w:rPr>
                    <w:t>产生；</w:t>
                  </w:r>
                </w:p>
                <w:p w14:paraId="5F343E9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（2）全面落实标准要求，强化无组织排放控制。加强含</w:t>
                  </w:r>
                  <w:r>
                    <w:rPr>
                      <w:rFonts w:hint="eastAsia"/>
                      <w:szCs w:val="22"/>
                      <w:lang w:eastAsia="zh-CN"/>
                    </w:rPr>
                    <w:t>VOCs</w:t>
                  </w:r>
                  <w:r>
                    <w:rPr>
                      <w:rFonts w:hint="eastAsia"/>
                      <w:szCs w:val="22"/>
                    </w:rPr>
                    <w:t>物料全方位、全链条、全环节密闭管理........。生产和使用环节应采用密闭设备，或在密闭空间中操作并有效收集废气，或进行局部气体收集；处置环节应将盛装过</w:t>
                  </w:r>
                  <w:r>
                    <w:rPr>
                      <w:rFonts w:hint="eastAsia"/>
                      <w:szCs w:val="22"/>
                      <w:lang w:eastAsia="zh-CN"/>
                    </w:rPr>
                    <w:t>VOCs</w:t>
                  </w:r>
                  <w:r>
                    <w:rPr>
                      <w:rFonts w:hint="eastAsia"/>
                      <w:szCs w:val="22"/>
                    </w:rPr>
                    <w:t>物料的包装容器、含</w:t>
                  </w:r>
                  <w:r>
                    <w:rPr>
                      <w:rFonts w:hint="eastAsia"/>
                      <w:szCs w:val="22"/>
                      <w:lang w:eastAsia="zh-CN"/>
                    </w:rPr>
                    <w:t>VOCs</w:t>
                  </w:r>
                  <w:r>
                    <w:rPr>
                      <w:rFonts w:hint="eastAsia"/>
                      <w:szCs w:val="22"/>
                    </w:rPr>
                    <w:t>废料（渣、液）、废吸附剂等通过加盖、封装等方式密闭，妥善存放，集中清运，交有资质的单位处置，不得随意丢弃；</w:t>
                  </w:r>
                </w:p>
                <w:p w14:paraId="6684197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（3）聚焦治污设施</w:t>
                  </w:r>
                  <w:r>
                    <w:rPr>
                      <w:rFonts w:hint="eastAsia"/>
                      <w:szCs w:val="22"/>
                      <w:lang w:eastAsia="zh-CN"/>
                    </w:rPr>
                    <w:t>“</w:t>
                  </w:r>
                  <w:r>
                    <w:rPr>
                      <w:rFonts w:hint="eastAsia"/>
                      <w:szCs w:val="22"/>
                    </w:rPr>
                    <w:t>三率</w:t>
                  </w:r>
                  <w:r>
                    <w:rPr>
                      <w:rFonts w:hint="eastAsia"/>
                      <w:szCs w:val="22"/>
                      <w:lang w:eastAsia="zh-CN"/>
                    </w:rPr>
                    <w:t>”</w:t>
                  </w:r>
                  <w:r>
                    <w:rPr>
                      <w:rFonts w:hint="eastAsia"/>
                      <w:szCs w:val="22"/>
                    </w:rPr>
                    <w:t>，提升综合治理效率。......除恶臭异味治理外，一般不采用低温等离子、光催化、光氧化等技术。优先采用密闭设备、在密闭空间中操作或采用全密闭集气罩收集方式；</w:t>
                  </w:r>
                  <w:r>
                    <w:rPr>
                      <w:rFonts w:hint="eastAsia"/>
                      <w:szCs w:val="22"/>
                      <w:lang w:eastAsia="zh-CN"/>
                    </w:rPr>
                    <w:t>……</w:t>
                  </w:r>
                  <w:r>
                    <w:rPr>
                      <w:rFonts w:hint="eastAsia"/>
                      <w:szCs w:val="22"/>
                    </w:rPr>
                    <w:t>采用活性炭吸附技术的，应选择碘值不低于800毫克/克的活性炭，并按设计要求足量添加</w:t>
                  </w:r>
                  <w:r>
                    <w:rPr>
                      <w:rFonts w:hint="eastAsia"/>
                      <w:szCs w:val="22"/>
                      <w:lang w:eastAsia="zh-CN"/>
                    </w:rPr>
                    <w:t>及</w:t>
                  </w:r>
                  <w:r>
                    <w:rPr>
                      <w:rFonts w:hint="eastAsia"/>
                      <w:szCs w:val="22"/>
                    </w:rPr>
                    <w:t>时更换。</w:t>
                  </w:r>
                </w:p>
              </w:tc>
              <w:tc>
                <w:tcPr>
                  <w:tcW w:w="1479" w:type="pct"/>
                  <w:noWrap w:val="0"/>
                  <w:vAlign w:val="center"/>
                </w:tcPr>
                <w:p w14:paraId="7067DD3C">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（1）项目使用低VOCs原辅料；常温下不产生VOCs。</w:t>
                  </w:r>
                </w:p>
                <w:p w14:paraId="5DBA3319">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（2）</w:t>
                  </w:r>
                  <w:r>
                    <w:rPr>
                      <w:rFonts w:hint="default"/>
                      <w:szCs w:val="22"/>
                      <w:lang w:val="en-US" w:eastAsia="zh-CN"/>
                    </w:rPr>
                    <w:t>项目</w:t>
                  </w:r>
                  <w:r>
                    <w:rPr>
                      <w:rFonts w:hint="eastAsia"/>
                      <w:szCs w:val="22"/>
                      <w:lang w:val="en-US" w:eastAsia="zh-CN"/>
                    </w:rPr>
                    <w:t>水性漆及油性漆采</w:t>
                  </w:r>
                  <w:r>
                    <w:rPr>
                      <w:rFonts w:hint="eastAsia"/>
                      <w:szCs w:val="22"/>
                      <w:highlight w:val="none"/>
                      <w:lang w:val="en-US" w:eastAsia="zh-CN"/>
                    </w:rPr>
                    <w:t>用密闭桶装暂存</w:t>
                  </w:r>
                  <w:r>
                    <w:rPr>
                      <w:rFonts w:hint="default"/>
                      <w:szCs w:val="22"/>
                      <w:highlight w:val="none"/>
                      <w:lang w:val="en-US" w:eastAsia="zh-CN"/>
                    </w:rPr>
                    <w:t>；</w:t>
                  </w:r>
                  <w:r>
                    <w:rPr>
                      <w:rFonts w:hint="eastAsia"/>
                      <w:szCs w:val="22"/>
                      <w:highlight w:val="none"/>
                      <w:lang w:val="en-US" w:eastAsia="zh-CN"/>
                    </w:rPr>
                    <w:t>项目生产车间密闭，</w:t>
                  </w:r>
                  <w:r>
                    <w:rPr>
                      <w:rFonts w:hint="eastAsia"/>
                      <w:szCs w:val="22"/>
                      <w:lang w:val="en-US" w:eastAsia="zh-CN"/>
                    </w:rPr>
                    <w:t>单独设置喷漆房</w:t>
                  </w:r>
                  <w:r>
                    <w:rPr>
                      <w:rFonts w:hint="eastAsia"/>
                      <w:szCs w:val="22"/>
                      <w:highlight w:val="none"/>
                      <w:lang w:val="en-US" w:eastAsia="zh-CN"/>
                    </w:rPr>
                    <w:t>负压收集废气，收集效率90%，拟将更换的废活性炭及过滤棉当作</w:t>
                  </w:r>
                  <w:r>
                    <w:rPr>
                      <w:rFonts w:hint="eastAsia"/>
                      <w:szCs w:val="22"/>
                      <w:lang w:val="en-US" w:eastAsia="zh-CN"/>
                    </w:rPr>
                    <w:t>危险废物，</w:t>
                  </w:r>
                  <w:r>
                    <w:rPr>
                      <w:rFonts w:hint="default"/>
                      <w:szCs w:val="22"/>
                      <w:lang w:val="en-US" w:eastAsia="zh-CN"/>
                    </w:rPr>
                    <w:t>密闭暂存于</w:t>
                  </w:r>
                  <w:r>
                    <w:rPr>
                      <w:rFonts w:hint="eastAsia"/>
                      <w:szCs w:val="22"/>
                      <w:lang w:val="en-US" w:eastAsia="zh-CN"/>
                    </w:rPr>
                    <w:t>危险废物贮存库</w:t>
                  </w:r>
                  <w:r>
                    <w:rPr>
                      <w:rFonts w:hint="default"/>
                      <w:szCs w:val="22"/>
                      <w:lang w:val="en-US" w:eastAsia="zh-CN"/>
                    </w:rPr>
                    <w:t>内</w:t>
                  </w:r>
                  <w:r>
                    <w:rPr>
                      <w:rFonts w:hint="eastAsia"/>
                      <w:szCs w:val="22"/>
                      <w:lang w:val="en-US" w:eastAsia="zh-CN"/>
                    </w:rPr>
                    <w:t>，定期委托有资质单位统一处置；（3）</w:t>
                  </w:r>
                  <w:r>
                    <w:rPr>
                      <w:rFonts w:hint="eastAsia"/>
                      <w:szCs w:val="22"/>
                      <w:highlight w:val="none"/>
                    </w:rPr>
                    <w:t>项目烘干废气及加烤废气各自经密闭管道集气收集，然后与经水帘柜净化后的喷漆废气一起并入</w:t>
                  </w:r>
                  <w:r>
                    <w:rPr>
                      <w:rFonts w:hint="eastAsia"/>
                      <w:szCs w:val="22"/>
                      <w:highlight w:val="none"/>
                      <w:lang w:eastAsia="zh-CN"/>
                    </w:rPr>
                    <w:t>“</w:t>
                  </w:r>
                  <w:r>
                    <w:rPr>
                      <w:rFonts w:hint="eastAsia"/>
                      <w:szCs w:val="22"/>
                      <w:highlight w:val="none"/>
                    </w:rPr>
                    <w:t>过滤棉+</w:t>
                  </w:r>
                  <w:r>
                    <w:rPr>
                      <w:rFonts w:hint="eastAsia"/>
                      <w:szCs w:val="22"/>
                      <w:highlight w:val="none"/>
                      <w:lang w:eastAsia="zh-CN"/>
                    </w:rPr>
                    <w:t>二级活性炭</w:t>
                  </w:r>
                  <w:r>
                    <w:rPr>
                      <w:rFonts w:hint="eastAsia"/>
                      <w:szCs w:val="22"/>
                      <w:highlight w:val="none"/>
                    </w:rPr>
                    <w:t>吸附装置</w:t>
                  </w:r>
                  <w:r>
                    <w:rPr>
                      <w:rFonts w:hint="eastAsia"/>
                      <w:szCs w:val="22"/>
                      <w:highlight w:val="none"/>
                      <w:lang w:eastAsia="zh-CN"/>
                    </w:rPr>
                    <w:t>”处理</w:t>
                  </w:r>
                  <w:r>
                    <w:rPr>
                      <w:rFonts w:hint="eastAsia"/>
                      <w:szCs w:val="22"/>
                      <w:highlight w:val="none"/>
                    </w:rPr>
                    <w:t>后</w:t>
                  </w:r>
                  <w:r>
                    <w:rPr>
                      <w:rFonts w:hint="eastAsia"/>
                      <w:szCs w:val="22"/>
                      <w:highlight w:val="none"/>
                      <w:lang w:eastAsia="zh-CN"/>
                    </w:rPr>
                    <w:t>达标排放</w:t>
                  </w:r>
                  <w:r>
                    <w:rPr>
                      <w:rFonts w:hint="eastAsia"/>
                      <w:szCs w:val="22"/>
                      <w:lang w:val="en-US" w:eastAsia="zh-CN"/>
                    </w:rPr>
                    <w:t>，</w:t>
                  </w:r>
                  <w:r>
                    <w:rPr>
                      <w:rFonts w:hint="eastAsia"/>
                      <w:szCs w:val="22"/>
                    </w:rPr>
                    <w:t>项目生产设备除进出料口全部密闭，</w:t>
                  </w:r>
                  <w:r>
                    <w:rPr>
                      <w:rFonts w:hint="eastAsia"/>
                      <w:szCs w:val="22"/>
                      <w:lang w:val="en-US" w:eastAsia="zh-CN"/>
                    </w:rPr>
                    <w:t>VOCs采用集气罩收集，采用碘值不低于800毫克/克的活性炭，并定期更换</w:t>
                  </w:r>
                  <w:r>
                    <w:rPr>
                      <w:rFonts w:hint="eastAsia"/>
                      <w:szCs w:val="22"/>
                    </w:rPr>
                    <w:t>。</w:t>
                  </w:r>
                </w:p>
              </w:tc>
              <w:tc>
                <w:tcPr>
                  <w:tcW w:w="264" w:type="pct"/>
                  <w:noWrap w:val="0"/>
                  <w:vAlign w:val="center"/>
                </w:tcPr>
                <w:p w14:paraId="3707AFA2">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符合</w:t>
                  </w:r>
                </w:p>
              </w:tc>
            </w:tr>
            <w:tr w14:paraId="5E9C82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107" w:type="pct"/>
                  <w:noWrap w:val="0"/>
                  <w:vAlign w:val="center"/>
                </w:tcPr>
                <w:p w14:paraId="7A03F55B">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福建省重点行业挥发性有机物污染防治工作方案</w:t>
                  </w:r>
                  <w:r>
                    <w:rPr>
                      <w:rFonts w:hint="eastAsia"/>
                      <w:szCs w:val="22"/>
                      <w:lang w:val="en-US" w:eastAsia="zh-CN"/>
                    </w:rPr>
                    <w:t>（</w:t>
                  </w:r>
                  <w:r>
                    <w:rPr>
                      <w:rFonts w:hint="default"/>
                      <w:szCs w:val="22"/>
                      <w:lang w:val="en-US" w:eastAsia="zh-CN"/>
                    </w:rPr>
                    <w:t>闽环保大气〔2017〕6号</w:t>
                  </w:r>
                  <w:r>
                    <w:rPr>
                      <w:rFonts w:hint="eastAsia"/>
                      <w:szCs w:val="22"/>
                      <w:lang w:val="en-US" w:eastAsia="zh-CN"/>
                    </w:rPr>
                    <w:t>）</w:t>
                  </w:r>
                </w:p>
              </w:tc>
              <w:tc>
                <w:tcPr>
                  <w:tcW w:w="2148" w:type="pct"/>
                  <w:noWrap w:val="0"/>
                  <w:vAlign w:val="center"/>
                </w:tcPr>
                <w:p w14:paraId="08FA1F7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二、主要任务</w:t>
                  </w:r>
                </w:p>
                <w:p w14:paraId="1DF16BA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（一）严格环境准入</w:t>
                  </w:r>
                </w:p>
                <w:p w14:paraId="0E5141C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进一步提高行业准入门槛，严格控制新增污染物排放量。严格限制石化、化工、包装印刷、工业涂装等高</w:t>
                  </w:r>
                  <w:r>
                    <w:rPr>
                      <w:rFonts w:hint="eastAsia"/>
                      <w:szCs w:val="22"/>
                      <w:lang w:eastAsia="zh-CN"/>
                    </w:rPr>
                    <w:t>VOCs</w:t>
                  </w:r>
                  <w:r>
                    <w:rPr>
                      <w:rFonts w:hint="eastAsia"/>
                      <w:szCs w:val="22"/>
                    </w:rPr>
                    <w:t>排放建设项目。新改扩建项目要使用低</w:t>
                  </w:r>
                  <w:r>
                    <w:rPr>
                      <w:rFonts w:hint="eastAsia"/>
                      <w:szCs w:val="22"/>
                      <w:lang w:eastAsia="zh-CN"/>
                    </w:rPr>
                    <w:t>VOCs</w:t>
                  </w:r>
                  <w:r>
                    <w:rPr>
                      <w:rFonts w:hint="eastAsia"/>
                      <w:szCs w:val="22"/>
                    </w:rPr>
                    <w:t>含量原辅材料，采取密闭措施，加强废气收集，配套安装高效治理设施，减少污染排放。淘汰国家及地方明令禁止的落后工艺和设备。</w:t>
                  </w:r>
                </w:p>
                <w:p w14:paraId="27C86D9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（二）大力推进清洁生产</w:t>
                  </w:r>
                </w:p>
                <w:p w14:paraId="0D3DF76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……在重点行业大力倡导环境标志产品生产及使用，尤其是水性涂料的生产和使用，从源头控制</w:t>
                  </w:r>
                  <w:r>
                    <w:rPr>
                      <w:rFonts w:hint="eastAsia"/>
                      <w:szCs w:val="22"/>
                      <w:lang w:eastAsia="zh-CN"/>
                    </w:rPr>
                    <w:t>VOCs</w:t>
                  </w:r>
                  <w:r>
                    <w:rPr>
                      <w:rFonts w:hint="eastAsia"/>
                      <w:szCs w:val="22"/>
                    </w:rPr>
                    <w:t>排放。</w:t>
                  </w:r>
                </w:p>
              </w:tc>
              <w:tc>
                <w:tcPr>
                  <w:tcW w:w="1479" w:type="pct"/>
                  <w:noWrap w:val="0"/>
                  <w:vAlign w:val="center"/>
                </w:tcPr>
                <w:p w14:paraId="23DBE023">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本项目使用</w:t>
                  </w:r>
                  <w:r>
                    <w:rPr>
                      <w:rFonts w:hint="eastAsia"/>
                      <w:szCs w:val="22"/>
                    </w:rPr>
                    <w:t>低</w:t>
                  </w:r>
                  <w:r>
                    <w:rPr>
                      <w:rFonts w:hint="eastAsia"/>
                      <w:szCs w:val="22"/>
                      <w:lang w:eastAsia="zh-CN"/>
                    </w:rPr>
                    <w:t>VOCs</w:t>
                  </w:r>
                  <w:r>
                    <w:rPr>
                      <w:rFonts w:hint="eastAsia"/>
                      <w:szCs w:val="22"/>
                    </w:rPr>
                    <w:t>含量原</w:t>
                  </w:r>
                  <w:r>
                    <w:rPr>
                      <w:rFonts w:hint="eastAsia"/>
                      <w:szCs w:val="22"/>
                      <w:highlight w:val="none"/>
                    </w:rPr>
                    <w:t>辅材料</w:t>
                  </w:r>
                  <w:r>
                    <w:rPr>
                      <w:rFonts w:hint="eastAsia"/>
                      <w:szCs w:val="22"/>
                      <w:highlight w:val="none"/>
                      <w:lang w:eastAsia="zh-CN"/>
                    </w:rPr>
                    <w:t>且使用量较少，</w:t>
                  </w:r>
                  <w:r>
                    <w:rPr>
                      <w:rFonts w:hint="eastAsia"/>
                      <w:szCs w:val="22"/>
                      <w:highlight w:val="none"/>
                    </w:rPr>
                    <w:t>项目烘干废气及加烤废气各自经密闭管道集气收集，然后与经水帘柜净化后的喷漆废气一起并入</w:t>
                  </w:r>
                  <w:r>
                    <w:rPr>
                      <w:rFonts w:hint="eastAsia"/>
                      <w:szCs w:val="22"/>
                      <w:highlight w:val="none"/>
                      <w:lang w:eastAsia="zh-CN"/>
                    </w:rPr>
                    <w:t>“</w:t>
                  </w:r>
                  <w:r>
                    <w:rPr>
                      <w:rFonts w:hint="eastAsia"/>
                      <w:szCs w:val="22"/>
                      <w:highlight w:val="none"/>
                    </w:rPr>
                    <w:t>过滤棉+</w:t>
                  </w:r>
                  <w:r>
                    <w:rPr>
                      <w:rFonts w:hint="eastAsia"/>
                      <w:szCs w:val="22"/>
                      <w:highlight w:val="none"/>
                      <w:lang w:eastAsia="zh-CN"/>
                    </w:rPr>
                    <w:t>二级活性炭</w:t>
                  </w:r>
                  <w:r>
                    <w:rPr>
                      <w:rFonts w:hint="eastAsia"/>
                      <w:szCs w:val="22"/>
                      <w:highlight w:val="none"/>
                    </w:rPr>
                    <w:t>吸附装置</w:t>
                  </w:r>
                  <w:r>
                    <w:rPr>
                      <w:rFonts w:hint="eastAsia"/>
                      <w:szCs w:val="22"/>
                      <w:highlight w:val="none"/>
                      <w:lang w:eastAsia="zh-CN"/>
                    </w:rPr>
                    <w:t>”处理</w:t>
                  </w:r>
                  <w:r>
                    <w:rPr>
                      <w:rFonts w:hint="eastAsia"/>
                      <w:szCs w:val="22"/>
                      <w:highlight w:val="none"/>
                    </w:rPr>
                    <w:t>后</w:t>
                  </w:r>
                  <w:r>
                    <w:rPr>
                      <w:rFonts w:hint="eastAsia"/>
                      <w:szCs w:val="22"/>
                      <w:highlight w:val="none"/>
                      <w:lang w:eastAsia="zh-CN"/>
                    </w:rPr>
                    <w:t>达标排放。</w:t>
                  </w:r>
                </w:p>
              </w:tc>
              <w:tc>
                <w:tcPr>
                  <w:tcW w:w="264" w:type="pct"/>
                  <w:noWrap w:val="0"/>
                  <w:vAlign w:val="center"/>
                </w:tcPr>
                <w:p w14:paraId="3A3EA67F">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符合</w:t>
                  </w:r>
                </w:p>
              </w:tc>
            </w:tr>
            <w:tr w14:paraId="64A9D2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107" w:type="pct"/>
                  <w:noWrap w:val="0"/>
                  <w:vAlign w:val="center"/>
                </w:tcPr>
                <w:p w14:paraId="2B829D50">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《2021年福州市提升空气质量行动计划》的通知</w:t>
                  </w:r>
                  <w:r>
                    <w:rPr>
                      <w:rFonts w:hint="eastAsia"/>
                      <w:szCs w:val="22"/>
                      <w:lang w:eastAsia="zh-CN"/>
                    </w:rPr>
                    <w:t>（榕环委办〔2021〕23号）</w:t>
                  </w:r>
                </w:p>
              </w:tc>
              <w:tc>
                <w:tcPr>
                  <w:tcW w:w="2148" w:type="pct"/>
                  <w:noWrap w:val="0"/>
                  <w:vAlign w:val="top"/>
                </w:tcPr>
                <w:p w14:paraId="6A93038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（2）严格涉</w:t>
                  </w:r>
                  <w:r>
                    <w:rPr>
                      <w:rFonts w:hint="eastAsia"/>
                      <w:szCs w:val="22"/>
                      <w:lang w:eastAsia="zh-CN"/>
                    </w:rPr>
                    <w:t>VOCs</w:t>
                  </w:r>
                  <w:r>
                    <w:rPr>
                      <w:rFonts w:hint="eastAsia"/>
                      <w:szCs w:val="22"/>
                    </w:rPr>
                    <w:t>建设项目环境影响评价审批，新、改、扩建涉</w:t>
                  </w:r>
                  <w:r>
                    <w:rPr>
                      <w:rFonts w:hint="eastAsia"/>
                      <w:szCs w:val="22"/>
                      <w:lang w:eastAsia="zh-CN"/>
                    </w:rPr>
                    <w:t>VOCs</w:t>
                  </w:r>
                  <w:r>
                    <w:rPr>
                      <w:rFonts w:hint="eastAsia"/>
                      <w:szCs w:val="22"/>
                    </w:rPr>
                    <w:t>排放项目，应使用低（无）</w:t>
                  </w:r>
                  <w:r>
                    <w:rPr>
                      <w:rFonts w:hint="eastAsia"/>
                      <w:szCs w:val="22"/>
                      <w:lang w:eastAsia="zh-CN"/>
                    </w:rPr>
                    <w:t>VOCs</w:t>
                  </w:r>
                  <w:r>
                    <w:rPr>
                      <w:rFonts w:hint="eastAsia"/>
                      <w:szCs w:val="22"/>
                    </w:rPr>
                    <w:t>涂料、粘胶剂等，实施新建项目</w:t>
                  </w:r>
                  <w:r>
                    <w:rPr>
                      <w:rFonts w:hint="eastAsia"/>
                      <w:szCs w:val="22"/>
                      <w:lang w:eastAsia="zh-CN"/>
                    </w:rPr>
                    <w:t>VOCs</w:t>
                  </w:r>
                  <w:r>
                    <w:rPr>
                      <w:rFonts w:hint="eastAsia"/>
                      <w:szCs w:val="22"/>
                    </w:rPr>
                    <w:t>排放区域内倍量替代。</w:t>
                  </w:r>
                  <w:r>
                    <w:rPr>
                      <w:rFonts w:hint="eastAsia"/>
                      <w:szCs w:val="22"/>
                      <w:lang w:eastAsia="zh-CN"/>
                    </w:rPr>
                    <w:t>VOCs</w:t>
                  </w:r>
                  <w:r>
                    <w:rPr>
                      <w:rFonts w:hint="eastAsia"/>
                      <w:szCs w:val="22"/>
                    </w:rPr>
                    <w:t>年排放量大于10吨的新建项目投运前应安装</w:t>
                  </w:r>
                  <w:r>
                    <w:rPr>
                      <w:rFonts w:hint="eastAsia"/>
                      <w:szCs w:val="22"/>
                      <w:lang w:eastAsia="zh-CN"/>
                    </w:rPr>
                    <w:t>VOCs</w:t>
                  </w:r>
                  <w:r>
                    <w:rPr>
                      <w:rFonts w:hint="eastAsia"/>
                      <w:szCs w:val="22"/>
                    </w:rPr>
                    <w:t>在线监控设备，并接入市生态云平台。</w:t>
                  </w:r>
                </w:p>
              </w:tc>
              <w:tc>
                <w:tcPr>
                  <w:tcW w:w="1479" w:type="pct"/>
                  <w:noWrap w:val="0"/>
                  <w:vAlign w:val="center"/>
                </w:tcPr>
                <w:p w14:paraId="2595CF31">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本项目使用低VOCs含量的原辅材料，VOCs</w:t>
                  </w:r>
                  <w:r>
                    <w:rPr>
                      <w:rFonts w:hint="eastAsia"/>
                      <w:szCs w:val="22"/>
                    </w:rPr>
                    <w:t>年排放量</w:t>
                  </w:r>
                  <w:r>
                    <w:rPr>
                      <w:rFonts w:hint="eastAsia"/>
                      <w:szCs w:val="22"/>
                      <w:lang w:eastAsia="zh-CN"/>
                    </w:rPr>
                    <w:t>小于</w:t>
                  </w:r>
                  <w:r>
                    <w:rPr>
                      <w:rFonts w:hint="eastAsia"/>
                      <w:szCs w:val="22"/>
                    </w:rPr>
                    <w:t>10吨</w:t>
                  </w:r>
                  <w:r>
                    <w:rPr>
                      <w:rFonts w:hint="eastAsia"/>
                      <w:szCs w:val="22"/>
                      <w:lang w:eastAsia="zh-CN"/>
                    </w:rPr>
                    <w:t>，无需安装VOCs</w:t>
                  </w:r>
                  <w:r>
                    <w:rPr>
                      <w:rFonts w:hint="eastAsia"/>
                      <w:szCs w:val="22"/>
                    </w:rPr>
                    <w:t>在线监控设备</w:t>
                  </w:r>
                  <w:r>
                    <w:rPr>
                      <w:rFonts w:hint="eastAsia"/>
                      <w:szCs w:val="22"/>
                      <w:lang w:eastAsia="zh-CN"/>
                    </w:rPr>
                    <w:t>。</w:t>
                  </w:r>
                </w:p>
              </w:tc>
              <w:tc>
                <w:tcPr>
                  <w:tcW w:w="264" w:type="pct"/>
                  <w:noWrap w:val="0"/>
                  <w:vAlign w:val="center"/>
                </w:tcPr>
                <w:p w14:paraId="521FAC38">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符合</w:t>
                  </w:r>
                </w:p>
              </w:tc>
            </w:tr>
            <w:tr w14:paraId="7A6FB5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107" w:type="pct"/>
                  <w:noWrap w:val="0"/>
                  <w:vAlign w:val="center"/>
                </w:tcPr>
                <w:p w14:paraId="4DC395BE">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《福州市生态环境保护委员会办公室关于印发2022年度福州市蓝天碧海净土保卫战行动计划通知》</w:t>
                  </w:r>
                  <w:r>
                    <w:rPr>
                      <w:rFonts w:hint="eastAsia"/>
                      <w:szCs w:val="22"/>
                      <w:lang w:eastAsia="zh-CN"/>
                    </w:rPr>
                    <w:t>（</w:t>
                  </w:r>
                  <w:r>
                    <w:rPr>
                      <w:rFonts w:hint="eastAsia"/>
                      <w:szCs w:val="22"/>
                    </w:rPr>
                    <w:t>榕环委办[2022]49号</w:t>
                  </w:r>
                  <w:r>
                    <w:rPr>
                      <w:rFonts w:hint="eastAsia"/>
                      <w:szCs w:val="22"/>
                      <w:lang w:eastAsia="zh-CN"/>
                    </w:rPr>
                    <w:t>）</w:t>
                  </w:r>
                </w:p>
              </w:tc>
              <w:tc>
                <w:tcPr>
                  <w:tcW w:w="2148" w:type="pct"/>
                  <w:noWrap w:val="0"/>
                  <w:vAlign w:val="center"/>
                </w:tcPr>
                <w:p w14:paraId="7C92BB7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四是严格涉</w:t>
                  </w:r>
                  <w:r>
                    <w:rPr>
                      <w:rFonts w:hint="eastAsia"/>
                      <w:szCs w:val="22"/>
                      <w:lang w:eastAsia="zh-CN"/>
                    </w:rPr>
                    <w:t>VOCs</w:t>
                  </w:r>
                  <w:r>
                    <w:rPr>
                      <w:rFonts w:hint="eastAsia"/>
                      <w:szCs w:val="22"/>
                    </w:rPr>
                    <w:t>建设项目环境影响评价审批。新、改、扩建涉</w:t>
                  </w:r>
                  <w:r>
                    <w:rPr>
                      <w:rFonts w:hint="eastAsia"/>
                      <w:szCs w:val="22"/>
                      <w:lang w:eastAsia="zh-CN"/>
                    </w:rPr>
                    <w:t>VOCs</w:t>
                  </w:r>
                  <w:r>
                    <w:rPr>
                      <w:rFonts w:hint="eastAsia"/>
                      <w:szCs w:val="22"/>
                    </w:rPr>
                    <w:t>排放项目，应使用低</w:t>
                  </w:r>
                  <w:r>
                    <w:rPr>
                      <w:rFonts w:hint="eastAsia"/>
                      <w:szCs w:val="22"/>
                      <w:lang w:eastAsia="zh-CN"/>
                    </w:rPr>
                    <w:t>（</w:t>
                  </w:r>
                  <w:r>
                    <w:rPr>
                      <w:rFonts w:hint="eastAsia"/>
                      <w:szCs w:val="22"/>
                    </w:rPr>
                    <w:t>无</w:t>
                  </w:r>
                  <w:r>
                    <w:rPr>
                      <w:rFonts w:hint="eastAsia"/>
                      <w:szCs w:val="22"/>
                      <w:lang w:eastAsia="zh-CN"/>
                    </w:rPr>
                    <w:t>）VOCs</w:t>
                  </w:r>
                  <w:r>
                    <w:rPr>
                      <w:rFonts w:hint="eastAsia"/>
                      <w:szCs w:val="22"/>
                    </w:rPr>
                    <w:t>涂料、粘胶剂等，实施新建项目</w:t>
                  </w:r>
                  <w:r>
                    <w:rPr>
                      <w:rFonts w:hint="eastAsia"/>
                      <w:szCs w:val="22"/>
                      <w:lang w:eastAsia="zh-CN"/>
                    </w:rPr>
                    <w:t>VOCs</w:t>
                  </w:r>
                  <w:r>
                    <w:rPr>
                      <w:rFonts w:hint="eastAsia"/>
                      <w:szCs w:val="22"/>
                    </w:rPr>
                    <w:t>排放区域内1.2及以上倍量替代。</w:t>
                  </w:r>
                  <w:r>
                    <w:rPr>
                      <w:rFonts w:hint="eastAsia"/>
                      <w:szCs w:val="22"/>
                      <w:lang w:eastAsia="zh-CN"/>
                    </w:rPr>
                    <w:t>VOCs</w:t>
                  </w:r>
                  <w:r>
                    <w:rPr>
                      <w:rFonts w:hint="eastAsia"/>
                      <w:szCs w:val="22"/>
                    </w:rPr>
                    <w:t>年排放量大于5吨的新建项目投运前应安装</w:t>
                  </w:r>
                  <w:r>
                    <w:rPr>
                      <w:rFonts w:hint="eastAsia"/>
                      <w:szCs w:val="22"/>
                      <w:lang w:eastAsia="zh-CN"/>
                    </w:rPr>
                    <w:t>VOCs</w:t>
                  </w:r>
                  <w:r>
                    <w:rPr>
                      <w:rFonts w:hint="eastAsia"/>
                      <w:szCs w:val="22"/>
                    </w:rPr>
                    <w:t>在线监控设备，并接入市生态云平台。</w:t>
                  </w:r>
                </w:p>
              </w:tc>
              <w:tc>
                <w:tcPr>
                  <w:tcW w:w="1479" w:type="pct"/>
                  <w:noWrap w:val="0"/>
                  <w:vAlign w:val="center"/>
                </w:tcPr>
                <w:p w14:paraId="24025F0E">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rPr>
                    <w:t>项目</w:t>
                  </w:r>
                  <w:r>
                    <w:rPr>
                      <w:rFonts w:hint="eastAsia"/>
                      <w:szCs w:val="22"/>
                      <w:lang w:eastAsia="zh-CN"/>
                    </w:rPr>
                    <w:t>使用低VOCs含量的原辅材料</w:t>
                  </w:r>
                  <w:r>
                    <w:rPr>
                      <w:rFonts w:hint="eastAsia"/>
                      <w:szCs w:val="22"/>
                    </w:rPr>
                    <w:t>；项目</w:t>
                  </w:r>
                  <w:r>
                    <w:rPr>
                      <w:rFonts w:hint="eastAsia"/>
                      <w:szCs w:val="22"/>
                      <w:lang w:eastAsia="zh-CN"/>
                    </w:rPr>
                    <w:t>VOCs</w:t>
                  </w:r>
                  <w:r>
                    <w:rPr>
                      <w:rFonts w:hint="eastAsia"/>
                      <w:szCs w:val="22"/>
                    </w:rPr>
                    <w:t>排放拟实行区域内倍量替代，项目</w:t>
                  </w:r>
                  <w:r>
                    <w:rPr>
                      <w:rFonts w:hint="eastAsia"/>
                      <w:szCs w:val="22"/>
                      <w:lang w:eastAsia="zh-CN"/>
                    </w:rPr>
                    <w:t>VOCs</w:t>
                  </w:r>
                  <w:r>
                    <w:rPr>
                      <w:rFonts w:hint="eastAsia"/>
                      <w:szCs w:val="22"/>
                    </w:rPr>
                    <w:t>年排放量远小于5吨，不需安装</w:t>
                  </w:r>
                  <w:r>
                    <w:rPr>
                      <w:rFonts w:hint="eastAsia"/>
                      <w:szCs w:val="22"/>
                      <w:lang w:eastAsia="zh-CN"/>
                    </w:rPr>
                    <w:t>VOCs</w:t>
                  </w:r>
                  <w:r>
                    <w:rPr>
                      <w:rFonts w:hint="eastAsia"/>
                      <w:szCs w:val="22"/>
                    </w:rPr>
                    <w:t>在线监控设备。</w:t>
                  </w:r>
                </w:p>
              </w:tc>
              <w:tc>
                <w:tcPr>
                  <w:tcW w:w="264" w:type="pct"/>
                  <w:noWrap w:val="0"/>
                  <w:vAlign w:val="center"/>
                </w:tcPr>
                <w:p w14:paraId="1ACC0CDA">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rPr>
                    <w:t>符合</w:t>
                  </w:r>
                </w:p>
              </w:tc>
            </w:tr>
            <w:tr w14:paraId="654D12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107" w:type="pct"/>
                  <w:noWrap w:val="0"/>
                  <w:vAlign w:val="center"/>
                </w:tcPr>
                <w:p w14:paraId="71C22BD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《福建省重点行业挥发性有机物排放控制要求(试行)的通知》(闽环保大气〔2017〕9号)</w:t>
                  </w:r>
                </w:p>
              </w:tc>
              <w:tc>
                <w:tcPr>
                  <w:tcW w:w="2148" w:type="pct"/>
                  <w:noWrap w:val="0"/>
                  <w:vAlign w:val="top"/>
                </w:tcPr>
                <w:p w14:paraId="08E76EB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(1)工艺过程控制要求</w:t>
                  </w:r>
                </w:p>
                <w:p w14:paraId="3207361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含</w:t>
                  </w:r>
                  <w:r>
                    <w:rPr>
                      <w:rFonts w:hint="eastAsia"/>
                      <w:szCs w:val="22"/>
                      <w:lang w:eastAsia="zh-CN"/>
                    </w:rPr>
                    <w:t>VOCs</w:t>
                  </w:r>
                  <w:r>
                    <w:rPr>
                      <w:rFonts w:hint="eastAsia"/>
                      <w:szCs w:val="22"/>
                    </w:rPr>
                    <w:t>物料应储存于密闭容器中。盛装含</w:t>
                  </w:r>
                  <w:r>
                    <w:rPr>
                      <w:rFonts w:hint="eastAsia"/>
                      <w:szCs w:val="22"/>
                      <w:lang w:eastAsia="zh-CN"/>
                    </w:rPr>
                    <w:t>VOCs</w:t>
                  </w:r>
                  <w:r>
                    <w:rPr>
                      <w:rFonts w:hint="eastAsia"/>
                      <w:szCs w:val="22"/>
                    </w:rPr>
                    <w:t>物料的容器应存放于储存室内，或至少设置遮阳挡雨等设施；</w:t>
                  </w:r>
                </w:p>
                <w:p w14:paraId="3D6411F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(2)其他控制要求</w:t>
                  </w:r>
                </w:p>
                <w:p w14:paraId="553F03D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产生有废气的生产工艺和装置均设有收集系统和净化处理装置；所有产生</w:t>
                  </w:r>
                  <w:r>
                    <w:rPr>
                      <w:rFonts w:hint="eastAsia"/>
                      <w:szCs w:val="22"/>
                      <w:lang w:eastAsia="zh-CN"/>
                    </w:rPr>
                    <w:t>VOCs</w:t>
                  </w:r>
                  <w:r>
                    <w:rPr>
                      <w:rFonts w:hint="eastAsia"/>
                      <w:szCs w:val="22"/>
                    </w:rPr>
                    <w:t>的生产车间(或生产设施)均进行密闭，无露天和敞开式涂装、流平、干燥作业；不能完全密闭的部位设置软帘阻隔设施，减少废气排放；更换的</w:t>
                  </w:r>
                  <w:r>
                    <w:rPr>
                      <w:rFonts w:hint="eastAsia"/>
                      <w:szCs w:val="22"/>
                      <w:lang w:eastAsia="zh-CN"/>
                    </w:rPr>
                    <w:t>VOCs</w:t>
                  </w:r>
                  <w:r>
                    <w:rPr>
                      <w:rFonts w:hint="eastAsia"/>
                      <w:szCs w:val="22"/>
                    </w:rPr>
                    <w:t>吸附剂的废弃物等，产生后马上密闭，存放在不透气的容器内，贮存、转移期间保持密闭；密闭式局部收集的逸散的</w:t>
                  </w:r>
                  <w:r>
                    <w:rPr>
                      <w:rFonts w:hint="eastAsia"/>
                      <w:szCs w:val="22"/>
                      <w:lang w:eastAsia="zh-CN"/>
                    </w:rPr>
                    <w:t>VOCs</w:t>
                  </w:r>
                  <w:r>
                    <w:rPr>
                      <w:rFonts w:hint="eastAsia"/>
                      <w:szCs w:val="22"/>
                    </w:rPr>
                    <w:t>废气收集率达到80%以上。</w:t>
                  </w:r>
                </w:p>
              </w:tc>
              <w:tc>
                <w:tcPr>
                  <w:tcW w:w="1479" w:type="pct"/>
                  <w:noWrap w:val="0"/>
                  <w:vAlign w:val="center"/>
                </w:tcPr>
                <w:p w14:paraId="3D4526D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(1)项目</w:t>
                  </w:r>
                  <w:r>
                    <w:rPr>
                      <w:rFonts w:hint="eastAsia"/>
                      <w:szCs w:val="22"/>
                      <w:lang w:val="en-US" w:eastAsia="zh-CN"/>
                    </w:rPr>
                    <w:t>涉</w:t>
                  </w:r>
                  <w:r>
                    <w:rPr>
                      <w:rFonts w:hint="eastAsia"/>
                      <w:szCs w:val="22"/>
                      <w:lang w:eastAsia="zh-CN"/>
                    </w:rPr>
                    <w:t>VOCs</w:t>
                  </w:r>
                  <w:r>
                    <w:rPr>
                      <w:rFonts w:hint="eastAsia"/>
                      <w:szCs w:val="22"/>
                    </w:rPr>
                    <w:t>物料采桶装暂存在原料仓库；</w:t>
                  </w:r>
                </w:p>
                <w:p w14:paraId="2190A53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(2)本项目拟将产生的</w:t>
                  </w:r>
                  <w:r>
                    <w:rPr>
                      <w:rFonts w:hint="eastAsia"/>
                      <w:szCs w:val="22"/>
                      <w:lang w:eastAsia="zh-CN"/>
                    </w:rPr>
                    <w:t>VOCs</w:t>
                  </w:r>
                  <w:r>
                    <w:rPr>
                      <w:rFonts w:hint="eastAsia"/>
                      <w:szCs w:val="22"/>
                    </w:rPr>
                    <w:t>收集后通过</w:t>
                  </w:r>
                  <w:r>
                    <w:rPr>
                      <w:rFonts w:hint="eastAsia"/>
                      <w:szCs w:val="22"/>
                      <w:lang w:eastAsia="zh-CN"/>
                    </w:rPr>
                    <w:t>“二级活性炭</w:t>
                  </w:r>
                  <w:r>
                    <w:rPr>
                      <w:rFonts w:hint="eastAsia"/>
                      <w:szCs w:val="22"/>
                    </w:rPr>
                    <w:t>吸附装置</w:t>
                  </w:r>
                  <w:r>
                    <w:rPr>
                      <w:rFonts w:hint="eastAsia"/>
                      <w:szCs w:val="22"/>
                      <w:lang w:eastAsia="zh-CN"/>
                    </w:rPr>
                    <w:t>”</w:t>
                  </w:r>
                  <w:r>
                    <w:rPr>
                      <w:rFonts w:hint="eastAsia"/>
                      <w:szCs w:val="22"/>
                    </w:rPr>
                    <w:t>处理后排放，拟将更换的废活性炭等当作危险废物，袋装密闭暂存于</w:t>
                  </w:r>
                  <w:r>
                    <w:rPr>
                      <w:rFonts w:hint="eastAsia"/>
                      <w:szCs w:val="22"/>
                      <w:lang w:eastAsia="zh-CN"/>
                    </w:rPr>
                    <w:t>危废贮存库</w:t>
                  </w:r>
                  <w:r>
                    <w:rPr>
                      <w:rFonts w:hint="eastAsia"/>
                      <w:szCs w:val="22"/>
                    </w:rPr>
                    <w:t>内，</w:t>
                  </w:r>
                  <w:r>
                    <w:rPr>
                      <w:rFonts w:hint="eastAsia"/>
                      <w:szCs w:val="22"/>
                      <w:lang w:eastAsia="zh-CN"/>
                    </w:rPr>
                    <w:t>VOCs</w:t>
                  </w:r>
                  <w:r>
                    <w:rPr>
                      <w:rFonts w:hint="eastAsia"/>
                      <w:szCs w:val="22"/>
                    </w:rPr>
                    <w:t>设计收集效率≥</w:t>
                  </w:r>
                  <w:r>
                    <w:rPr>
                      <w:rFonts w:hint="eastAsia"/>
                      <w:szCs w:val="22"/>
                      <w:lang w:val="en-US" w:eastAsia="zh-CN"/>
                    </w:rPr>
                    <w:t>90</w:t>
                  </w:r>
                  <w:r>
                    <w:rPr>
                      <w:rFonts w:hint="eastAsia"/>
                      <w:szCs w:val="22"/>
                    </w:rPr>
                    <w:t>%。</w:t>
                  </w:r>
                </w:p>
              </w:tc>
              <w:tc>
                <w:tcPr>
                  <w:tcW w:w="264" w:type="pct"/>
                  <w:noWrap w:val="0"/>
                  <w:vAlign w:val="center"/>
                </w:tcPr>
                <w:p w14:paraId="1245768D">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符合</w:t>
                  </w:r>
                </w:p>
              </w:tc>
            </w:tr>
            <w:tr w14:paraId="5B3561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107" w:type="pct"/>
                  <w:noWrap w:val="0"/>
                  <w:vAlign w:val="center"/>
                </w:tcPr>
                <w:p w14:paraId="62B2D6B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《关于开展福州市重点行业挥发性有机物综合治理工作(</w:t>
                  </w:r>
                  <w:r>
                    <w:rPr>
                      <w:rFonts w:hint="eastAsia"/>
                      <w:szCs w:val="22"/>
                      <w:lang w:val="en-US" w:eastAsia="zh-CN"/>
                    </w:rPr>
                    <w:t>VOC</w:t>
                  </w:r>
                  <w:r>
                    <w:rPr>
                      <w:rFonts w:hint="eastAsia"/>
                      <w:szCs w:val="22"/>
                    </w:rPr>
                    <w:t>s2.0)的通知》</w:t>
                  </w:r>
                </w:p>
              </w:tc>
              <w:tc>
                <w:tcPr>
                  <w:tcW w:w="2148" w:type="pct"/>
                  <w:noWrap w:val="0"/>
                  <w:vAlign w:val="center"/>
                </w:tcPr>
                <w:p w14:paraId="068C94F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深入开展重点行业</w:t>
                  </w:r>
                  <w:r>
                    <w:rPr>
                      <w:rFonts w:hint="eastAsia"/>
                      <w:szCs w:val="22"/>
                      <w:lang w:eastAsia="zh-CN"/>
                    </w:rPr>
                    <w:t>VOCs</w:t>
                  </w:r>
                  <w:r>
                    <w:rPr>
                      <w:rFonts w:hint="eastAsia"/>
                      <w:szCs w:val="22"/>
                    </w:rPr>
                    <w:t>2.0综合治理，以工业涂装、制鞋、包装印刷、房屋建筑、市政工程等行业为重点，推进原辅材料和产品源头替代工程，提高低（无）</w:t>
                  </w:r>
                  <w:r>
                    <w:rPr>
                      <w:rFonts w:hint="eastAsia"/>
                      <w:szCs w:val="22"/>
                      <w:lang w:eastAsia="zh-CN"/>
                    </w:rPr>
                    <w:t>VOCs</w:t>
                  </w:r>
                  <w:r>
                    <w:rPr>
                      <w:rFonts w:hint="eastAsia"/>
                      <w:szCs w:val="22"/>
                    </w:rPr>
                    <w:t>含量原辅材料使用比例。以石化、化工、化纤、纺织染整等行业为重点，实施涉挥发性有机物提标改造综合整治工程，全面提升废气收集率、治理设施同步运行率和去除率。开展易挥发有机液体储罐改造，对浮顶罐推广采用全接液浮盘和高效双重密封技术，对废水系统高浓度废气实施单独收集处理。加强油船和原油、成品油码头以及油库油气回收治理。积极探索在制鞋、汽车配件、家具集中区开展第三方治理,试点集中喷涂中心、活性炭集中处理中心、溶剂回收中心等集中处理处置新模式。严格涉</w:t>
                  </w:r>
                  <w:r>
                    <w:rPr>
                      <w:rFonts w:hint="eastAsia"/>
                      <w:szCs w:val="22"/>
                      <w:lang w:eastAsia="zh-CN"/>
                    </w:rPr>
                    <w:t>VOCs</w:t>
                  </w:r>
                  <w:r>
                    <w:rPr>
                      <w:rFonts w:hint="eastAsia"/>
                      <w:szCs w:val="22"/>
                    </w:rPr>
                    <w:t>建设项目准入，新、改、扩建涉</w:t>
                  </w:r>
                  <w:r>
                    <w:rPr>
                      <w:rFonts w:hint="eastAsia"/>
                      <w:szCs w:val="22"/>
                      <w:lang w:eastAsia="zh-CN"/>
                    </w:rPr>
                    <w:t>VOCs</w:t>
                  </w:r>
                  <w:r>
                    <w:rPr>
                      <w:rFonts w:hint="eastAsia"/>
                      <w:szCs w:val="22"/>
                    </w:rPr>
                    <w:t>排放项目，应使用低（无）</w:t>
                  </w:r>
                  <w:r>
                    <w:rPr>
                      <w:rFonts w:hint="eastAsia"/>
                      <w:szCs w:val="22"/>
                      <w:lang w:eastAsia="zh-CN"/>
                    </w:rPr>
                    <w:t>VOCs</w:t>
                  </w:r>
                  <w:r>
                    <w:rPr>
                      <w:rFonts w:hint="eastAsia"/>
                      <w:szCs w:val="22"/>
                    </w:rPr>
                    <w:t>涂料、粘胶剂等，实行新建项目挥发性有机物排放区域内1.2及以上倍量替代。</w:t>
                  </w:r>
                  <w:r>
                    <w:rPr>
                      <w:rFonts w:hint="eastAsia"/>
                      <w:szCs w:val="22"/>
                      <w:lang w:eastAsia="zh-CN"/>
                    </w:rPr>
                    <w:t>VOCs</w:t>
                  </w:r>
                  <w:r>
                    <w:rPr>
                      <w:rFonts w:hint="eastAsia"/>
                      <w:szCs w:val="22"/>
                    </w:rPr>
                    <w:t>年排放量大于5吨的新建项目投运前应安装</w:t>
                  </w:r>
                  <w:r>
                    <w:rPr>
                      <w:rFonts w:hint="eastAsia"/>
                      <w:szCs w:val="22"/>
                      <w:lang w:eastAsia="zh-CN"/>
                    </w:rPr>
                    <w:t>VOCs</w:t>
                  </w:r>
                  <w:r>
                    <w:rPr>
                      <w:rFonts w:hint="eastAsia"/>
                      <w:szCs w:val="22"/>
                    </w:rPr>
                    <w:t>在线监控设备，并接入市生态云平台。到2025年，溶剂型工业涂料、油墨使用比例分别降低20个百分点、10个百分点，溶剂型胶粘剂使用量降低20%。</w:t>
                  </w:r>
                </w:p>
              </w:tc>
              <w:tc>
                <w:tcPr>
                  <w:tcW w:w="1479" w:type="pct"/>
                  <w:noWrap w:val="0"/>
                  <w:vAlign w:val="center"/>
                </w:tcPr>
                <w:p w14:paraId="7A3C99F0">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（1）</w:t>
                  </w:r>
                  <w:r>
                    <w:rPr>
                      <w:rFonts w:hint="eastAsia"/>
                      <w:szCs w:val="22"/>
                    </w:rPr>
                    <w:t>本项目使用低</w:t>
                  </w:r>
                  <w:r>
                    <w:rPr>
                      <w:rFonts w:hint="eastAsia"/>
                      <w:szCs w:val="22"/>
                      <w:lang w:eastAsia="zh-CN"/>
                    </w:rPr>
                    <w:t>VOCs</w:t>
                  </w:r>
                  <w:r>
                    <w:rPr>
                      <w:rFonts w:hint="eastAsia"/>
                      <w:szCs w:val="22"/>
                    </w:rPr>
                    <w:t>含量的原辅材料；</w:t>
                  </w:r>
                </w:p>
                <w:p w14:paraId="526A7920">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（2）</w:t>
                  </w:r>
                  <w:r>
                    <w:rPr>
                      <w:rFonts w:hint="eastAsia"/>
                      <w:szCs w:val="22"/>
                    </w:rPr>
                    <w:t>本项目</w:t>
                  </w:r>
                  <w:r>
                    <w:rPr>
                      <w:rFonts w:hint="eastAsia"/>
                      <w:szCs w:val="22"/>
                      <w:lang w:eastAsia="zh-CN"/>
                    </w:rPr>
                    <w:t>VOCs</w:t>
                  </w:r>
                  <w:r>
                    <w:rPr>
                      <w:rFonts w:hint="eastAsia"/>
                      <w:szCs w:val="22"/>
                    </w:rPr>
                    <w:t>年排放量小于5吨</w:t>
                  </w:r>
                  <w:r>
                    <w:rPr>
                      <w:rFonts w:hint="eastAsia"/>
                      <w:szCs w:val="22"/>
                      <w:lang w:eastAsia="zh-CN"/>
                    </w:rPr>
                    <w:t>。</w:t>
                  </w:r>
                </w:p>
              </w:tc>
              <w:tc>
                <w:tcPr>
                  <w:tcW w:w="264" w:type="pct"/>
                  <w:noWrap w:val="0"/>
                  <w:vAlign w:val="center"/>
                </w:tcPr>
                <w:p w14:paraId="4706827D">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rPr>
                    <w:t>符合</w:t>
                  </w:r>
                </w:p>
              </w:tc>
            </w:tr>
            <w:tr w14:paraId="784E5A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83" w:hRule="atLeast"/>
                <w:jc w:val="center"/>
              </w:trPr>
              <w:tc>
                <w:tcPr>
                  <w:tcW w:w="1107" w:type="pct"/>
                  <w:noWrap w:val="0"/>
                  <w:vAlign w:val="center"/>
                </w:tcPr>
                <w:p w14:paraId="4A2BB7D1">
                  <w:pPr>
                    <w:pStyle w:val="39"/>
                    <w:keepNext w:val="0"/>
                    <w:keepLines w:val="0"/>
                    <w:widowControl/>
                    <w:suppressLineNumbers w:val="0"/>
                    <w:bidi w:val="0"/>
                    <w:spacing w:before="0" w:beforeAutospacing="0" w:after="0" w:afterAutospacing="0"/>
                    <w:ind w:left="0" w:right="0"/>
                    <w:rPr>
                      <w:rFonts w:hint="eastAsia"/>
                      <w:color w:val="000000" w:themeColor="text1"/>
                      <w:szCs w:val="22"/>
                      <w14:textFill>
                        <w14:solidFill>
                          <w14:schemeClr w14:val="tx1"/>
                        </w14:solidFill>
                      </w14:textFill>
                    </w:rPr>
                  </w:pPr>
                  <w:r>
                    <w:rPr>
                      <w:rFonts w:hint="eastAsia"/>
                      <w:color w:val="000000" w:themeColor="text1"/>
                      <w:szCs w:val="22"/>
                      <w:lang w:val="en-US" w:eastAsia="zh-CN"/>
                      <w14:textFill>
                        <w14:solidFill>
                          <w14:schemeClr w14:val="tx1"/>
                        </w14:solidFill>
                      </w14:textFill>
                    </w:rPr>
                    <w:t>《重点行业挥发性有机物综合治理方案》的通知（环大气〔2019〕53号）</w:t>
                  </w:r>
                </w:p>
              </w:tc>
              <w:tc>
                <w:tcPr>
                  <w:tcW w:w="2148" w:type="pct"/>
                  <w:noWrap w:val="0"/>
                  <w:vAlign w:val="top"/>
                </w:tcPr>
                <w:p w14:paraId="7BE10E61">
                  <w:pPr>
                    <w:pStyle w:val="39"/>
                    <w:keepNext w:val="0"/>
                    <w:keepLines w:val="0"/>
                    <w:widowControl/>
                    <w:suppressLineNumbers w:val="0"/>
                    <w:bidi w:val="0"/>
                    <w:spacing w:before="0" w:beforeAutospacing="0" w:after="0" w:afterAutospacing="0"/>
                    <w:ind w:left="0" w:right="0"/>
                    <w:rPr>
                      <w:rFonts w:hint="eastAsia"/>
                      <w:color w:val="000000" w:themeColor="text1"/>
                      <w:szCs w:val="22"/>
                      <w:lang w:eastAsia="zh-CN"/>
                      <w14:textFill>
                        <w14:solidFill>
                          <w14:schemeClr w14:val="tx1"/>
                        </w14:solidFill>
                      </w14:textFill>
                    </w:rPr>
                  </w:pPr>
                  <w:r>
                    <w:rPr>
                      <w:rFonts w:hint="eastAsia"/>
                      <w:color w:val="000000" w:themeColor="text1"/>
                      <w:szCs w:val="22"/>
                      <w:lang w:eastAsia="zh-CN"/>
                      <w14:textFill>
                        <w14:solidFill>
                          <w14:schemeClr w14:val="tx1"/>
                        </w14:solidFill>
                      </w14:textFill>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14:paraId="56875A3B">
                  <w:pPr>
                    <w:pStyle w:val="39"/>
                    <w:keepNext w:val="0"/>
                    <w:keepLines w:val="0"/>
                    <w:widowControl/>
                    <w:suppressLineNumbers w:val="0"/>
                    <w:bidi w:val="0"/>
                    <w:spacing w:before="0" w:beforeAutospacing="0" w:after="0" w:afterAutospacing="0"/>
                    <w:ind w:left="0" w:right="0"/>
                    <w:rPr>
                      <w:rFonts w:hint="eastAsia"/>
                      <w:color w:val="000000" w:themeColor="text1"/>
                      <w:szCs w:val="22"/>
                      <w:lang w:eastAsia="zh-CN"/>
                      <w14:textFill>
                        <w14:solidFill>
                          <w14:schemeClr w14:val="tx1"/>
                        </w14:solidFill>
                      </w14:textFill>
                    </w:rPr>
                  </w:pPr>
                  <w:r>
                    <w:rPr>
                      <w:rFonts w:hint="eastAsia"/>
                      <w:color w:val="000000" w:themeColor="text1"/>
                      <w:szCs w:val="22"/>
                      <w:lang w:eastAsia="zh-CN"/>
                      <w14:textFill>
                        <w14:solidFill>
                          <w14:schemeClr w14:val="tx1"/>
                        </w14:solidFill>
                      </w14:textFill>
                    </w:rPr>
                    <w:t>（</w:t>
                  </w:r>
                  <w:r>
                    <w:rPr>
                      <w:rFonts w:hint="eastAsia"/>
                      <w:color w:val="000000" w:themeColor="text1"/>
                      <w:szCs w:val="22"/>
                      <w:lang w:val="en-US" w:eastAsia="zh-CN"/>
                      <w14:textFill>
                        <w14:solidFill>
                          <w14:schemeClr w14:val="tx1"/>
                        </w14:solidFill>
                      </w14:textFill>
                    </w:rPr>
                    <w:t>二</w:t>
                  </w:r>
                  <w:r>
                    <w:rPr>
                      <w:rFonts w:hint="eastAsia"/>
                      <w:color w:val="000000" w:themeColor="text1"/>
                      <w:szCs w:val="22"/>
                      <w:lang w:eastAsia="zh-CN"/>
                      <w14:textFill>
                        <w14:solidFill>
                          <w14:schemeClr w14:val="tx1"/>
                        </w14:solidFill>
                      </w14:textFill>
                    </w:rPr>
                    <w:t>）全面加强无组织排放控制。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p w14:paraId="4F86B1EC">
                  <w:pPr>
                    <w:pStyle w:val="39"/>
                    <w:keepNext w:val="0"/>
                    <w:keepLines w:val="0"/>
                    <w:widowControl/>
                    <w:suppressLineNumbers w:val="0"/>
                    <w:bidi w:val="0"/>
                    <w:spacing w:before="0" w:beforeAutospacing="0" w:after="0" w:afterAutospacing="0"/>
                    <w:ind w:left="0" w:right="0"/>
                    <w:rPr>
                      <w:rFonts w:hint="eastAsia"/>
                      <w:color w:val="000000" w:themeColor="text1"/>
                      <w:szCs w:val="22"/>
                      <w:lang w:eastAsia="zh-CN"/>
                      <w14:textFill>
                        <w14:solidFill>
                          <w14:schemeClr w14:val="tx1"/>
                        </w14:solidFill>
                      </w14:textFill>
                    </w:rPr>
                  </w:pPr>
                  <w:r>
                    <w:rPr>
                      <w:rFonts w:hint="eastAsia"/>
                      <w:color w:val="000000" w:themeColor="text1"/>
                      <w:szCs w:val="22"/>
                      <w:lang w:eastAsia="zh-CN"/>
                      <w14:textFill>
                        <w14:solidFill>
                          <w14:schemeClr w14:val="tx1"/>
                        </w14:solidFill>
                      </w14:textFill>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1479" w:type="pct"/>
                  <w:noWrap w:val="0"/>
                  <w:vAlign w:val="center"/>
                </w:tcPr>
                <w:p w14:paraId="39677A60">
                  <w:pPr>
                    <w:pStyle w:val="39"/>
                    <w:keepNext w:val="0"/>
                    <w:keepLines w:val="0"/>
                    <w:widowControl/>
                    <w:suppressLineNumbers w:val="0"/>
                    <w:bidi w:val="0"/>
                    <w:spacing w:before="0" w:beforeAutospacing="0" w:after="0" w:afterAutospacing="0"/>
                    <w:ind w:left="0" w:right="0"/>
                    <w:rPr>
                      <w:rFonts w:hint="eastAsia"/>
                      <w:color w:val="000000" w:themeColor="text1"/>
                      <w:szCs w:val="22"/>
                      <w14:textFill>
                        <w14:solidFill>
                          <w14:schemeClr w14:val="tx1"/>
                        </w14:solidFill>
                      </w14:textFill>
                    </w:rPr>
                  </w:pPr>
                  <w:r>
                    <w:rPr>
                      <w:rFonts w:hint="eastAsia"/>
                      <w:color w:val="000000" w:themeColor="text1"/>
                      <w:szCs w:val="22"/>
                      <w:lang w:eastAsia="zh-CN"/>
                      <w14:textFill>
                        <w14:solidFill>
                          <w14:schemeClr w14:val="tx1"/>
                        </w14:solidFill>
                      </w14:textFill>
                    </w:rPr>
                    <w:t>（</w:t>
                  </w:r>
                  <w:r>
                    <w:rPr>
                      <w:rFonts w:hint="eastAsia"/>
                      <w:color w:val="000000" w:themeColor="text1"/>
                      <w:szCs w:val="22"/>
                      <w:lang w:val="en-US" w:eastAsia="zh-CN"/>
                      <w14:textFill>
                        <w14:solidFill>
                          <w14:schemeClr w14:val="tx1"/>
                        </w14:solidFill>
                      </w14:textFill>
                    </w:rPr>
                    <w:t>1</w:t>
                  </w:r>
                  <w:r>
                    <w:rPr>
                      <w:rFonts w:hint="eastAsia"/>
                      <w:color w:val="000000" w:themeColor="text1"/>
                      <w:szCs w:val="22"/>
                      <w:lang w:eastAsia="zh-CN"/>
                      <w14:textFill>
                        <w14:solidFill>
                          <w14:schemeClr w14:val="tx1"/>
                        </w14:solidFill>
                      </w14:textFill>
                    </w:rPr>
                    <w:t>）</w:t>
                  </w:r>
                  <w:r>
                    <w:rPr>
                      <w:rFonts w:hint="eastAsia"/>
                      <w:color w:val="000000" w:themeColor="text1"/>
                      <w:szCs w:val="22"/>
                      <w14:textFill>
                        <w14:solidFill>
                          <w14:schemeClr w14:val="tx1"/>
                        </w14:solidFill>
                      </w14:textFill>
                    </w:rPr>
                    <w:t>项目</w:t>
                  </w:r>
                  <w:r>
                    <w:rPr>
                      <w:rFonts w:hint="eastAsia"/>
                      <w:color w:val="000000" w:themeColor="text1"/>
                      <w:szCs w:val="22"/>
                      <w:lang w:eastAsia="zh-CN"/>
                      <w14:textFill>
                        <w14:solidFill>
                          <w14:schemeClr w14:val="tx1"/>
                        </w14:solidFill>
                      </w14:textFill>
                    </w:rPr>
                    <w:t>使用低VOCs含量的原辅材料，从源头减少VOCs产生，</w:t>
                  </w:r>
                  <w:r>
                    <w:rPr>
                      <w:rFonts w:hint="eastAsia"/>
                      <w:color w:val="000000" w:themeColor="text1"/>
                      <w:szCs w:val="22"/>
                      <w:lang w:val="en-US" w:eastAsia="zh-CN"/>
                      <w14:textFill>
                        <w14:solidFill>
                          <w14:schemeClr w14:val="tx1"/>
                        </w14:solidFill>
                      </w14:textFill>
                    </w:rPr>
                    <w:t>符合要求</w:t>
                  </w:r>
                </w:p>
                <w:p w14:paraId="124D76CA">
                  <w:pPr>
                    <w:pStyle w:val="39"/>
                    <w:keepNext w:val="0"/>
                    <w:keepLines w:val="0"/>
                    <w:widowControl/>
                    <w:suppressLineNumbers w:val="0"/>
                    <w:bidi w:val="0"/>
                    <w:spacing w:before="0" w:beforeAutospacing="0" w:after="0" w:afterAutospacing="0"/>
                    <w:ind w:left="0" w:right="0"/>
                    <w:rPr>
                      <w:rFonts w:hint="default"/>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（2）本项目含VOCs物料应储存于密闭容器内，采用密闭容器运输。不涉及高VOCs含量废气。</w:t>
                  </w:r>
                  <w:r>
                    <w:rPr>
                      <w:rFonts w:hint="eastAsia"/>
                      <w:color w:val="000000" w:themeColor="text1"/>
                      <w:szCs w:val="22"/>
                      <w:lang w:eastAsia="zh-CN"/>
                      <w14:textFill>
                        <w14:solidFill>
                          <w14:schemeClr w14:val="tx1"/>
                        </w14:solidFill>
                      </w14:textFill>
                    </w:rPr>
                    <w:t>含VOCs物料在密闭空间中操作使用。</w:t>
                  </w:r>
                  <w:r>
                    <w:rPr>
                      <w:rFonts w:hint="eastAsia"/>
                      <w:color w:val="000000" w:themeColor="text1"/>
                      <w:szCs w:val="22"/>
                      <w:lang w:val="en-US" w:eastAsia="zh-CN"/>
                      <w14:textFill>
                        <w14:solidFill>
                          <w14:schemeClr w14:val="tx1"/>
                        </w14:solidFill>
                      </w14:textFill>
                    </w:rPr>
                    <w:t>符合要求</w:t>
                  </w:r>
                </w:p>
                <w:p w14:paraId="3A74623D">
                  <w:pPr>
                    <w:pStyle w:val="39"/>
                    <w:keepNext w:val="0"/>
                    <w:keepLines w:val="0"/>
                    <w:widowControl/>
                    <w:suppressLineNumbers w:val="0"/>
                    <w:bidi w:val="0"/>
                    <w:spacing w:before="0" w:beforeAutospacing="0" w:after="0" w:afterAutospacing="0"/>
                    <w:ind w:left="0" w:right="0"/>
                    <w:rPr>
                      <w:rFonts w:hint="eastAsia"/>
                      <w:color w:val="000000" w:themeColor="text1"/>
                      <w:szCs w:val="22"/>
                      <w14:textFill>
                        <w14:solidFill>
                          <w14:schemeClr w14:val="tx1"/>
                        </w14:solidFill>
                      </w14:textFill>
                    </w:rPr>
                  </w:pPr>
                  <w:r>
                    <w:rPr>
                      <w:rFonts w:hint="eastAsia"/>
                      <w:color w:val="000000" w:themeColor="text1"/>
                      <w:szCs w:val="22"/>
                      <w:lang w:eastAsia="zh-CN"/>
                      <w14:textFill>
                        <w14:solidFill>
                          <w14:schemeClr w14:val="tx1"/>
                        </w14:solidFill>
                      </w14:textFill>
                    </w:rPr>
                    <w:t>（</w:t>
                  </w:r>
                  <w:r>
                    <w:rPr>
                      <w:rFonts w:hint="eastAsia"/>
                      <w:color w:val="000000" w:themeColor="text1"/>
                      <w:szCs w:val="22"/>
                      <w:lang w:val="en-US" w:eastAsia="zh-CN"/>
                      <w14:textFill>
                        <w14:solidFill>
                          <w14:schemeClr w14:val="tx1"/>
                        </w14:solidFill>
                      </w14:textFill>
                    </w:rPr>
                    <w:t>3</w:t>
                  </w:r>
                  <w:r>
                    <w:rPr>
                      <w:rFonts w:hint="eastAsia"/>
                      <w:color w:val="000000" w:themeColor="text1"/>
                      <w:szCs w:val="22"/>
                      <w:lang w:eastAsia="zh-CN"/>
                      <w14:textFill>
                        <w14:solidFill>
                          <w14:schemeClr w14:val="tx1"/>
                        </w14:solidFill>
                      </w14:textFill>
                    </w:rPr>
                    <w:t>）</w:t>
                  </w:r>
                  <w:r>
                    <w:rPr>
                      <w:rFonts w:hint="eastAsia"/>
                      <w:color w:val="000000" w:themeColor="text1"/>
                      <w:szCs w:val="22"/>
                      <w14:textFill>
                        <w14:solidFill>
                          <w14:schemeClr w14:val="tx1"/>
                        </w14:solidFill>
                      </w14:textFill>
                    </w:rPr>
                    <w:t>项目烘干废气及加烤废气经密闭管道集气收集，然后与经水帘柜净化后的喷漆废气一起并入</w:t>
                  </w:r>
                  <w:r>
                    <w:rPr>
                      <w:rFonts w:hint="eastAsia"/>
                      <w:color w:val="000000" w:themeColor="text1"/>
                      <w:szCs w:val="22"/>
                      <w:lang w:eastAsia="zh-CN"/>
                      <w14:textFill>
                        <w14:solidFill>
                          <w14:schemeClr w14:val="tx1"/>
                        </w14:solidFill>
                      </w14:textFill>
                    </w:rPr>
                    <w:t>“</w:t>
                  </w:r>
                  <w:r>
                    <w:rPr>
                      <w:rFonts w:hint="eastAsia"/>
                      <w:color w:val="000000" w:themeColor="text1"/>
                      <w:szCs w:val="22"/>
                      <w14:textFill>
                        <w14:solidFill>
                          <w14:schemeClr w14:val="tx1"/>
                        </w14:solidFill>
                      </w14:textFill>
                    </w:rPr>
                    <w:t>过滤棉+</w:t>
                  </w:r>
                  <w:r>
                    <w:rPr>
                      <w:rFonts w:hint="eastAsia"/>
                      <w:color w:val="000000" w:themeColor="text1"/>
                      <w:szCs w:val="22"/>
                      <w:lang w:eastAsia="zh-CN"/>
                      <w14:textFill>
                        <w14:solidFill>
                          <w14:schemeClr w14:val="tx1"/>
                        </w14:solidFill>
                      </w14:textFill>
                    </w:rPr>
                    <w:t>二级活性炭</w:t>
                  </w:r>
                  <w:r>
                    <w:rPr>
                      <w:rFonts w:hint="eastAsia"/>
                      <w:color w:val="000000" w:themeColor="text1"/>
                      <w:szCs w:val="22"/>
                      <w14:textFill>
                        <w14:solidFill>
                          <w14:schemeClr w14:val="tx1"/>
                        </w14:solidFill>
                      </w14:textFill>
                    </w:rPr>
                    <w:t>吸附装置</w:t>
                  </w:r>
                  <w:r>
                    <w:rPr>
                      <w:rFonts w:hint="eastAsia"/>
                      <w:color w:val="000000" w:themeColor="text1"/>
                      <w:szCs w:val="22"/>
                      <w:lang w:eastAsia="zh-CN"/>
                      <w14:textFill>
                        <w14:solidFill>
                          <w14:schemeClr w14:val="tx1"/>
                        </w14:solidFill>
                      </w14:textFill>
                    </w:rPr>
                    <w:t>”</w:t>
                  </w:r>
                  <w:r>
                    <w:rPr>
                      <w:rFonts w:hint="eastAsia"/>
                      <w:color w:val="000000" w:themeColor="text1"/>
                      <w:szCs w:val="22"/>
                      <w14:textFill>
                        <w14:solidFill>
                          <w14:schemeClr w14:val="tx1"/>
                        </w14:solidFill>
                      </w14:textFill>
                    </w:rPr>
                    <w:t>处理达标后</w:t>
                  </w:r>
                  <w:r>
                    <w:rPr>
                      <w:rFonts w:hint="eastAsia"/>
                      <w:color w:val="000000" w:themeColor="text1"/>
                      <w:szCs w:val="22"/>
                      <w:lang w:val="en-US" w:eastAsia="zh-CN"/>
                      <w14:textFill>
                        <w14:solidFill>
                          <w14:schemeClr w14:val="tx1"/>
                        </w14:solidFill>
                      </w14:textFill>
                    </w:rPr>
                    <w:t>排放</w:t>
                  </w:r>
                  <w:r>
                    <w:rPr>
                      <w:rFonts w:hint="eastAsia"/>
                      <w:color w:val="000000" w:themeColor="text1"/>
                      <w:szCs w:val="22"/>
                      <w:lang w:eastAsia="zh-CN"/>
                      <w14:textFill>
                        <w14:solidFill>
                          <w14:schemeClr w14:val="tx1"/>
                        </w14:solidFill>
                      </w14:textFill>
                    </w:rPr>
                    <w:t>，</w:t>
                  </w:r>
                  <w:r>
                    <w:rPr>
                      <w:rFonts w:hint="eastAsia"/>
                      <w:color w:val="000000" w:themeColor="text1"/>
                      <w:szCs w:val="22"/>
                      <w:lang w:val="en-US" w:eastAsia="zh-CN"/>
                      <w14:textFill>
                        <w14:solidFill>
                          <w14:schemeClr w14:val="tx1"/>
                        </w14:solidFill>
                      </w14:textFill>
                    </w:rPr>
                    <w:t>定期更换活性炭，通过上述措施可有效减少污染排放。</w:t>
                  </w:r>
                </w:p>
              </w:tc>
              <w:tc>
                <w:tcPr>
                  <w:tcW w:w="264" w:type="pct"/>
                  <w:noWrap w:val="0"/>
                  <w:vAlign w:val="center"/>
                </w:tcPr>
                <w:p w14:paraId="11875D1A">
                  <w:pPr>
                    <w:pStyle w:val="39"/>
                    <w:keepNext w:val="0"/>
                    <w:keepLines w:val="0"/>
                    <w:widowControl/>
                    <w:suppressLineNumbers w:val="0"/>
                    <w:bidi w:val="0"/>
                    <w:spacing w:before="0" w:beforeAutospacing="0" w:after="0" w:afterAutospacing="0"/>
                    <w:ind w:left="0" w:right="0"/>
                    <w:rPr>
                      <w:rFonts w:hint="eastAsia"/>
                      <w:color w:val="000000" w:themeColor="text1"/>
                      <w:szCs w:val="22"/>
                      <w:lang w:eastAsia="zh-CN"/>
                      <w14:textFill>
                        <w14:solidFill>
                          <w14:schemeClr w14:val="tx1"/>
                        </w14:solidFill>
                      </w14:textFill>
                    </w:rPr>
                  </w:pPr>
                  <w:r>
                    <w:rPr>
                      <w:rFonts w:hint="eastAsia"/>
                      <w:color w:val="000000" w:themeColor="text1"/>
                      <w:szCs w:val="22"/>
                      <w:lang w:eastAsia="zh-CN"/>
                      <w14:textFill>
                        <w14:solidFill>
                          <w14:schemeClr w14:val="tx1"/>
                        </w14:solidFill>
                      </w14:textFill>
                    </w:rPr>
                    <w:t>符合</w:t>
                  </w:r>
                </w:p>
              </w:tc>
            </w:tr>
          </w:tbl>
          <w:p w14:paraId="25B34161">
            <w:pPr>
              <w:keepNext w:val="0"/>
              <w:keepLines w:val="0"/>
              <w:suppressLineNumbers w:val="0"/>
              <w:spacing w:before="0" w:beforeAutospacing="0" w:after="0" w:afterAutospacing="0" w:line="360" w:lineRule="auto"/>
              <w:ind w:left="0" w:right="0"/>
              <w:outlineLvl w:val="9"/>
              <w:rPr>
                <w:rFonts w:hint="eastAsia" w:eastAsia="黑体"/>
                <w:color w:val="auto"/>
                <w:sz w:val="30"/>
                <w:vertAlign w:val="baseline"/>
              </w:rPr>
            </w:pPr>
            <w:r>
              <w:rPr>
                <w:rFonts w:hint="eastAsia"/>
              </w:rPr>
              <w:t>本项目属于C2929塑料零件及其他塑料制品制造以及C3360金属表面处理及热处理加工</w:t>
            </w:r>
            <w:r>
              <w:rPr>
                <w:rFonts w:hint="eastAsia"/>
                <w:lang w:eastAsia="zh-CN"/>
              </w:rPr>
              <w:t>，</w:t>
            </w:r>
            <w:r>
              <w:rPr>
                <w:rFonts w:hint="eastAsia"/>
              </w:rPr>
              <w:t>原辅材料均不涉及高</w:t>
            </w:r>
            <w:r>
              <w:rPr>
                <w:rFonts w:hint="eastAsia"/>
                <w:lang w:eastAsia="zh-CN"/>
              </w:rPr>
              <w:t>VOCs</w:t>
            </w:r>
            <w:r>
              <w:rPr>
                <w:rFonts w:hint="eastAsia"/>
              </w:rPr>
              <w:t>含量的物料，项目通过采取有效的治理措施后，挥发性有机物可以得到有效的控制，符合挥发性有机物污染防治相关政策的要求。</w:t>
            </w:r>
          </w:p>
        </w:tc>
      </w:tr>
    </w:tbl>
    <w:p w14:paraId="35670266">
      <w:pPr>
        <w:spacing w:line="360" w:lineRule="auto"/>
        <w:outlineLvl w:val="9"/>
        <w:rPr>
          <w:rFonts w:eastAsia="黑体"/>
          <w:color w:val="auto"/>
          <w:sz w:val="30"/>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p w14:paraId="61F7C7B3">
      <w:pPr>
        <w:pStyle w:val="2"/>
        <w:tabs>
          <w:tab w:val="left" w:pos="420"/>
          <w:tab w:val="clear" w:pos="715"/>
        </w:tabs>
        <w:bidi w:val="0"/>
      </w:pPr>
      <w:bookmarkStart w:id="13" w:name="_Toc25463"/>
      <w:bookmarkStart w:id="14" w:name="_Toc20283"/>
      <w:r>
        <w:t>建设项目工程分析</w:t>
      </w:r>
      <w:bookmarkEnd w:id="13"/>
      <w:bookmarkEnd w:id="14"/>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04C346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823" w:type="dxa"/>
            <w:noWrap w:val="0"/>
            <w:vAlign w:val="center"/>
          </w:tcPr>
          <w:p w14:paraId="08A0A080">
            <w:pPr>
              <w:pStyle w:val="41"/>
              <w:keepNext w:val="0"/>
              <w:keepLines w:val="0"/>
              <w:suppressLineNumbers w:val="0"/>
              <w:bidi w:val="0"/>
              <w:spacing w:before="0" w:beforeAutospacing="0" w:after="0" w:afterAutospacing="0"/>
              <w:ind w:left="0" w:right="0"/>
              <w:rPr>
                <w:rFonts w:hint="eastAsia"/>
              </w:rPr>
            </w:pPr>
            <w:r>
              <w:rPr>
                <w:rFonts w:hint="eastAsia"/>
              </w:rPr>
              <w:t>建设内容</w:t>
            </w:r>
          </w:p>
        </w:tc>
        <w:tc>
          <w:tcPr>
            <w:tcW w:w="8161" w:type="dxa"/>
            <w:noWrap w:val="0"/>
            <w:vAlign w:val="top"/>
          </w:tcPr>
          <w:p w14:paraId="576C021E">
            <w:pPr>
              <w:pStyle w:val="3"/>
              <w:keepNext w:val="0"/>
              <w:keepLines w:val="0"/>
              <w:suppressLineNumbers w:val="0"/>
              <w:bidi w:val="0"/>
              <w:spacing w:before="0" w:beforeAutospacing="0" w:after="0" w:afterAutospacing="0"/>
              <w:ind w:left="0" w:right="0"/>
              <w:rPr>
                <w:rFonts w:hint="eastAsia"/>
              </w:rPr>
            </w:pPr>
            <w:r>
              <w:rPr>
                <w:rFonts w:hint="eastAsia"/>
              </w:rPr>
              <w:t>项目由来</w:t>
            </w:r>
          </w:p>
          <w:p w14:paraId="505FD4B6">
            <w:pPr>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福清市三合电子科技有限公司</w:t>
            </w:r>
            <w:r>
              <w:rPr>
                <w:rFonts w:hint="eastAsia"/>
                <w:lang w:val="en-US" w:eastAsia="zh-CN"/>
              </w:rPr>
              <w:t>成立于2023年6月21日，经营范围主要包括软件开发、电子专业材料研发、电力电子元器件制造、塑料制品制造、金属表面处理及热处理加工及喷涂加工等（营业执照见</w:t>
            </w:r>
            <w:r>
              <w:rPr>
                <w:rStyle w:val="46"/>
                <w:rFonts w:hint="eastAsia"/>
                <w:lang w:val="en-US" w:eastAsia="zh-CN"/>
              </w:rPr>
              <w:fldChar w:fldCharType="begin"/>
            </w:r>
            <w:r>
              <w:rPr>
                <w:rStyle w:val="46"/>
                <w:rFonts w:hint="eastAsia"/>
                <w:lang w:val="en-US" w:eastAsia="zh-CN"/>
              </w:rPr>
              <w:instrText xml:space="preserve"> REF _Ref22130 \h </w:instrText>
            </w:r>
            <w:r>
              <w:rPr>
                <w:rStyle w:val="46"/>
                <w:rFonts w:hint="eastAsia"/>
                <w:lang w:val="en-US" w:eastAsia="zh-CN"/>
              </w:rPr>
              <w:fldChar w:fldCharType="separate"/>
            </w:r>
            <w:r>
              <w:rPr>
                <w:rStyle w:val="46"/>
                <w:rFonts w:hint="eastAsia"/>
              </w:rPr>
              <w:t>附件 2</w:t>
            </w:r>
            <w:r>
              <w:rPr>
                <w:rStyle w:val="46"/>
                <w:rFonts w:hint="eastAsia"/>
                <w:lang w:val="en-US" w:eastAsia="zh-CN"/>
              </w:rPr>
              <w:fldChar w:fldCharType="end"/>
            </w:r>
            <w:r>
              <w:rPr>
                <w:rFonts w:hint="eastAsia"/>
                <w:lang w:val="en-US" w:eastAsia="zh-CN"/>
              </w:rPr>
              <w:t>）。原址位于福建省福州市福清融侨经济技术开发区（租赁东光精密钟表（福清）有限公司5号厂房2层），2023年7月委托福州朴诚至信环保科技有限公司编写了《</w:t>
            </w:r>
            <w:r>
              <w:rPr>
                <w:rFonts w:hint="eastAsia"/>
                <w:lang w:eastAsia="zh-CN"/>
              </w:rPr>
              <w:t>福清市三合电子科技有限公司年加工铝合金20万套、塑胶件5万套、板金件5万套项目</w:t>
            </w:r>
            <w:r>
              <w:rPr>
                <w:rFonts w:hint="eastAsia"/>
                <w:lang w:val="en-US" w:eastAsia="zh-CN"/>
              </w:rPr>
              <w:t>环境影响评价报告表》，现由于原厂址场地面积的限制，已无法满足生产需要，注销原项目（停产说明详见</w:t>
            </w:r>
            <w:r>
              <w:rPr>
                <w:rFonts w:hint="eastAsia"/>
                <w:lang w:val="en-US" w:eastAsia="zh-CN"/>
              </w:rPr>
              <w:fldChar w:fldCharType="begin"/>
            </w:r>
            <w:r>
              <w:rPr>
                <w:rFonts w:hint="eastAsia"/>
                <w:lang w:val="en-US" w:eastAsia="zh-CN"/>
              </w:rPr>
              <w:instrText xml:space="preserve"> REF _Ref29410 \h </w:instrText>
            </w:r>
            <w:r>
              <w:rPr>
                <w:rFonts w:hint="eastAsia"/>
                <w:lang w:val="en-US" w:eastAsia="zh-CN"/>
              </w:rPr>
              <w:fldChar w:fldCharType="separate"/>
            </w:r>
            <w:r>
              <w:rPr>
                <w:rFonts w:hint="eastAsia"/>
              </w:rPr>
              <w:t>附件 9</w:t>
            </w:r>
            <w:r>
              <w:rPr>
                <w:rFonts w:hint="eastAsia"/>
                <w:lang w:val="en-US" w:eastAsia="zh-CN"/>
              </w:rPr>
              <w:fldChar w:fldCharType="end"/>
            </w:r>
            <w:r>
              <w:rPr>
                <w:rFonts w:hint="eastAsia"/>
                <w:lang w:val="en-US" w:eastAsia="zh-CN"/>
              </w:rPr>
              <w:t>），计划另行选址，同时重新调整产品方案。</w:t>
            </w:r>
          </w:p>
          <w:p w14:paraId="0D68F43E">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新厂址位于福清融侨经济技术开发区（租赁福清洪添科技有限公司车间2第3层）</w:t>
            </w:r>
            <w:r>
              <w:rPr>
                <w:rFonts w:hint="eastAsia"/>
                <w:lang w:eastAsia="zh-CN"/>
              </w:rPr>
              <w:t>，</w:t>
            </w:r>
            <w:r>
              <w:rPr>
                <w:rFonts w:hint="eastAsia"/>
                <w:lang w:val="en-US" w:eastAsia="zh-CN"/>
              </w:rPr>
              <w:t>系租赁福清洪添科技有限公司厂房作为经营场所，租赁厂房面积2212.46m</w:t>
            </w:r>
            <w:r>
              <w:rPr>
                <w:rFonts w:hint="eastAsia"/>
                <w:vertAlign w:val="superscript"/>
                <w:lang w:val="en-US" w:eastAsia="zh-CN"/>
              </w:rPr>
              <w:t>2</w:t>
            </w:r>
            <w:r>
              <w:rPr>
                <w:rFonts w:hint="eastAsia"/>
                <w:lang w:val="en-US" w:eastAsia="zh-CN"/>
              </w:rPr>
              <w:t>，</w:t>
            </w:r>
            <w:r>
              <w:rPr>
                <w:rFonts w:hint="eastAsia"/>
                <w:lang w:eastAsia="zh-CN"/>
              </w:rPr>
              <w:t>福清市三合电子科技有限公司</w:t>
            </w:r>
            <w:r>
              <w:rPr>
                <w:rFonts w:hint="eastAsia"/>
                <w:lang w:val="zh-CN"/>
              </w:rPr>
              <w:t>拟</w:t>
            </w:r>
            <w:r>
              <w:rPr>
                <w:rFonts w:hint="eastAsia"/>
              </w:rPr>
              <w:t>投资</w:t>
            </w:r>
            <w:r>
              <w:rPr>
                <w:rFonts w:hint="eastAsia"/>
                <w:lang w:val="en-US" w:eastAsia="zh-CN"/>
              </w:rPr>
              <w:t>120</w:t>
            </w:r>
            <w:r>
              <w:rPr>
                <w:rFonts w:hint="eastAsia"/>
              </w:rPr>
              <w:t>万元</w:t>
            </w:r>
            <w:r>
              <w:rPr>
                <w:rFonts w:hint="eastAsia"/>
                <w:lang w:val="en-US" w:eastAsia="zh-CN"/>
              </w:rPr>
              <w:t>主要从事</w:t>
            </w:r>
            <w:r>
              <w:rPr>
                <w:rFonts w:hint="eastAsia"/>
                <w:lang w:val="zh-CN"/>
              </w:rPr>
              <w:t>铝合金、塑胶件及钣金件加工生产</w:t>
            </w:r>
            <w:r>
              <w:rPr>
                <w:rFonts w:hint="eastAsia"/>
                <w:lang w:val="en-US" w:eastAsia="zh-CN"/>
              </w:rPr>
              <w:t>，</w:t>
            </w:r>
            <w:r>
              <w:rPr>
                <w:rFonts w:hint="eastAsia"/>
                <w:highlight w:val="none"/>
                <w:shd w:val="clear"/>
                <w:lang w:val="en-US" w:eastAsia="zh-CN"/>
              </w:rPr>
              <w:t>生产规模</w:t>
            </w:r>
            <w:r>
              <w:rPr>
                <w:rFonts w:hint="eastAsia"/>
                <w:lang w:val="zh-CN"/>
              </w:rPr>
              <w:t>年加工铝合金20万套、塑胶件</w:t>
            </w:r>
            <w:r>
              <w:rPr>
                <w:rFonts w:hint="eastAsia"/>
                <w:lang w:val="en-US" w:eastAsia="zh-CN"/>
              </w:rPr>
              <w:t>30</w:t>
            </w:r>
            <w:r>
              <w:rPr>
                <w:rFonts w:hint="eastAsia"/>
                <w:lang w:val="zh-CN"/>
              </w:rPr>
              <w:t>万套、</w:t>
            </w:r>
            <w:r>
              <w:rPr>
                <w:rFonts w:hint="eastAsia"/>
                <w:lang w:val="en-US" w:eastAsia="zh-CN"/>
              </w:rPr>
              <w:t>钣</w:t>
            </w:r>
            <w:r>
              <w:rPr>
                <w:rFonts w:hint="eastAsia"/>
                <w:lang w:val="zh-CN"/>
              </w:rPr>
              <w:t>金件</w:t>
            </w:r>
            <w:r>
              <w:rPr>
                <w:rFonts w:hint="eastAsia"/>
                <w:lang w:val="en-US" w:eastAsia="zh-CN"/>
              </w:rPr>
              <w:t>10</w:t>
            </w:r>
            <w:r>
              <w:rPr>
                <w:rFonts w:hint="eastAsia"/>
                <w:lang w:val="zh-CN"/>
              </w:rPr>
              <w:t>万套</w:t>
            </w:r>
            <w:r>
              <w:rPr>
                <w:rFonts w:hint="eastAsia"/>
                <w:lang w:val="en-US" w:eastAsia="zh-CN"/>
              </w:rPr>
              <w:t>。</w:t>
            </w:r>
          </w:p>
          <w:p w14:paraId="486244F6">
            <w:pPr>
              <w:keepNext w:val="0"/>
              <w:keepLines w:val="0"/>
              <w:suppressLineNumbers w:val="0"/>
              <w:bidi w:val="0"/>
              <w:spacing w:before="0" w:beforeAutospacing="0" w:after="0" w:afterAutospacing="0"/>
              <w:ind w:left="0" w:right="0"/>
              <w:rPr>
                <w:rFonts w:hint="default"/>
              </w:rPr>
            </w:pPr>
            <w:r>
              <w:rPr>
                <w:rFonts w:hint="default" w:ascii="Times New Roman" w:hAnsi="Times New Roman" w:eastAsia="宋体" w:cs="Times New Roman"/>
                <w:color w:val="auto"/>
                <w:sz w:val="24"/>
                <w:szCs w:val="24"/>
                <w:u w:val="none"/>
                <w:lang w:val="en-US" w:eastAsia="zh-CN"/>
              </w:rPr>
              <w:t>根据《中华人民共和国环境保护法》</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2015年</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、《中华人民共和国环境影响评价法》</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2018年修正</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、《建设项目环境保护管理条例》</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2017年</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的相关规定，项目需要办理环境影响评价手续；根据《建设项目环境影响评价分类管理名录》</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2021年版</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规定</w:t>
            </w:r>
            <w:r>
              <w:rPr>
                <w:rFonts w:hint="default"/>
                <w:lang w:eastAsia="zh-CN"/>
              </w:rPr>
              <w:t>，</w:t>
            </w:r>
            <w:r>
              <w:rPr>
                <w:rFonts w:hint="default"/>
              </w:rPr>
              <w:t>本项目环评类别为环境影响报告表，详见表2-1。</w:t>
            </w:r>
            <w:r>
              <w:rPr>
                <w:rFonts w:hint="default"/>
                <w:lang w:eastAsia="zh-CN"/>
              </w:rPr>
              <w:t>为此，建设单位</w:t>
            </w:r>
            <w:r>
              <w:rPr>
                <w:rFonts w:hint="default"/>
              </w:rPr>
              <w:t>委托</w:t>
            </w:r>
            <w:r>
              <w:rPr>
                <w:rFonts w:hint="eastAsia"/>
                <w:lang w:val="en-US" w:eastAsia="zh-CN"/>
              </w:rPr>
              <w:t>我单位</w:t>
            </w:r>
            <w:r>
              <w:rPr>
                <w:rFonts w:hint="default"/>
              </w:rPr>
              <w:t>编制该项目的环境影响报告表</w:t>
            </w:r>
            <w:r>
              <w:rPr>
                <w:rFonts w:hint="eastAsia"/>
                <w:lang w:eastAsia="zh-CN"/>
              </w:rPr>
              <w:t>（</w:t>
            </w:r>
            <w:r>
              <w:rPr>
                <w:rFonts w:hint="default"/>
              </w:rPr>
              <w:t>委托书详见</w:t>
            </w:r>
            <w:r>
              <w:rPr>
                <w:rStyle w:val="46"/>
                <w:rFonts w:hint="default"/>
              </w:rPr>
              <w:fldChar w:fldCharType="begin"/>
            </w:r>
            <w:r>
              <w:rPr>
                <w:rStyle w:val="46"/>
                <w:rFonts w:hint="default"/>
              </w:rPr>
              <w:instrText xml:space="preserve"> REF _Ref9174 \h </w:instrText>
            </w:r>
            <w:r>
              <w:rPr>
                <w:rStyle w:val="46"/>
                <w:rFonts w:hint="default"/>
              </w:rPr>
              <w:fldChar w:fldCharType="separate"/>
            </w:r>
            <w:r>
              <w:rPr>
                <w:rStyle w:val="46"/>
                <w:rFonts w:hint="eastAsia"/>
              </w:rPr>
              <w:t>附件 1</w:t>
            </w:r>
            <w:r>
              <w:rPr>
                <w:rStyle w:val="46"/>
                <w:rFonts w:hint="default"/>
              </w:rPr>
              <w:fldChar w:fldCharType="end"/>
            </w:r>
            <w:r>
              <w:rPr>
                <w:rFonts w:hint="eastAsia"/>
                <w:lang w:eastAsia="zh-CN"/>
              </w:rPr>
              <w:t>）</w:t>
            </w:r>
            <w:r>
              <w:rPr>
                <w:rFonts w:hint="default"/>
              </w:rPr>
              <w:t>。本环评单位接受委托后，立即派技术人员踏勘现场和收集有关资料，按照</w:t>
            </w:r>
            <w:r>
              <w:rPr>
                <w:rFonts w:hint="default"/>
                <w:lang w:eastAsia="zh-CN"/>
              </w:rPr>
              <w:t>《</w:t>
            </w:r>
            <w:r>
              <w:rPr>
                <w:rFonts w:hint="default"/>
              </w:rPr>
              <w:t>建设项目环境影响报告表编制技术指南</w:t>
            </w:r>
            <w:r>
              <w:rPr>
                <w:rFonts w:hint="eastAsia"/>
                <w:lang w:val="en-US" w:eastAsia="zh-CN"/>
              </w:rPr>
              <w:t>（</w:t>
            </w:r>
            <w:r>
              <w:rPr>
                <w:rFonts w:hint="default"/>
              </w:rPr>
              <w:t>污染影响类</w:t>
            </w:r>
            <w:r>
              <w:rPr>
                <w:rFonts w:hint="eastAsia"/>
                <w:lang w:val="en-US" w:eastAsia="zh-CN"/>
              </w:rPr>
              <w:t>）（试行）》</w:t>
            </w:r>
            <w:r>
              <w:rPr>
                <w:rFonts w:hint="default"/>
              </w:rPr>
              <w:t>及相关技术规范要求，编制了本环境影响报告表，供建设单位上报</w:t>
            </w:r>
            <w:r>
              <w:rPr>
                <w:rFonts w:hint="default"/>
                <w:lang w:eastAsia="zh-CN"/>
              </w:rPr>
              <w:t>生态环境行政主管部门</w:t>
            </w:r>
            <w:r>
              <w:rPr>
                <w:rFonts w:hint="default"/>
              </w:rPr>
              <w:t>审批。</w:t>
            </w:r>
          </w:p>
          <w:p w14:paraId="651C067F">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rPr>
            </w:pPr>
            <w:bookmarkStart w:id="15" w:name="_Toc17739"/>
            <w:bookmarkStart w:id="16" w:name="_Toc1709"/>
            <w:bookmarkStart w:id="17" w:name="_Toc2858"/>
            <w:bookmarkStart w:id="18" w:name="_Toc21531"/>
            <w:r>
              <w:rPr>
                <w:rFonts w:hint="default"/>
              </w:rPr>
              <w:t>表2</w:t>
            </w:r>
            <w:r>
              <w:rPr>
                <w:rFonts w:hint="eastAsia"/>
                <w:lang w:val="en-US" w:eastAsia="zh-CN"/>
              </w:rPr>
              <w:t>.1</w:t>
            </w:r>
            <w:r>
              <w:rPr>
                <w:rFonts w:hint="default"/>
              </w:rPr>
              <w:t>-1  建设项目环境影响评价分类管理名录</w:t>
            </w:r>
            <w:bookmarkEnd w:id="15"/>
            <w:bookmarkEnd w:id="16"/>
            <w:bookmarkEnd w:id="17"/>
            <w:bookmarkEnd w:id="18"/>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382"/>
              <w:gridCol w:w="27"/>
              <w:gridCol w:w="3398"/>
              <w:gridCol w:w="1811"/>
              <w:gridCol w:w="799"/>
            </w:tblGrid>
            <w:tr w14:paraId="7DBA3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1" w:type="pct"/>
                  <w:gridSpan w:val="2"/>
                  <w:tcBorders>
                    <w:tl2br w:val="single" w:color="auto" w:sz="6" w:space="0"/>
                  </w:tcBorders>
                  <w:shd w:val="clear" w:color="auto" w:fill="auto"/>
                  <w:noWrap w:val="0"/>
                  <w:vAlign w:val="top"/>
                </w:tcPr>
                <w:p w14:paraId="16C72E04">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环评类别</w:t>
                  </w:r>
                </w:p>
                <w:p w14:paraId="1645AACF">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项目类别</w:t>
                  </w:r>
                </w:p>
              </w:tc>
              <w:tc>
                <w:tcPr>
                  <w:tcW w:w="2156" w:type="pct"/>
                  <w:gridSpan w:val="2"/>
                  <w:tcBorders>
                    <w:tl2br w:val="nil"/>
                    <w:tr2bl w:val="nil"/>
                  </w:tcBorders>
                  <w:shd w:val="clear" w:color="auto" w:fill="auto"/>
                  <w:noWrap w:val="0"/>
                  <w:vAlign w:val="center"/>
                </w:tcPr>
                <w:p w14:paraId="63E8EFB2">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报告书</w:t>
                  </w:r>
                </w:p>
              </w:tc>
              <w:tc>
                <w:tcPr>
                  <w:tcW w:w="1140" w:type="pct"/>
                  <w:tcBorders>
                    <w:tl2br w:val="nil"/>
                    <w:tr2bl w:val="nil"/>
                  </w:tcBorders>
                  <w:shd w:val="clear" w:color="auto" w:fill="BEBEBE"/>
                  <w:noWrap w:val="0"/>
                  <w:vAlign w:val="center"/>
                </w:tcPr>
                <w:p w14:paraId="097A717B">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报告表</w:t>
                  </w:r>
                </w:p>
              </w:tc>
              <w:tc>
                <w:tcPr>
                  <w:tcW w:w="501" w:type="pct"/>
                  <w:tcBorders>
                    <w:tl2br w:val="nil"/>
                    <w:tr2bl w:val="nil"/>
                  </w:tcBorders>
                  <w:noWrap w:val="0"/>
                  <w:vAlign w:val="center"/>
                </w:tcPr>
                <w:p w14:paraId="625BD5FB">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登记表</w:t>
                  </w:r>
                </w:p>
              </w:tc>
            </w:tr>
            <w:tr w14:paraId="50D76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noWrap w:val="0"/>
                  <w:vAlign w:val="center"/>
                </w:tcPr>
                <w:p w14:paraId="64C6E6F0">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二十六、橡胶和塑料制品业 29</w:t>
                  </w:r>
                </w:p>
              </w:tc>
            </w:tr>
            <w:tr w14:paraId="7FB40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tcBorders>
                    <w:tl2br w:val="nil"/>
                    <w:tr2bl w:val="nil"/>
                  </w:tcBorders>
                  <w:shd w:val="clear" w:color="auto" w:fill="auto"/>
                  <w:noWrap w:val="0"/>
                  <w:vAlign w:val="center"/>
                </w:tcPr>
                <w:p w14:paraId="5AE5EC51">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53</w:t>
                  </w:r>
                </w:p>
              </w:tc>
              <w:tc>
                <w:tcPr>
                  <w:tcW w:w="870" w:type="pct"/>
                  <w:tcBorders>
                    <w:tl2br w:val="nil"/>
                    <w:tr2bl w:val="nil"/>
                  </w:tcBorders>
                  <w:shd w:val="clear" w:color="auto" w:fill="auto"/>
                  <w:noWrap w:val="0"/>
                  <w:vAlign w:val="center"/>
                </w:tcPr>
                <w:p w14:paraId="6C299082">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塑料制品业 292</w:t>
                  </w:r>
                </w:p>
              </w:tc>
              <w:tc>
                <w:tcPr>
                  <w:tcW w:w="2156" w:type="pct"/>
                  <w:gridSpan w:val="2"/>
                  <w:tcBorders>
                    <w:tl2br w:val="nil"/>
                    <w:tr2bl w:val="nil"/>
                  </w:tcBorders>
                  <w:shd w:val="clear" w:color="auto" w:fill="auto"/>
                  <w:noWrap w:val="0"/>
                  <w:vAlign w:val="center"/>
                </w:tcPr>
                <w:p w14:paraId="53C78F6D">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以再生塑料为原料生产的；有电镀工艺的；年用溶剂型胶粘剂10吨及以上的；年用溶剂型涂料</w:t>
                  </w:r>
                  <w:r>
                    <w:rPr>
                      <w:rFonts w:hint="eastAsia"/>
                      <w:szCs w:val="22"/>
                      <w:lang w:val="en-US" w:eastAsia="zh-CN"/>
                    </w:rPr>
                    <w:t>（</w:t>
                  </w:r>
                  <w:r>
                    <w:rPr>
                      <w:rFonts w:hint="default"/>
                      <w:szCs w:val="22"/>
                      <w:lang w:val="en-US" w:eastAsia="zh-CN"/>
                    </w:rPr>
                    <w:t>含稀释剂</w:t>
                  </w:r>
                  <w:r>
                    <w:rPr>
                      <w:rFonts w:hint="eastAsia"/>
                      <w:szCs w:val="22"/>
                      <w:lang w:val="en-US" w:eastAsia="zh-CN"/>
                    </w:rPr>
                    <w:t>）</w:t>
                  </w:r>
                  <w:r>
                    <w:rPr>
                      <w:rFonts w:hint="default"/>
                      <w:szCs w:val="22"/>
                      <w:lang w:val="en-US" w:eastAsia="zh-CN"/>
                    </w:rPr>
                    <w:t>10吨及以上的</w:t>
                  </w:r>
                </w:p>
              </w:tc>
              <w:tc>
                <w:tcPr>
                  <w:tcW w:w="1140" w:type="pct"/>
                  <w:tcBorders>
                    <w:tl2br w:val="nil"/>
                    <w:tr2bl w:val="nil"/>
                  </w:tcBorders>
                  <w:shd w:val="clear" w:color="auto" w:fill="BEBEBE"/>
                  <w:noWrap w:val="0"/>
                  <w:vAlign w:val="center"/>
                </w:tcPr>
                <w:p w14:paraId="748FF1FC">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其他</w:t>
                  </w:r>
                  <w:r>
                    <w:rPr>
                      <w:rFonts w:hint="eastAsia"/>
                      <w:szCs w:val="22"/>
                      <w:lang w:val="en-US" w:eastAsia="zh-CN"/>
                    </w:rPr>
                    <w:t>（</w:t>
                  </w:r>
                  <w:r>
                    <w:rPr>
                      <w:rFonts w:hint="default"/>
                      <w:szCs w:val="22"/>
                      <w:lang w:val="en-US" w:eastAsia="zh-CN"/>
                    </w:rPr>
                    <w:t>年用非溶剂型低</w:t>
                  </w:r>
                  <w:r>
                    <w:rPr>
                      <w:rFonts w:hint="eastAsia"/>
                      <w:szCs w:val="22"/>
                      <w:lang w:val="en-US" w:eastAsia="zh-CN"/>
                    </w:rPr>
                    <w:t>VOCs</w:t>
                  </w:r>
                  <w:r>
                    <w:rPr>
                      <w:rFonts w:hint="default"/>
                      <w:szCs w:val="22"/>
                      <w:lang w:val="en-US" w:eastAsia="zh-CN"/>
                    </w:rPr>
                    <w:t>含量涂料10吨以下的除外</w:t>
                  </w:r>
                  <w:r>
                    <w:rPr>
                      <w:rFonts w:hint="eastAsia"/>
                      <w:szCs w:val="22"/>
                      <w:lang w:val="en-US" w:eastAsia="zh-CN"/>
                    </w:rPr>
                    <w:t>）</w:t>
                  </w:r>
                </w:p>
              </w:tc>
              <w:tc>
                <w:tcPr>
                  <w:tcW w:w="501" w:type="pct"/>
                  <w:tcBorders>
                    <w:tl2br w:val="nil"/>
                    <w:tr2bl w:val="nil"/>
                  </w:tcBorders>
                  <w:noWrap w:val="0"/>
                  <w:vAlign w:val="center"/>
                </w:tcPr>
                <w:p w14:paraId="35A716C1">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r>
            <w:tr w14:paraId="34A3B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noWrap w:val="0"/>
                  <w:vAlign w:val="top"/>
                </w:tcPr>
                <w:p w14:paraId="210B72D2">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三十、金属制品业 33</w:t>
                  </w:r>
                </w:p>
              </w:tc>
            </w:tr>
            <w:tr w14:paraId="2DEB9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tcBorders>
                    <w:tl2br w:val="nil"/>
                    <w:tr2bl w:val="nil"/>
                  </w:tcBorders>
                  <w:shd w:val="clear" w:color="auto" w:fill="auto"/>
                  <w:noWrap w:val="0"/>
                  <w:vAlign w:val="center"/>
                </w:tcPr>
                <w:p w14:paraId="3C007719">
                  <w:pPr>
                    <w:pStyle w:val="39"/>
                    <w:keepNext w:val="0"/>
                    <w:keepLines w:val="0"/>
                    <w:widowControl/>
                    <w:suppressLineNumbers w:val="0"/>
                    <w:bidi w:val="0"/>
                    <w:spacing w:before="0" w:beforeAutospacing="0" w:after="0" w:afterAutospacing="0"/>
                    <w:ind w:left="0" w:right="0"/>
                    <w:rPr>
                      <w:rFonts w:hint="eastAsia"/>
                      <w:szCs w:val="22"/>
                    </w:rPr>
                  </w:pPr>
                </w:p>
                <w:p w14:paraId="7A5B9D90">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67</w:t>
                  </w:r>
                </w:p>
              </w:tc>
              <w:tc>
                <w:tcPr>
                  <w:tcW w:w="887" w:type="pct"/>
                  <w:gridSpan w:val="2"/>
                  <w:tcBorders>
                    <w:tl2br w:val="nil"/>
                    <w:tr2bl w:val="nil"/>
                  </w:tcBorders>
                  <w:shd w:val="clear" w:color="auto" w:fill="auto"/>
                  <w:noWrap w:val="0"/>
                  <w:vAlign w:val="center"/>
                </w:tcPr>
                <w:p w14:paraId="7B250502">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金属表面处理及热处理加工</w:t>
                  </w:r>
                </w:p>
              </w:tc>
              <w:tc>
                <w:tcPr>
                  <w:tcW w:w="2139" w:type="pct"/>
                  <w:tcBorders>
                    <w:tl2br w:val="nil"/>
                    <w:tr2bl w:val="nil"/>
                  </w:tcBorders>
                  <w:shd w:val="clear" w:color="auto" w:fill="auto"/>
                  <w:noWrap w:val="0"/>
                  <w:vAlign w:val="center"/>
                </w:tcPr>
                <w:p w14:paraId="4EB891A0">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有电镀工艺的；有钝化工艺的热镀锌；使用有机涂层的（喷粉、喷塑、浸塑和电泳除外；年用溶剂型涂料（含稀释剂）10吨以下和用非溶剂型低</w:t>
                  </w:r>
                  <w:r>
                    <w:rPr>
                      <w:rFonts w:hint="eastAsia"/>
                      <w:szCs w:val="22"/>
                      <w:lang w:eastAsia="zh-CN"/>
                    </w:rPr>
                    <w:t>VOCs</w:t>
                  </w:r>
                  <w:r>
                    <w:rPr>
                      <w:rFonts w:hint="eastAsia"/>
                      <w:szCs w:val="22"/>
                    </w:rPr>
                    <w:t xml:space="preserve">含量涂料的除外） </w:t>
                  </w:r>
                </w:p>
              </w:tc>
              <w:tc>
                <w:tcPr>
                  <w:tcW w:w="1140" w:type="pct"/>
                  <w:tcBorders>
                    <w:tl2br w:val="nil"/>
                    <w:tr2bl w:val="nil"/>
                  </w:tcBorders>
                  <w:shd w:val="clear" w:color="auto" w:fill="BEBEBE"/>
                  <w:noWrap w:val="0"/>
                  <w:vAlign w:val="center"/>
                </w:tcPr>
                <w:p w14:paraId="4F3064C5">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其他（年用非溶剂型低</w:t>
                  </w:r>
                  <w:r>
                    <w:rPr>
                      <w:rFonts w:hint="eastAsia"/>
                      <w:szCs w:val="22"/>
                      <w:lang w:eastAsia="zh-CN"/>
                    </w:rPr>
                    <w:t>VOCs</w:t>
                  </w:r>
                  <w:r>
                    <w:rPr>
                      <w:rFonts w:hint="eastAsia"/>
                      <w:szCs w:val="22"/>
                    </w:rPr>
                    <w:t>含量涂料10吨以下的除外）</w:t>
                  </w:r>
                </w:p>
              </w:tc>
              <w:tc>
                <w:tcPr>
                  <w:tcW w:w="501" w:type="pct"/>
                  <w:tcBorders>
                    <w:tl2br w:val="nil"/>
                    <w:tr2bl w:val="nil"/>
                  </w:tcBorders>
                  <w:noWrap w:val="0"/>
                  <w:vAlign w:val="center"/>
                </w:tcPr>
                <w:p w14:paraId="1AAE78B5">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w:t>
                  </w:r>
                </w:p>
              </w:tc>
            </w:tr>
          </w:tbl>
          <w:p w14:paraId="0915ADB3">
            <w:pPr>
              <w:pStyle w:val="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出租方概况</w:t>
            </w:r>
          </w:p>
          <w:p w14:paraId="64C4545D">
            <w:pPr>
              <w:keepNext w:val="0"/>
              <w:keepLines w:val="0"/>
              <w:pageBreakBefore w:val="0"/>
              <w:widowControl/>
              <w:suppressLineNumbers w:val="0"/>
              <w:kinsoku/>
              <w:wordWrap/>
              <w:topLinePunct w:val="0"/>
              <w:autoSpaceDE/>
              <w:autoSpaceDN/>
              <w:bidi w:val="0"/>
              <w:adjustRightIn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kern w:val="0"/>
                <w:sz w:val="24"/>
                <w:vertAlign w:val="baseline"/>
                <w:lang w:eastAsia="zh-CN"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本项目生产厂址位于福建省福州市福清市阳下街道洪宽工业区（租赁福清洪添科技有限公司车间</w:t>
            </w:r>
            <w:r>
              <w:rPr>
                <w:rFonts w:hint="eastAsia" w:ascii="Times New Roman" w:hAnsi="Times New Roman" w:cs="Times New Roman"/>
                <w:color w:val="000000" w:themeColor="text1"/>
                <w:kern w:val="0"/>
                <w:sz w:val="24"/>
                <w:lang w:val="en-US" w:eastAsia="zh-CN" w:bidi="ar"/>
                <w14:textFill>
                  <w14:solidFill>
                    <w14:schemeClr w14:val="tx1"/>
                  </w14:solidFill>
                </w14:textFill>
              </w:rPr>
              <w:t>2三层</w:t>
            </w:r>
            <w:r>
              <w:rPr>
                <w:rFonts w:hint="default" w:ascii="Times New Roman" w:hAnsi="Times New Roman" w:cs="Times New Roman"/>
                <w:color w:val="000000" w:themeColor="text1"/>
                <w:kern w:val="0"/>
                <w:sz w:val="24"/>
                <w:lang w:bidi="ar"/>
                <w14:textFill>
                  <w14:solidFill>
                    <w14:schemeClr w14:val="tx1"/>
                  </w14:solidFill>
                </w14:textFill>
              </w:rPr>
              <w:t>），厂房面积</w:t>
            </w:r>
            <w:r>
              <w:rPr>
                <w:rFonts w:hint="eastAsia" w:ascii="Times New Roman" w:hAnsi="Times New Roman" w:cs="Times New Roman"/>
                <w:color w:val="000000" w:themeColor="text1"/>
                <w:kern w:val="0"/>
                <w:sz w:val="24"/>
                <w:lang w:val="en-US" w:eastAsia="zh-CN" w:bidi="ar"/>
                <w14:textFill>
                  <w14:solidFill>
                    <w14:schemeClr w14:val="tx1"/>
                  </w14:solidFill>
                </w14:textFill>
              </w:rPr>
              <w:t>2212.46</w:t>
            </w:r>
            <w:r>
              <w:rPr>
                <w:rFonts w:hint="default" w:ascii="Times New Roman" w:hAnsi="Times New Roman" w:cs="Times New Roman"/>
                <w:color w:val="000000" w:themeColor="text1"/>
                <w:kern w:val="0"/>
                <w:sz w:val="24"/>
                <w:lang w:bidi="ar"/>
                <w14:textFill>
                  <w14:solidFill>
                    <w14:schemeClr w14:val="tx1"/>
                  </w14:solidFill>
                </w14:textFill>
              </w:rPr>
              <w:t>m</w:t>
            </w:r>
            <w:r>
              <w:rPr>
                <w:rFonts w:hint="default" w:ascii="Times New Roman" w:hAnsi="Times New Roman" w:cs="Times New Roman"/>
                <w:color w:val="000000" w:themeColor="text1"/>
                <w:kern w:val="0"/>
                <w:sz w:val="24"/>
                <w:vertAlign w:val="superscript"/>
                <w:lang w:bidi="ar"/>
                <w14:textFill>
                  <w14:solidFill>
                    <w14:schemeClr w14:val="tx1"/>
                  </w14:solidFill>
                </w14:textFill>
              </w:rPr>
              <w:t>2</w:t>
            </w:r>
            <w:r>
              <w:rPr>
                <w:rFonts w:hint="eastAsia" w:cs="Times New Roman"/>
                <w:color w:val="000000" w:themeColor="text1"/>
                <w:kern w:val="0"/>
                <w:sz w:val="24"/>
                <w:vertAlign w:val="baseline"/>
                <w:lang w:eastAsia="zh-CN" w:bidi="ar"/>
                <w14:textFill>
                  <w14:solidFill>
                    <w14:schemeClr w14:val="tx1"/>
                  </w14:solidFill>
                </w14:textFill>
              </w:rPr>
              <w:t>。</w:t>
            </w:r>
          </w:p>
          <w:p w14:paraId="37CFC1CE">
            <w:pPr>
              <w:keepNext w:val="0"/>
              <w:keepLines w:val="0"/>
              <w:pageBreakBefore w:val="0"/>
              <w:widowControl/>
              <w:suppressLineNumbers w:val="0"/>
              <w:kinsoku/>
              <w:wordWrap/>
              <w:topLinePunct w:val="0"/>
              <w:autoSpaceDE/>
              <w:autoSpaceDN/>
              <w:bidi w:val="0"/>
              <w:adjustRightIn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eastAsia" w:cs="Times New Roman" w:eastAsiaTheme="minorEastAsia"/>
                <w:b w:val="0"/>
                <w:bCs w:val="0"/>
                <w:color w:val="000000" w:themeColor="text1"/>
                <w:kern w:val="2"/>
                <w:sz w:val="24"/>
                <w:szCs w:val="24"/>
                <w:lang w:val="en-US" w:eastAsia="zh-CN"/>
                <w14:textFill>
                  <w14:solidFill>
                    <w14:schemeClr w14:val="tx1"/>
                  </w14:solidFill>
                </w14:textFill>
              </w:rPr>
              <w:t>福清洪添科技有限公司</w:t>
            </w:r>
            <w:r>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t>是一家从事技术服务</w:t>
            </w:r>
            <w:r>
              <w:rPr>
                <w:rFonts w:hint="eastAsia" w:cs="Times New Roman" w:eastAsiaTheme="minorEastAsia"/>
                <w:b w:val="0"/>
                <w:bCs w:val="0"/>
                <w:color w:val="000000" w:themeColor="text1"/>
                <w:kern w:val="2"/>
                <w:sz w:val="24"/>
                <w:szCs w:val="24"/>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t>技术开发</w:t>
            </w:r>
            <w:r>
              <w:rPr>
                <w:rFonts w:hint="eastAsia" w:cs="Times New Roman" w:eastAsiaTheme="minorEastAsia"/>
                <w:b w:val="0"/>
                <w:bCs w:val="0"/>
                <w:color w:val="000000" w:themeColor="text1"/>
                <w:kern w:val="2"/>
                <w:sz w:val="24"/>
                <w:szCs w:val="24"/>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t>技术咨询等业务的公司</w:t>
            </w:r>
            <w:r>
              <w:rPr>
                <w:rFonts w:hint="eastAsia" w:cs="Times New Roman" w:eastAsiaTheme="minorEastAsia"/>
                <w:b w:val="0"/>
                <w:bCs w:val="0"/>
                <w:color w:val="000000" w:themeColor="text1"/>
                <w:kern w:val="2"/>
                <w:sz w:val="24"/>
                <w:szCs w:val="24"/>
                <w:lang w:eastAsia="zh-CN"/>
                <w14:textFill>
                  <w14:solidFill>
                    <w14:schemeClr w14:val="tx1"/>
                  </w14:solidFill>
                </w14:textFill>
              </w:rPr>
              <w:t>，</w:t>
            </w:r>
            <w:r>
              <w:rPr>
                <w:rFonts w:hint="eastAsia" w:cs="Times New Roman" w:eastAsiaTheme="minorEastAsia"/>
                <w:b w:val="0"/>
                <w:bCs w:val="0"/>
                <w:color w:val="000000" w:themeColor="text1"/>
                <w:kern w:val="2"/>
                <w:sz w:val="24"/>
                <w:szCs w:val="24"/>
                <w:lang w:val="en-US" w:eastAsia="zh-CN"/>
                <w14:textFill>
                  <w14:solidFill>
                    <w14:schemeClr w14:val="tx1"/>
                  </w14:solidFill>
                </w14:textFill>
              </w:rPr>
              <w:t>于2025年8月11日公司名称由福清洪添制刀有限公司变更为福清洪添科技有限公司，主要</w:t>
            </w:r>
            <w:r>
              <w:rPr>
                <w:rFonts w:hint="eastAsia" w:cs="Times New Roman" w:eastAsiaTheme="minorEastAsia"/>
                <w:b w:val="0"/>
                <w:bCs w:val="0"/>
                <w:color w:val="000000" w:themeColor="text1"/>
                <w:kern w:val="2"/>
                <w:sz w:val="24"/>
                <w:szCs w:val="24"/>
                <w:lang w:eastAsia="zh-CN"/>
                <w14:textFill>
                  <w14:solidFill>
                    <w14:schemeClr w14:val="tx1"/>
                  </w14:solidFill>
                </w14:textFill>
              </w:rPr>
              <w:t>生产各种家庭用刀及农具、各种钢材及各种制刀叠层板热轧冷轧，</w:t>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建设</w:t>
            </w:r>
            <w:r>
              <w:rPr>
                <w:rFonts w:hint="eastAsia" w:cs="Times New Roman" w:eastAsiaTheme="minorEastAsia"/>
                <w:b w:val="0"/>
                <w:bCs w:val="0"/>
                <w:color w:val="000000" w:themeColor="text1"/>
                <w:kern w:val="2"/>
                <w:sz w:val="24"/>
                <w:szCs w:val="24"/>
                <w:lang w:val="en-US" w:eastAsia="zh-CN"/>
                <w14:textFill>
                  <w14:solidFill>
                    <w14:schemeClr w14:val="tx1"/>
                  </w14:solidFill>
                </w14:textFill>
              </w:rPr>
              <w:t>有</w:t>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4栋厂房（分别为1号楼、2号楼、车间1、车间2）（产权证见</w:t>
            </w:r>
            <w:r>
              <w:rPr>
                <w:rStyle w:val="46"/>
                <w:rFonts w:hint="eastAsia"/>
                <w:lang w:val="en-US" w:eastAsia="zh-CN"/>
              </w:rPr>
              <w:fldChar w:fldCharType="begin"/>
            </w:r>
            <w:r>
              <w:rPr>
                <w:rStyle w:val="46"/>
                <w:rFonts w:hint="eastAsia"/>
                <w:lang w:val="en-US" w:eastAsia="zh-CN"/>
              </w:rPr>
              <w:instrText xml:space="preserve"> REF _Ref5002 \h </w:instrText>
            </w:r>
            <w:r>
              <w:rPr>
                <w:rStyle w:val="46"/>
                <w:rFonts w:hint="eastAsia"/>
                <w:lang w:val="en-US" w:eastAsia="zh-CN"/>
              </w:rPr>
              <w:fldChar w:fldCharType="separate"/>
            </w:r>
            <w:r>
              <w:rPr>
                <w:rStyle w:val="46"/>
                <w:rFonts w:hint="eastAsia"/>
              </w:rPr>
              <w:t>附件 6</w:t>
            </w:r>
            <w:r>
              <w:rPr>
                <w:rStyle w:val="46"/>
                <w:rFonts w:hint="eastAsia"/>
                <w:lang w:val="en-US" w:eastAsia="zh-CN"/>
              </w:rPr>
              <w:fldChar w:fldCharType="end"/>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w:t>
            </w:r>
          </w:p>
          <w:p w14:paraId="59D3BADD">
            <w:pPr>
              <w:keepNext w:val="0"/>
              <w:keepLines w:val="0"/>
              <w:pageBreakBefore w:val="0"/>
              <w:widowControl/>
              <w:suppressLineNumbers w:val="0"/>
              <w:kinsoku/>
              <w:wordWrap/>
              <w:topLinePunct w:val="0"/>
              <w:autoSpaceDE/>
              <w:autoSpaceDN/>
              <w:bidi w:val="0"/>
              <w:adjustRightIn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kern w:val="0"/>
                <w:sz w:val="24"/>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t>福清洪添制刀有限公司</w:t>
            </w:r>
            <w:r>
              <w:rPr>
                <w:rFonts w:hint="eastAsia" w:cs="Times New Roman" w:eastAsiaTheme="minorEastAsia"/>
                <w:b w:val="0"/>
                <w:bCs w:val="0"/>
                <w:color w:val="000000" w:themeColor="text1"/>
                <w:kern w:val="2"/>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福清洪添科技有限公司</w:t>
            </w:r>
            <w:r>
              <w:rPr>
                <w:rFonts w:hint="eastAsia" w:cs="Times New Roman"/>
                <w:color w:val="000000" w:themeColor="text1"/>
                <w:kern w:val="0"/>
                <w:sz w:val="24"/>
                <w:lang w:val="en-US" w:eastAsia="zh-CN" w:bidi="ar"/>
                <w14:textFill>
                  <w14:solidFill>
                    <w14:schemeClr w14:val="tx1"/>
                  </w14:solidFill>
                </w14:textFill>
              </w:rPr>
              <w:t>变更前</w:t>
            </w:r>
            <w:r>
              <w:rPr>
                <w:rFonts w:hint="eastAsia" w:cs="Times New Roman" w:eastAsiaTheme="minorEastAsia"/>
                <w:b w:val="0"/>
                <w:bCs w:val="0"/>
                <w:color w:val="000000" w:themeColor="text1"/>
                <w:kern w:val="2"/>
                <w:sz w:val="24"/>
                <w:szCs w:val="24"/>
                <w:lang w:eastAsia="zh-CN"/>
                <w14:textFill>
                  <w14:solidFill>
                    <w14:schemeClr w14:val="tx1"/>
                  </w14:solidFill>
                </w14:textFill>
              </w:rPr>
              <w:t>）</w:t>
            </w:r>
            <w:r>
              <w:rPr>
                <w:rFonts w:hint="eastAsia" w:cs="Times New Roman" w:eastAsiaTheme="minorEastAsia"/>
                <w:b w:val="0"/>
                <w:bCs w:val="0"/>
                <w:color w:val="000000" w:themeColor="text1"/>
                <w:kern w:val="2"/>
                <w:sz w:val="24"/>
                <w:szCs w:val="24"/>
                <w:lang w:val="en-US" w:eastAsia="zh-CN"/>
                <w14:textFill>
                  <w14:solidFill>
                    <w14:schemeClr w14:val="tx1"/>
                  </w14:solidFill>
                </w14:textFill>
              </w:rPr>
              <w:t>于2022年6月将</w:t>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1号楼、2号楼</w:t>
            </w:r>
            <w:r>
              <w:rPr>
                <w:rFonts w:hint="eastAsia" w:cs="Times New Roman" w:eastAsiaTheme="minorEastAsia"/>
                <w:b w:val="0"/>
                <w:bCs w:val="0"/>
                <w:color w:val="000000" w:themeColor="text1"/>
                <w:kern w:val="2"/>
                <w:sz w:val="24"/>
                <w:szCs w:val="24"/>
                <w:lang w:val="en-US" w:eastAsia="zh-CN"/>
                <w14:textFill>
                  <w14:solidFill>
                    <w14:schemeClr w14:val="tx1"/>
                  </w14:solidFill>
                </w14:textFill>
              </w:rPr>
              <w:t>租赁给福清市洪光塑胶有限公司作为项目建设使用。</w:t>
            </w:r>
            <w:r>
              <w:rPr>
                <w:rFonts w:hint="default" w:ascii="Times New Roman" w:hAnsi="Times New Roman" w:cs="Times New Roman"/>
                <w:color w:val="000000" w:themeColor="text1"/>
                <w:kern w:val="0"/>
                <w:sz w:val="24"/>
                <w:lang w:bidi="ar"/>
                <w14:textFill>
                  <w14:solidFill>
                    <w14:schemeClr w14:val="tx1"/>
                  </w14:solidFill>
                </w14:textFill>
              </w:rPr>
              <w:t>20</w:t>
            </w:r>
            <w:r>
              <w:rPr>
                <w:rFonts w:hint="eastAsia" w:cs="Times New Roman"/>
                <w:color w:val="000000" w:themeColor="text1"/>
                <w:kern w:val="0"/>
                <w:sz w:val="24"/>
                <w:lang w:val="en-US" w:eastAsia="zh-CN" w:bidi="ar"/>
                <w14:textFill>
                  <w14:solidFill>
                    <w14:schemeClr w14:val="tx1"/>
                  </w14:solidFill>
                </w14:textFill>
              </w:rPr>
              <w:t>22</w:t>
            </w:r>
            <w:r>
              <w:rPr>
                <w:rFonts w:hint="default" w:ascii="Times New Roman" w:hAnsi="Times New Roman" w:cs="Times New Roman"/>
                <w:color w:val="000000" w:themeColor="text1"/>
                <w:kern w:val="0"/>
                <w:sz w:val="24"/>
                <w:lang w:bidi="ar"/>
                <w14:textFill>
                  <w14:solidFill>
                    <w14:schemeClr w14:val="tx1"/>
                  </w14:solidFill>
                </w14:textFill>
              </w:rPr>
              <w:t>年</w:t>
            </w:r>
            <w:r>
              <w:rPr>
                <w:rFonts w:hint="eastAsia" w:cs="Times New Roman"/>
                <w:color w:val="000000" w:themeColor="text1"/>
                <w:kern w:val="0"/>
                <w:sz w:val="24"/>
                <w:lang w:val="en-US" w:eastAsia="zh-CN" w:bidi="ar"/>
                <w14:textFill>
                  <w14:solidFill>
                    <w14:schemeClr w14:val="tx1"/>
                  </w14:solidFill>
                </w14:textFill>
              </w:rPr>
              <w:t>6</w:t>
            </w:r>
            <w:r>
              <w:rPr>
                <w:rFonts w:hint="default" w:ascii="Times New Roman" w:hAnsi="Times New Roman" w:cs="Times New Roman"/>
                <w:color w:val="000000" w:themeColor="text1"/>
                <w:kern w:val="0"/>
                <w:sz w:val="24"/>
                <w:lang w:bidi="ar"/>
                <w14:textFill>
                  <w14:solidFill>
                    <w14:schemeClr w14:val="tx1"/>
                  </w14:solidFill>
                </w14:textFill>
              </w:rPr>
              <w:t>月福清市洪光塑胶有限公司委托编制完成了《福清市洪光塑胶有限公司年产塑胶显示器支架、底座10万套项目》项目环境影响评价</w:t>
            </w:r>
            <w:r>
              <w:rPr>
                <w:rFonts w:hint="eastAsia" w:cs="Times New Roman"/>
                <w:color w:val="000000" w:themeColor="text1"/>
                <w:kern w:val="0"/>
                <w:sz w:val="24"/>
                <w:lang w:val="en-US" w:eastAsia="zh-CN" w:bidi="ar"/>
                <w14:textFill>
                  <w14:solidFill>
                    <w14:schemeClr w14:val="tx1"/>
                  </w14:solidFill>
                </w14:textFill>
              </w:rPr>
              <w:t>报</w:t>
            </w:r>
            <w:r>
              <w:rPr>
                <w:rFonts w:hint="eastAsia" w:cs="Times New Roman"/>
                <w:color w:val="000000" w:themeColor="text1"/>
                <w:kern w:val="0"/>
                <w:sz w:val="24"/>
                <w:highlight w:val="none"/>
                <w:lang w:val="en-US" w:eastAsia="zh-CN" w:bidi="ar"/>
                <w14:textFill>
                  <w14:solidFill>
                    <w14:schemeClr w14:val="tx1"/>
                  </w14:solidFill>
                </w14:textFill>
              </w:rPr>
              <w:t>告表</w:t>
            </w:r>
            <w:r>
              <w:rPr>
                <w:rFonts w:hint="default" w:ascii="Times New Roman" w:hAnsi="Times New Roman" w:cs="Times New Roman"/>
                <w:color w:val="000000" w:themeColor="text1"/>
                <w:kern w:val="0"/>
                <w:sz w:val="24"/>
                <w:highlight w:val="none"/>
                <w:lang w:bidi="ar"/>
                <w14:textFill>
                  <w14:solidFill>
                    <w14:schemeClr w14:val="tx1"/>
                  </w14:solidFill>
                </w14:textFill>
              </w:rPr>
              <w:t>，该项目于20</w:t>
            </w:r>
            <w:r>
              <w:rPr>
                <w:rFonts w:hint="eastAsia" w:cs="Times New Roman"/>
                <w:color w:val="000000" w:themeColor="text1"/>
                <w:kern w:val="0"/>
                <w:sz w:val="24"/>
                <w:highlight w:val="none"/>
                <w:lang w:val="en-US" w:eastAsia="zh-CN" w:bidi="ar"/>
                <w14:textFill>
                  <w14:solidFill>
                    <w14:schemeClr w14:val="tx1"/>
                  </w14:solidFill>
                </w14:textFill>
              </w:rPr>
              <w:t>22</w:t>
            </w:r>
            <w:r>
              <w:rPr>
                <w:rFonts w:hint="default" w:ascii="Times New Roman" w:hAnsi="Times New Roman" w:cs="Times New Roman"/>
                <w:color w:val="000000" w:themeColor="text1"/>
                <w:kern w:val="0"/>
                <w:sz w:val="24"/>
                <w:highlight w:val="none"/>
                <w:lang w:bidi="ar"/>
                <w14:textFill>
                  <w14:solidFill>
                    <w14:schemeClr w14:val="tx1"/>
                  </w14:solidFill>
                </w14:textFill>
              </w:rPr>
              <w:t>年</w:t>
            </w:r>
            <w:r>
              <w:rPr>
                <w:rFonts w:hint="eastAsia" w:cs="Times New Roman"/>
                <w:color w:val="000000" w:themeColor="text1"/>
                <w:kern w:val="0"/>
                <w:sz w:val="24"/>
                <w:highlight w:val="none"/>
                <w:lang w:val="en-US" w:eastAsia="zh-CN" w:bidi="ar"/>
                <w14:textFill>
                  <w14:solidFill>
                    <w14:schemeClr w14:val="tx1"/>
                  </w14:solidFill>
                </w14:textFill>
              </w:rPr>
              <w:t>7</w:t>
            </w:r>
            <w:r>
              <w:rPr>
                <w:rFonts w:hint="default" w:ascii="Times New Roman" w:hAnsi="Times New Roman" w:cs="Times New Roman"/>
                <w:color w:val="000000" w:themeColor="text1"/>
                <w:kern w:val="0"/>
                <w:sz w:val="24"/>
                <w:highlight w:val="none"/>
                <w:lang w:bidi="ar"/>
                <w14:textFill>
                  <w14:solidFill>
                    <w14:schemeClr w14:val="tx1"/>
                  </w14:solidFill>
                </w14:textFill>
              </w:rPr>
              <w:t>月</w:t>
            </w:r>
            <w:r>
              <w:rPr>
                <w:rFonts w:hint="eastAsia" w:cs="Times New Roman"/>
                <w:color w:val="000000" w:themeColor="text1"/>
                <w:kern w:val="0"/>
                <w:sz w:val="24"/>
                <w:highlight w:val="none"/>
                <w:lang w:val="en-US" w:eastAsia="zh-CN" w:bidi="ar"/>
                <w14:textFill>
                  <w14:solidFill>
                    <w14:schemeClr w14:val="tx1"/>
                  </w14:solidFill>
                </w14:textFill>
              </w:rPr>
              <w:t>7</w:t>
            </w:r>
            <w:r>
              <w:rPr>
                <w:rFonts w:hint="default" w:ascii="Times New Roman" w:hAnsi="Times New Roman" w:cs="Times New Roman"/>
                <w:color w:val="000000" w:themeColor="text1"/>
                <w:kern w:val="0"/>
                <w:sz w:val="24"/>
                <w:highlight w:val="none"/>
                <w:lang w:bidi="ar"/>
                <w14:textFill>
                  <w14:solidFill>
                    <w14:schemeClr w14:val="tx1"/>
                  </w14:solidFill>
                </w14:textFill>
              </w:rPr>
              <w:t>日</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取得福清市</w:t>
            </w:r>
            <w:r>
              <w:rPr>
                <w:rFonts w:hint="eastAsia" w:cs="Times New Roman"/>
                <w:color w:val="000000" w:themeColor="text1"/>
                <w:kern w:val="0"/>
                <w:sz w:val="24"/>
                <w:highlight w:val="none"/>
                <w:lang w:val="en-US" w:eastAsia="zh-CN" w:bidi="ar"/>
                <w14:textFill>
                  <w14:solidFill>
                    <w14:schemeClr w14:val="tx1"/>
                  </w14:solidFill>
                </w14:textFill>
              </w:rPr>
              <w:t>生态环境局关于项目的</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批复</w:t>
            </w:r>
            <w:r>
              <w:rPr>
                <w:rFonts w:hint="eastAsia" w:cs="Times New Roman"/>
                <w:color w:val="000000" w:themeColor="text1"/>
                <w:kern w:val="0"/>
                <w:sz w:val="24"/>
                <w:highlight w:val="none"/>
                <w:lang w:val="en-US" w:eastAsia="zh-CN" w:bidi="ar"/>
                <w14:textFill>
                  <w14:solidFill>
                    <w14:schemeClr w14:val="tx1"/>
                  </w14:solidFill>
                </w14:textFill>
              </w:rPr>
              <w:t>意见（</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见</w:t>
            </w:r>
            <w:r>
              <w:rPr>
                <w:rStyle w:val="46"/>
                <w:rFonts w:hint="default"/>
                <w:lang w:val="en-US" w:eastAsia="zh-CN"/>
              </w:rPr>
              <w:fldChar w:fldCharType="begin"/>
            </w:r>
            <w:r>
              <w:rPr>
                <w:rStyle w:val="46"/>
                <w:rFonts w:hint="default"/>
                <w:lang w:val="en-US" w:eastAsia="zh-CN"/>
              </w:rPr>
              <w:instrText xml:space="preserve"> REF _Ref7271 \h </w:instrText>
            </w:r>
            <w:r>
              <w:rPr>
                <w:rStyle w:val="46"/>
                <w:rFonts w:hint="default"/>
                <w:lang w:val="en-US" w:eastAsia="zh-CN"/>
              </w:rPr>
              <w:fldChar w:fldCharType="separate"/>
            </w:r>
            <w:r>
              <w:rPr>
                <w:rStyle w:val="46"/>
                <w:rFonts w:hint="eastAsia"/>
              </w:rPr>
              <w:t>附件 8</w:t>
            </w:r>
            <w:r>
              <w:rPr>
                <w:rStyle w:val="46"/>
                <w:rFonts w:hint="default"/>
                <w:lang w:val="en-US" w:eastAsia="zh-CN"/>
              </w:rPr>
              <w:fldChar w:fldCharType="end"/>
            </w:r>
            <w:r>
              <w:rPr>
                <w:rFonts w:hint="eastAsia" w:cs="Times New Roman"/>
                <w:color w:val="000000" w:themeColor="text1"/>
                <w:kern w:val="0"/>
                <w:sz w:val="24"/>
                <w:highlight w:val="none"/>
                <w:lang w:val="en-US" w:eastAsia="zh-CN" w:bidi="ar"/>
                <w14:textFill>
                  <w14:solidFill>
                    <w14:schemeClr w14:val="tx1"/>
                  </w14:solidFill>
                </w14:textFill>
              </w:rPr>
              <w:t>）；2022年8月2日，建设单位组织召开了</w:t>
            </w:r>
            <w:r>
              <w:rPr>
                <w:rFonts w:hint="default" w:ascii="Times New Roman" w:hAnsi="Times New Roman" w:cs="Times New Roman"/>
                <w:color w:val="000000" w:themeColor="text1"/>
                <w:kern w:val="0"/>
                <w:sz w:val="24"/>
                <w:highlight w:val="none"/>
                <w:lang w:bidi="ar"/>
                <w14:textFill>
                  <w14:solidFill>
                    <w14:schemeClr w14:val="tx1"/>
                  </w14:solidFill>
                </w14:textFill>
              </w:rPr>
              <w:t>《福清市洪光塑胶有限公司年产塑胶显示器支架、底座10万套项目》阶段性竣工环境保护验收</w:t>
            </w:r>
            <w:r>
              <w:rPr>
                <w:rFonts w:hint="eastAsia" w:cs="Times New Roman"/>
                <w:color w:val="000000" w:themeColor="text1"/>
                <w:kern w:val="0"/>
                <w:sz w:val="24"/>
                <w:highlight w:val="none"/>
                <w:lang w:val="en-US" w:eastAsia="zh-CN" w:bidi="ar"/>
                <w14:textFill>
                  <w14:solidFill>
                    <w14:schemeClr w14:val="tx1"/>
                  </w14:solidFill>
                </w14:textFill>
              </w:rPr>
              <w:t>会，项目建设内容为：产塑胶显示器支架、底座5万套。并取得验收专家意见，同意通过验收（</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见</w:t>
            </w:r>
            <w:r>
              <w:rPr>
                <w:rStyle w:val="46"/>
                <w:rFonts w:hint="default"/>
                <w:lang w:val="en-US" w:eastAsia="zh-CN"/>
              </w:rPr>
              <w:fldChar w:fldCharType="begin"/>
            </w:r>
            <w:r>
              <w:rPr>
                <w:rStyle w:val="46"/>
                <w:rFonts w:hint="default"/>
                <w:lang w:val="en-US" w:eastAsia="zh-CN"/>
              </w:rPr>
              <w:instrText xml:space="preserve"> REF _Ref7271 \h </w:instrText>
            </w:r>
            <w:r>
              <w:rPr>
                <w:rStyle w:val="46"/>
                <w:rFonts w:hint="default"/>
                <w:lang w:val="en-US" w:eastAsia="zh-CN"/>
              </w:rPr>
              <w:fldChar w:fldCharType="separate"/>
            </w:r>
            <w:r>
              <w:rPr>
                <w:rStyle w:val="46"/>
                <w:rFonts w:hint="eastAsia"/>
              </w:rPr>
              <w:t>附件 8</w:t>
            </w:r>
            <w:r>
              <w:rPr>
                <w:rStyle w:val="46"/>
                <w:rFonts w:hint="default"/>
                <w:lang w:val="en-US" w:eastAsia="zh-CN"/>
              </w:rPr>
              <w:fldChar w:fldCharType="end"/>
            </w:r>
            <w:r>
              <w:rPr>
                <w:rFonts w:hint="eastAsia" w:cs="Times New Roman"/>
                <w:color w:val="000000" w:themeColor="text1"/>
                <w:kern w:val="0"/>
                <w:sz w:val="24"/>
                <w:highlight w:val="none"/>
                <w:lang w:val="en-US" w:eastAsia="zh-CN" w:bidi="ar"/>
                <w14:textFill>
                  <w14:solidFill>
                    <w14:schemeClr w14:val="tx1"/>
                  </w14:solidFill>
                </w14:textFill>
              </w:rPr>
              <w:t>）。</w:t>
            </w:r>
          </w:p>
          <w:p w14:paraId="5C215544">
            <w:pPr>
              <w:keepNext w:val="0"/>
              <w:keepLines w:val="0"/>
              <w:pageBreakBefore w:val="0"/>
              <w:widowControl/>
              <w:suppressLineNumbers w:val="0"/>
              <w:kinsoku/>
              <w:wordWrap/>
              <w:topLinePunct w:val="0"/>
              <w:autoSpaceDE/>
              <w:autoSpaceDN/>
              <w:bidi w:val="0"/>
              <w:adjustRightIn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kern w:val="0"/>
                <w:sz w:val="24"/>
                <w:lang w:val="en-US" w:eastAsia="zh-CN" w:bidi="ar"/>
                <w14:textFill>
                  <w14:solidFill>
                    <w14:schemeClr w14:val="tx1"/>
                  </w14:solidFill>
                </w14:textFill>
              </w:rPr>
            </w:pPr>
            <w:r>
              <w:rPr>
                <w:rFonts w:hint="eastAsia" w:cs="Times New Roman"/>
                <w:color w:val="000000" w:themeColor="text1"/>
                <w:kern w:val="0"/>
                <w:sz w:val="24"/>
                <w:lang w:val="en-US" w:eastAsia="zh-CN" w:bidi="ar"/>
                <w14:textFill>
                  <w14:solidFill>
                    <w14:schemeClr w14:val="tx1"/>
                  </w14:solidFill>
                </w14:textFill>
              </w:rPr>
              <w:t>2025年12月福清洪添科技有限公司</w:t>
            </w:r>
            <w:r>
              <w:rPr>
                <w:rFonts w:hint="eastAsia" w:cs="Times New Roman" w:eastAsiaTheme="minorEastAsia"/>
                <w:b w:val="0"/>
                <w:bCs w:val="0"/>
                <w:color w:val="000000" w:themeColor="text1"/>
                <w:kern w:val="2"/>
                <w:sz w:val="24"/>
                <w:szCs w:val="24"/>
                <w:lang w:val="en-US" w:eastAsia="zh-CN"/>
                <w14:textFill>
                  <w14:solidFill>
                    <w14:schemeClr w14:val="tx1"/>
                  </w14:solidFill>
                </w14:textFill>
              </w:rPr>
              <w:t>将</w:t>
            </w:r>
            <w:r>
              <w:rPr>
                <w:rFonts w:hint="default" w:ascii="Times New Roman" w:hAnsi="Times New Roman" w:cs="Times New Roman"/>
                <w:color w:val="000000" w:themeColor="text1"/>
                <w:kern w:val="0"/>
                <w:sz w:val="24"/>
                <w:lang w:bidi="ar"/>
                <w14:textFill>
                  <w14:solidFill>
                    <w14:schemeClr w14:val="tx1"/>
                  </w14:solidFill>
                </w14:textFill>
              </w:rPr>
              <w:t>车间</w:t>
            </w:r>
            <w:r>
              <w:rPr>
                <w:rFonts w:hint="eastAsia" w:ascii="Times New Roman" w:hAnsi="Times New Roman" w:cs="Times New Roman"/>
                <w:color w:val="000000" w:themeColor="text1"/>
                <w:kern w:val="0"/>
                <w:sz w:val="24"/>
                <w:lang w:val="en-US" w:eastAsia="zh-CN" w:bidi="ar"/>
                <w14:textFill>
                  <w14:solidFill>
                    <w14:schemeClr w14:val="tx1"/>
                  </w14:solidFill>
                </w14:textFill>
              </w:rPr>
              <w:t>2</w:t>
            </w:r>
            <w:r>
              <w:rPr>
                <w:rFonts w:hint="eastAsia" w:cs="Times New Roman"/>
                <w:color w:val="000000" w:themeColor="text1"/>
                <w:kern w:val="0"/>
                <w:sz w:val="24"/>
                <w:lang w:val="en-US" w:eastAsia="zh-CN" w:bidi="ar"/>
                <w14:textFill>
                  <w14:solidFill>
                    <w14:schemeClr w14:val="tx1"/>
                  </w14:solidFill>
                </w14:textFill>
              </w:rPr>
              <w:t>厂房</w:t>
            </w:r>
            <w:r>
              <w:rPr>
                <w:rFonts w:hint="default" w:ascii="Times New Roman" w:hAnsi="Times New Roman" w:cs="Times New Roman"/>
                <w:color w:val="000000" w:themeColor="text1"/>
                <w:kern w:val="0"/>
                <w:sz w:val="24"/>
                <w:lang w:bidi="ar"/>
                <w14:textFill>
                  <w14:solidFill>
                    <w14:schemeClr w14:val="tx1"/>
                  </w14:solidFill>
                </w14:textFill>
              </w:rPr>
              <w:t>第</w:t>
            </w:r>
            <w:r>
              <w:rPr>
                <w:rFonts w:hint="eastAsia" w:cs="Times New Roman"/>
                <w:color w:val="000000" w:themeColor="text1"/>
                <w:kern w:val="0"/>
                <w:sz w:val="24"/>
                <w:lang w:val="en-US" w:eastAsia="zh-CN" w:bidi="ar"/>
                <w14:textFill>
                  <w14:solidFill>
                    <w14:schemeClr w14:val="tx1"/>
                  </w14:solidFill>
                </w14:textFill>
              </w:rPr>
              <w:t>3</w:t>
            </w:r>
            <w:r>
              <w:rPr>
                <w:rFonts w:hint="default" w:ascii="Times New Roman" w:hAnsi="Times New Roman" w:cs="Times New Roman"/>
                <w:color w:val="000000" w:themeColor="text1"/>
                <w:kern w:val="0"/>
                <w:sz w:val="24"/>
                <w:lang w:bidi="ar"/>
                <w14:textFill>
                  <w14:solidFill>
                    <w14:schemeClr w14:val="tx1"/>
                  </w14:solidFill>
                </w14:textFill>
              </w:rPr>
              <w:t>层</w:t>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（房屋租赁合同见</w:t>
            </w:r>
            <w:r>
              <w:rPr>
                <w:rStyle w:val="46"/>
                <w:rFonts w:hint="eastAsia"/>
                <w:lang w:val="en-US" w:eastAsia="zh-CN"/>
              </w:rPr>
              <w:fldChar w:fldCharType="begin"/>
            </w:r>
            <w:r>
              <w:rPr>
                <w:rStyle w:val="46"/>
                <w:rFonts w:hint="eastAsia"/>
                <w:lang w:val="en-US" w:eastAsia="zh-CN"/>
              </w:rPr>
              <w:instrText xml:space="preserve"> REF _Ref4970 \h </w:instrText>
            </w:r>
            <w:r>
              <w:rPr>
                <w:rStyle w:val="46"/>
                <w:rFonts w:hint="eastAsia"/>
                <w:lang w:val="en-US" w:eastAsia="zh-CN"/>
              </w:rPr>
              <w:fldChar w:fldCharType="separate"/>
            </w:r>
            <w:r>
              <w:rPr>
                <w:rStyle w:val="46"/>
                <w:rFonts w:hint="eastAsia"/>
              </w:rPr>
              <w:t>附件 7</w:t>
            </w:r>
            <w:r>
              <w:rPr>
                <w:rStyle w:val="46"/>
                <w:rFonts w:hint="eastAsia"/>
                <w:lang w:val="en-US" w:eastAsia="zh-CN"/>
              </w:rPr>
              <w:fldChar w:fldCharType="end"/>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出租给</w:t>
            </w:r>
            <w:r>
              <w:rPr>
                <w:rFonts w:hint="eastAsia" w:cs="Times New Roman"/>
                <w:color w:val="000000" w:themeColor="text1"/>
                <w:kern w:val="0"/>
                <w:sz w:val="24"/>
                <w:lang w:val="en-US" w:eastAsia="zh-CN" w:bidi="ar"/>
                <w14:textFill>
                  <w14:solidFill>
                    <w14:schemeClr w14:val="tx1"/>
                  </w14:solidFill>
                </w14:textFill>
              </w:rPr>
              <w:t>福清市三合电子科技有限公司年加工铝合金20万套、塑胶件30万套、钣金件10万套项目</w:t>
            </w:r>
            <w:r>
              <w:rPr>
                <w:rFonts w:hint="eastAsia" w:cs="Times New Roman" w:eastAsiaTheme="minorEastAsia"/>
                <w:b w:val="0"/>
                <w:bCs w:val="0"/>
                <w:color w:val="000000" w:themeColor="text1"/>
                <w:kern w:val="2"/>
                <w:sz w:val="24"/>
                <w:szCs w:val="24"/>
                <w:highlight w:val="none"/>
                <w:lang w:val="en-US" w:eastAsia="zh-CN"/>
                <w14:textFill>
                  <w14:solidFill>
                    <w14:schemeClr w14:val="tx1"/>
                  </w14:solidFill>
                </w14:textFill>
              </w:rPr>
              <w:t>建设使用，原先车间2处于空置状态，未使用</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p>
          <w:p w14:paraId="304A0C13">
            <w:pPr>
              <w:keepNext w:val="0"/>
              <w:keepLines w:val="0"/>
              <w:suppressLineNumbers w:val="0"/>
              <w:spacing w:before="0" w:beforeAutospacing="0" w:after="0" w:afterAutospacing="0"/>
              <w:ind w:left="0" w:right="0"/>
              <w:rPr>
                <w:rFonts w:hint="eastAsia"/>
                <w:lang w:val="en-US" w:eastAsia="zh-CN"/>
              </w:rPr>
            </w:pPr>
            <w:r>
              <w:rPr>
                <w:rFonts w:hint="default" w:ascii="Times New Roman" w:hAnsi="Times New Roman" w:cs="Times New Roman"/>
                <w:color w:val="000000" w:themeColor="text1"/>
                <w:kern w:val="0"/>
                <w:sz w:val="24"/>
                <w:lang w:bidi="ar"/>
                <w14:textFill>
                  <w14:solidFill>
                    <w14:schemeClr w14:val="tx1"/>
                  </w14:solidFill>
                </w14:textFill>
              </w:rPr>
              <w:t>根据现场勘查，该区域属于福清市融元污水处理厂服务范围内，目前生活污水经厂区内现有化粪池处理后接入</w:t>
            </w:r>
            <w:r>
              <w:rPr>
                <w:rFonts w:hint="eastAsia" w:cs="Times New Roman"/>
                <w:color w:val="000000" w:themeColor="text1"/>
                <w:kern w:val="0"/>
                <w:sz w:val="24"/>
                <w:lang w:eastAsia="zh-CN" w:bidi="ar"/>
                <w14:textFill>
                  <w14:solidFill>
                    <w14:schemeClr w14:val="tx1"/>
                  </w14:solidFill>
                </w14:textFill>
              </w:rPr>
              <w:t>市政污水管网</w:t>
            </w:r>
            <w:r>
              <w:rPr>
                <w:rFonts w:hint="default" w:ascii="Times New Roman" w:hAnsi="Times New Roman" w:cs="Times New Roman"/>
                <w:color w:val="000000" w:themeColor="text1"/>
                <w:kern w:val="0"/>
                <w:sz w:val="24"/>
                <w:lang w:bidi="ar"/>
                <w14:textFill>
                  <w14:solidFill>
                    <w14:schemeClr w14:val="tx1"/>
                  </w14:solidFill>
                </w14:textFill>
              </w:rPr>
              <w:t>送往福清市融元污水处理厂集中处理后排放。本项目可依托的设施主要为厂房内的给水管网、排水管网、供电管网及给水消防等公用工程设施</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p>
          <w:p w14:paraId="0CFA990B">
            <w:pPr>
              <w:pStyle w:val="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工程概况</w:t>
            </w:r>
          </w:p>
          <w:p w14:paraId="1FE5A6BB">
            <w:pPr>
              <w:pStyle w:val="4"/>
              <w:suppressLineNumbers w:val="0"/>
              <w:bidi w:val="0"/>
              <w:spacing w:before="0" w:beforeAutospacing="0" w:after="0" w:afterAutospacing="0"/>
              <w:ind w:left="0" w:right="0"/>
              <w:rPr>
                <w:rFonts w:hint="eastAsia"/>
                <w:lang w:val="en-US" w:eastAsia="zh-CN"/>
              </w:rPr>
            </w:pPr>
            <w:r>
              <w:rPr>
                <w:rFonts w:hint="eastAsia"/>
                <w:lang w:val="en-US" w:eastAsia="zh-CN"/>
              </w:rPr>
              <w:t>项目基本情况</w:t>
            </w:r>
          </w:p>
          <w:p w14:paraId="72BAF634">
            <w:pPr>
              <w:keepNext w:val="0"/>
              <w:keepLines w:val="0"/>
              <w:suppressLineNumbers w:val="0"/>
              <w:bidi w:val="0"/>
              <w:spacing w:before="0" w:beforeAutospacing="0" w:after="0" w:afterAutospacing="0"/>
              <w:ind w:left="0" w:right="0"/>
              <w:rPr>
                <w:rFonts w:hint="eastAsia"/>
                <w:highlight w:val="none"/>
                <w:shd w:val="clear"/>
                <w:lang w:eastAsia="zh-CN"/>
              </w:rPr>
            </w:pPr>
            <w:r>
              <w:rPr>
                <w:rFonts w:hint="eastAsia"/>
                <w:lang w:eastAsia="zh-CN"/>
              </w:rPr>
              <w:t>（</w:t>
            </w:r>
            <w:r>
              <w:rPr>
                <w:rFonts w:hint="eastAsia"/>
                <w:lang w:val="en-US" w:eastAsia="zh-CN"/>
              </w:rPr>
              <w:t>1</w:t>
            </w:r>
            <w:r>
              <w:rPr>
                <w:rFonts w:hint="eastAsia"/>
                <w:lang w:eastAsia="zh-CN"/>
              </w:rPr>
              <w:t>）</w:t>
            </w:r>
            <w:r>
              <w:rPr>
                <w:rFonts w:hint="eastAsia"/>
              </w:rPr>
              <w:t>项目名称</w:t>
            </w:r>
            <w:r>
              <w:rPr>
                <w:rFonts w:hint="eastAsia"/>
                <w:highlight w:val="none"/>
                <w:shd w:val="clear"/>
              </w:rPr>
              <w:t>：</w:t>
            </w:r>
            <w:r>
              <w:rPr>
                <w:rFonts w:hint="eastAsia"/>
                <w:highlight w:val="none"/>
                <w:shd w:val="clear"/>
                <w:lang w:eastAsia="zh-CN"/>
              </w:rPr>
              <w:t>福清市三合电子科技有限公司年加工铝合金20万套、塑胶件30万套、钣金件10万套项目</w:t>
            </w:r>
          </w:p>
          <w:p w14:paraId="08EBFDB5">
            <w:pPr>
              <w:keepNext w:val="0"/>
              <w:keepLines w:val="0"/>
              <w:suppressLineNumbers w:val="0"/>
              <w:bidi w:val="0"/>
              <w:spacing w:before="0" w:beforeAutospacing="0" w:after="0" w:afterAutospacing="0"/>
              <w:ind w:left="0" w:right="0"/>
              <w:rPr>
                <w:rFonts w:hint="eastAsia"/>
              </w:rPr>
            </w:pPr>
            <w:r>
              <w:rPr>
                <w:rFonts w:hint="eastAsia"/>
              </w:rPr>
              <w:t>（2）建设单位：</w:t>
            </w:r>
            <w:r>
              <w:rPr>
                <w:rFonts w:hint="eastAsia"/>
                <w:lang w:eastAsia="zh-CN"/>
              </w:rPr>
              <w:t>福清市三合电子科技有限公司</w:t>
            </w:r>
          </w:p>
          <w:p w14:paraId="0623E9FF">
            <w:pPr>
              <w:keepNext w:val="0"/>
              <w:keepLines w:val="0"/>
              <w:suppressLineNumbers w:val="0"/>
              <w:bidi w:val="0"/>
              <w:spacing w:before="0" w:beforeAutospacing="0" w:after="0" w:afterAutospacing="0"/>
              <w:ind w:left="0" w:right="0"/>
              <w:rPr>
                <w:rFonts w:hint="eastAsia"/>
                <w:lang w:eastAsia="zh-CN"/>
              </w:rPr>
            </w:pPr>
            <w:r>
              <w:rPr>
                <w:rFonts w:hint="eastAsia"/>
              </w:rPr>
              <w:t>（3）建设地点：</w:t>
            </w:r>
            <w:r>
              <w:rPr>
                <w:rFonts w:hint="eastAsia"/>
                <w:lang w:eastAsia="zh-CN"/>
              </w:rPr>
              <w:t>福清融侨经济技术开发区（租赁福清洪添科技有限公司车间2第3层）</w:t>
            </w:r>
          </w:p>
          <w:p w14:paraId="20EDA8CA">
            <w:pPr>
              <w:keepNext w:val="0"/>
              <w:keepLines w:val="0"/>
              <w:suppressLineNumbers w:val="0"/>
              <w:bidi w:val="0"/>
              <w:spacing w:before="0" w:beforeAutospacing="0" w:after="0" w:afterAutospacing="0"/>
              <w:ind w:left="0" w:right="0"/>
              <w:rPr>
                <w:rFonts w:hint="eastAsia" w:eastAsia="宋体"/>
                <w:lang w:val="en-US" w:eastAsia="zh-CN"/>
              </w:rPr>
            </w:pPr>
            <w:r>
              <w:rPr>
                <w:rFonts w:hint="eastAsia"/>
              </w:rPr>
              <w:t>（4）建设性质：</w:t>
            </w:r>
            <w:r>
              <w:rPr>
                <w:rFonts w:hint="eastAsia"/>
                <w:lang w:val="en-US" w:eastAsia="zh-CN"/>
              </w:rPr>
              <w:t>新建</w:t>
            </w:r>
          </w:p>
          <w:p w14:paraId="1753CC75">
            <w:pPr>
              <w:keepNext w:val="0"/>
              <w:keepLines w:val="0"/>
              <w:suppressLineNumbers w:val="0"/>
              <w:bidi w:val="0"/>
              <w:spacing w:before="0" w:beforeAutospacing="0" w:after="0" w:afterAutospacing="0"/>
              <w:ind w:left="0" w:right="0"/>
              <w:rPr>
                <w:rFonts w:hint="eastAsia"/>
              </w:rPr>
            </w:pPr>
            <w:r>
              <w:rPr>
                <w:rFonts w:hint="eastAsia"/>
              </w:rPr>
              <w:t>（5）总 投 资：</w:t>
            </w:r>
            <w:r>
              <w:rPr>
                <w:rFonts w:hint="eastAsia"/>
                <w:lang w:val="en-US" w:eastAsia="zh-CN"/>
              </w:rPr>
              <w:t>120</w:t>
            </w:r>
            <w:r>
              <w:rPr>
                <w:rFonts w:hint="eastAsia"/>
              </w:rPr>
              <w:t>万元</w:t>
            </w:r>
          </w:p>
          <w:p w14:paraId="661B4DAE">
            <w:pPr>
              <w:keepNext w:val="0"/>
              <w:keepLines w:val="0"/>
              <w:suppressLineNumbers w:val="0"/>
              <w:bidi w:val="0"/>
              <w:spacing w:before="0" w:beforeAutospacing="0" w:after="0" w:afterAutospacing="0"/>
              <w:ind w:left="0" w:right="0"/>
              <w:rPr>
                <w:rFonts w:hint="eastAsia"/>
              </w:rPr>
            </w:pPr>
            <w:r>
              <w:rPr>
                <w:rFonts w:hint="eastAsia"/>
              </w:rPr>
              <w:t>（6）工程规模：主要建筑面积</w:t>
            </w:r>
            <w:r>
              <w:rPr>
                <w:rFonts w:hint="eastAsia"/>
                <w:lang w:val="en-US" w:eastAsia="zh-CN"/>
              </w:rPr>
              <w:t>2212.46</w:t>
            </w:r>
            <w:r>
              <w:rPr>
                <w:rFonts w:hint="eastAsia"/>
              </w:rPr>
              <w:t>m</w:t>
            </w:r>
            <w:r>
              <w:rPr>
                <w:rFonts w:hint="eastAsia"/>
                <w:vertAlign w:val="superscript"/>
              </w:rPr>
              <w:t>2</w:t>
            </w:r>
          </w:p>
          <w:p w14:paraId="36D6708B">
            <w:pPr>
              <w:keepNext w:val="0"/>
              <w:keepLines w:val="0"/>
              <w:suppressLineNumbers w:val="0"/>
              <w:bidi w:val="0"/>
              <w:spacing w:before="0" w:beforeAutospacing="0" w:after="0" w:afterAutospacing="0"/>
              <w:ind w:left="0" w:right="0"/>
              <w:rPr>
                <w:rFonts w:hint="default"/>
                <w:lang w:val="en-US" w:eastAsia="zh-CN"/>
              </w:rPr>
            </w:pPr>
            <w:r>
              <w:rPr>
                <w:rFonts w:hint="eastAsia"/>
              </w:rPr>
              <w:t>（7）生产规模：</w:t>
            </w:r>
            <w:r>
              <w:rPr>
                <w:rFonts w:hint="eastAsia"/>
                <w:lang w:val="zh-CN"/>
              </w:rPr>
              <w:t>年加工铝合金20万套、塑胶件</w:t>
            </w:r>
            <w:r>
              <w:rPr>
                <w:rFonts w:hint="eastAsia"/>
                <w:lang w:val="en-US" w:eastAsia="zh-CN"/>
              </w:rPr>
              <w:t>30</w:t>
            </w:r>
            <w:r>
              <w:rPr>
                <w:rFonts w:hint="eastAsia"/>
                <w:lang w:val="zh-CN"/>
              </w:rPr>
              <w:t>万套、</w:t>
            </w:r>
            <w:r>
              <w:rPr>
                <w:rFonts w:hint="eastAsia"/>
                <w:lang w:val="en-US" w:eastAsia="zh-CN"/>
              </w:rPr>
              <w:t>钣</w:t>
            </w:r>
            <w:r>
              <w:rPr>
                <w:rFonts w:hint="eastAsia"/>
                <w:lang w:val="zh-CN"/>
              </w:rPr>
              <w:t>金件</w:t>
            </w:r>
            <w:r>
              <w:rPr>
                <w:rFonts w:hint="eastAsia"/>
                <w:lang w:val="en-US" w:eastAsia="zh-CN"/>
              </w:rPr>
              <w:t>10</w:t>
            </w:r>
            <w:r>
              <w:rPr>
                <w:rFonts w:hint="eastAsia"/>
                <w:lang w:val="zh-CN"/>
              </w:rPr>
              <w:t>万套</w:t>
            </w:r>
            <w:r>
              <w:rPr>
                <w:rFonts w:hint="eastAsia"/>
                <w:lang w:val="en-US" w:eastAsia="zh-CN"/>
              </w:rPr>
              <w:t>。</w:t>
            </w:r>
          </w:p>
          <w:p w14:paraId="3D8AAE4C">
            <w:pPr>
              <w:keepNext w:val="0"/>
              <w:keepLines w:val="0"/>
              <w:suppressLineNumbers w:val="0"/>
              <w:bidi w:val="0"/>
              <w:spacing w:before="0" w:beforeAutospacing="0" w:after="0" w:afterAutospacing="0"/>
              <w:ind w:left="0" w:right="0"/>
              <w:rPr>
                <w:rFonts w:hint="eastAsia"/>
              </w:rPr>
            </w:pPr>
            <w:r>
              <w:rPr>
                <w:rFonts w:hint="eastAsia"/>
              </w:rPr>
              <w:t>（8）生产定员：员工</w:t>
            </w:r>
            <w:r>
              <w:rPr>
                <w:rFonts w:hint="eastAsia"/>
                <w:lang w:val="en-US" w:eastAsia="zh-CN"/>
              </w:rPr>
              <w:t>13</w:t>
            </w:r>
            <w:r>
              <w:rPr>
                <w:rFonts w:hint="eastAsia"/>
              </w:rPr>
              <w:t>人（均</w:t>
            </w:r>
            <w:r>
              <w:rPr>
                <w:rFonts w:hint="eastAsia"/>
                <w:lang w:eastAsia="zh-CN"/>
              </w:rPr>
              <w:t>不</w:t>
            </w:r>
            <w:r>
              <w:rPr>
                <w:rFonts w:hint="eastAsia"/>
              </w:rPr>
              <w:t>住厂）</w:t>
            </w:r>
          </w:p>
          <w:p w14:paraId="5EB67917">
            <w:pPr>
              <w:keepNext w:val="0"/>
              <w:keepLines w:val="0"/>
              <w:suppressLineNumbers w:val="0"/>
              <w:bidi w:val="0"/>
              <w:spacing w:before="0" w:beforeAutospacing="0" w:after="0" w:afterAutospacing="0"/>
              <w:ind w:left="0" w:right="0"/>
              <w:rPr>
                <w:rFonts w:hint="eastAsia"/>
              </w:rPr>
            </w:pPr>
            <w:r>
              <w:rPr>
                <w:rFonts w:hint="eastAsia"/>
              </w:rPr>
              <w:t>（9）工作制度：</w:t>
            </w:r>
            <w:r>
              <w:rPr>
                <w:rFonts w:hint="default"/>
              </w:rPr>
              <w:t>年工作日</w:t>
            </w:r>
            <w:r>
              <w:rPr>
                <w:rFonts w:hint="default"/>
                <w:lang w:val="en-US" w:eastAsia="zh-CN"/>
              </w:rPr>
              <w:t>3</w:t>
            </w:r>
            <w:r>
              <w:rPr>
                <w:rFonts w:hint="eastAsia"/>
                <w:lang w:val="en-US" w:eastAsia="zh-CN"/>
              </w:rPr>
              <w:t>0</w:t>
            </w:r>
            <w:r>
              <w:rPr>
                <w:rFonts w:hint="default"/>
                <w:lang w:val="en-US" w:eastAsia="zh-CN"/>
              </w:rPr>
              <w:t>0</w:t>
            </w:r>
            <w:r>
              <w:rPr>
                <w:rFonts w:hint="default"/>
              </w:rPr>
              <w:t>天，实行</w:t>
            </w:r>
            <w:r>
              <w:rPr>
                <w:rFonts w:hint="eastAsia"/>
                <w:lang w:val="en-US" w:eastAsia="zh-CN"/>
              </w:rPr>
              <w:t>两</w:t>
            </w:r>
            <w:r>
              <w:rPr>
                <w:rFonts w:hint="default"/>
              </w:rPr>
              <w:t>班制，工作时间</w:t>
            </w:r>
            <w:r>
              <w:rPr>
                <w:rFonts w:hint="eastAsia"/>
                <w:lang w:val="en-US" w:eastAsia="zh-CN"/>
              </w:rPr>
              <w:t>12</w:t>
            </w:r>
            <w:r>
              <w:rPr>
                <w:rFonts w:hint="default"/>
              </w:rPr>
              <w:t>小时</w:t>
            </w:r>
            <w:r>
              <w:rPr>
                <w:rFonts w:hint="eastAsia"/>
                <w:lang w:val="en-US" w:eastAsia="zh-CN"/>
              </w:rPr>
              <w:t>/天。</w:t>
            </w:r>
          </w:p>
          <w:p w14:paraId="14E40D2E">
            <w:pPr>
              <w:pStyle w:val="4"/>
              <w:suppressLineNumbers w:val="0"/>
              <w:bidi w:val="0"/>
              <w:spacing w:before="0" w:beforeAutospacing="0" w:after="0" w:afterAutospacing="0"/>
              <w:ind w:left="0" w:right="0"/>
              <w:rPr>
                <w:rFonts w:hint="default"/>
              </w:rPr>
            </w:pPr>
            <w:r>
              <w:rPr>
                <w:rFonts w:hint="default"/>
              </w:rPr>
              <w:t>工程主要建设内容</w:t>
            </w:r>
          </w:p>
          <w:p w14:paraId="1289B590">
            <w:pPr>
              <w:keepNext w:val="0"/>
              <w:keepLines w:val="0"/>
              <w:suppressLineNumbers w:val="0"/>
              <w:shd w:val="clear"/>
              <w:spacing w:before="0" w:beforeAutospacing="0" w:after="0" w:afterAutospacing="0"/>
              <w:ind w:left="0" w:right="0" w:firstLine="480"/>
              <w:rPr>
                <w:rFonts w:hint="eastAsia"/>
                <w:color w:val="auto"/>
                <w:highlight w:val="none"/>
              </w:rPr>
            </w:pPr>
            <w:r>
              <w:rPr>
                <w:rFonts w:hint="eastAsia"/>
                <w:color w:val="auto"/>
              </w:rPr>
              <w:t>工程</w:t>
            </w:r>
            <w:r>
              <w:rPr>
                <w:rFonts w:hint="eastAsia"/>
                <w:color w:val="auto"/>
                <w:highlight w:val="none"/>
              </w:rPr>
              <w:t>主要建设内容见表</w:t>
            </w:r>
            <w:r>
              <w:rPr>
                <w:rFonts w:hint="eastAsia"/>
                <w:color w:val="auto"/>
                <w:highlight w:val="none"/>
                <w:lang w:val="en-US" w:eastAsia="zh-CN"/>
              </w:rPr>
              <w:t>2.3-1</w:t>
            </w:r>
            <w:r>
              <w:rPr>
                <w:rFonts w:hint="eastAsia"/>
                <w:color w:val="auto"/>
                <w:highlight w:val="none"/>
              </w:rPr>
              <w:t>。</w:t>
            </w:r>
          </w:p>
          <w:p w14:paraId="190E0F19">
            <w:pPr>
              <w:pStyle w:val="40"/>
              <w:keepNext w:val="0"/>
              <w:keepLines w:val="0"/>
              <w:suppressLineNumbers w:val="0"/>
              <w:shd w:val="clear"/>
              <w:bidi w:val="0"/>
              <w:spacing w:before="0" w:beforeAutospacing="0" w:after="0" w:afterAutospacing="0"/>
              <w:ind w:left="0" w:right="0"/>
              <w:rPr>
                <w:rFonts w:hint="default"/>
                <w:highlight w:val="none"/>
                <w:lang w:eastAsia="zh-CN"/>
              </w:rPr>
            </w:pPr>
            <w:r>
              <w:rPr>
                <w:rFonts w:hint="default"/>
                <w:highlight w:val="none"/>
                <w:lang w:eastAsia="zh-CN"/>
              </w:rPr>
              <w:t>表</w:t>
            </w:r>
            <w:r>
              <w:rPr>
                <w:rFonts w:hint="eastAsia"/>
                <w:color w:val="auto"/>
                <w:highlight w:val="none"/>
                <w:lang w:val="en-US" w:eastAsia="zh-CN"/>
              </w:rPr>
              <w:t>2.3-1</w:t>
            </w:r>
            <w:r>
              <w:rPr>
                <w:rFonts w:hint="default"/>
                <w:highlight w:val="none"/>
                <w:lang w:eastAsia="zh-CN"/>
              </w:rPr>
              <w:t xml:space="preserve"> 工程主要建设内容一览表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63"/>
              <w:gridCol w:w="247"/>
              <w:gridCol w:w="938"/>
              <w:gridCol w:w="6167"/>
            </w:tblGrid>
            <w:tr w14:paraId="7A004E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748" w:type="dxa"/>
                  <w:gridSpan w:val="3"/>
                  <w:tcBorders>
                    <w:left w:val="nil"/>
                  </w:tcBorders>
                  <w:noWrap w:val="0"/>
                  <w:vAlign w:val="center"/>
                </w:tcPr>
                <w:p w14:paraId="747730E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项目名称</w:t>
                  </w:r>
                </w:p>
              </w:tc>
              <w:tc>
                <w:tcPr>
                  <w:tcW w:w="6167" w:type="dxa"/>
                  <w:tcBorders>
                    <w:right w:val="nil"/>
                  </w:tcBorders>
                  <w:noWrap w:val="0"/>
                  <w:vAlign w:val="center"/>
                </w:tcPr>
                <w:p w14:paraId="5852382A">
                  <w:pPr>
                    <w:pStyle w:val="39"/>
                    <w:keepNext w:val="0"/>
                    <w:keepLines w:val="0"/>
                    <w:widowControl/>
                    <w:suppressLineNumbers w:val="0"/>
                    <w:bidi w:val="0"/>
                    <w:spacing w:before="0" w:beforeAutospacing="0" w:after="0" w:afterAutospacing="0"/>
                    <w:ind w:left="0" w:right="0"/>
                    <w:rPr>
                      <w:rFonts w:hint="default" w:eastAsia="宋体"/>
                      <w:szCs w:val="22"/>
                      <w:lang w:val="en-US" w:eastAsia="zh-CN"/>
                    </w:rPr>
                  </w:pPr>
                  <w:r>
                    <w:rPr>
                      <w:rFonts w:hint="eastAsia"/>
                      <w:szCs w:val="22"/>
                      <w:lang w:val="en-US" w:eastAsia="zh-CN"/>
                    </w:rPr>
                    <w:t>本项目主要建设内容</w:t>
                  </w:r>
                </w:p>
              </w:tc>
            </w:tr>
            <w:tr w14:paraId="31370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63" w:type="dxa"/>
                  <w:tcBorders>
                    <w:left w:val="nil"/>
                  </w:tcBorders>
                  <w:noWrap w:val="0"/>
                  <w:vAlign w:val="center"/>
                </w:tcPr>
                <w:p w14:paraId="62C4C233">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主体工程</w:t>
                  </w:r>
                </w:p>
              </w:tc>
              <w:tc>
                <w:tcPr>
                  <w:tcW w:w="1185" w:type="dxa"/>
                  <w:gridSpan w:val="2"/>
                  <w:noWrap w:val="0"/>
                  <w:vAlign w:val="center"/>
                </w:tcPr>
                <w:p w14:paraId="3AF572BE">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生产区</w:t>
                  </w:r>
                </w:p>
              </w:tc>
              <w:tc>
                <w:tcPr>
                  <w:tcW w:w="6167" w:type="dxa"/>
                  <w:tcBorders>
                    <w:right w:val="nil"/>
                  </w:tcBorders>
                  <w:noWrap w:val="0"/>
                  <w:vAlign w:val="center"/>
                </w:tcPr>
                <w:p w14:paraId="79D1E934">
                  <w:pPr>
                    <w:pStyle w:val="39"/>
                    <w:keepNext w:val="0"/>
                    <w:keepLines w:val="0"/>
                    <w:widowControl/>
                    <w:suppressLineNumbers w:val="0"/>
                    <w:bidi w:val="0"/>
                    <w:spacing w:before="0" w:beforeAutospacing="0" w:after="0" w:afterAutospacing="0"/>
                    <w:ind w:left="0" w:leftChars="0" w:right="0" w:rightChars="0"/>
                    <w:rPr>
                      <w:rFonts w:hint="eastAsia"/>
                      <w:szCs w:val="22"/>
                      <w:lang w:val="en-US" w:eastAsia="zh-CN"/>
                    </w:rPr>
                  </w:pPr>
                  <w:r>
                    <w:rPr>
                      <w:rFonts w:hint="eastAsia"/>
                      <w:szCs w:val="22"/>
                      <w:lang w:val="en-US" w:eastAsia="zh-CN"/>
                    </w:rPr>
                    <w:t>主要包括投料区、检验区、打磨房、喷漆烘干房、加烤区</w:t>
                  </w:r>
                </w:p>
              </w:tc>
            </w:tr>
            <w:tr w14:paraId="3DAE3C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0" w:hRule="atLeast"/>
                <w:jc w:val="center"/>
              </w:trPr>
              <w:tc>
                <w:tcPr>
                  <w:tcW w:w="563" w:type="dxa"/>
                  <w:vMerge w:val="restart"/>
                  <w:tcBorders>
                    <w:left w:val="nil"/>
                  </w:tcBorders>
                  <w:noWrap w:val="0"/>
                  <w:vAlign w:val="center"/>
                </w:tcPr>
                <w:p w14:paraId="18C3751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辅助工程</w:t>
                  </w:r>
                </w:p>
              </w:tc>
              <w:tc>
                <w:tcPr>
                  <w:tcW w:w="1185" w:type="dxa"/>
                  <w:gridSpan w:val="2"/>
                  <w:noWrap w:val="0"/>
                  <w:vAlign w:val="center"/>
                </w:tcPr>
                <w:p w14:paraId="459C276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原料区</w:t>
                  </w:r>
                </w:p>
              </w:tc>
              <w:tc>
                <w:tcPr>
                  <w:tcW w:w="6167" w:type="dxa"/>
                  <w:tcBorders>
                    <w:right w:val="nil"/>
                  </w:tcBorders>
                  <w:noWrap w:val="0"/>
                  <w:vAlign w:val="center"/>
                </w:tcPr>
                <w:p w14:paraId="483E7778">
                  <w:pPr>
                    <w:pStyle w:val="39"/>
                    <w:keepNext w:val="0"/>
                    <w:keepLines w:val="0"/>
                    <w:widowControl/>
                    <w:suppressLineNumbers w:val="0"/>
                    <w:bidi w:val="0"/>
                    <w:spacing w:before="0" w:beforeAutospacing="0" w:after="0" w:afterAutospacing="0"/>
                    <w:ind w:left="0" w:leftChars="0" w:right="0" w:rightChars="0"/>
                    <w:rPr>
                      <w:rFonts w:hint="eastAsia"/>
                      <w:szCs w:val="22"/>
                      <w:lang w:eastAsia="zh-CN"/>
                    </w:rPr>
                  </w:pPr>
                  <w:r>
                    <w:rPr>
                      <w:rFonts w:hint="eastAsia"/>
                      <w:szCs w:val="22"/>
                      <w:lang w:eastAsia="zh-CN"/>
                    </w:rPr>
                    <w:t>位于厂房</w:t>
                  </w:r>
                  <w:r>
                    <w:rPr>
                      <w:rFonts w:hint="eastAsia"/>
                      <w:szCs w:val="22"/>
                      <w:lang w:val="en-US" w:eastAsia="zh-CN"/>
                    </w:rPr>
                    <w:t>东南侧，用于原料堆放</w:t>
                  </w:r>
                </w:p>
              </w:tc>
            </w:tr>
            <w:tr w14:paraId="37992E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563" w:type="dxa"/>
                  <w:vMerge w:val="continue"/>
                  <w:tcBorders>
                    <w:left w:val="nil"/>
                  </w:tcBorders>
                  <w:noWrap w:val="0"/>
                  <w:vAlign w:val="center"/>
                </w:tcPr>
                <w:p w14:paraId="391A6502">
                  <w:pPr>
                    <w:pStyle w:val="39"/>
                    <w:keepNext w:val="0"/>
                    <w:keepLines w:val="0"/>
                    <w:widowControl/>
                    <w:suppressLineNumbers w:val="0"/>
                    <w:bidi w:val="0"/>
                    <w:spacing w:before="0" w:beforeAutospacing="0" w:after="0" w:afterAutospacing="0"/>
                    <w:ind w:left="0" w:right="0"/>
                    <w:rPr>
                      <w:rFonts w:hint="eastAsia"/>
                      <w:szCs w:val="22"/>
                    </w:rPr>
                  </w:pPr>
                </w:p>
              </w:tc>
              <w:tc>
                <w:tcPr>
                  <w:tcW w:w="1185" w:type="dxa"/>
                  <w:gridSpan w:val="2"/>
                  <w:noWrap w:val="0"/>
                  <w:vAlign w:val="center"/>
                </w:tcPr>
                <w:p w14:paraId="7AF404A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成品区</w:t>
                  </w:r>
                </w:p>
              </w:tc>
              <w:tc>
                <w:tcPr>
                  <w:tcW w:w="6167" w:type="dxa"/>
                  <w:tcBorders>
                    <w:right w:val="nil"/>
                  </w:tcBorders>
                  <w:noWrap w:val="0"/>
                  <w:vAlign w:val="center"/>
                </w:tcPr>
                <w:p w14:paraId="66061421">
                  <w:pPr>
                    <w:pStyle w:val="39"/>
                    <w:keepNext w:val="0"/>
                    <w:keepLines w:val="0"/>
                    <w:widowControl/>
                    <w:suppressLineNumbers w:val="0"/>
                    <w:bidi w:val="0"/>
                    <w:spacing w:before="0" w:beforeAutospacing="0" w:after="0" w:afterAutospacing="0"/>
                    <w:ind w:left="0" w:leftChars="0" w:right="0" w:rightChars="0"/>
                    <w:rPr>
                      <w:rFonts w:hint="eastAsia"/>
                      <w:szCs w:val="22"/>
                      <w:lang w:eastAsia="zh-CN"/>
                    </w:rPr>
                  </w:pPr>
                  <w:r>
                    <w:rPr>
                      <w:rFonts w:hint="eastAsia"/>
                      <w:szCs w:val="22"/>
                      <w:lang w:eastAsia="zh-CN"/>
                    </w:rPr>
                    <w:t>位于厂房</w:t>
                  </w:r>
                  <w:r>
                    <w:rPr>
                      <w:rFonts w:hint="eastAsia"/>
                      <w:szCs w:val="22"/>
                      <w:lang w:val="en-US" w:eastAsia="zh-CN"/>
                    </w:rPr>
                    <w:t>东北侧，用于成品临时贮存</w:t>
                  </w:r>
                </w:p>
              </w:tc>
            </w:tr>
            <w:tr w14:paraId="682B8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 w:hRule="atLeast"/>
                <w:jc w:val="center"/>
              </w:trPr>
              <w:tc>
                <w:tcPr>
                  <w:tcW w:w="563" w:type="dxa"/>
                  <w:vMerge w:val="restart"/>
                  <w:tcBorders>
                    <w:left w:val="nil"/>
                  </w:tcBorders>
                  <w:noWrap w:val="0"/>
                  <w:vAlign w:val="center"/>
                </w:tcPr>
                <w:p w14:paraId="597E82E3">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公用工程</w:t>
                  </w:r>
                </w:p>
              </w:tc>
              <w:tc>
                <w:tcPr>
                  <w:tcW w:w="1185" w:type="dxa"/>
                  <w:gridSpan w:val="2"/>
                  <w:noWrap w:val="0"/>
                  <w:vAlign w:val="center"/>
                </w:tcPr>
                <w:p w14:paraId="0DD49C5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供电系统</w:t>
                  </w:r>
                </w:p>
              </w:tc>
              <w:tc>
                <w:tcPr>
                  <w:tcW w:w="6167" w:type="dxa"/>
                  <w:tcBorders>
                    <w:right w:val="nil"/>
                  </w:tcBorders>
                  <w:noWrap w:val="0"/>
                  <w:vAlign w:val="center"/>
                </w:tcPr>
                <w:p w14:paraId="308C133D">
                  <w:pPr>
                    <w:pStyle w:val="39"/>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rPr>
                    <w:t>接市政供电系统，依托</w:t>
                  </w:r>
                  <w:r>
                    <w:rPr>
                      <w:rFonts w:hint="eastAsia"/>
                      <w:szCs w:val="22"/>
                      <w:lang w:eastAsia="zh-CN"/>
                    </w:rPr>
                    <w:t>福清洪添科技有限公司</w:t>
                  </w:r>
                  <w:r>
                    <w:rPr>
                      <w:rFonts w:hint="eastAsia"/>
                      <w:szCs w:val="22"/>
                    </w:rPr>
                    <w:t>厂区供电</w:t>
                  </w:r>
                </w:p>
              </w:tc>
            </w:tr>
            <w:tr w14:paraId="64C450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 w:hRule="atLeast"/>
                <w:jc w:val="center"/>
              </w:trPr>
              <w:tc>
                <w:tcPr>
                  <w:tcW w:w="563" w:type="dxa"/>
                  <w:vMerge w:val="continue"/>
                  <w:tcBorders>
                    <w:left w:val="nil"/>
                  </w:tcBorders>
                  <w:noWrap w:val="0"/>
                  <w:vAlign w:val="center"/>
                </w:tcPr>
                <w:p w14:paraId="226C45C7">
                  <w:pPr>
                    <w:pStyle w:val="39"/>
                    <w:keepNext w:val="0"/>
                    <w:keepLines w:val="0"/>
                    <w:widowControl/>
                    <w:suppressLineNumbers w:val="0"/>
                    <w:bidi w:val="0"/>
                    <w:spacing w:before="0" w:beforeAutospacing="0" w:after="0" w:afterAutospacing="0"/>
                    <w:ind w:left="0" w:right="0"/>
                    <w:rPr>
                      <w:rFonts w:hint="eastAsia"/>
                      <w:szCs w:val="22"/>
                    </w:rPr>
                  </w:pPr>
                </w:p>
              </w:tc>
              <w:tc>
                <w:tcPr>
                  <w:tcW w:w="1185" w:type="dxa"/>
                  <w:gridSpan w:val="2"/>
                  <w:noWrap w:val="0"/>
                  <w:vAlign w:val="center"/>
                </w:tcPr>
                <w:p w14:paraId="0683284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给水系统</w:t>
                  </w:r>
                </w:p>
              </w:tc>
              <w:tc>
                <w:tcPr>
                  <w:tcW w:w="6167" w:type="dxa"/>
                  <w:tcBorders>
                    <w:right w:val="nil"/>
                  </w:tcBorders>
                  <w:noWrap w:val="0"/>
                  <w:vAlign w:val="center"/>
                </w:tcPr>
                <w:p w14:paraId="59896A44">
                  <w:pPr>
                    <w:pStyle w:val="39"/>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rPr>
                    <w:t>接市政供水管网，依托</w:t>
                  </w:r>
                  <w:r>
                    <w:rPr>
                      <w:rFonts w:hint="eastAsia"/>
                      <w:szCs w:val="22"/>
                      <w:lang w:eastAsia="zh-CN"/>
                    </w:rPr>
                    <w:t>福清洪添科技有限公司</w:t>
                  </w:r>
                  <w:r>
                    <w:rPr>
                      <w:rFonts w:hint="eastAsia"/>
                      <w:szCs w:val="22"/>
                    </w:rPr>
                    <w:t>厂区供水</w:t>
                  </w:r>
                </w:p>
              </w:tc>
            </w:tr>
            <w:tr w14:paraId="0DF2C6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8" w:hRule="atLeast"/>
                <w:jc w:val="center"/>
              </w:trPr>
              <w:tc>
                <w:tcPr>
                  <w:tcW w:w="563" w:type="dxa"/>
                  <w:vMerge w:val="continue"/>
                  <w:tcBorders>
                    <w:left w:val="nil"/>
                  </w:tcBorders>
                  <w:noWrap w:val="0"/>
                  <w:vAlign w:val="center"/>
                </w:tcPr>
                <w:p w14:paraId="4D9CBCD3">
                  <w:pPr>
                    <w:pStyle w:val="39"/>
                    <w:keepNext w:val="0"/>
                    <w:keepLines w:val="0"/>
                    <w:widowControl/>
                    <w:suppressLineNumbers w:val="0"/>
                    <w:bidi w:val="0"/>
                    <w:spacing w:before="0" w:beforeAutospacing="0" w:after="0" w:afterAutospacing="0"/>
                    <w:ind w:left="0" w:right="0"/>
                    <w:rPr>
                      <w:rFonts w:hint="eastAsia"/>
                      <w:szCs w:val="22"/>
                    </w:rPr>
                  </w:pPr>
                </w:p>
              </w:tc>
              <w:tc>
                <w:tcPr>
                  <w:tcW w:w="1185" w:type="dxa"/>
                  <w:gridSpan w:val="2"/>
                  <w:noWrap w:val="0"/>
                  <w:vAlign w:val="center"/>
                </w:tcPr>
                <w:p w14:paraId="6FE2E8B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排水系统</w:t>
                  </w:r>
                </w:p>
              </w:tc>
              <w:tc>
                <w:tcPr>
                  <w:tcW w:w="6167" w:type="dxa"/>
                  <w:tcBorders>
                    <w:right w:val="nil"/>
                  </w:tcBorders>
                  <w:noWrap w:val="0"/>
                  <w:vAlign w:val="center"/>
                </w:tcPr>
                <w:p w14:paraId="59FD3C75">
                  <w:pPr>
                    <w:pStyle w:val="39"/>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rPr>
                    <w:t>雨污分流，雨水经雨水管收集后直接排入市政雨水管网；污水经污水管收集后排入市政污水管网</w:t>
                  </w:r>
                </w:p>
              </w:tc>
            </w:tr>
            <w:tr w14:paraId="06BE8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3" w:hRule="atLeast"/>
                <w:jc w:val="center"/>
              </w:trPr>
              <w:tc>
                <w:tcPr>
                  <w:tcW w:w="563" w:type="dxa"/>
                  <w:vMerge w:val="restart"/>
                  <w:tcBorders>
                    <w:left w:val="nil"/>
                  </w:tcBorders>
                  <w:noWrap w:val="0"/>
                  <w:vAlign w:val="center"/>
                </w:tcPr>
                <w:p w14:paraId="1A5CB0F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环保工程</w:t>
                  </w:r>
                </w:p>
              </w:tc>
              <w:tc>
                <w:tcPr>
                  <w:tcW w:w="1185" w:type="dxa"/>
                  <w:gridSpan w:val="2"/>
                  <w:noWrap w:val="0"/>
                  <w:vAlign w:val="center"/>
                </w:tcPr>
                <w:p w14:paraId="4D080ED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废水治理</w:t>
                  </w:r>
                </w:p>
              </w:tc>
              <w:tc>
                <w:tcPr>
                  <w:tcW w:w="6167" w:type="dxa"/>
                  <w:tcBorders>
                    <w:right w:val="nil"/>
                  </w:tcBorders>
                  <w:noWrap w:val="0"/>
                  <w:vAlign w:val="center"/>
                </w:tcPr>
                <w:p w14:paraId="3C616480">
                  <w:pPr>
                    <w:pStyle w:val="39"/>
                    <w:keepNext w:val="0"/>
                    <w:keepLines w:val="0"/>
                    <w:widowControl/>
                    <w:suppressLineNumbers w:val="0"/>
                    <w:bidi w:val="0"/>
                    <w:spacing w:before="0" w:beforeAutospacing="0" w:after="0" w:afterAutospacing="0"/>
                    <w:ind w:left="0" w:leftChars="0" w:right="0" w:rightChars="0"/>
                    <w:rPr>
                      <w:rFonts w:hint="eastAsia"/>
                      <w:szCs w:val="22"/>
                      <w:lang w:val="en-US" w:eastAsia="zh-CN"/>
                    </w:rPr>
                  </w:pPr>
                  <w:r>
                    <w:rPr>
                      <w:rFonts w:hint="eastAsia"/>
                      <w:szCs w:val="22"/>
                      <w:lang w:val="en-US" w:eastAsia="zh-CN"/>
                    </w:rPr>
                    <w:t>水帘喷漆用水循环使用，待浓度过高时按危废委托有资质的危废处置单清运处置；</w:t>
                  </w:r>
                  <w:r>
                    <w:rPr>
                      <w:rFonts w:hint="eastAsia"/>
                      <w:szCs w:val="22"/>
                    </w:rPr>
                    <w:t>生活污水经厂区内已建化粪池预处理后排入</w:t>
                  </w:r>
                  <w:r>
                    <w:rPr>
                      <w:rFonts w:hint="eastAsia"/>
                      <w:szCs w:val="22"/>
                      <w:lang w:eastAsia="zh-CN"/>
                    </w:rPr>
                    <w:t>市政污水管网</w:t>
                  </w:r>
                  <w:r>
                    <w:rPr>
                      <w:rFonts w:hint="eastAsia"/>
                      <w:szCs w:val="22"/>
                    </w:rPr>
                    <w:t>，纳入福清市融元污水处理厂</w:t>
                  </w:r>
                </w:p>
              </w:tc>
            </w:tr>
            <w:tr w14:paraId="2D8B0C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5" w:hRule="atLeast"/>
                <w:jc w:val="center"/>
              </w:trPr>
              <w:tc>
                <w:tcPr>
                  <w:tcW w:w="563" w:type="dxa"/>
                  <w:vMerge w:val="continue"/>
                  <w:tcBorders>
                    <w:left w:val="nil"/>
                  </w:tcBorders>
                  <w:noWrap w:val="0"/>
                  <w:vAlign w:val="center"/>
                </w:tcPr>
                <w:p w14:paraId="3F5113CC">
                  <w:pPr>
                    <w:pStyle w:val="39"/>
                    <w:keepNext w:val="0"/>
                    <w:keepLines w:val="0"/>
                    <w:widowControl/>
                    <w:suppressLineNumbers w:val="0"/>
                    <w:bidi w:val="0"/>
                    <w:spacing w:before="0" w:beforeAutospacing="0" w:after="0" w:afterAutospacing="0"/>
                    <w:ind w:left="0" w:right="0"/>
                    <w:rPr>
                      <w:rFonts w:hint="eastAsia"/>
                      <w:szCs w:val="22"/>
                    </w:rPr>
                  </w:pPr>
                </w:p>
              </w:tc>
              <w:tc>
                <w:tcPr>
                  <w:tcW w:w="1185" w:type="dxa"/>
                  <w:gridSpan w:val="2"/>
                  <w:noWrap w:val="0"/>
                  <w:vAlign w:val="center"/>
                </w:tcPr>
                <w:p w14:paraId="59FE7B3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废气治理</w:t>
                  </w:r>
                </w:p>
              </w:tc>
              <w:tc>
                <w:tcPr>
                  <w:tcW w:w="6167" w:type="dxa"/>
                  <w:tcBorders>
                    <w:right w:val="nil"/>
                  </w:tcBorders>
                  <w:noWrap w:val="0"/>
                  <w:vAlign w:val="center"/>
                </w:tcPr>
                <w:p w14:paraId="3535D5D8">
                  <w:pPr>
                    <w:pStyle w:val="39"/>
                    <w:keepNext w:val="0"/>
                    <w:keepLines w:val="0"/>
                    <w:widowControl/>
                    <w:suppressLineNumbers w:val="0"/>
                    <w:bidi w:val="0"/>
                    <w:spacing w:before="0" w:beforeAutospacing="0" w:after="0" w:afterAutospacing="0"/>
                    <w:ind w:left="0" w:leftChars="0" w:right="0" w:rightChars="0"/>
                    <w:jc w:val="both"/>
                    <w:rPr>
                      <w:rFonts w:hint="eastAsia"/>
                      <w:szCs w:val="22"/>
                      <w:lang w:val="en-US" w:eastAsia="zh-CN"/>
                    </w:rPr>
                  </w:pPr>
                  <w:r>
                    <w:rPr>
                      <w:rFonts w:hint="eastAsia"/>
                      <w:szCs w:val="22"/>
                      <w:lang w:eastAsia="zh-CN"/>
                    </w:rPr>
                    <w:t>全厂共设三条生产线，配套建设两套完全独立、互不连通的废气治理设施：其中，1#生产线的烘干、加烤及喷漆（经水帘柜预处理）废气合并进入其专用的“过滤棉+二级活性炭吸附装置”处理，最终通过15米高排气筒DA001排放；2#和3#生产线的烘烤、加烤及喷漆（分别经水帘柜预处理）废气合并共用一套“过滤棉+二级活性炭吸附装置”处理，最终通过15米高排气筒DA002排放</w:t>
                  </w:r>
                </w:p>
              </w:tc>
            </w:tr>
            <w:tr w14:paraId="3B3FB1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 w:hRule="atLeast"/>
                <w:jc w:val="center"/>
              </w:trPr>
              <w:tc>
                <w:tcPr>
                  <w:tcW w:w="563" w:type="dxa"/>
                  <w:vMerge w:val="continue"/>
                  <w:tcBorders>
                    <w:left w:val="nil"/>
                  </w:tcBorders>
                  <w:noWrap w:val="0"/>
                  <w:vAlign w:val="center"/>
                </w:tcPr>
                <w:p w14:paraId="0AADD3CF">
                  <w:pPr>
                    <w:pStyle w:val="39"/>
                    <w:keepNext w:val="0"/>
                    <w:keepLines w:val="0"/>
                    <w:widowControl/>
                    <w:suppressLineNumbers w:val="0"/>
                    <w:bidi w:val="0"/>
                    <w:spacing w:before="0" w:beforeAutospacing="0" w:after="0" w:afterAutospacing="0"/>
                    <w:ind w:left="0" w:right="0"/>
                    <w:rPr>
                      <w:rFonts w:hint="eastAsia"/>
                      <w:szCs w:val="22"/>
                    </w:rPr>
                  </w:pPr>
                </w:p>
              </w:tc>
              <w:tc>
                <w:tcPr>
                  <w:tcW w:w="1185" w:type="dxa"/>
                  <w:gridSpan w:val="2"/>
                  <w:noWrap w:val="0"/>
                  <w:vAlign w:val="center"/>
                </w:tcPr>
                <w:p w14:paraId="529AD76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噪声治理</w:t>
                  </w:r>
                </w:p>
              </w:tc>
              <w:tc>
                <w:tcPr>
                  <w:tcW w:w="6167" w:type="dxa"/>
                  <w:tcBorders>
                    <w:right w:val="nil"/>
                  </w:tcBorders>
                  <w:noWrap w:val="0"/>
                  <w:vAlign w:val="center"/>
                </w:tcPr>
                <w:p w14:paraId="30B661A8">
                  <w:pPr>
                    <w:pStyle w:val="39"/>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rPr>
                    <w:t>选用低噪声设备，加强设备的维护管理；对高噪声设备进行基础减振、通过厂房墙体隔声等综合降噪措施</w:t>
                  </w:r>
                </w:p>
              </w:tc>
            </w:tr>
            <w:tr w14:paraId="055491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1" w:hRule="atLeast"/>
                <w:jc w:val="center"/>
              </w:trPr>
              <w:tc>
                <w:tcPr>
                  <w:tcW w:w="563" w:type="dxa"/>
                  <w:vMerge w:val="continue"/>
                  <w:tcBorders>
                    <w:left w:val="nil"/>
                  </w:tcBorders>
                  <w:noWrap w:val="0"/>
                  <w:vAlign w:val="center"/>
                </w:tcPr>
                <w:p w14:paraId="0EDA6FBE">
                  <w:pPr>
                    <w:pStyle w:val="39"/>
                    <w:keepNext w:val="0"/>
                    <w:keepLines w:val="0"/>
                    <w:widowControl/>
                    <w:suppressLineNumbers w:val="0"/>
                    <w:bidi w:val="0"/>
                    <w:spacing w:before="0" w:beforeAutospacing="0" w:after="0" w:afterAutospacing="0"/>
                    <w:ind w:left="0" w:right="0"/>
                    <w:rPr>
                      <w:rFonts w:hint="eastAsia"/>
                      <w:szCs w:val="22"/>
                    </w:rPr>
                  </w:pPr>
                </w:p>
              </w:tc>
              <w:tc>
                <w:tcPr>
                  <w:tcW w:w="247" w:type="dxa"/>
                  <w:vMerge w:val="restart"/>
                  <w:noWrap w:val="0"/>
                  <w:vAlign w:val="center"/>
                </w:tcPr>
                <w:p w14:paraId="53886F8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固废治理</w:t>
                  </w:r>
                </w:p>
              </w:tc>
              <w:tc>
                <w:tcPr>
                  <w:tcW w:w="938" w:type="dxa"/>
                  <w:noWrap w:val="0"/>
                  <w:vAlign w:val="center"/>
                </w:tcPr>
                <w:p w14:paraId="405E1F8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生活垃圾</w:t>
                  </w:r>
                </w:p>
              </w:tc>
              <w:tc>
                <w:tcPr>
                  <w:tcW w:w="6167" w:type="dxa"/>
                  <w:tcBorders>
                    <w:right w:val="nil"/>
                  </w:tcBorders>
                  <w:noWrap w:val="0"/>
                  <w:vAlign w:val="center"/>
                </w:tcPr>
                <w:p w14:paraId="7C42411F">
                  <w:pPr>
                    <w:pStyle w:val="39"/>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rPr>
                    <w:t>厂区内设置生活垃圾收集桶，分类收集后，委托环卫部门清运处置</w:t>
                  </w:r>
                </w:p>
              </w:tc>
            </w:tr>
            <w:tr w14:paraId="26545A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1" w:hRule="atLeast"/>
                <w:jc w:val="center"/>
              </w:trPr>
              <w:tc>
                <w:tcPr>
                  <w:tcW w:w="563" w:type="dxa"/>
                  <w:vMerge w:val="continue"/>
                  <w:tcBorders>
                    <w:left w:val="nil"/>
                  </w:tcBorders>
                  <w:noWrap w:val="0"/>
                  <w:vAlign w:val="center"/>
                </w:tcPr>
                <w:p w14:paraId="5CCC1B71">
                  <w:pPr>
                    <w:pStyle w:val="39"/>
                    <w:keepNext w:val="0"/>
                    <w:keepLines w:val="0"/>
                    <w:widowControl/>
                    <w:suppressLineNumbers w:val="0"/>
                    <w:bidi w:val="0"/>
                    <w:spacing w:before="0" w:beforeAutospacing="0" w:after="0" w:afterAutospacing="0"/>
                    <w:ind w:left="0" w:right="0"/>
                    <w:rPr>
                      <w:rFonts w:hint="eastAsia"/>
                      <w:szCs w:val="22"/>
                    </w:rPr>
                  </w:pPr>
                </w:p>
              </w:tc>
              <w:tc>
                <w:tcPr>
                  <w:tcW w:w="247" w:type="dxa"/>
                  <w:vMerge w:val="continue"/>
                  <w:noWrap w:val="0"/>
                  <w:vAlign w:val="center"/>
                </w:tcPr>
                <w:p w14:paraId="5916EBEB">
                  <w:pPr>
                    <w:pStyle w:val="39"/>
                    <w:keepNext w:val="0"/>
                    <w:keepLines w:val="0"/>
                    <w:widowControl/>
                    <w:suppressLineNumbers w:val="0"/>
                    <w:bidi w:val="0"/>
                    <w:spacing w:before="0" w:beforeAutospacing="0" w:after="0" w:afterAutospacing="0"/>
                    <w:ind w:left="0" w:right="0"/>
                    <w:rPr>
                      <w:rFonts w:hint="eastAsia"/>
                      <w:szCs w:val="22"/>
                    </w:rPr>
                  </w:pPr>
                </w:p>
              </w:tc>
              <w:tc>
                <w:tcPr>
                  <w:tcW w:w="938" w:type="dxa"/>
                  <w:noWrap w:val="0"/>
                  <w:vAlign w:val="center"/>
                </w:tcPr>
                <w:p w14:paraId="0B69C4C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危险废物</w:t>
                  </w:r>
                </w:p>
              </w:tc>
              <w:tc>
                <w:tcPr>
                  <w:tcW w:w="6167" w:type="dxa"/>
                  <w:tcBorders>
                    <w:right w:val="nil"/>
                  </w:tcBorders>
                  <w:noWrap w:val="0"/>
                  <w:vAlign w:val="center"/>
                </w:tcPr>
                <w:p w14:paraId="38A546B7">
                  <w:pPr>
                    <w:pStyle w:val="39"/>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rPr>
                    <w:t>设置</w:t>
                  </w:r>
                  <w:r>
                    <w:rPr>
                      <w:rFonts w:hint="eastAsia"/>
                      <w:szCs w:val="22"/>
                      <w:lang w:eastAsia="zh-CN"/>
                    </w:rPr>
                    <w:t>危废贮存库</w:t>
                  </w:r>
                  <w:r>
                    <w:rPr>
                      <w:rFonts w:hint="eastAsia"/>
                      <w:szCs w:val="22"/>
                    </w:rPr>
                    <w:t>，妥善分类收集后定期委托有资质单位统一处置</w:t>
                  </w:r>
                </w:p>
              </w:tc>
            </w:tr>
            <w:tr w14:paraId="4E8A6F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1" w:hRule="atLeast"/>
                <w:jc w:val="center"/>
              </w:trPr>
              <w:tc>
                <w:tcPr>
                  <w:tcW w:w="563" w:type="dxa"/>
                  <w:vMerge w:val="continue"/>
                  <w:tcBorders>
                    <w:left w:val="nil"/>
                  </w:tcBorders>
                  <w:noWrap w:val="0"/>
                  <w:vAlign w:val="center"/>
                </w:tcPr>
                <w:p w14:paraId="65D91F71">
                  <w:pPr>
                    <w:pStyle w:val="39"/>
                    <w:keepNext w:val="0"/>
                    <w:keepLines w:val="0"/>
                    <w:widowControl/>
                    <w:suppressLineNumbers w:val="0"/>
                    <w:bidi w:val="0"/>
                    <w:spacing w:before="0" w:beforeAutospacing="0" w:after="0" w:afterAutospacing="0"/>
                    <w:ind w:left="0" w:right="0"/>
                    <w:rPr>
                      <w:rFonts w:hint="eastAsia"/>
                      <w:szCs w:val="22"/>
                    </w:rPr>
                  </w:pPr>
                </w:p>
              </w:tc>
              <w:tc>
                <w:tcPr>
                  <w:tcW w:w="247" w:type="dxa"/>
                  <w:vMerge w:val="continue"/>
                  <w:noWrap w:val="0"/>
                  <w:vAlign w:val="center"/>
                </w:tcPr>
                <w:p w14:paraId="74E86AE3">
                  <w:pPr>
                    <w:pStyle w:val="39"/>
                    <w:keepNext w:val="0"/>
                    <w:keepLines w:val="0"/>
                    <w:widowControl/>
                    <w:suppressLineNumbers w:val="0"/>
                    <w:bidi w:val="0"/>
                    <w:spacing w:before="0" w:beforeAutospacing="0" w:after="0" w:afterAutospacing="0"/>
                    <w:ind w:left="0" w:right="0"/>
                    <w:rPr>
                      <w:rFonts w:hint="eastAsia"/>
                      <w:szCs w:val="22"/>
                    </w:rPr>
                  </w:pPr>
                </w:p>
              </w:tc>
              <w:tc>
                <w:tcPr>
                  <w:tcW w:w="938" w:type="dxa"/>
                  <w:noWrap w:val="0"/>
                  <w:vAlign w:val="center"/>
                </w:tcPr>
                <w:p w14:paraId="0CEFCC0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 xml:space="preserve">一般固体废物 </w:t>
                  </w:r>
                </w:p>
              </w:tc>
              <w:tc>
                <w:tcPr>
                  <w:tcW w:w="6167" w:type="dxa"/>
                  <w:tcBorders>
                    <w:right w:val="nil"/>
                  </w:tcBorders>
                  <w:noWrap w:val="0"/>
                  <w:vAlign w:val="center"/>
                </w:tcPr>
                <w:p w14:paraId="50209F4A">
                  <w:pPr>
                    <w:pStyle w:val="39"/>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rPr>
                    <w:t>设置一般固废暂存区，一般工业固废分类收集、暂存后综合利用</w:t>
                  </w:r>
                </w:p>
              </w:tc>
            </w:tr>
          </w:tbl>
          <w:p w14:paraId="4C49142E">
            <w:pPr>
              <w:pStyle w:val="4"/>
              <w:suppressLineNumbers w:val="0"/>
              <w:bidi w:val="0"/>
              <w:spacing w:before="0" w:beforeAutospacing="0" w:after="0" w:afterAutospacing="0"/>
              <w:ind w:left="0" w:right="0"/>
              <w:rPr>
                <w:rFonts w:hint="default"/>
              </w:rPr>
            </w:pPr>
            <w:r>
              <w:rPr>
                <w:rFonts w:hint="default"/>
              </w:rPr>
              <w:t>产品方案和主要原辅材料、能源消耗</w:t>
            </w:r>
          </w:p>
          <w:p w14:paraId="4F62DB55">
            <w:pPr>
              <w:keepNext w:val="0"/>
              <w:keepLines w:val="0"/>
              <w:suppressLineNumbers w:val="0"/>
              <w:bidi w:val="0"/>
              <w:spacing w:before="0" w:beforeAutospacing="0" w:after="0" w:afterAutospacing="0"/>
              <w:ind w:left="0" w:right="0"/>
              <w:rPr>
                <w:rFonts w:hint="eastAsia"/>
              </w:rPr>
            </w:pPr>
            <w:r>
              <w:rPr>
                <w:rFonts w:hint="eastAsia"/>
              </w:rPr>
              <w:t>（1）产品方案</w:t>
            </w:r>
          </w:p>
          <w:p w14:paraId="2222A340">
            <w:pPr>
              <w:keepNext w:val="0"/>
              <w:keepLines w:val="0"/>
              <w:suppressLineNumbers w:val="0"/>
              <w:bidi w:val="0"/>
              <w:spacing w:before="0" w:beforeAutospacing="0" w:after="0" w:afterAutospacing="0"/>
              <w:ind w:left="0" w:right="0"/>
              <w:rPr>
                <w:rFonts w:hint="eastAsia"/>
              </w:rPr>
            </w:pPr>
            <w:r>
              <w:rPr>
                <w:rFonts w:hint="eastAsia"/>
                <w:lang w:val="en-US" w:eastAsia="zh-CN"/>
              </w:rPr>
              <w:t>本项目主要生产内容为：将待加工厂提供的半成品加工至所需的最终成品，然后检验合格后包装运回待加工厂。</w:t>
            </w:r>
            <w:r>
              <w:rPr>
                <w:rFonts w:hint="eastAsia"/>
              </w:rPr>
              <w:t>项目具体产品方案及产量情况详见表</w:t>
            </w:r>
            <w:r>
              <w:rPr>
                <w:rFonts w:hint="eastAsia"/>
                <w:color w:val="auto"/>
                <w:highlight w:val="none"/>
                <w:lang w:val="en-US" w:eastAsia="zh-CN"/>
              </w:rPr>
              <w:t>2.3-2</w:t>
            </w:r>
            <w:r>
              <w:rPr>
                <w:rFonts w:hint="eastAsia"/>
              </w:rPr>
              <w:t>。</w:t>
            </w:r>
          </w:p>
          <w:p w14:paraId="1E26538A">
            <w:pPr>
              <w:pStyle w:val="40"/>
              <w:keepNext w:val="0"/>
              <w:keepLines w:val="0"/>
              <w:suppressLineNumbers w:val="0"/>
              <w:bidi w:val="0"/>
              <w:spacing w:before="0" w:beforeAutospacing="0" w:after="0" w:afterAutospacing="0"/>
              <w:ind w:left="0" w:right="0"/>
              <w:rPr>
                <w:rFonts w:hint="eastAsia"/>
                <w:lang w:eastAsia="zh-CN"/>
              </w:rPr>
            </w:pPr>
            <w:r>
              <w:rPr>
                <w:rFonts w:hint="eastAsia"/>
                <w:lang w:eastAsia="zh-CN"/>
              </w:rPr>
              <w:t>表</w:t>
            </w:r>
            <w:r>
              <w:rPr>
                <w:rFonts w:hint="eastAsia"/>
                <w:color w:val="auto"/>
                <w:highlight w:val="none"/>
                <w:lang w:val="en-US" w:eastAsia="zh-CN"/>
              </w:rPr>
              <w:t>2.3-2</w:t>
            </w:r>
            <w:r>
              <w:rPr>
                <w:rFonts w:hint="eastAsia"/>
                <w:lang w:eastAsia="zh-CN"/>
              </w:rPr>
              <w:t xml:space="preserve"> 项目产品方案情况一览表</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1361"/>
              <w:gridCol w:w="1999"/>
              <w:gridCol w:w="4553"/>
            </w:tblGrid>
            <w:tr w14:paraId="3B7CE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6" w:hRule="atLeast"/>
                <w:jc w:val="center"/>
              </w:trPr>
              <w:tc>
                <w:tcPr>
                  <w:tcW w:w="860" w:type="pct"/>
                  <w:tcBorders>
                    <w:top w:val="single" w:color="000000" w:sz="12" w:space="0"/>
                    <w:left w:val="nil"/>
                    <w:tl2br w:val="nil"/>
                  </w:tcBorders>
                  <w:shd w:val="clear" w:color="auto" w:fill="auto"/>
                  <w:noWrap/>
                  <w:vAlign w:val="center"/>
                </w:tcPr>
                <w:p w14:paraId="72A2233C">
                  <w:pPr>
                    <w:pStyle w:val="39"/>
                    <w:keepNext w:val="0"/>
                    <w:keepLines w:val="0"/>
                    <w:widowControl/>
                    <w:suppressLineNumbers w:val="0"/>
                    <w:bidi w:val="0"/>
                    <w:spacing w:before="0" w:beforeAutospacing="0" w:after="0" w:afterAutospacing="0"/>
                    <w:ind w:left="0" w:right="0"/>
                    <w:rPr>
                      <w:rFonts w:hint="eastAsia"/>
                      <w:b w:val="0"/>
                      <w:color w:val="000000"/>
                      <w:szCs w:val="22"/>
                      <w:lang w:eastAsia="zh-CN"/>
                    </w:rPr>
                  </w:pPr>
                  <w:r>
                    <w:rPr>
                      <w:rFonts w:hint="eastAsia"/>
                      <w:b w:val="0"/>
                      <w:color w:val="000000"/>
                      <w:szCs w:val="22"/>
                    </w:rPr>
                    <w:t>产品</w:t>
                  </w:r>
                  <w:r>
                    <w:rPr>
                      <w:rFonts w:hint="eastAsia"/>
                      <w:b w:val="0"/>
                      <w:color w:val="000000"/>
                      <w:szCs w:val="22"/>
                      <w:lang w:val="en-US" w:eastAsia="zh-CN"/>
                    </w:rPr>
                    <w:t>名称</w:t>
                  </w:r>
                </w:p>
              </w:tc>
              <w:tc>
                <w:tcPr>
                  <w:tcW w:w="1263" w:type="pct"/>
                  <w:tcBorders>
                    <w:top w:val="single" w:color="000000" w:sz="12" w:space="0"/>
                  </w:tcBorders>
                  <w:shd w:val="clear" w:color="auto" w:fill="auto"/>
                  <w:noWrap/>
                  <w:vAlign w:val="center"/>
                </w:tcPr>
                <w:p w14:paraId="23A70A22">
                  <w:pPr>
                    <w:pStyle w:val="39"/>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lang w:val="en-US" w:eastAsia="zh-CN"/>
                    </w:rPr>
                    <w:t>本项目年产量</w:t>
                  </w:r>
                </w:p>
              </w:tc>
              <w:tc>
                <w:tcPr>
                  <w:tcW w:w="2876" w:type="pct"/>
                  <w:tcBorders>
                    <w:top w:val="single" w:color="000000" w:sz="12" w:space="0"/>
                    <w:right w:val="nil"/>
                  </w:tcBorders>
                  <w:shd w:val="clear" w:color="auto" w:fill="auto"/>
                  <w:noWrap/>
                  <w:vAlign w:val="center"/>
                </w:tcPr>
                <w:p w14:paraId="5CA71D2C">
                  <w:pPr>
                    <w:pStyle w:val="39"/>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lang w:val="en-US" w:eastAsia="zh-CN"/>
                    </w:rPr>
                    <w:t>去向及包装</w:t>
                  </w:r>
                </w:p>
              </w:tc>
            </w:tr>
            <w:tr w14:paraId="07D6B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6" w:hRule="atLeast"/>
                <w:jc w:val="center"/>
              </w:trPr>
              <w:tc>
                <w:tcPr>
                  <w:tcW w:w="860" w:type="pct"/>
                  <w:tcBorders>
                    <w:left w:val="nil"/>
                  </w:tcBorders>
                  <w:shd w:val="clear" w:color="auto" w:fill="auto"/>
                  <w:noWrap/>
                  <w:vAlign w:val="center"/>
                </w:tcPr>
                <w:p w14:paraId="4CD6CE8C">
                  <w:pPr>
                    <w:pStyle w:val="39"/>
                    <w:keepNext w:val="0"/>
                    <w:keepLines w:val="0"/>
                    <w:widowControl/>
                    <w:suppressLineNumbers w:val="0"/>
                    <w:bidi w:val="0"/>
                    <w:spacing w:before="0" w:beforeAutospacing="0" w:after="0" w:afterAutospacing="0"/>
                    <w:ind w:left="0" w:right="0"/>
                    <w:rPr>
                      <w:rFonts w:hint="eastAsia"/>
                      <w:b w:val="0"/>
                      <w:color w:val="000000"/>
                      <w:szCs w:val="22"/>
                      <w:lang w:eastAsia="zh-CN"/>
                    </w:rPr>
                  </w:pPr>
                  <w:r>
                    <w:rPr>
                      <w:rFonts w:hint="eastAsia"/>
                      <w:b w:val="0"/>
                      <w:color w:val="000000"/>
                      <w:szCs w:val="22"/>
                      <w:lang w:val="en-US" w:eastAsia="zh-CN"/>
                    </w:rPr>
                    <w:t>铝合金</w:t>
                  </w:r>
                </w:p>
              </w:tc>
              <w:tc>
                <w:tcPr>
                  <w:tcW w:w="1263" w:type="pct"/>
                  <w:shd w:val="clear" w:color="auto" w:fill="auto"/>
                  <w:noWrap/>
                  <w:vAlign w:val="center"/>
                </w:tcPr>
                <w:p w14:paraId="409DB292">
                  <w:pPr>
                    <w:pStyle w:val="39"/>
                    <w:keepNext w:val="0"/>
                    <w:keepLines w:val="0"/>
                    <w:widowControl/>
                    <w:suppressLineNumbers w:val="0"/>
                    <w:bidi w:val="0"/>
                    <w:spacing w:before="0" w:beforeAutospacing="0" w:after="0" w:afterAutospacing="0"/>
                    <w:ind w:left="0" w:right="0"/>
                    <w:rPr>
                      <w:rFonts w:hint="eastAsia"/>
                      <w:b w:val="0"/>
                      <w:color w:val="000000"/>
                      <w:szCs w:val="22"/>
                      <w:lang w:val="en-US" w:eastAsia="zh-CN"/>
                    </w:rPr>
                  </w:pPr>
                  <w:r>
                    <w:rPr>
                      <w:rFonts w:hint="eastAsia"/>
                      <w:b w:val="0"/>
                      <w:color w:val="000000"/>
                      <w:szCs w:val="22"/>
                      <w:lang w:val="en-US" w:eastAsia="zh-CN"/>
                    </w:rPr>
                    <w:t>20万套</w:t>
                  </w:r>
                </w:p>
              </w:tc>
              <w:tc>
                <w:tcPr>
                  <w:tcW w:w="2876" w:type="pct"/>
                  <w:tcBorders>
                    <w:right w:val="nil"/>
                  </w:tcBorders>
                  <w:shd w:val="clear" w:color="auto" w:fill="auto"/>
                  <w:noWrap/>
                  <w:vAlign w:val="center"/>
                </w:tcPr>
                <w:p w14:paraId="0E2925EB">
                  <w:pPr>
                    <w:pStyle w:val="39"/>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lang w:val="en-US" w:eastAsia="zh-CN"/>
                    </w:rPr>
                    <w:t>运回待加工厂，纸箱或铁框包装</w:t>
                  </w:r>
                </w:p>
              </w:tc>
            </w:tr>
            <w:tr w14:paraId="4ED6B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6" w:hRule="atLeast"/>
                <w:jc w:val="center"/>
              </w:trPr>
              <w:tc>
                <w:tcPr>
                  <w:tcW w:w="860" w:type="pct"/>
                  <w:tcBorders>
                    <w:left w:val="nil"/>
                  </w:tcBorders>
                  <w:shd w:val="clear" w:color="auto" w:fill="auto"/>
                  <w:noWrap/>
                  <w:vAlign w:val="center"/>
                </w:tcPr>
                <w:p w14:paraId="14AB3618">
                  <w:pPr>
                    <w:pStyle w:val="39"/>
                    <w:keepNext w:val="0"/>
                    <w:keepLines w:val="0"/>
                    <w:widowControl/>
                    <w:suppressLineNumbers w:val="0"/>
                    <w:bidi w:val="0"/>
                    <w:spacing w:before="0" w:beforeAutospacing="0" w:after="0" w:afterAutospacing="0"/>
                    <w:ind w:left="0" w:right="0"/>
                    <w:rPr>
                      <w:rFonts w:hint="eastAsia"/>
                      <w:b w:val="0"/>
                      <w:color w:val="000000"/>
                      <w:szCs w:val="22"/>
                      <w:lang w:eastAsia="zh-CN"/>
                    </w:rPr>
                  </w:pPr>
                  <w:r>
                    <w:rPr>
                      <w:rFonts w:hint="eastAsia"/>
                      <w:b w:val="0"/>
                      <w:color w:val="000000"/>
                      <w:szCs w:val="22"/>
                      <w:lang w:val="en-US" w:eastAsia="zh-CN"/>
                    </w:rPr>
                    <w:t>塑胶件</w:t>
                  </w:r>
                </w:p>
              </w:tc>
              <w:tc>
                <w:tcPr>
                  <w:tcW w:w="1263" w:type="pct"/>
                  <w:shd w:val="clear" w:color="auto" w:fill="auto"/>
                  <w:noWrap/>
                  <w:vAlign w:val="center"/>
                </w:tcPr>
                <w:p w14:paraId="26CD4534">
                  <w:pPr>
                    <w:pStyle w:val="39"/>
                    <w:keepNext w:val="0"/>
                    <w:keepLines w:val="0"/>
                    <w:widowControl/>
                    <w:suppressLineNumbers w:val="0"/>
                    <w:bidi w:val="0"/>
                    <w:spacing w:before="0" w:beforeAutospacing="0" w:after="0" w:afterAutospacing="0"/>
                    <w:ind w:left="0" w:right="0"/>
                    <w:rPr>
                      <w:rFonts w:hint="eastAsia"/>
                      <w:b w:val="0"/>
                      <w:color w:val="000000"/>
                      <w:szCs w:val="22"/>
                      <w:lang w:val="en-US" w:eastAsia="zh-CN"/>
                    </w:rPr>
                  </w:pPr>
                  <w:r>
                    <w:rPr>
                      <w:rFonts w:hint="eastAsia"/>
                      <w:b w:val="0"/>
                      <w:color w:val="000000"/>
                      <w:szCs w:val="22"/>
                      <w:lang w:val="en-US" w:eastAsia="zh-CN"/>
                    </w:rPr>
                    <w:t>30万套</w:t>
                  </w:r>
                </w:p>
              </w:tc>
              <w:tc>
                <w:tcPr>
                  <w:tcW w:w="2876" w:type="pct"/>
                  <w:tcBorders>
                    <w:right w:val="nil"/>
                  </w:tcBorders>
                  <w:shd w:val="clear" w:color="auto" w:fill="auto"/>
                  <w:noWrap/>
                  <w:vAlign w:val="center"/>
                </w:tcPr>
                <w:p w14:paraId="32D35805">
                  <w:pPr>
                    <w:pStyle w:val="39"/>
                    <w:keepNext w:val="0"/>
                    <w:keepLines w:val="0"/>
                    <w:widowControl/>
                    <w:suppressLineNumbers w:val="0"/>
                    <w:bidi w:val="0"/>
                    <w:spacing w:before="0" w:beforeAutospacing="0" w:after="0" w:afterAutospacing="0"/>
                    <w:ind w:left="0" w:right="0"/>
                    <w:rPr>
                      <w:rFonts w:hint="eastAsia"/>
                      <w:b w:val="0"/>
                      <w:color w:val="000000"/>
                      <w:szCs w:val="22"/>
                      <w:lang w:val="en-US" w:eastAsia="zh-CN"/>
                    </w:rPr>
                  </w:pPr>
                  <w:r>
                    <w:rPr>
                      <w:rFonts w:hint="eastAsia"/>
                      <w:b w:val="0"/>
                      <w:color w:val="000000"/>
                      <w:szCs w:val="22"/>
                      <w:lang w:val="en-US" w:eastAsia="zh-CN"/>
                    </w:rPr>
                    <w:t>运回待加工厂，胶框包装</w:t>
                  </w:r>
                </w:p>
              </w:tc>
            </w:tr>
            <w:tr w14:paraId="6E1849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6" w:hRule="atLeast"/>
                <w:jc w:val="center"/>
              </w:trPr>
              <w:tc>
                <w:tcPr>
                  <w:tcW w:w="860" w:type="pct"/>
                  <w:tcBorders>
                    <w:left w:val="nil"/>
                    <w:bottom w:val="single" w:color="000000" w:sz="12" w:space="0"/>
                  </w:tcBorders>
                  <w:shd w:val="clear" w:color="auto" w:fill="auto"/>
                  <w:noWrap/>
                  <w:vAlign w:val="center"/>
                </w:tcPr>
                <w:p w14:paraId="4E118F4A">
                  <w:pPr>
                    <w:pStyle w:val="39"/>
                    <w:keepNext w:val="0"/>
                    <w:keepLines w:val="0"/>
                    <w:widowControl/>
                    <w:suppressLineNumbers w:val="0"/>
                    <w:bidi w:val="0"/>
                    <w:spacing w:before="0" w:beforeAutospacing="0" w:after="0" w:afterAutospacing="0"/>
                    <w:ind w:left="0" w:right="0"/>
                    <w:rPr>
                      <w:rFonts w:hint="eastAsia"/>
                      <w:b w:val="0"/>
                      <w:color w:val="000000"/>
                      <w:szCs w:val="22"/>
                      <w:lang w:val="en-US" w:eastAsia="zh-CN"/>
                    </w:rPr>
                  </w:pPr>
                  <w:r>
                    <w:rPr>
                      <w:rFonts w:hint="eastAsia"/>
                      <w:b w:val="0"/>
                      <w:color w:val="000000"/>
                      <w:szCs w:val="22"/>
                      <w:lang w:val="en-US" w:eastAsia="zh-CN"/>
                    </w:rPr>
                    <w:t>钣金件</w:t>
                  </w:r>
                </w:p>
              </w:tc>
              <w:tc>
                <w:tcPr>
                  <w:tcW w:w="1263" w:type="pct"/>
                  <w:tcBorders>
                    <w:bottom w:val="single" w:color="000000" w:sz="12" w:space="0"/>
                  </w:tcBorders>
                  <w:shd w:val="clear" w:color="auto" w:fill="auto"/>
                  <w:noWrap/>
                  <w:vAlign w:val="center"/>
                </w:tcPr>
                <w:p w14:paraId="7EA21771">
                  <w:pPr>
                    <w:pStyle w:val="39"/>
                    <w:keepNext w:val="0"/>
                    <w:keepLines w:val="0"/>
                    <w:widowControl/>
                    <w:suppressLineNumbers w:val="0"/>
                    <w:bidi w:val="0"/>
                    <w:spacing w:before="0" w:beforeAutospacing="0" w:after="0" w:afterAutospacing="0"/>
                    <w:ind w:left="0" w:right="0"/>
                    <w:rPr>
                      <w:rFonts w:hint="eastAsia"/>
                      <w:b w:val="0"/>
                      <w:color w:val="000000"/>
                      <w:szCs w:val="22"/>
                      <w:lang w:val="en-US" w:eastAsia="zh-CN"/>
                    </w:rPr>
                  </w:pPr>
                  <w:r>
                    <w:rPr>
                      <w:rFonts w:hint="eastAsia"/>
                      <w:b w:val="0"/>
                      <w:color w:val="000000"/>
                      <w:szCs w:val="22"/>
                      <w:lang w:val="en-US" w:eastAsia="zh-CN"/>
                    </w:rPr>
                    <w:t>10万套</w:t>
                  </w:r>
                </w:p>
              </w:tc>
              <w:tc>
                <w:tcPr>
                  <w:tcW w:w="2876" w:type="pct"/>
                  <w:tcBorders>
                    <w:bottom w:val="single" w:color="000000" w:sz="12" w:space="0"/>
                    <w:right w:val="nil"/>
                  </w:tcBorders>
                  <w:shd w:val="clear" w:color="auto" w:fill="auto"/>
                  <w:noWrap/>
                  <w:vAlign w:val="center"/>
                </w:tcPr>
                <w:p w14:paraId="0CCE517A">
                  <w:pPr>
                    <w:pStyle w:val="39"/>
                    <w:keepNext w:val="0"/>
                    <w:keepLines w:val="0"/>
                    <w:widowControl/>
                    <w:suppressLineNumbers w:val="0"/>
                    <w:bidi w:val="0"/>
                    <w:spacing w:before="0" w:beforeAutospacing="0" w:after="0" w:afterAutospacing="0"/>
                    <w:ind w:left="0" w:right="0"/>
                    <w:rPr>
                      <w:rFonts w:hint="eastAsia"/>
                      <w:b w:val="0"/>
                      <w:color w:val="000000"/>
                      <w:szCs w:val="22"/>
                      <w:lang w:val="en-US" w:eastAsia="zh-CN"/>
                    </w:rPr>
                  </w:pPr>
                  <w:r>
                    <w:rPr>
                      <w:rFonts w:hint="eastAsia"/>
                      <w:b w:val="0"/>
                      <w:color w:val="000000"/>
                      <w:szCs w:val="22"/>
                      <w:lang w:val="en-US" w:eastAsia="zh-CN"/>
                    </w:rPr>
                    <w:t>运回待加工厂，铁框包装</w:t>
                  </w:r>
                </w:p>
              </w:tc>
            </w:tr>
          </w:tbl>
          <w:p w14:paraId="27E2BDF7">
            <w:pPr>
              <w:keepNext w:val="0"/>
              <w:keepLines w:val="0"/>
              <w:suppressLineNumbers w:val="0"/>
              <w:bidi w:val="0"/>
              <w:spacing w:before="0" w:beforeAutospacing="0" w:after="0" w:afterAutospacing="0"/>
              <w:ind w:left="0" w:right="0"/>
              <w:rPr>
                <w:rFonts w:hint="eastAsia"/>
              </w:rPr>
            </w:pPr>
            <w:r>
              <w:rPr>
                <w:rFonts w:hint="eastAsia"/>
                <w:color w:val="auto"/>
              </w:rPr>
              <w:t>（</w:t>
            </w:r>
            <w:r>
              <w:rPr>
                <w:rFonts w:hint="eastAsia"/>
              </w:rPr>
              <w:t>2）主要原辅材料、能源消耗</w:t>
            </w:r>
          </w:p>
          <w:p w14:paraId="135290E3">
            <w:pPr>
              <w:keepNext w:val="0"/>
              <w:keepLines w:val="0"/>
              <w:suppressLineNumbers w:val="0"/>
              <w:bidi w:val="0"/>
              <w:spacing w:before="0" w:beforeAutospacing="0" w:after="0" w:afterAutospacing="0"/>
              <w:ind w:left="0" w:right="0"/>
              <w:rPr>
                <w:rFonts w:hint="eastAsia"/>
              </w:rPr>
            </w:pPr>
            <w:r>
              <w:rPr>
                <w:rFonts w:hint="eastAsia"/>
              </w:rPr>
              <w:t>本项目主要原辅材料及能源消耗详见表</w:t>
            </w:r>
            <w:r>
              <w:rPr>
                <w:rFonts w:hint="eastAsia"/>
                <w:color w:val="auto"/>
                <w:highlight w:val="none"/>
                <w:lang w:val="en-US" w:eastAsia="zh-CN"/>
              </w:rPr>
              <w:t>2.3-3</w:t>
            </w:r>
            <w:r>
              <w:rPr>
                <w:rFonts w:hint="eastAsia"/>
              </w:rPr>
              <w:t>。</w:t>
            </w:r>
          </w:p>
          <w:p w14:paraId="4A0D5C03">
            <w:pPr>
              <w:pStyle w:val="40"/>
              <w:keepNext w:val="0"/>
              <w:keepLines w:val="0"/>
              <w:suppressLineNumbers w:val="0"/>
              <w:bidi w:val="0"/>
              <w:spacing w:before="0" w:beforeAutospacing="0" w:after="0" w:afterAutospacing="0"/>
              <w:ind w:left="0" w:right="0"/>
              <w:rPr>
                <w:rFonts w:hint="eastAsia"/>
                <w:lang w:eastAsia="zh-CN"/>
              </w:rPr>
            </w:pPr>
            <w:r>
              <w:rPr>
                <w:rFonts w:hint="eastAsia"/>
                <w:lang w:eastAsia="zh-CN"/>
              </w:rPr>
              <w:t>表</w:t>
            </w:r>
            <w:r>
              <w:rPr>
                <w:rFonts w:hint="eastAsia"/>
                <w:color w:val="auto"/>
                <w:highlight w:val="none"/>
                <w:lang w:val="en-US" w:eastAsia="zh-CN"/>
              </w:rPr>
              <w:t>2.3-3</w:t>
            </w:r>
            <w:r>
              <w:rPr>
                <w:rFonts w:hint="eastAsia"/>
                <w:lang w:eastAsia="zh-CN"/>
              </w:rPr>
              <w:t xml:space="preserve"> 项目主要原辅材料、能源消耗情况一览表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89"/>
              <w:gridCol w:w="2874"/>
              <w:gridCol w:w="1111"/>
              <w:gridCol w:w="1111"/>
              <w:gridCol w:w="1111"/>
              <w:gridCol w:w="1116"/>
            </w:tblGrid>
            <w:tr w14:paraId="214FA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vMerge w:val="restart"/>
                  <w:tcBorders>
                    <w:left w:val="nil"/>
                  </w:tcBorders>
                  <w:noWrap/>
                  <w:vAlign w:val="center"/>
                </w:tcPr>
                <w:p w14:paraId="1DB436A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序号</w:t>
                  </w:r>
                </w:p>
              </w:tc>
              <w:tc>
                <w:tcPr>
                  <w:tcW w:w="1816" w:type="pct"/>
                  <w:vMerge w:val="restart"/>
                  <w:noWrap w:val="0"/>
                  <w:vAlign w:val="center"/>
                </w:tcPr>
                <w:p w14:paraId="220E9421">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rPr>
                    <w:t>材料/能源</w:t>
                  </w:r>
                </w:p>
              </w:tc>
              <w:tc>
                <w:tcPr>
                  <w:tcW w:w="2810" w:type="pct"/>
                  <w:gridSpan w:val="4"/>
                  <w:tcBorders>
                    <w:right w:val="nil"/>
                  </w:tcBorders>
                  <w:noWrap/>
                  <w:vAlign w:val="center"/>
                </w:tcPr>
                <w:p w14:paraId="205A08E0">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本项目年</w:t>
                  </w:r>
                  <w:r>
                    <w:rPr>
                      <w:rFonts w:hint="eastAsia"/>
                      <w:szCs w:val="22"/>
                    </w:rPr>
                    <w:t>用量</w:t>
                  </w:r>
                </w:p>
              </w:tc>
            </w:tr>
            <w:tr w14:paraId="6D3085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vMerge w:val="continue"/>
                  <w:tcBorders>
                    <w:left w:val="nil"/>
                  </w:tcBorders>
                  <w:noWrap/>
                  <w:vAlign w:val="center"/>
                </w:tcPr>
                <w:p w14:paraId="400CCE6C">
                  <w:pPr>
                    <w:pStyle w:val="39"/>
                    <w:keepNext w:val="0"/>
                    <w:keepLines w:val="0"/>
                    <w:widowControl/>
                    <w:suppressLineNumbers w:val="0"/>
                    <w:bidi w:val="0"/>
                    <w:spacing w:before="0" w:beforeAutospacing="0" w:after="0" w:afterAutospacing="0"/>
                    <w:ind w:left="0" w:right="0"/>
                    <w:rPr>
                      <w:rFonts w:hint="eastAsia"/>
                      <w:szCs w:val="22"/>
                    </w:rPr>
                  </w:pPr>
                </w:p>
              </w:tc>
              <w:tc>
                <w:tcPr>
                  <w:tcW w:w="1816" w:type="pct"/>
                  <w:vMerge w:val="continue"/>
                  <w:noWrap w:val="0"/>
                  <w:vAlign w:val="center"/>
                </w:tcPr>
                <w:p w14:paraId="6ADBA62A">
                  <w:pPr>
                    <w:pStyle w:val="39"/>
                    <w:keepNext w:val="0"/>
                    <w:keepLines w:val="0"/>
                    <w:widowControl/>
                    <w:suppressLineNumbers w:val="0"/>
                    <w:bidi w:val="0"/>
                    <w:spacing w:before="0" w:beforeAutospacing="0" w:after="0" w:afterAutospacing="0"/>
                    <w:ind w:left="0" w:right="0"/>
                    <w:rPr>
                      <w:rFonts w:hint="eastAsia"/>
                      <w:szCs w:val="22"/>
                      <w:lang w:val="en-US" w:eastAsia="zh-CN"/>
                    </w:rPr>
                  </w:pPr>
                </w:p>
              </w:tc>
              <w:tc>
                <w:tcPr>
                  <w:tcW w:w="702" w:type="pct"/>
                  <w:tcBorders>
                    <w:right w:val="nil"/>
                  </w:tcBorders>
                  <w:shd w:val="clear" w:color="auto" w:fill="auto"/>
                  <w:noWrap/>
                  <w:vAlign w:val="center"/>
                </w:tcPr>
                <w:p w14:paraId="34D53AA0">
                  <w:pPr>
                    <w:pStyle w:val="39"/>
                    <w:keepNext w:val="0"/>
                    <w:keepLines w:val="0"/>
                    <w:widowControl/>
                    <w:suppressLineNumbers w:val="0"/>
                    <w:bidi w:val="0"/>
                    <w:spacing w:before="0" w:beforeAutospacing="0" w:after="0" w:afterAutospacing="0"/>
                    <w:ind w:left="0" w:right="0"/>
                    <w:rPr>
                      <w:rFonts w:hint="eastAsia" w:ascii="Times New Roman" w:hAnsi="Times New Roman" w:eastAsia="宋体" w:cs="Times New Roman"/>
                      <w:kern w:val="2"/>
                      <w:sz w:val="21"/>
                      <w:szCs w:val="22"/>
                      <w:lang w:val="en-US" w:eastAsia="zh-CN" w:bidi="ar-SA"/>
                    </w:rPr>
                  </w:pPr>
                  <w:r>
                    <w:rPr>
                      <w:rFonts w:hint="eastAsia"/>
                      <w:szCs w:val="22"/>
                      <w:lang w:val="en-US" w:eastAsia="zh-CN"/>
                    </w:rPr>
                    <w:t>生产线1</w:t>
                  </w:r>
                </w:p>
              </w:tc>
              <w:tc>
                <w:tcPr>
                  <w:tcW w:w="702" w:type="pct"/>
                  <w:tcBorders>
                    <w:right w:val="nil"/>
                  </w:tcBorders>
                  <w:shd w:val="clear" w:color="auto" w:fill="auto"/>
                  <w:noWrap/>
                  <w:vAlign w:val="center"/>
                </w:tcPr>
                <w:p w14:paraId="7BFF12F1">
                  <w:pPr>
                    <w:pStyle w:val="39"/>
                    <w:keepNext w:val="0"/>
                    <w:keepLines w:val="0"/>
                    <w:widowControl/>
                    <w:suppressLineNumbers w:val="0"/>
                    <w:bidi w:val="0"/>
                    <w:spacing w:before="0" w:beforeAutospacing="0" w:after="0" w:afterAutospacing="0"/>
                    <w:ind w:left="0" w:right="0"/>
                    <w:rPr>
                      <w:rFonts w:hint="eastAsia" w:ascii="Times New Roman" w:hAnsi="Times New Roman" w:eastAsia="宋体" w:cs="Times New Roman"/>
                      <w:kern w:val="2"/>
                      <w:sz w:val="21"/>
                      <w:szCs w:val="22"/>
                      <w:lang w:val="en-US" w:eastAsia="zh-CN" w:bidi="ar-SA"/>
                    </w:rPr>
                  </w:pPr>
                  <w:r>
                    <w:rPr>
                      <w:rFonts w:hint="eastAsia"/>
                      <w:szCs w:val="22"/>
                      <w:lang w:val="en-US" w:eastAsia="zh-CN"/>
                    </w:rPr>
                    <w:t>生产线2</w:t>
                  </w:r>
                </w:p>
              </w:tc>
              <w:tc>
                <w:tcPr>
                  <w:tcW w:w="702" w:type="pct"/>
                  <w:tcBorders>
                    <w:right w:val="nil"/>
                  </w:tcBorders>
                  <w:shd w:val="clear" w:color="auto" w:fill="auto"/>
                  <w:noWrap/>
                  <w:vAlign w:val="center"/>
                </w:tcPr>
                <w:p w14:paraId="25D5A25A">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生产线3</w:t>
                  </w:r>
                </w:p>
              </w:tc>
              <w:tc>
                <w:tcPr>
                  <w:tcW w:w="703" w:type="pct"/>
                  <w:tcBorders>
                    <w:right w:val="nil"/>
                  </w:tcBorders>
                  <w:shd w:val="clear" w:color="auto" w:fill="auto"/>
                  <w:noWrap/>
                  <w:vAlign w:val="center"/>
                </w:tcPr>
                <w:p w14:paraId="269FB52F">
                  <w:pPr>
                    <w:pStyle w:val="39"/>
                    <w:keepNext w:val="0"/>
                    <w:keepLines w:val="0"/>
                    <w:widowControl/>
                    <w:suppressLineNumbers w:val="0"/>
                    <w:bidi w:val="0"/>
                    <w:spacing w:before="0" w:beforeAutospacing="0" w:after="0" w:afterAutospacing="0"/>
                    <w:ind w:left="0" w:right="0"/>
                    <w:rPr>
                      <w:rFonts w:hint="eastAsia" w:ascii="Times New Roman" w:hAnsi="Times New Roman" w:eastAsia="宋体" w:cs="Times New Roman"/>
                      <w:kern w:val="2"/>
                      <w:sz w:val="21"/>
                      <w:szCs w:val="22"/>
                      <w:lang w:val="en-US" w:eastAsia="zh-CN" w:bidi="ar-SA"/>
                    </w:rPr>
                  </w:pPr>
                  <w:r>
                    <w:rPr>
                      <w:rFonts w:hint="eastAsia"/>
                      <w:szCs w:val="22"/>
                      <w:lang w:val="en-US" w:eastAsia="zh-CN"/>
                    </w:rPr>
                    <w:t>合计</w:t>
                  </w:r>
                </w:p>
              </w:tc>
            </w:tr>
            <w:tr w14:paraId="2C62C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tcBorders>
                    <w:left w:val="nil"/>
                  </w:tcBorders>
                  <w:noWrap/>
                  <w:vAlign w:val="center"/>
                </w:tcPr>
                <w:p w14:paraId="2604669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w:t>
                  </w:r>
                </w:p>
              </w:tc>
              <w:tc>
                <w:tcPr>
                  <w:tcW w:w="1816" w:type="pct"/>
                  <w:noWrap w:val="0"/>
                  <w:vAlign w:val="center"/>
                </w:tcPr>
                <w:p w14:paraId="47AA1CDF">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压铸铝</w:t>
                  </w:r>
                </w:p>
              </w:tc>
              <w:tc>
                <w:tcPr>
                  <w:tcW w:w="702" w:type="pct"/>
                  <w:tcBorders>
                    <w:right w:val="nil"/>
                  </w:tcBorders>
                  <w:shd w:val="clear" w:color="auto" w:fill="auto"/>
                  <w:noWrap/>
                  <w:vAlign w:val="center"/>
                </w:tcPr>
                <w:p w14:paraId="0FC7C785">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6.9</w:t>
                  </w:r>
                  <w:r>
                    <w:rPr>
                      <w:rFonts w:hint="eastAsia"/>
                      <w:szCs w:val="22"/>
                      <w:lang w:val="en-US" w:eastAsia="zh-CN"/>
                    </w:rPr>
                    <w:t>万套</w:t>
                  </w:r>
                </w:p>
              </w:tc>
              <w:tc>
                <w:tcPr>
                  <w:tcW w:w="702" w:type="pct"/>
                  <w:tcBorders>
                    <w:right w:val="nil"/>
                  </w:tcBorders>
                  <w:shd w:val="clear" w:color="auto" w:fill="auto"/>
                  <w:noWrap/>
                  <w:vAlign w:val="center"/>
                </w:tcPr>
                <w:p w14:paraId="5FDD2058">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6.9</w:t>
                  </w:r>
                  <w:r>
                    <w:rPr>
                      <w:rFonts w:hint="eastAsia"/>
                      <w:szCs w:val="22"/>
                      <w:lang w:val="en-US" w:eastAsia="zh-CN"/>
                    </w:rPr>
                    <w:t>万套</w:t>
                  </w:r>
                </w:p>
              </w:tc>
              <w:tc>
                <w:tcPr>
                  <w:tcW w:w="702" w:type="pct"/>
                  <w:tcBorders>
                    <w:right w:val="nil"/>
                  </w:tcBorders>
                  <w:shd w:val="clear" w:color="auto" w:fill="auto"/>
                  <w:noWrap/>
                  <w:vAlign w:val="center"/>
                </w:tcPr>
                <w:p w14:paraId="52AA9209">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6.8</w:t>
                  </w:r>
                  <w:r>
                    <w:rPr>
                      <w:rFonts w:hint="eastAsia"/>
                      <w:szCs w:val="22"/>
                      <w:lang w:val="en-US" w:eastAsia="zh-CN"/>
                    </w:rPr>
                    <w:t>万套</w:t>
                  </w:r>
                </w:p>
              </w:tc>
              <w:tc>
                <w:tcPr>
                  <w:tcW w:w="703" w:type="pct"/>
                  <w:tcBorders>
                    <w:right w:val="nil"/>
                  </w:tcBorders>
                  <w:shd w:val="clear" w:color="auto" w:fill="auto"/>
                  <w:noWrap/>
                  <w:vAlign w:val="center"/>
                </w:tcPr>
                <w:p w14:paraId="3CB7BCA2">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20.6</w:t>
                  </w:r>
                  <w:r>
                    <w:rPr>
                      <w:rFonts w:hint="eastAsia"/>
                      <w:szCs w:val="22"/>
                      <w:lang w:val="en-US" w:eastAsia="zh-CN"/>
                    </w:rPr>
                    <w:t>万套</w:t>
                  </w:r>
                </w:p>
              </w:tc>
            </w:tr>
            <w:tr w14:paraId="3493BB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tcBorders>
                    <w:left w:val="nil"/>
                  </w:tcBorders>
                  <w:noWrap/>
                  <w:vAlign w:val="center"/>
                </w:tcPr>
                <w:p w14:paraId="2167B2F0">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rPr>
                    <w:t>2</w:t>
                  </w:r>
                </w:p>
              </w:tc>
              <w:tc>
                <w:tcPr>
                  <w:tcW w:w="1816" w:type="pct"/>
                  <w:noWrap w:val="0"/>
                  <w:vAlign w:val="center"/>
                </w:tcPr>
                <w:p w14:paraId="3238AF31">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塑胶壳</w:t>
                  </w:r>
                </w:p>
              </w:tc>
              <w:tc>
                <w:tcPr>
                  <w:tcW w:w="702" w:type="pct"/>
                  <w:tcBorders>
                    <w:right w:val="nil"/>
                  </w:tcBorders>
                  <w:noWrap/>
                  <w:vAlign w:val="center"/>
                </w:tcPr>
                <w:p w14:paraId="79A9EBA1">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10.3</w:t>
                  </w:r>
                  <w:r>
                    <w:rPr>
                      <w:rFonts w:hint="eastAsia"/>
                      <w:szCs w:val="22"/>
                      <w:lang w:val="en-US" w:eastAsia="zh-CN"/>
                    </w:rPr>
                    <w:t>万套</w:t>
                  </w:r>
                </w:p>
              </w:tc>
              <w:tc>
                <w:tcPr>
                  <w:tcW w:w="702" w:type="pct"/>
                  <w:tcBorders>
                    <w:right w:val="nil"/>
                  </w:tcBorders>
                  <w:noWrap/>
                  <w:vAlign w:val="center"/>
                </w:tcPr>
                <w:p w14:paraId="36C955B2">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10.3</w:t>
                  </w:r>
                  <w:r>
                    <w:rPr>
                      <w:rFonts w:hint="eastAsia"/>
                      <w:szCs w:val="22"/>
                      <w:lang w:val="en-US" w:eastAsia="zh-CN"/>
                    </w:rPr>
                    <w:t>万套</w:t>
                  </w:r>
                </w:p>
              </w:tc>
              <w:tc>
                <w:tcPr>
                  <w:tcW w:w="702" w:type="pct"/>
                  <w:tcBorders>
                    <w:right w:val="nil"/>
                  </w:tcBorders>
                  <w:noWrap/>
                  <w:vAlign w:val="center"/>
                </w:tcPr>
                <w:p w14:paraId="79BE5055">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10.3</w:t>
                  </w:r>
                  <w:r>
                    <w:rPr>
                      <w:rFonts w:hint="eastAsia"/>
                      <w:szCs w:val="22"/>
                      <w:lang w:val="en-US" w:eastAsia="zh-CN"/>
                    </w:rPr>
                    <w:t>万套</w:t>
                  </w:r>
                </w:p>
              </w:tc>
              <w:tc>
                <w:tcPr>
                  <w:tcW w:w="703" w:type="pct"/>
                  <w:tcBorders>
                    <w:right w:val="nil"/>
                  </w:tcBorders>
                  <w:noWrap/>
                  <w:vAlign w:val="center"/>
                </w:tcPr>
                <w:p w14:paraId="05EA0ABA">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30.9</w:t>
                  </w:r>
                  <w:r>
                    <w:rPr>
                      <w:rFonts w:hint="eastAsia"/>
                      <w:szCs w:val="22"/>
                      <w:lang w:val="en-US" w:eastAsia="zh-CN"/>
                    </w:rPr>
                    <w:t>万套</w:t>
                  </w:r>
                </w:p>
              </w:tc>
            </w:tr>
            <w:tr w14:paraId="428D21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tcBorders>
                    <w:left w:val="nil"/>
                  </w:tcBorders>
                  <w:noWrap/>
                  <w:vAlign w:val="center"/>
                </w:tcPr>
                <w:p w14:paraId="3CD62D28">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rPr>
                    <w:t>3</w:t>
                  </w:r>
                </w:p>
              </w:tc>
              <w:tc>
                <w:tcPr>
                  <w:tcW w:w="1816" w:type="pct"/>
                  <w:noWrap w:val="0"/>
                  <w:vAlign w:val="center"/>
                </w:tcPr>
                <w:p w14:paraId="3F498951">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钣金</w:t>
                  </w:r>
                </w:p>
              </w:tc>
              <w:tc>
                <w:tcPr>
                  <w:tcW w:w="702" w:type="pct"/>
                  <w:tcBorders>
                    <w:right w:val="nil"/>
                  </w:tcBorders>
                  <w:noWrap/>
                  <w:vAlign w:val="center"/>
                </w:tcPr>
                <w:p w14:paraId="26FFB476">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3.4</w:t>
                  </w:r>
                  <w:r>
                    <w:rPr>
                      <w:rFonts w:hint="eastAsia"/>
                      <w:szCs w:val="22"/>
                      <w:lang w:val="en-US" w:eastAsia="zh-CN"/>
                    </w:rPr>
                    <w:t>万套</w:t>
                  </w:r>
                </w:p>
              </w:tc>
              <w:tc>
                <w:tcPr>
                  <w:tcW w:w="702" w:type="pct"/>
                  <w:tcBorders>
                    <w:right w:val="nil"/>
                  </w:tcBorders>
                  <w:noWrap/>
                  <w:vAlign w:val="center"/>
                </w:tcPr>
                <w:p w14:paraId="5FC3EDF6">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3.4</w:t>
                  </w:r>
                  <w:r>
                    <w:rPr>
                      <w:rFonts w:hint="eastAsia"/>
                      <w:szCs w:val="22"/>
                      <w:lang w:val="en-US" w:eastAsia="zh-CN"/>
                    </w:rPr>
                    <w:t>万套</w:t>
                  </w:r>
                </w:p>
              </w:tc>
              <w:tc>
                <w:tcPr>
                  <w:tcW w:w="702" w:type="pct"/>
                  <w:tcBorders>
                    <w:right w:val="nil"/>
                  </w:tcBorders>
                  <w:noWrap/>
                  <w:vAlign w:val="center"/>
                </w:tcPr>
                <w:p w14:paraId="01743265">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3.4</w:t>
                  </w:r>
                  <w:r>
                    <w:rPr>
                      <w:rFonts w:hint="eastAsia"/>
                      <w:szCs w:val="22"/>
                      <w:lang w:val="en-US" w:eastAsia="zh-CN"/>
                    </w:rPr>
                    <w:t>万套</w:t>
                  </w:r>
                </w:p>
              </w:tc>
              <w:tc>
                <w:tcPr>
                  <w:tcW w:w="703" w:type="pct"/>
                  <w:tcBorders>
                    <w:right w:val="nil"/>
                  </w:tcBorders>
                  <w:noWrap/>
                  <w:vAlign w:val="center"/>
                </w:tcPr>
                <w:p w14:paraId="6BCAE42F">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10.2</w:t>
                  </w:r>
                  <w:r>
                    <w:rPr>
                      <w:rFonts w:hint="eastAsia"/>
                      <w:szCs w:val="22"/>
                      <w:lang w:val="en-US" w:eastAsia="zh-CN"/>
                    </w:rPr>
                    <w:t>万套</w:t>
                  </w:r>
                </w:p>
              </w:tc>
            </w:tr>
            <w:tr w14:paraId="350ABA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73" w:type="pct"/>
                  <w:tcBorders>
                    <w:left w:val="nil"/>
                  </w:tcBorders>
                  <w:noWrap/>
                  <w:vAlign w:val="center"/>
                </w:tcPr>
                <w:p w14:paraId="5138FA53">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4</w:t>
                  </w:r>
                </w:p>
              </w:tc>
              <w:tc>
                <w:tcPr>
                  <w:tcW w:w="1816" w:type="pct"/>
                  <w:noWrap w:val="0"/>
                  <w:vAlign w:val="center"/>
                </w:tcPr>
                <w:p w14:paraId="527D5EBD">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水性漆</w:t>
                  </w:r>
                </w:p>
              </w:tc>
              <w:tc>
                <w:tcPr>
                  <w:tcW w:w="702" w:type="pct"/>
                  <w:tcBorders>
                    <w:right w:val="nil"/>
                  </w:tcBorders>
                  <w:noWrap/>
                  <w:vAlign w:val="center"/>
                </w:tcPr>
                <w:p w14:paraId="57B00B7C">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0.3t</w:t>
                  </w:r>
                </w:p>
              </w:tc>
              <w:tc>
                <w:tcPr>
                  <w:tcW w:w="702" w:type="pct"/>
                  <w:tcBorders>
                    <w:right w:val="nil"/>
                  </w:tcBorders>
                  <w:noWrap/>
                  <w:vAlign w:val="center"/>
                </w:tcPr>
                <w:p w14:paraId="2F300BC7">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0.3t</w:t>
                  </w:r>
                </w:p>
              </w:tc>
              <w:tc>
                <w:tcPr>
                  <w:tcW w:w="702" w:type="pct"/>
                  <w:tcBorders>
                    <w:right w:val="nil"/>
                  </w:tcBorders>
                  <w:noWrap/>
                  <w:vAlign w:val="center"/>
                </w:tcPr>
                <w:p w14:paraId="6A1C1E61">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0.3t</w:t>
                  </w:r>
                </w:p>
              </w:tc>
              <w:tc>
                <w:tcPr>
                  <w:tcW w:w="703" w:type="pct"/>
                  <w:tcBorders>
                    <w:right w:val="nil"/>
                  </w:tcBorders>
                  <w:noWrap/>
                  <w:vAlign w:val="center"/>
                </w:tcPr>
                <w:p w14:paraId="6C1C38D5">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0.9t</w:t>
                  </w:r>
                </w:p>
              </w:tc>
            </w:tr>
            <w:tr w14:paraId="7940F7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tcBorders>
                    <w:left w:val="nil"/>
                  </w:tcBorders>
                  <w:noWrap/>
                  <w:vAlign w:val="center"/>
                </w:tcPr>
                <w:p w14:paraId="0B9CCE9D">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5</w:t>
                  </w:r>
                </w:p>
              </w:tc>
              <w:tc>
                <w:tcPr>
                  <w:tcW w:w="1816" w:type="pct"/>
                  <w:noWrap w:val="0"/>
                  <w:vAlign w:val="center"/>
                </w:tcPr>
                <w:p w14:paraId="4BE45293">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塑胶用油性漆</w:t>
                  </w:r>
                </w:p>
              </w:tc>
              <w:tc>
                <w:tcPr>
                  <w:tcW w:w="702" w:type="pct"/>
                  <w:tcBorders>
                    <w:right w:val="nil"/>
                  </w:tcBorders>
                  <w:noWrap/>
                  <w:vAlign w:val="center"/>
                </w:tcPr>
                <w:p w14:paraId="45D2E84F">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default"/>
                      <w:szCs w:val="22"/>
                      <w:lang w:val="en-US" w:eastAsia="zh-CN"/>
                    </w:rPr>
                    <w:t>0.2t</w:t>
                  </w:r>
                </w:p>
              </w:tc>
              <w:tc>
                <w:tcPr>
                  <w:tcW w:w="702" w:type="pct"/>
                  <w:tcBorders>
                    <w:right w:val="nil"/>
                  </w:tcBorders>
                  <w:noWrap/>
                  <w:vAlign w:val="center"/>
                </w:tcPr>
                <w:p w14:paraId="79F53E78">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0.2t</w:t>
                  </w:r>
                </w:p>
              </w:tc>
              <w:tc>
                <w:tcPr>
                  <w:tcW w:w="702" w:type="pct"/>
                  <w:tcBorders>
                    <w:right w:val="nil"/>
                  </w:tcBorders>
                  <w:noWrap/>
                  <w:vAlign w:val="center"/>
                </w:tcPr>
                <w:p w14:paraId="50109547">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0.2t</w:t>
                  </w:r>
                </w:p>
              </w:tc>
              <w:tc>
                <w:tcPr>
                  <w:tcW w:w="703" w:type="pct"/>
                  <w:tcBorders>
                    <w:right w:val="nil"/>
                  </w:tcBorders>
                  <w:noWrap/>
                  <w:vAlign w:val="center"/>
                </w:tcPr>
                <w:p w14:paraId="1E9BF001">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0.6t</w:t>
                  </w:r>
                </w:p>
              </w:tc>
            </w:tr>
            <w:tr w14:paraId="18C96A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tcBorders>
                    <w:left w:val="nil"/>
                  </w:tcBorders>
                  <w:noWrap/>
                  <w:vAlign w:val="center"/>
                </w:tcPr>
                <w:p w14:paraId="51C8A400">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6</w:t>
                  </w:r>
                </w:p>
              </w:tc>
              <w:tc>
                <w:tcPr>
                  <w:tcW w:w="1816" w:type="pct"/>
                  <w:noWrap w:val="0"/>
                  <w:vAlign w:val="center"/>
                </w:tcPr>
                <w:p w14:paraId="15603ABD">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金属用油性漆</w:t>
                  </w:r>
                </w:p>
              </w:tc>
              <w:tc>
                <w:tcPr>
                  <w:tcW w:w="702" w:type="pct"/>
                  <w:tcBorders>
                    <w:right w:val="nil"/>
                  </w:tcBorders>
                  <w:noWrap/>
                  <w:vAlign w:val="center"/>
                </w:tcPr>
                <w:p w14:paraId="7102A9A0">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default"/>
                      <w:szCs w:val="22"/>
                      <w:lang w:val="en-US" w:eastAsia="zh-CN"/>
                    </w:rPr>
                    <w:t>1.1t</w:t>
                  </w:r>
                </w:p>
              </w:tc>
              <w:tc>
                <w:tcPr>
                  <w:tcW w:w="702" w:type="pct"/>
                  <w:tcBorders>
                    <w:right w:val="nil"/>
                  </w:tcBorders>
                  <w:noWrap/>
                  <w:vAlign w:val="center"/>
                </w:tcPr>
                <w:p w14:paraId="06A9987A">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1.1t</w:t>
                  </w:r>
                </w:p>
              </w:tc>
              <w:tc>
                <w:tcPr>
                  <w:tcW w:w="702" w:type="pct"/>
                  <w:tcBorders>
                    <w:right w:val="nil"/>
                  </w:tcBorders>
                  <w:noWrap/>
                  <w:vAlign w:val="center"/>
                </w:tcPr>
                <w:p w14:paraId="6C444C00">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1.1t</w:t>
                  </w:r>
                </w:p>
              </w:tc>
              <w:tc>
                <w:tcPr>
                  <w:tcW w:w="703" w:type="pct"/>
                  <w:tcBorders>
                    <w:right w:val="nil"/>
                  </w:tcBorders>
                  <w:noWrap/>
                  <w:vAlign w:val="center"/>
                </w:tcPr>
                <w:p w14:paraId="003D5B66">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3.3t</w:t>
                  </w:r>
                </w:p>
              </w:tc>
            </w:tr>
            <w:tr w14:paraId="6C26BD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tcBorders>
                    <w:left w:val="nil"/>
                  </w:tcBorders>
                  <w:noWrap/>
                  <w:vAlign w:val="center"/>
                </w:tcPr>
                <w:p w14:paraId="61BEB4E4">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7</w:t>
                  </w:r>
                </w:p>
              </w:tc>
              <w:tc>
                <w:tcPr>
                  <w:tcW w:w="1816" w:type="pct"/>
                  <w:noWrap w:val="0"/>
                  <w:vAlign w:val="center"/>
                </w:tcPr>
                <w:p w14:paraId="3B45AABB">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稀释剂</w:t>
                  </w:r>
                </w:p>
              </w:tc>
              <w:tc>
                <w:tcPr>
                  <w:tcW w:w="702" w:type="pct"/>
                  <w:tcBorders>
                    <w:right w:val="nil"/>
                  </w:tcBorders>
                  <w:noWrap/>
                  <w:vAlign w:val="center"/>
                </w:tcPr>
                <w:p w14:paraId="478AF582">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default"/>
                      <w:szCs w:val="22"/>
                      <w:lang w:val="en-US" w:eastAsia="zh-CN"/>
                    </w:rPr>
                    <w:t>0.7t</w:t>
                  </w:r>
                </w:p>
              </w:tc>
              <w:tc>
                <w:tcPr>
                  <w:tcW w:w="702" w:type="pct"/>
                  <w:tcBorders>
                    <w:right w:val="nil"/>
                  </w:tcBorders>
                  <w:noWrap/>
                  <w:vAlign w:val="center"/>
                </w:tcPr>
                <w:p w14:paraId="316939CD">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0.7t</w:t>
                  </w:r>
                </w:p>
              </w:tc>
              <w:tc>
                <w:tcPr>
                  <w:tcW w:w="702" w:type="pct"/>
                  <w:tcBorders>
                    <w:right w:val="nil"/>
                  </w:tcBorders>
                  <w:noWrap/>
                  <w:vAlign w:val="center"/>
                </w:tcPr>
                <w:p w14:paraId="40DEBC5E">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0.7t</w:t>
                  </w:r>
                </w:p>
              </w:tc>
              <w:tc>
                <w:tcPr>
                  <w:tcW w:w="703" w:type="pct"/>
                  <w:tcBorders>
                    <w:right w:val="nil"/>
                  </w:tcBorders>
                  <w:noWrap/>
                  <w:vAlign w:val="center"/>
                </w:tcPr>
                <w:p w14:paraId="121E4782">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2.1t</w:t>
                  </w:r>
                </w:p>
              </w:tc>
            </w:tr>
            <w:tr w14:paraId="69DF46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000" w:type="pct"/>
                  <w:gridSpan w:val="6"/>
                  <w:tcBorders>
                    <w:left w:val="nil"/>
                    <w:right w:val="nil"/>
                  </w:tcBorders>
                  <w:noWrap/>
                  <w:vAlign w:val="center"/>
                </w:tcPr>
                <w:p w14:paraId="40433503">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能源消耗</w:t>
                  </w:r>
                </w:p>
              </w:tc>
            </w:tr>
            <w:tr w14:paraId="51DE41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73" w:type="pct"/>
                  <w:tcBorders>
                    <w:left w:val="nil"/>
                  </w:tcBorders>
                  <w:noWrap/>
                  <w:vAlign w:val="center"/>
                </w:tcPr>
                <w:p w14:paraId="5556D462">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8</w:t>
                  </w:r>
                </w:p>
              </w:tc>
              <w:tc>
                <w:tcPr>
                  <w:tcW w:w="1816" w:type="pct"/>
                  <w:noWrap w:val="0"/>
                  <w:vAlign w:val="center"/>
                </w:tcPr>
                <w:p w14:paraId="3C4CA87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水</w:t>
                  </w:r>
                </w:p>
              </w:tc>
              <w:tc>
                <w:tcPr>
                  <w:tcW w:w="2810" w:type="pct"/>
                  <w:gridSpan w:val="4"/>
                  <w:tcBorders>
                    <w:right w:val="nil"/>
                  </w:tcBorders>
                  <w:noWrap/>
                  <w:vAlign w:val="center"/>
                </w:tcPr>
                <w:p w14:paraId="1FE4345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195t/a</w:t>
                  </w:r>
                </w:p>
              </w:tc>
            </w:tr>
            <w:tr w14:paraId="4552F9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tcBorders>
                    <w:left w:val="nil"/>
                  </w:tcBorders>
                  <w:noWrap/>
                  <w:vAlign w:val="center"/>
                </w:tcPr>
                <w:p w14:paraId="591BFE44">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9</w:t>
                  </w:r>
                </w:p>
              </w:tc>
              <w:tc>
                <w:tcPr>
                  <w:tcW w:w="1816" w:type="pct"/>
                  <w:noWrap w:val="0"/>
                  <w:vAlign w:val="center"/>
                </w:tcPr>
                <w:p w14:paraId="026B2C7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电</w:t>
                  </w:r>
                </w:p>
              </w:tc>
              <w:tc>
                <w:tcPr>
                  <w:tcW w:w="2810" w:type="pct"/>
                  <w:gridSpan w:val="4"/>
                  <w:tcBorders>
                    <w:right w:val="nil"/>
                  </w:tcBorders>
                  <w:noWrap/>
                  <w:vAlign w:val="center"/>
                </w:tcPr>
                <w:p w14:paraId="4374640A">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2</w:t>
                  </w:r>
                  <w:r>
                    <w:rPr>
                      <w:rFonts w:hint="eastAsia"/>
                      <w:szCs w:val="22"/>
                      <w:lang w:val="en-US" w:eastAsia="zh-CN"/>
                    </w:rPr>
                    <w:t>万kwh/a</w:t>
                  </w:r>
                </w:p>
              </w:tc>
            </w:tr>
          </w:tbl>
          <w:p w14:paraId="5779F2EB">
            <w:pPr>
              <w:keepNext w:val="0"/>
              <w:keepLines w:val="0"/>
              <w:suppressLineNumbers w:val="0"/>
              <w:bidi w:val="0"/>
              <w:spacing w:before="0" w:beforeAutospacing="0" w:after="0" w:afterAutospacing="0"/>
              <w:ind w:left="0" w:right="0" w:firstLine="0" w:firstLineChars="0"/>
              <w:rPr>
                <w:rFonts w:hint="eastAsia"/>
                <w:highlight w:val="none"/>
                <w:lang w:eastAsia="zh-CN"/>
              </w:rPr>
            </w:pPr>
            <w:r>
              <w:rPr>
                <w:rFonts w:hint="default"/>
                <w:lang w:val="en-US" w:eastAsia="zh-CN"/>
              </w:rPr>
              <w:t>主要原辅材料</w:t>
            </w:r>
            <w:r>
              <w:rPr>
                <w:rFonts w:hint="eastAsia"/>
                <w:lang w:val="en-US" w:eastAsia="zh-CN"/>
              </w:rPr>
              <w:t>成分及</w:t>
            </w:r>
            <w:r>
              <w:rPr>
                <w:rFonts w:hint="default"/>
                <w:lang w:val="en-US" w:eastAsia="zh-CN"/>
              </w:rPr>
              <w:t>性质</w:t>
            </w:r>
            <w:r>
              <w:rPr>
                <w:rFonts w:hint="eastAsia"/>
                <w:lang w:val="en-US" w:eastAsia="zh-CN"/>
              </w:rPr>
              <w:t>见表</w:t>
            </w:r>
            <w:r>
              <w:rPr>
                <w:rFonts w:hint="eastAsia"/>
                <w:color w:val="auto"/>
                <w:highlight w:val="none"/>
                <w:lang w:val="en-US" w:eastAsia="zh-CN"/>
              </w:rPr>
              <w:t>2.3-4</w:t>
            </w:r>
            <w:r>
              <w:rPr>
                <w:rFonts w:hint="eastAsia"/>
                <w:lang w:val="en-US" w:eastAsia="zh-CN"/>
              </w:rPr>
              <w:t>，成分报告见</w:t>
            </w:r>
            <w:r>
              <w:rPr>
                <w:rStyle w:val="46"/>
                <w:rFonts w:hint="eastAsia"/>
                <w:lang w:val="en-US" w:eastAsia="zh-CN"/>
              </w:rPr>
              <w:fldChar w:fldCharType="begin"/>
            </w:r>
            <w:r>
              <w:rPr>
                <w:rStyle w:val="46"/>
                <w:rFonts w:hint="eastAsia"/>
                <w:lang w:val="en-US" w:eastAsia="zh-CN"/>
              </w:rPr>
              <w:instrText xml:space="preserve"> REF _Ref29965 \h </w:instrText>
            </w:r>
            <w:r>
              <w:rPr>
                <w:rStyle w:val="46"/>
                <w:rFonts w:hint="eastAsia"/>
                <w:lang w:val="en-US" w:eastAsia="zh-CN"/>
              </w:rPr>
              <w:fldChar w:fldCharType="separate"/>
            </w:r>
            <w:r>
              <w:rPr>
                <w:rStyle w:val="46"/>
                <w:rFonts w:hint="eastAsia"/>
              </w:rPr>
              <w:t>附件 11</w:t>
            </w:r>
            <w:r>
              <w:rPr>
                <w:rStyle w:val="46"/>
                <w:rFonts w:hint="eastAsia"/>
                <w:lang w:val="en-US" w:eastAsia="zh-CN"/>
              </w:rPr>
              <w:t>-</w:t>
            </w:r>
            <w:r>
              <w:rPr>
                <w:rStyle w:val="46"/>
                <w:rFonts w:hint="eastAsia"/>
                <w:lang w:val="en-US" w:eastAsia="zh-CN"/>
              </w:rPr>
              <w:fldChar w:fldCharType="end"/>
            </w:r>
            <w:r>
              <w:rPr>
                <w:rStyle w:val="46"/>
                <w:rFonts w:hint="eastAsia"/>
                <w:lang w:val="en-US" w:eastAsia="zh-CN"/>
              </w:rPr>
              <w:fldChar w:fldCharType="begin"/>
            </w:r>
            <w:r>
              <w:rPr>
                <w:rStyle w:val="46"/>
                <w:rFonts w:hint="eastAsia"/>
                <w:lang w:val="en-US" w:eastAsia="zh-CN"/>
              </w:rPr>
              <w:instrText xml:space="preserve"> REF _Ref22378 \h </w:instrText>
            </w:r>
            <w:r>
              <w:rPr>
                <w:rStyle w:val="46"/>
                <w:rFonts w:hint="eastAsia"/>
                <w:lang w:val="en-US" w:eastAsia="zh-CN"/>
              </w:rPr>
              <w:fldChar w:fldCharType="separate"/>
            </w:r>
            <w:r>
              <w:rPr>
                <w:rStyle w:val="46"/>
                <w:rFonts w:hint="eastAsia"/>
              </w:rPr>
              <w:t>附件 17</w:t>
            </w:r>
            <w:r>
              <w:rPr>
                <w:rStyle w:val="46"/>
                <w:rFonts w:hint="eastAsia"/>
                <w:lang w:val="en-US" w:eastAsia="zh-CN"/>
              </w:rPr>
              <w:fldChar w:fldCharType="end"/>
            </w:r>
            <w:r>
              <w:rPr>
                <w:rFonts w:hint="eastAsia"/>
                <w:lang w:val="en-US" w:eastAsia="zh-CN"/>
              </w:rPr>
              <w:t>。可知，项目使用的原辅材料理化性质和组成成分如下所述：</w:t>
            </w:r>
          </w:p>
          <w:p w14:paraId="480EDA82">
            <w:pPr>
              <w:pStyle w:val="40"/>
              <w:keepNext w:val="0"/>
              <w:keepLines w:val="0"/>
              <w:suppressLineNumbers w:val="0"/>
              <w:bidi w:val="0"/>
              <w:spacing w:before="0" w:beforeAutospacing="0" w:after="0" w:afterAutospacing="0"/>
              <w:ind w:left="0" w:right="0"/>
              <w:rPr>
                <w:rFonts w:hint="default"/>
                <w:highlight w:val="none"/>
              </w:rPr>
            </w:pPr>
            <w:r>
              <w:rPr>
                <w:rFonts w:hint="eastAsia"/>
                <w:highlight w:val="none"/>
                <w:lang w:eastAsia="zh-CN"/>
              </w:rPr>
              <w:t>表</w:t>
            </w:r>
            <w:r>
              <w:rPr>
                <w:rFonts w:hint="eastAsia"/>
                <w:color w:val="auto"/>
                <w:highlight w:val="none"/>
                <w:lang w:val="en-US" w:eastAsia="zh-CN"/>
              </w:rPr>
              <w:t>2.3-4</w:t>
            </w:r>
            <w:r>
              <w:rPr>
                <w:rFonts w:hint="eastAsia"/>
                <w:highlight w:val="none"/>
                <w:lang w:val="en-US" w:eastAsia="zh-CN"/>
              </w:rPr>
              <w:t xml:space="preserve"> </w:t>
            </w:r>
            <w:r>
              <w:rPr>
                <w:rFonts w:hint="default"/>
                <w:highlight w:val="none"/>
              </w:rPr>
              <w:t>主要原辅材料性质介绍</w:t>
            </w:r>
          </w:p>
          <w:tbl>
            <w:tblPr>
              <w:tblStyle w:val="31"/>
              <w:tblW w:w="49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665"/>
              <w:gridCol w:w="939"/>
              <w:gridCol w:w="2548"/>
              <w:gridCol w:w="3326"/>
            </w:tblGrid>
            <w:tr w14:paraId="3142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tcBorders>
                    <w:top w:val="single" w:color="auto" w:sz="12" w:space="0"/>
                    <w:left w:val="nil"/>
                    <w:bottom w:val="single" w:color="auto" w:sz="4" w:space="0"/>
                  </w:tcBorders>
                  <w:noWrap w:val="0"/>
                  <w:vAlign w:val="center"/>
                </w:tcPr>
                <w:p w14:paraId="7E8091DD">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rPr>
                    <w:t>序号</w:t>
                  </w:r>
                </w:p>
              </w:tc>
              <w:tc>
                <w:tcPr>
                  <w:tcW w:w="421" w:type="pct"/>
                  <w:tcBorders>
                    <w:top w:val="single" w:color="auto" w:sz="12" w:space="0"/>
                    <w:bottom w:val="single" w:color="auto" w:sz="4" w:space="0"/>
                  </w:tcBorders>
                  <w:noWrap w:val="0"/>
                  <w:vAlign w:val="center"/>
                </w:tcPr>
                <w:p w14:paraId="21352094">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eastAsia"/>
                      <w:szCs w:val="22"/>
                      <w:highlight w:val="none"/>
                      <w:lang w:val="en-US" w:eastAsia="zh-CN"/>
                    </w:rPr>
                    <w:t>类别</w:t>
                  </w:r>
                </w:p>
              </w:tc>
              <w:tc>
                <w:tcPr>
                  <w:tcW w:w="595" w:type="pct"/>
                  <w:tcBorders>
                    <w:top w:val="single" w:color="auto" w:sz="12" w:space="0"/>
                    <w:bottom w:val="single" w:color="auto" w:sz="4" w:space="0"/>
                  </w:tcBorders>
                  <w:noWrap w:val="0"/>
                  <w:vAlign w:val="center"/>
                </w:tcPr>
                <w:p w14:paraId="5B1BC245">
                  <w:pPr>
                    <w:pStyle w:val="39"/>
                    <w:keepNext w:val="0"/>
                    <w:keepLines w:val="0"/>
                    <w:widowControl/>
                    <w:suppressLineNumbers w:val="0"/>
                    <w:bidi w:val="0"/>
                    <w:spacing w:before="0" w:beforeAutospacing="0" w:after="0" w:afterAutospacing="0"/>
                    <w:ind w:left="0" w:right="0"/>
                    <w:rPr>
                      <w:rFonts w:hint="default"/>
                      <w:szCs w:val="22"/>
                      <w:highlight w:val="none"/>
                      <w:lang w:eastAsia="zh-CN"/>
                    </w:rPr>
                  </w:pPr>
                  <w:r>
                    <w:rPr>
                      <w:rFonts w:hint="default"/>
                      <w:szCs w:val="22"/>
                      <w:highlight w:val="none"/>
                    </w:rPr>
                    <w:t>原辅材料名称</w:t>
                  </w:r>
                </w:p>
              </w:tc>
              <w:tc>
                <w:tcPr>
                  <w:tcW w:w="1614" w:type="pct"/>
                  <w:tcBorders>
                    <w:top w:val="single" w:color="auto" w:sz="12" w:space="0"/>
                    <w:bottom w:val="single" w:color="auto" w:sz="4" w:space="0"/>
                    <w:right w:val="nil"/>
                  </w:tcBorders>
                  <w:noWrap w:val="0"/>
                  <w:vAlign w:val="center"/>
                </w:tcPr>
                <w:p w14:paraId="230BAE60">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lang w:val="en-US" w:eastAsia="zh-CN"/>
                    </w:rPr>
                    <w:t>主要成分</w:t>
                  </w:r>
                </w:p>
              </w:tc>
              <w:tc>
                <w:tcPr>
                  <w:tcW w:w="2104" w:type="pct"/>
                  <w:tcBorders>
                    <w:top w:val="single" w:color="auto" w:sz="12" w:space="0"/>
                    <w:bottom w:val="single" w:color="auto" w:sz="4" w:space="0"/>
                    <w:right w:val="nil"/>
                  </w:tcBorders>
                  <w:noWrap w:val="0"/>
                  <w:vAlign w:val="center"/>
                </w:tcPr>
                <w:p w14:paraId="10D2600E">
                  <w:pPr>
                    <w:pStyle w:val="39"/>
                    <w:keepNext w:val="0"/>
                    <w:keepLines w:val="0"/>
                    <w:widowControl/>
                    <w:suppressLineNumbers w:val="0"/>
                    <w:bidi w:val="0"/>
                    <w:spacing w:before="0" w:beforeAutospacing="0" w:after="0" w:afterAutospacing="0"/>
                    <w:ind w:left="0" w:right="0"/>
                    <w:rPr>
                      <w:rFonts w:hint="default"/>
                      <w:szCs w:val="22"/>
                      <w:highlight w:val="none"/>
                      <w:lang w:eastAsia="zh-CN"/>
                    </w:rPr>
                  </w:pPr>
                  <w:r>
                    <w:rPr>
                      <w:rFonts w:hint="default"/>
                      <w:szCs w:val="22"/>
                      <w:highlight w:val="none"/>
                      <w:lang w:val="en-US" w:eastAsia="zh-CN"/>
                    </w:rPr>
                    <w:t>理化性质</w:t>
                  </w:r>
                </w:p>
              </w:tc>
            </w:tr>
            <w:tr w14:paraId="6AA0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63" w:type="pct"/>
                  <w:tcBorders>
                    <w:top w:val="single" w:color="auto" w:sz="4" w:space="0"/>
                    <w:left w:val="nil"/>
                    <w:bottom w:val="single" w:color="auto" w:sz="4" w:space="0"/>
                  </w:tcBorders>
                  <w:noWrap w:val="0"/>
                  <w:vAlign w:val="center"/>
                </w:tcPr>
                <w:p w14:paraId="7D7DC4B2">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lang w:val="en-US" w:eastAsia="zh-CN"/>
                    </w:rPr>
                    <w:t>1</w:t>
                  </w:r>
                </w:p>
              </w:tc>
              <w:tc>
                <w:tcPr>
                  <w:tcW w:w="421" w:type="pct"/>
                  <w:tcBorders>
                    <w:top w:val="single" w:color="auto" w:sz="4" w:space="0"/>
                    <w:bottom w:val="single" w:color="auto" w:sz="4" w:space="0"/>
                  </w:tcBorders>
                  <w:noWrap w:val="0"/>
                  <w:vAlign w:val="center"/>
                </w:tcPr>
                <w:p w14:paraId="11E9123E">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lang w:val="en-US" w:eastAsia="zh-CN"/>
                    </w:rPr>
                    <w:t>水性漆</w:t>
                  </w:r>
                </w:p>
              </w:tc>
              <w:tc>
                <w:tcPr>
                  <w:tcW w:w="595" w:type="pct"/>
                  <w:tcBorders>
                    <w:top w:val="single" w:color="auto" w:sz="4" w:space="0"/>
                    <w:bottom w:val="single" w:color="auto" w:sz="4" w:space="0"/>
                  </w:tcBorders>
                  <w:noWrap w:val="0"/>
                  <w:vAlign w:val="center"/>
                </w:tcPr>
                <w:p w14:paraId="73FA4AB8">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eastAsia"/>
                      <w:szCs w:val="22"/>
                      <w:highlight w:val="none"/>
                      <w:lang w:val="en-US" w:eastAsia="zh-CN"/>
                    </w:rPr>
                    <w:t>水性丙烯酸涂料</w:t>
                  </w:r>
                </w:p>
              </w:tc>
              <w:tc>
                <w:tcPr>
                  <w:tcW w:w="1614" w:type="pct"/>
                  <w:tcBorders>
                    <w:top w:val="single" w:color="auto" w:sz="4" w:space="0"/>
                    <w:bottom w:val="single" w:color="auto" w:sz="4" w:space="0"/>
                    <w:right w:val="nil"/>
                  </w:tcBorders>
                  <w:noWrap w:val="0"/>
                  <w:vAlign w:val="center"/>
                </w:tcPr>
                <w:p w14:paraId="78293F4B">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lang w:val="en-US" w:eastAsia="zh-CN"/>
                    </w:rPr>
                    <w:t>主要成分为脂肪族聚氨酯丙烯酸共聚物（含量30~50%）</w:t>
                  </w:r>
                  <w:r>
                    <w:rPr>
                      <w:rFonts w:hint="eastAsia"/>
                      <w:szCs w:val="22"/>
                      <w:highlight w:val="none"/>
                      <w:lang w:val="en-US" w:eastAsia="zh-CN"/>
                    </w:rPr>
                    <w:t>、</w:t>
                  </w:r>
                  <w:r>
                    <w:rPr>
                      <w:rFonts w:hint="default"/>
                      <w:szCs w:val="22"/>
                      <w:highlight w:val="none"/>
                      <w:lang w:val="en-US" w:eastAsia="zh-CN"/>
                    </w:rPr>
                    <w:t>颜料（10~20%）</w:t>
                  </w:r>
                  <w:r>
                    <w:rPr>
                      <w:rFonts w:hint="eastAsia"/>
                      <w:szCs w:val="22"/>
                      <w:highlight w:val="none"/>
                      <w:lang w:val="en-US" w:eastAsia="zh-CN"/>
                    </w:rPr>
                    <w:t>、</w:t>
                  </w:r>
                  <w:r>
                    <w:rPr>
                      <w:rFonts w:hint="default"/>
                      <w:szCs w:val="22"/>
                      <w:highlight w:val="none"/>
                      <w:lang w:val="en-US" w:eastAsia="zh-CN"/>
                    </w:rPr>
                    <w:t>助剂（1~10%）</w:t>
                  </w:r>
                  <w:r>
                    <w:rPr>
                      <w:rFonts w:hint="eastAsia"/>
                      <w:szCs w:val="22"/>
                      <w:highlight w:val="none"/>
                      <w:lang w:val="en-US" w:eastAsia="zh-CN"/>
                    </w:rPr>
                    <w:t>、</w:t>
                  </w:r>
                  <w:r>
                    <w:rPr>
                      <w:rFonts w:hint="default"/>
                      <w:szCs w:val="22"/>
                      <w:highlight w:val="none"/>
                      <w:lang w:val="en-US" w:eastAsia="zh-CN"/>
                    </w:rPr>
                    <w:t>水（5~30%）</w:t>
                  </w:r>
                </w:p>
              </w:tc>
              <w:tc>
                <w:tcPr>
                  <w:tcW w:w="2104" w:type="pct"/>
                  <w:tcBorders>
                    <w:top w:val="single" w:color="auto" w:sz="4" w:space="0"/>
                    <w:bottom w:val="single" w:color="auto" w:sz="4" w:space="0"/>
                    <w:right w:val="nil"/>
                  </w:tcBorders>
                  <w:noWrap w:val="0"/>
                  <w:vAlign w:val="center"/>
                </w:tcPr>
                <w:p w14:paraId="35B2CE80">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lang w:val="en-US" w:eastAsia="zh-CN"/>
                    </w:rPr>
                    <w:t>外观为黑色流动液体，基本无味；相对密度0.95~1.14（水=1）；pH值8~9；</w:t>
                  </w:r>
                  <w:r>
                    <w:rPr>
                      <w:rFonts w:hint="eastAsia"/>
                      <w:szCs w:val="22"/>
                      <w:highlight w:val="none"/>
                      <w:lang w:val="en-US" w:eastAsia="zh-CN"/>
                    </w:rPr>
                    <w:t>饱和蒸汽</w:t>
                  </w:r>
                  <w:r>
                    <w:rPr>
                      <w:rFonts w:hint="default"/>
                      <w:szCs w:val="22"/>
                      <w:highlight w:val="none"/>
                      <w:lang w:val="en-US" w:eastAsia="zh-CN"/>
                    </w:rPr>
                    <w:t>压6~7 mmHg；沸点约2100°C；熔点约-10°C；闪点无；可溶于水；不自燃；无爆炸上下限</w:t>
                  </w:r>
                  <w:r>
                    <w:rPr>
                      <w:rFonts w:hint="eastAsia"/>
                      <w:szCs w:val="22"/>
                      <w:highlight w:val="none"/>
                      <w:lang w:val="en-US" w:eastAsia="zh-CN"/>
                    </w:rPr>
                    <w:t>。</w:t>
                  </w:r>
                </w:p>
              </w:tc>
            </w:tr>
            <w:tr w14:paraId="18BA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3" w:type="pct"/>
                  <w:tcBorders>
                    <w:top w:val="single" w:color="auto" w:sz="4" w:space="0"/>
                    <w:left w:val="nil"/>
                    <w:bottom w:val="single" w:color="auto" w:sz="4" w:space="0"/>
                  </w:tcBorders>
                  <w:noWrap w:val="0"/>
                  <w:vAlign w:val="center"/>
                </w:tcPr>
                <w:p w14:paraId="2126CCEB">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2</w:t>
                  </w:r>
                </w:p>
              </w:tc>
              <w:tc>
                <w:tcPr>
                  <w:tcW w:w="421" w:type="pct"/>
                  <w:tcBorders>
                    <w:top w:val="single" w:color="auto" w:sz="4" w:space="0"/>
                    <w:bottom w:val="single" w:color="auto" w:sz="4" w:space="0"/>
                  </w:tcBorders>
                  <w:noWrap w:val="0"/>
                  <w:vAlign w:val="center"/>
                </w:tcPr>
                <w:p w14:paraId="2C420B18">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塑胶</w:t>
                  </w:r>
                  <w:r>
                    <w:rPr>
                      <w:rFonts w:hint="eastAsia"/>
                      <w:szCs w:val="22"/>
                      <w:lang w:val="en-US" w:eastAsia="zh-CN"/>
                    </w:rPr>
                    <w:t>用</w:t>
                  </w:r>
                  <w:r>
                    <w:rPr>
                      <w:rFonts w:hint="default"/>
                      <w:szCs w:val="22"/>
                      <w:lang w:val="en-US" w:eastAsia="zh-CN"/>
                    </w:rPr>
                    <w:t>油性漆</w:t>
                  </w:r>
                </w:p>
              </w:tc>
              <w:tc>
                <w:tcPr>
                  <w:tcW w:w="595" w:type="pct"/>
                  <w:tcBorders>
                    <w:top w:val="single" w:color="auto" w:sz="4" w:space="0"/>
                    <w:bottom w:val="single" w:color="auto" w:sz="4" w:space="0"/>
                  </w:tcBorders>
                  <w:noWrap w:val="0"/>
                  <w:vAlign w:val="center"/>
                </w:tcPr>
                <w:p w14:paraId="3371CDC6">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ABS塑胶漆</w:t>
                  </w:r>
                </w:p>
              </w:tc>
              <w:tc>
                <w:tcPr>
                  <w:tcW w:w="1614" w:type="pct"/>
                  <w:tcBorders>
                    <w:top w:val="single" w:color="auto" w:sz="4" w:space="0"/>
                    <w:bottom w:val="single" w:color="auto" w:sz="4" w:space="0"/>
                    <w:right w:val="nil"/>
                  </w:tcBorders>
                  <w:noWrap w:val="0"/>
                  <w:vAlign w:val="center"/>
                </w:tcPr>
                <w:p w14:paraId="405D9567">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主要组分为丙烯酸树脂（50~65%）</w:t>
                  </w:r>
                  <w:r>
                    <w:rPr>
                      <w:rFonts w:hint="eastAsia"/>
                      <w:szCs w:val="22"/>
                      <w:lang w:val="en-US" w:eastAsia="zh-CN"/>
                    </w:rPr>
                    <w:t>、</w:t>
                  </w:r>
                  <w:r>
                    <w:rPr>
                      <w:rFonts w:hint="default"/>
                      <w:szCs w:val="22"/>
                      <w:lang w:val="en-US" w:eastAsia="zh-CN"/>
                    </w:rPr>
                    <w:t>颜料（10~20%）</w:t>
                  </w:r>
                  <w:r>
                    <w:rPr>
                      <w:rFonts w:hint="eastAsia"/>
                      <w:szCs w:val="22"/>
                      <w:lang w:val="en-US" w:eastAsia="zh-CN"/>
                    </w:rPr>
                    <w:t>、</w:t>
                  </w:r>
                  <w:r>
                    <w:rPr>
                      <w:rFonts w:hint="default"/>
                      <w:szCs w:val="22"/>
                      <w:lang w:val="en-US" w:eastAsia="zh-CN"/>
                    </w:rPr>
                    <w:t>助剂（5~10%）</w:t>
                  </w:r>
                  <w:r>
                    <w:rPr>
                      <w:rFonts w:hint="eastAsia"/>
                      <w:szCs w:val="22"/>
                      <w:lang w:val="en-US" w:eastAsia="zh-CN"/>
                    </w:rPr>
                    <w:t>、</w:t>
                  </w:r>
                  <w:r>
                    <w:rPr>
                      <w:rFonts w:hint="default"/>
                      <w:szCs w:val="22"/>
                      <w:lang w:val="en-US" w:eastAsia="zh-CN"/>
                    </w:rPr>
                    <w:t>稀释剂（20~30%）</w:t>
                  </w:r>
                </w:p>
              </w:tc>
              <w:tc>
                <w:tcPr>
                  <w:tcW w:w="2104" w:type="pct"/>
                  <w:tcBorders>
                    <w:top w:val="single" w:color="auto" w:sz="4" w:space="0"/>
                    <w:bottom w:val="single" w:color="auto" w:sz="4" w:space="0"/>
                    <w:right w:val="nil"/>
                  </w:tcBorders>
                  <w:noWrap w:val="0"/>
                  <w:vAlign w:val="center"/>
                </w:tcPr>
                <w:p w14:paraId="60B5C00E">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外观为液体；闪点15°C（闭杯）；可混溶于有机溶剂</w:t>
                  </w:r>
                  <w:r>
                    <w:rPr>
                      <w:rFonts w:hint="eastAsia"/>
                      <w:szCs w:val="22"/>
                      <w:lang w:val="en-US" w:eastAsia="zh-CN"/>
                    </w:rPr>
                    <w:t>。</w:t>
                  </w:r>
                </w:p>
              </w:tc>
            </w:tr>
            <w:tr w14:paraId="61F2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63" w:type="pct"/>
                  <w:tcBorders>
                    <w:top w:val="single" w:color="auto" w:sz="4" w:space="0"/>
                    <w:left w:val="nil"/>
                    <w:bottom w:val="single" w:color="auto" w:sz="4" w:space="0"/>
                  </w:tcBorders>
                  <w:noWrap w:val="0"/>
                  <w:vAlign w:val="center"/>
                </w:tcPr>
                <w:p w14:paraId="689AD0C8">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3</w:t>
                  </w:r>
                </w:p>
              </w:tc>
              <w:tc>
                <w:tcPr>
                  <w:tcW w:w="421" w:type="pct"/>
                  <w:tcBorders>
                    <w:top w:val="single" w:color="auto" w:sz="4" w:space="0"/>
                    <w:bottom w:val="single" w:color="auto" w:sz="4" w:space="0"/>
                  </w:tcBorders>
                  <w:noWrap w:val="0"/>
                  <w:vAlign w:val="center"/>
                </w:tcPr>
                <w:p w14:paraId="4866736E">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金属用</w:t>
                  </w:r>
                  <w:r>
                    <w:rPr>
                      <w:rFonts w:hint="default"/>
                      <w:szCs w:val="22"/>
                      <w:lang w:val="en-US" w:eastAsia="zh-CN"/>
                    </w:rPr>
                    <w:t>油性漆</w:t>
                  </w:r>
                </w:p>
              </w:tc>
              <w:tc>
                <w:tcPr>
                  <w:tcW w:w="595" w:type="pct"/>
                  <w:tcBorders>
                    <w:top w:val="single" w:color="auto" w:sz="4" w:space="0"/>
                    <w:bottom w:val="single" w:color="auto" w:sz="4" w:space="0"/>
                  </w:tcBorders>
                  <w:noWrap w:val="0"/>
                  <w:vAlign w:val="center"/>
                </w:tcPr>
                <w:p w14:paraId="21BB2700">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PE金属烤漆涂料</w:t>
                  </w:r>
                </w:p>
              </w:tc>
              <w:tc>
                <w:tcPr>
                  <w:tcW w:w="1614" w:type="pct"/>
                  <w:tcBorders>
                    <w:top w:val="single" w:color="auto" w:sz="4" w:space="0"/>
                    <w:bottom w:val="single" w:color="auto" w:sz="4" w:space="0"/>
                    <w:right w:val="nil"/>
                  </w:tcBorders>
                  <w:noWrap w:val="0"/>
                  <w:vAlign w:val="center"/>
                </w:tcPr>
                <w:p w14:paraId="1FC4F11B">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主要组分为饱和聚酯树脂（40~55%）</w:t>
                  </w:r>
                  <w:r>
                    <w:rPr>
                      <w:rFonts w:hint="eastAsia"/>
                      <w:szCs w:val="22"/>
                      <w:lang w:val="en-US" w:eastAsia="zh-CN"/>
                    </w:rPr>
                    <w:t>、</w:t>
                  </w:r>
                  <w:r>
                    <w:rPr>
                      <w:rFonts w:hint="default"/>
                      <w:szCs w:val="22"/>
                      <w:lang w:val="en-US" w:eastAsia="zh-CN"/>
                    </w:rPr>
                    <w:t>颜料（10~20%）</w:t>
                  </w:r>
                  <w:r>
                    <w:rPr>
                      <w:rFonts w:hint="eastAsia"/>
                      <w:szCs w:val="22"/>
                      <w:lang w:val="en-US" w:eastAsia="zh-CN"/>
                    </w:rPr>
                    <w:t>、</w:t>
                  </w:r>
                  <w:r>
                    <w:rPr>
                      <w:rFonts w:hint="default"/>
                      <w:szCs w:val="22"/>
                      <w:lang w:val="en-US" w:eastAsia="zh-CN"/>
                    </w:rPr>
                    <w:t>添加剂（1~3%）</w:t>
                  </w:r>
                  <w:r>
                    <w:rPr>
                      <w:rFonts w:hint="eastAsia"/>
                      <w:szCs w:val="22"/>
                      <w:lang w:val="en-US" w:eastAsia="zh-CN"/>
                    </w:rPr>
                    <w:t>、</w:t>
                  </w:r>
                  <w:r>
                    <w:rPr>
                      <w:rFonts w:hint="default"/>
                      <w:szCs w:val="22"/>
                      <w:lang w:val="en-US" w:eastAsia="zh-CN"/>
                    </w:rPr>
                    <w:t>开油水（20~40%）</w:t>
                  </w:r>
                  <w:r>
                    <w:rPr>
                      <w:rFonts w:hint="eastAsia"/>
                      <w:szCs w:val="22"/>
                      <w:lang w:val="en-US" w:eastAsia="zh-CN"/>
                    </w:rPr>
                    <w:t>、</w:t>
                  </w:r>
                  <w:r>
                    <w:rPr>
                      <w:rFonts w:hint="default"/>
                      <w:szCs w:val="22"/>
                      <w:lang w:val="en-US" w:eastAsia="zh-CN"/>
                    </w:rPr>
                    <w:t>填充料（10~20%）</w:t>
                  </w:r>
                </w:p>
              </w:tc>
              <w:tc>
                <w:tcPr>
                  <w:tcW w:w="2104" w:type="pct"/>
                  <w:tcBorders>
                    <w:top w:val="single" w:color="auto" w:sz="4" w:space="0"/>
                    <w:bottom w:val="single" w:color="auto" w:sz="4" w:space="0"/>
                    <w:right w:val="nil"/>
                  </w:tcBorders>
                  <w:noWrap w:val="0"/>
                  <w:vAlign w:val="center"/>
                </w:tcPr>
                <w:p w14:paraId="086052E9">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外观为透明液体；闪点15°C（闭杯）；可混溶于有机溶剂</w:t>
                  </w:r>
                  <w:r>
                    <w:rPr>
                      <w:rFonts w:hint="eastAsia"/>
                      <w:szCs w:val="22"/>
                      <w:lang w:val="en-US" w:eastAsia="zh-CN"/>
                    </w:rPr>
                    <w:t>。</w:t>
                  </w:r>
                </w:p>
              </w:tc>
            </w:tr>
            <w:tr w14:paraId="52AC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63" w:type="pct"/>
                  <w:tcBorders>
                    <w:top w:val="single" w:color="auto" w:sz="4" w:space="0"/>
                    <w:left w:val="nil"/>
                    <w:bottom w:val="single" w:color="auto" w:sz="4" w:space="0"/>
                  </w:tcBorders>
                  <w:noWrap w:val="0"/>
                  <w:vAlign w:val="center"/>
                </w:tcPr>
                <w:p w14:paraId="62CA7348">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4</w:t>
                  </w:r>
                </w:p>
              </w:tc>
              <w:tc>
                <w:tcPr>
                  <w:tcW w:w="421" w:type="pct"/>
                  <w:tcBorders>
                    <w:top w:val="single" w:color="auto" w:sz="4" w:space="0"/>
                    <w:bottom w:val="single" w:color="auto" w:sz="4" w:space="0"/>
                  </w:tcBorders>
                  <w:noWrap w:val="0"/>
                  <w:vAlign w:val="center"/>
                </w:tcPr>
                <w:p w14:paraId="3D735A79">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稀释剂</w:t>
                  </w:r>
                </w:p>
              </w:tc>
              <w:tc>
                <w:tcPr>
                  <w:tcW w:w="595" w:type="pct"/>
                  <w:tcBorders>
                    <w:top w:val="single" w:color="auto" w:sz="4" w:space="0"/>
                    <w:bottom w:val="single" w:color="auto" w:sz="4" w:space="0"/>
                  </w:tcBorders>
                  <w:noWrap w:val="0"/>
                  <w:vAlign w:val="center"/>
                </w:tcPr>
                <w:p w14:paraId="46B3710E">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开油水</w:t>
                  </w:r>
                </w:p>
              </w:tc>
              <w:tc>
                <w:tcPr>
                  <w:tcW w:w="1614" w:type="pct"/>
                  <w:tcBorders>
                    <w:top w:val="single" w:color="auto" w:sz="4" w:space="0"/>
                    <w:bottom w:val="single" w:color="auto" w:sz="4" w:space="0"/>
                    <w:right w:val="nil"/>
                  </w:tcBorders>
                  <w:noWrap w:val="0"/>
                  <w:vAlign w:val="center"/>
                </w:tcPr>
                <w:p w14:paraId="7B383077">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主要成分为乙二醇丁醚（20~30%）</w:t>
                  </w:r>
                  <w:r>
                    <w:rPr>
                      <w:rFonts w:hint="eastAsia"/>
                      <w:szCs w:val="22"/>
                      <w:lang w:val="en-US" w:eastAsia="zh-CN"/>
                    </w:rPr>
                    <w:t>、</w:t>
                  </w:r>
                  <w:r>
                    <w:rPr>
                      <w:rFonts w:hint="default"/>
                      <w:szCs w:val="22"/>
                      <w:lang w:val="en-US" w:eastAsia="zh-CN"/>
                    </w:rPr>
                    <w:t>醋酸丁酯（20~30%）</w:t>
                  </w:r>
                  <w:r>
                    <w:rPr>
                      <w:rFonts w:hint="eastAsia"/>
                      <w:szCs w:val="22"/>
                      <w:lang w:val="en-US" w:eastAsia="zh-CN"/>
                    </w:rPr>
                    <w:t>、</w:t>
                  </w:r>
                  <w:r>
                    <w:rPr>
                      <w:rFonts w:hint="default"/>
                      <w:szCs w:val="22"/>
                      <w:lang w:val="en-US" w:eastAsia="zh-CN"/>
                    </w:rPr>
                    <w:t>异丁醇（40~50%</w:t>
                  </w:r>
                  <w:r>
                    <w:rPr>
                      <w:rFonts w:hint="eastAsia"/>
                      <w:szCs w:val="22"/>
                      <w:lang w:val="en-US" w:eastAsia="zh-CN"/>
                    </w:rPr>
                    <w:t>）、</w:t>
                  </w:r>
                  <w:r>
                    <w:rPr>
                      <w:rFonts w:hint="default"/>
                      <w:szCs w:val="22"/>
                      <w:lang w:val="en-US" w:eastAsia="zh-CN"/>
                    </w:rPr>
                    <w:t>甲基异丁酮（10~20%）</w:t>
                  </w:r>
                </w:p>
              </w:tc>
              <w:tc>
                <w:tcPr>
                  <w:tcW w:w="2104" w:type="pct"/>
                  <w:tcBorders>
                    <w:top w:val="single" w:color="auto" w:sz="4" w:space="0"/>
                    <w:bottom w:val="single" w:color="auto" w:sz="4" w:space="0"/>
                    <w:right w:val="nil"/>
                  </w:tcBorders>
                  <w:noWrap w:val="0"/>
                  <w:vAlign w:val="center"/>
                </w:tcPr>
                <w:p w14:paraId="39914B4C">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外观为搅拌后呈灰褐色均匀液体（甲组分）与淡黄色或棕色液体（乙组分）；有特殊芬芳味或刺激性气味；沸点139°C；闪点甲组分25°C、乙组分30°C（闭杯）；相对密度1.9；爆炸上限7.0%、下限1.1%；可混溶于有机溶剂。</w:t>
                  </w:r>
                </w:p>
              </w:tc>
            </w:tr>
            <w:tr w14:paraId="1359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5000" w:type="pct"/>
                  <w:gridSpan w:val="5"/>
                  <w:tcBorders>
                    <w:top w:val="single" w:color="auto" w:sz="4" w:space="0"/>
                    <w:left w:val="nil"/>
                    <w:bottom w:val="single" w:color="auto" w:sz="4" w:space="0"/>
                    <w:right w:val="nil"/>
                  </w:tcBorders>
                  <w:noWrap w:val="0"/>
                  <w:vAlign w:val="center"/>
                </w:tcPr>
                <w:p w14:paraId="2C1DEEC4">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注：ABS塑胶漆仅为产品名称，与产品成分性质无关</w:t>
                  </w:r>
                </w:p>
              </w:tc>
            </w:tr>
          </w:tbl>
          <w:p w14:paraId="63D9B331">
            <w:pPr>
              <w:keepNext w:val="0"/>
              <w:keepLines w:val="0"/>
              <w:suppressLineNumbers w:val="0"/>
              <w:bidi w:val="0"/>
              <w:spacing w:before="0" w:beforeAutospacing="0" w:after="0" w:afterAutospacing="0"/>
              <w:ind w:left="0" w:right="0"/>
              <w:rPr>
                <w:rFonts w:hint="default"/>
                <w:highlight w:val="none"/>
                <w:lang w:val="en-US" w:eastAsia="zh-CN"/>
              </w:rPr>
            </w:pPr>
            <w:r>
              <w:rPr>
                <w:rFonts w:hint="default"/>
                <w:lang w:val="en-US" w:eastAsia="zh-CN"/>
              </w:rPr>
              <w:t>（2）</w:t>
            </w:r>
            <w:r>
              <w:rPr>
                <w:rFonts w:hint="eastAsia"/>
                <w:lang w:val="en-US" w:eastAsia="zh-CN"/>
              </w:rPr>
              <w:t>VOCs含量要</w:t>
            </w:r>
            <w:r>
              <w:rPr>
                <w:rFonts w:hint="eastAsia"/>
                <w:highlight w:val="none"/>
                <w:lang w:val="en-US" w:eastAsia="zh-CN"/>
              </w:rPr>
              <w:t>求</w:t>
            </w:r>
          </w:p>
          <w:p w14:paraId="656AC60B">
            <w:pPr>
              <w:pStyle w:val="40"/>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eastAsia="zh-CN"/>
              </w:rPr>
              <w:t>表</w:t>
            </w:r>
            <w:r>
              <w:rPr>
                <w:rFonts w:hint="eastAsia"/>
                <w:color w:val="auto"/>
                <w:highlight w:val="none"/>
                <w:lang w:val="en-US" w:eastAsia="zh-CN"/>
              </w:rPr>
              <w:t>2.3-5</w:t>
            </w:r>
            <w:r>
              <w:rPr>
                <w:rFonts w:hint="default"/>
                <w:highlight w:val="none"/>
              </w:rPr>
              <w:t>低挥发性有机化合物含量</w:t>
            </w:r>
            <w:r>
              <w:rPr>
                <w:rFonts w:hint="eastAsia"/>
                <w:highlight w:val="none"/>
                <w:lang w:val="en-US" w:eastAsia="zh-CN"/>
              </w:rPr>
              <w:t>原辅料VOCs</w:t>
            </w:r>
            <w:r>
              <w:rPr>
                <w:rFonts w:hint="default"/>
                <w:highlight w:val="none"/>
                <w:lang w:val="en-US" w:eastAsia="zh-CN"/>
              </w:rPr>
              <w:t>含量要求</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48"/>
              <w:gridCol w:w="968"/>
              <w:gridCol w:w="3668"/>
              <w:gridCol w:w="1157"/>
              <w:gridCol w:w="601"/>
            </w:tblGrid>
            <w:tr w14:paraId="000B5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6" w:hRule="atLeast"/>
              </w:trPr>
              <w:tc>
                <w:tcPr>
                  <w:tcW w:w="974" w:type="pct"/>
                  <w:noWrap w:val="0"/>
                  <w:vAlign w:val="center"/>
                </w:tcPr>
                <w:p w14:paraId="1F9E5CF3">
                  <w:pPr>
                    <w:pStyle w:val="39"/>
                    <w:keepNext w:val="0"/>
                    <w:keepLines w:val="0"/>
                    <w:widowControl/>
                    <w:suppressLineNumbers w:val="0"/>
                    <w:bidi w:val="0"/>
                    <w:spacing w:before="0" w:beforeAutospacing="0" w:after="0" w:afterAutospacing="0"/>
                    <w:ind w:left="0" w:right="0"/>
                    <w:rPr>
                      <w:rFonts w:hint="default"/>
                      <w:szCs w:val="22"/>
                      <w:highlight w:val="none"/>
                      <w:lang w:eastAsia="zh-CN"/>
                    </w:rPr>
                  </w:pPr>
                  <w:r>
                    <w:rPr>
                      <w:rFonts w:hint="default"/>
                      <w:szCs w:val="22"/>
                      <w:highlight w:val="none"/>
                      <w:lang w:eastAsia="zh-CN"/>
                    </w:rPr>
                    <w:t>项目</w:t>
                  </w:r>
                  <w:r>
                    <w:rPr>
                      <w:rFonts w:hint="eastAsia"/>
                      <w:szCs w:val="22"/>
                      <w:highlight w:val="none"/>
                      <w:lang w:val="en-US" w:eastAsia="zh-CN"/>
                    </w:rPr>
                    <w:t>原辅料</w:t>
                  </w:r>
                  <w:r>
                    <w:rPr>
                      <w:rFonts w:hint="default"/>
                      <w:szCs w:val="22"/>
                      <w:highlight w:val="none"/>
                      <w:lang w:eastAsia="zh-CN"/>
                    </w:rPr>
                    <w:t>类型</w:t>
                  </w:r>
                </w:p>
              </w:tc>
              <w:tc>
                <w:tcPr>
                  <w:tcW w:w="609" w:type="pct"/>
                  <w:noWrap w:val="0"/>
                  <w:vAlign w:val="center"/>
                </w:tcPr>
                <w:p w14:paraId="11952395">
                  <w:pPr>
                    <w:pStyle w:val="39"/>
                    <w:keepNext w:val="0"/>
                    <w:keepLines w:val="0"/>
                    <w:widowControl/>
                    <w:suppressLineNumbers w:val="0"/>
                    <w:bidi w:val="0"/>
                    <w:spacing w:before="0" w:beforeAutospacing="0" w:after="0" w:afterAutospacing="0"/>
                    <w:ind w:left="0" w:right="0"/>
                    <w:rPr>
                      <w:rFonts w:hint="default"/>
                      <w:szCs w:val="22"/>
                      <w:highlight w:val="none"/>
                      <w:lang w:eastAsia="zh-CN"/>
                    </w:rPr>
                  </w:pPr>
                  <w:r>
                    <w:rPr>
                      <w:rFonts w:hint="eastAsia"/>
                      <w:szCs w:val="22"/>
                      <w:highlight w:val="none"/>
                      <w:lang w:eastAsia="zh-CN"/>
                    </w:rPr>
                    <w:t>VOCs</w:t>
                  </w:r>
                  <w:r>
                    <w:rPr>
                      <w:rFonts w:hint="default"/>
                      <w:szCs w:val="22"/>
                      <w:highlight w:val="none"/>
                      <w:lang w:eastAsia="zh-CN"/>
                    </w:rPr>
                    <w:t>限值（</w:t>
                  </w:r>
                  <w:r>
                    <w:rPr>
                      <w:rFonts w:hint="default"/>
                      <w:szCs w:val="22"/>
                      <w:highlight w:val="none"/>
                    </w:rPr>
                    <w:t>g/L</w:t>
                  </w:r>
                  <w:r>
                    <w:rPr>
                      <w:rFonts w:hint="default"/>
                      <w:szCs w:val="22"/>
                      <w:highlight w:val="none"/>
                      <w:lang w:eastAsia="zh-CN"/>
                    </w:rPr>
                    <w:t>）</w:t>
                  </w:r>
                </w:p>
              </w:tc>
              <w:tc>
                <w:tcPr>
                  <w:tcW w:w="2309" w:type="pct"/>
                  <w:noWrap w:val="0"/>
                  <w:vAlign w:val="center"/>
                </w:tcPr>
                <w:p w14:paraId="7859494C">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eastAsia"/>
                      <w:szCs w:val="22"/>
                      <w:highlight w:val="none"/>
                      <w:lang w:val="en-US" w:eastAsia="zh-CN"/>
                    </w:rPr>
                    <w:t>执行标准</w:t>
                  </w:r>
                </w:p>
              </w:tc>
              <w:tc>
                <w:tcPr>
                  <w:tcW w:w="728" w:type="pct"/>
                  <w:noWrap w:val="0"/>
                  <w:vAlign w:val="center"/>
                </w:tcPr>
                <w:p w14:paraId="2E742E40">
                  <w:pPr>
                    <w:pStyle w:val="39"/>
                    <w:keepNext w:val="0"/>
                    <w:keepLines w:val="0"/>
                    <w:widowControl/>
                    <w:suppressLineNumbers w:val="0"/>
                    <w:bidi w:val="0"/>
                    <w:spacing w:before="0" w:beforeAutospacing="0" w:after="0" w:afterAutospacing="0"/>
                    <w:ind w:left="0" w:right="0"/>
                    <w:rPr>
                      <w:rFonts w:hint="default"/>
                      <w:szCs w:val="22"/>
                      <w:highlight w:val="none"/>
                      <w:lang w:eastAsia="zh-CN"/>
                    </w:rPr>
                  </w:pPr>
                  <w:r>
                    <w:rPr>
                      <w:rFonts w:hint="default"/>
                      <w:szCs w:val="22"/>
                      <w:highlight w:val="none"/>
                      <w:lang w:eastAsia="zh-CN"/>
                    </w:rPr>
                    <w:t>产品</w:t>
                  </w:r>
                  <w:r>
                    <w:rPr>
                      <w:rFonts w:hint="eastAsia"/>
                      <w:szCs w:val="22"/>
                      <w:highlight w:val="none"/>
                      <w:lang w:eastAsia="zh-CN"/>
                    </w:rPr>
                    <w:t>VOCs</w:t>
                  </w:r>
                  <w:r>
                    <w:rPr>
                      <w:rFonts w:hint="default"/>
                      <w:szCs w:val="22"/>
                      <w:highlight w:val="none"/>
                      <w:lang w:eastAsia="zh-CN"/>
                    </w:rPr>
                    <w:t>含量（</w:t>
                  </w:r>
                  <w:r>
                    <w:rPr>
                      <w:rFonts w:hint="default"/>
                      <w:szCs w:val="22"/>
                      <w:highlight w:val="none"/>
                    </w:rPr>
                    <w:t>g/L</w:t>
                  </w:r>
                  <w:r>
                    <w:rPr>
                      <w:rFonts w:hint="default"/>
                      <w:szCs w:val="22"/>
                      <w:highlight w:val="none"/>
                      <w:lang w:eastAsia="zh-CN"/>
                    </w:rPr>
                    <w:t>）</w:t>
                  </w:r>
                </w:p>
              </w:tc>
              <w:tc>
                <w:tcPr>
                  <w:tcW w:w="378" w:type="pct"/>
                  <w:noWrap w:val="0"/>
                  <w:vAlign w:val="center"/>
                </w:tcPr>
                <w:p w14:paraId="74BE346E">
                  <w:pPr>
                    <w:pStyle w:val="39"/>
                    <w:keepNext w:val="0"/>
                    <w:keepLines w:val="0"/>
                    <w:widowControl/>
                    <w:suppressLineNumbers w:val="0"/>
                    <w:bidi w:val="0"/>
                    <w:spacing w:before="0" w:beforeAutospacing="0" w:after="0" w:afterAutospacing="0"/>
                    <w:ind w:left="0" w:right="0"/>
                    <w:rPr>
                      <w:rFonts w:hint="default"/>
                      <w:szCs w:val="22"/>
                      <w:highlight w:val="none"/>
                      <w:lang w:eastAsia="zh-CN"/>
                    </w:rPr>
                  </w:pPr>
                  <w:r>
                    <w:rPr>
                      <w:rFonts w:hint="default"/>
                      <w:szCs w:val="22"/>
                      <w:highlight w:val="none"/>
                      <w:lang w:eastAsia="zh-CN"/>
                    </w:rPr>
                    <w:t>是否符合</w:t>
                  </w:r>
                </w:p>
              </w:tc>
            </w:tr>
            <w:tr w14:paraId="2523E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974" w:type="pct"/>
                  <w:noWrap w:val="0"/>
                  <w:vAlign w:val="center"/>
                </w:tcPr>
                <w:p w14:paraId="001FB5F4">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水性漆</w:t>
                  </w:r>
                </w:p>
              </w:tc>
              <w:tc>
                <w:tcPr>
                  <w:tcW w:w="609" w:type="pct"/>
                  <w:vMerge w:val="restart"/>
                  <w:noWrap w:val="0"/>
                  <w:vAlign w:val="center"/>
                </w:tcPr>
                <w:p w14:paraId="4846C588">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420</w:t>
                  </w:r>
                </w:p>
              </w:tc>
              <w:tc>
                <w:tcPr>
                  <w:tcW w:w="2309" w:type="pct"/>
                  <w:vMerge w:val="restart"/>
                  <w:noWrap w:val="0"/>
                  <w:vAlign w:val="center"/>
                </w:tcPr>
                <w:p w14:paraId="1627FB65">
                  <w:pPr>
                    <w:pStyle w:val="39"/>
                    <w:keepNext w:val="0"/>
                    <w:keepLines w:val="0"/>
                    <w:widowControl/>
                    <w:suppressLineNumbers w:val="0"/>
                    <w:bidi w:val="0"/>
                    <w:spacing w:before="0" w:beforeAutospacing="0" w:after="0" w:afterAutospacing="0"/>
                    <w:ind w:left="0" w:leftChars="0" w:right="0" w:rightChars="0"/>
                    <w:rPr>
                      <w:rFonts w:hint="default"/>
                      <w:szCs w:val="22"/>
                      <w:lang w:val="en-US" w:eastAsia="zh-CN"/>
                    </w:rPr>
                  </w:pPr>
                  <w:r>
                    <w:rPr>
                      <w:rFonts w:hint="default"/>
                      <w:color w:val="auto"/>
                      <w:szCs w:val="22"/>
                    </w:rPr>
                    <w:t>《低挥发性有机化合物含量涂料产品技术要求》（GB/T38597-2020）</w:t>
                  </w:r>
                  <w:r>
                    <w:rPr>
                      <w:rFonts w:hint="eastAsia"/>
                      <w:color w:val="auto"/>
                      <w:szCs w:val="22"/>
                      <w:lang w:val="en-US" w:eastAsia="zh-CN"/>
                    </w:rPr>
                    <w:t>表</w:t>
                  </w:r>
                  <w:r>
                    <w:rPr>
                      <w:rFonts w:hint="default"/>
                      <w:color w:val="auto"/>
                      <w:szCs w:val="22"/>
                    </w:rPr>
                    <w:t>2中</w:t>
                  </w:r>
                  <w:r>
                    <w:rPr>
                      <w:rFonts w:hint="eastAsia"/>
                      <w:color w:val="auto"/>
                      <w:szCs w:val="22"/>
                      <w:lang w:val="en-US" w:eastAsia="zh-CN"/>
                    </w:rPr>
                    <w:t>工业防护涂料 机械设备涂料 工程机械和农业机械涂料（含零部件涂料）面漆</w:t>
                  </w:r>
                  <w:r>
                    <w:rPr>
                      <w:rFonts w:hint="default"/>
                      <w:szCs w:val="22"/>
                    </w:rPr>
                    <w:t>的要求</w:t>
                  </w:r>
                </w:p>
              </w:tc>
              <w:tc>
                <w:tcPr>
                  <w:tcW w:w="728" w:type="pct"/>
                  <w:noWrap w:val="0"/>
                  <w:vAlign w:val="center"/>
                </w:tcPr>
                <w:p w14:paraId="6D0F7CDA">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未检出</w:t>
                  </w:r>
                </w:p>
              </w:tc>
              <w:tc>
                <w:tcPr>
                  <w:tcW w:w="378" w:type="pct"/>
                  <w:noWrap w:val="0"/>
                  <w:vAlign w:val="center"/>
                </w:tcPr>
                <w:p w14:paraId="7BF9FFE8">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eastAsia="zh-CN"/>
                    </w:rPr>
                    <w:t>符合</w:t>
                  </w:r>
                </w:p>
              </w:tc>
            </w:tr>
            <w:tr w14:paraId="57250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74" w:type="pct"/>
                  <w:noWrap w:val="0"/>
                  <w:vAlign w:val="center"/>
                </w:tcPr>
                <w:p w14:paraId="66C34BAC">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塑胶用油性漆</w:t>
                  </w:r>
                </w:p>
              </w:tc>
              <w:tc>
                <w:tcPr>
                  <w:tcW w:w="609" w:type="pct"/>
                  <w:vMerge w:val="continue"/>
                  <w:noWrap w:val="0"/>
                  <w:vAlign w:val="center"/>
                </w:tcPr>
                <w:p w14:paraId="06E27261">
                  <w:pPr>
                    <w:pStyle w:val="39"/>
                    <w:keepNext w:val="0"/>
                    <w:keepLines w:val="0"/>
                    <w:widowControl/>
                    <w:suppressLineNumbers w:val="0"/>
                    <w:bidi w:val="0"/>
                    <w:spacing w:before="0" w:beforeAutospacing="0" w:after="0" w:afterAutospacing="0"/>
                    <w:ind w:left="0" w:right="0"/>
                    <w:rPr>
                      <w:rFonts w:hint="default"/>
                      <w:szCs w:val="22"/>
                      <w:lang w:val="en-US" w:eastAsia="zh-CN"/>
                    </w:rPr>
                  </w:pPr>
                </w:p>
              </w:tc>
              <w:tc>
                <w:tcPr>
                  <w:tcW w:w="2309" w:type="pct"/>
                  <w:vMerge w:val="continue"/>
                  <w:noWrap w:val="0"/>
                  <w:vAlign w:val="center"/>
                </w:tcPr>
                <w:p w14:paraId="47C92DA0">
                  <w:pPr>
                    <w:pStyle w:val="39"/>
                    <w:keepNext w:val="0"/>
                    <w:keepLines w:val="0"/>
                    <w:widowControl/>
                    <w:suppressLineNumbers w:val="0"/>
                    <w:bidi w:val="0"/>
                    <w:spacing w:before="0" w:beforeAutospacing="0" w:after="0" w:afterAutospacing="0"/>
                    <w:ind w:left="0" w:leftChars="0" w:right="0" w:rightChars="0"/>
                    <w:rPr>
                      <w:rFonts w:hint="eastAsia"/>
                      <w:szCs w:val="22"/>
                      <w:lang w:val="en-US" w:eastAsia="zh-CN"/>
                    </w:rPr>
                  </w:pPr>
                </w:p>
              </w:tc>
              <w:tc>
                <w:tcPr>
                  <w:tcW w:w="728" w:type="pct"/>
                  <w:noWrap w:val="0"/>
                  <w:vAlign w:val="center"/>
                </w:tcPr>
                <w:p w14:paraId="698A2C6D">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249</w:t>
                  </w:r>
                </w:p>
              </w:tc>
              <w:tc>
                <w:tcPr>
                  <w:tcW w:w="378" w:type="pct"/>
                  <w:noWrap w:val="0"/>
                  <w:vAlign w:val="center"/>
                </w:tcPr>
                <w:p w14:paraId="251ADDCB">
                  <w:pPr>
                    <w:pStyle w:val="39"/>
                    <w:keepNext w:val="0"/>
                    <w:keepLines w:val="0"/>
                    <w:widowControl/>
                    <w:suppressLineNumbers w:val="0"/>
                    <w:bidi w:val="0"/>
                    <w:spacing w:before="0" w:beforeAutospacing="0" w:after="0" w:afterAutospacing="0"/>
                    <w:ind w:left="0" w:right="0"/>
                    <w:rPr>
                      <w:rFonts w:hint="default"/>
                      <w:szCs w:val="22"/>
                      <w:lang w:eastAsia="zh-CN"/>
                    </w:rPr>
                  </w:pPr>
                  <w:r>
                    <w:rPr>
                      <w:rFonts w:hint="default"/>
                      <w:szCs w:val="22"/>
                      <w:lang w:eastAsia="zh-CN"/>
                    </w:rPr>
                    <w:t>符合</w:t>
                  </w:r>
                </w:p>
              </w:tc>
            </w:tr>
            <w:tr w14:paraId="4FC32D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74" w:type="pct"/>
                  <w:noWrap w:val="0"/>
                  <w:vAlign w:val="center"/>
                </w:tcPr>
                <w:p w14:paraId="208F1BAC">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金属用油性漆</w:t>
                  </w:r>
                </w:p>
              </w:tc>
              <w:tc>
                <w:tcPr>
                  <w:tcW w:w="609" w:type="pct"/>
                  <w:vMerge w:val="continue"/>
                  <w:noWrap w:val="0"/>
                  <w:vAlign w:val="center"/>
                </w:tcPr>
                <w:p w14:paraId="5148C05B">
                  <w:pPr>
                    <w:pStyle w:val="39"/>
                    <w:keepNext w:val="0"/>
                    <w:keepLines w:val="0"/>
                    <w:widowControl/>
                    <w:suppressLineNumbers w:val="0"/>
                    <w:bidi w:val="0"/>
                    <w:spacing w:before="0" w:beforeAutospacing="0" w:after="0" w:afterAutospacing="0"/>
                    <w:ind w:left="0" w:right="0"/>
                    <w:rPr>
                      <w:rFonts w:hint="default"/>
                      <w:szCs w:val="22"/>
                      <w:lang w:val="en-US" w:eastAsia="zh-CN"/>
                    </w:rPr>
                  </w:pPr>
                </w:p>
              </w:tc>
              <w:tc>
                <w:tcPr>
                  <w:tcW w:w="2309" w:type="pct"/>
                  <w:vMerge w:val="continue"/>
                  <w:noWrap w:val="0"/>
                  <w:vAlign w:val="center"/>
                </w:tcPr>
                <w:p w14:paraId="3B22CB7B">
                  <w:pPr>
                    <w:pStyle w:val="39"/>
                    <w:keepNext w:val="0"/>
                    <w:keepLines w:val="0"/>
                    <w:widowControl/>
                    <w:suppressLineNumbers w:val="0"/>
                    <w:bidi w:val="0"/>
                    <w:spacing w:before="0" w:beforeAutospacing="0" w:after="0" w:afterAutospacing="0"/>
                    <w:ind w:left="0" w:leftChars="0" w:right="0" w:rightChars="0"/>
                    <w:rPr>
                      <w:rFonts w:hint="eastAsia"/>
                      <w:szCs w:val="22"/>
                      <w:lang w:val="en-US" w:eastAsia="zh-CN"/>
                    </w:rPr>
                  </w:pPr>
                </w:p>
              </w:tc>
              <w:tc>
                <w:tcPr>
                  <w:tcW w:w="728" w:type="pct"/>
                  <w:noWrap w:val="0"/>
                  <w:vAlign w:val="center"/>
                </w:tcPr>
                <w:p w14:paraId="642D4DF4">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319</w:t>
                  </w:r>
                </w:p>
              </w:tc>
              <w:tc>
                <w:tcPr>
                  <w:tcW w:w="378" w:type="pct"/>
                  <w:noWrap w:val="0"/>
                  <w:vAlign w:val="center"/>
                </w:tcPr>
                <w:p w14:paraId="4737A18F">
                  <w:pPr>
                    <w:pStyle w:val="39"/>
                    <w:keepNext w:val="0"/>
                    <w:keepLines w:val="0"/>
                    <w:widowControl/>
                    <w:suppressLineNumbers w:val="0"/>
                    <w:bidi w:val="0"/>
                    <w:spacing w:before="0" w:beforeAutospacing="0" w:after="0" w:afterAutospacing="0"/>
                    <w:ind w:left="0" w:right="0"/>
                    <w:rPr>
                      <w:rFonts w:hint="default"/>
                      <w:szCs w:val="22"/>
                      <w:lang w:eastAsia="zh-CN"/>
                    </w:rPr>
                  </w:pPr>
                  <w:r>
                    <w:rPr>
                      <w:rFonts w:hint="default"/>
                      <w:szCs w:val="22"/>
                      <w:lang w:eastAsia="zh-CN"/>
                    </w:rPr>
                    <w:t>符合</w:t>
                  </w:r>
                </w:p>
              </w:tc>
            </w:tr>
          </w:tbl>
          <w:p w14:paraId="3B09448B">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水性漆VOCs</w:t>
            </w:r>
            <w:r>
              <w:rPr>
                <w:rFonts w:hint="default"/>
                <w:lang w:val="en-US" w:eastAsia="zh-CN"/>
              </w:rPr>
              <w:t>含量</w:t>
            </w:r>
            <w:r>
              <w:rPr>
                <w:rFonts w:hint="eastAsia"/>
                <w:lang w:val="en-US" w:eastAsia="zh-CN"/>
              </w:rPr>
              <w:t>数据</w:t>
            </w:r>
            <w:r>
              <w:rPr>
                <w:rFonts w:hint="default"/>
                <w:lang w:val="en-US" w:eastAsia="zh-CN"/>
              </w:rPr>
              <w:t>引用华测检测认证集团股份有限公司的产品检验检测报告（详见</w:t>
            </w:r>
            <w:r>
              <w:rPr>
                <w:rStyle w:val="46"/>
                <w:rFonts w:hint="default"/>
                <w:lang w:val="en-US" w:eastAsia="zh-CN"/>
              </w:rPr>
              <w:fldChar w:fldCharType="begin"/>
            </w:r>
            <w:r>
              <w:rPr>
                <w:rStyle w:val="46"/>
                <w:rFonts w:hint="default"/>
                <w:lang w:val="en-US" w:eastAsia="zh-CN"/>
              </w:rPr>
              <w:instrText xml:space="preserve"> REF _Ref22316 \h </w:instrText>
            </w:r>
            <w:r>
              <w:rPr>
                <w:rStyle w:val="46"/>
                <w:rFonts w:hint="default"/>
                <w:lang w:val="en-US" w:eastAsia="zh-CN"/>
              </w:rPr>
              <w:fldChar w:fldCharType="separate"/>
            </w:r>
            <w:r>
              <w:rPr>
                <w:rFonts w:hint="eastAsia"/>
              </w:rPr>
              <w:t>附件 12</w:t>
            </w:r>
            <w:r>
              <w:rPr>
                <w:rStyle w:val="46"/>
                <w:rFonts w:hint="default"/>
                <w:lang w:val="en-US" w:eastAsia="zh-CN"/>
              </w:rPr>
              <w:fldChar w:fldCharType="end"/>
            </w:r>
            <w:r>
              <w:rPr>
                <w:rFonts w:hint="default"/>
                <w:lang w:val="en-US" w:eastAsia="zh-CN"/>
              </w:rPr>
              <w:t>），</w:t>
            </w:r>
            <w:r>
              <w:rPr>
                <w:rFonts w:hint="eastAsia"/>
                <w:lang w:eastAsia="zh-CN"/>
              </w:rPr>
              <w:t>VOCs</w:t>
            </w:r>
            <w:r>
              <w:rPr>
                <w:rFonts w:hint="default"/>
                <w:lang w:eastAsia="zh-CN"/>
              </w:rPr>
              <w:t>含量</w:t>
            </w:r>
            <w:r>
              <w:rPr>
                <w:rFonts w:hint="eastAsia"/>
                <w:lang w:val="en-US" w:eastAsia="zh-CN"/>
              </w:rPr>
              <w:t>未检出，满足</w:t>
            </w:r>
            <w:r>
              <w:rPr>
                <w:rFonts w:hint="default"/>
                <w:color w:val="auto"/>
              </w:rPr>
              <w:t>《低挥发性有机化合物含量涂料产品技术要求》（GB/T38597-2020）</w:t>
            </w:r>
            <w:r>
              <w:rPr>
                <w:rFonts w:hint="eastAsia"/>
                <w:color w:val="auto"/>
                <w:lang w:val="en-US" w:eastAsia="zh-CN"/>
              </w:rPr>
              <w:t>表</w:t>
            </w:r>
            <w:r>
              <w:rPr>
                <w:rFonts w:hint="default"/>
                <w:color w:val="auto"/>
              </w:rPr>
              <w:t>2中</w:t>
            </w:r>
            <w:r>
              <w:rPr>
                <w:rFonts w:hint="eastAsia"/>
                <w:color w:val="auto"/>
                <w:lang w:val="en-US" w:eastAsia="zh-CN"/>
              </w:rPr>
              <w:t>工业防护涂料 机械设备涂料 工程机械和农业机械涂料（含零部件涂料）面漆</w:t>
            </w:r>
            <w:r>
              <w:rPr>
                <w:rFonts w:hint="default"/>
              </w:rPr>
              <w:t>的要求</w:t>
            </w:r>
            <w:r>
              <w:rPr>
                <w:rFonts w:hint="eastAsia"/>
                <w:lang w:eastAsia="zh-CN"/>
              </w:rPr>
              <w:t>（</w:t>
            </w:r>
            <w:r>
              <w:rPr>
                <w:rFonts w:hint="eastAsia"/>
                <w:lang w:val="en-US" w:eastAsia="zh-CN"/>
              </w:rPr>
              <w:t>VOCs≤420g/L</w:t>
            </w:r>
            <w:r>
              <w:rPr>
                <w:rFonts w:hint="eastAsia"/>
                <w:lang w:eastAsia="zh-CN"/>
              </w:rPr>
              <w:t>）</w:t>
            </w:r>
            <w:r>
              <w:rPr>
                <w:rFonts w:hint="eastAsia"/>
                <w:lang w:val="en-US" w:eastAsia="zh-CN"/>
              </w:rPr>
              <w:t>。</w:t>
            </w:r>
          </w:p>
          <w:p w14:paraId="0BF6C75A">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塑胶用油性漆VOCs</w:t>
            </w:r>
            <w:r>
              <w:rPr>
                <w:rFonts w:hint="default"/>
                <w:color w:val="auto"/>
                <w:lang w:val="en-US" w:eastAsia="zh-CN"/>
              </w:rPr>
              <w:t>含量</w:t>
            </w:r>
            <w:r>
              <w:rPr>
                <w:rFonts w:hint="eastAsia"/>
                <w:color w:val="auto"/>
                <w:lang w:val="en-US" w:eastAsia="zh-CN"/>
              </w:rPr>
              <w:t>数据</w:t>
            </w:r>
            <w:r>
              <w:rPr>
                <w:rFonts w:hint="default"/>
                <w:color w:val="auto"/>
                <w:lang w:val="en-US" w:eastAsia="zh-CN"/>
              </w:rPr>
              <w:t>引用</w:t>
            </w:r>
            <w:r>
              <w:rPr>
                <w:rFonts w:hint="eastAsia"/>
                <w:color w:val="auto"/>
                <w:lang w:val="en-US" w:eastAsia="zh-CN"/>
              </w:rPr>
              <w:t>广东产品质量监督检验研究院</w:t>
            </w:r>
            <w:r>
              <w:rPr>
                <w:rFonts w:hint="default"/>
                <w:color w:val="auto"/>
                <w:lang w:val="en-US" w:eastAsia="zh-CN"/>
              </w:rPr>
              <w:t>的产品检验检测报告（详见</w:t>
            </w:r>
            <w:r>
              <w:rPr>
                <w:rStyle w:val="46"/>
                <w:rFonts w:hint="default"/>
                <w:lang w:val="en-US" w:eastAsia="zh-CN"/>
              </w:rPr>
              <w:fldChar w:fldCharType="begin"/>
            </w:r>
            <w:r>
              <w:rPr>
                <w:rStyle w:val="46"/>
                <w:rFonts w:hint="default"/>
                <w:lang w:val="en-US" w:eastAsia="zh-CN"/>
              </w:rPr>
              <w:instrText xml:space="preserve"> REF _Ref22270 \h </w:instrText>
            </w:r>
            <w:r>
              <w:rPr>
                <w:rStyle w:val="46"/>
                <w:rFonts w:hint="default"/>
                <w:lang w:val="en-US" w:eastAsia="zh-CN"/>
              </w:rPr>
              <w:fldChar w:fldCharType="separate"/>
            </w:r>
            <w:r>
              <w:rPr>
                <w:rFonts w:hint="eastAsia"/>
              </w:rPr>
              <w:t>附件 14</w:t>
            </w:r>
            <w:r>
              <w:rPr>
                <w:rStyle w:val="46"/>
                <w:rFonts w:hint="default"/>
                <w:lang w:val="en-US" w:eastAsia="zh-CN"/>
              </w:rPr>
              <w:fldChar w:fldCharType="end"/>
            </w:r>
            <w:r>
              <w:rPr>
                <w:rFonts w:hint="default"/>
                <w:color w:val="auto"/>
                <w:lang w:val="en-US" w:eastAsia="zh-CN"/>
              </w:rPr>
              <w:t>），</w:t>
            </w:r>
            <w:r>
              <w:rPr>
                <w:rFonts w:hint="eastAsia"/>
                <w:color w:val="auto"/>
                <w:lang w:val="en-US" w:eastAsia="zh-CN"/>
              </w:rPr>
              <w:t>VOCs含量为249g/L，</w:t>
            </w:r>
            <w:r>
              <w:rPr>
                <w:rFonts w:hint="default"/>
                <w:color w:val="auto"/>
              </w:rPr>
              <w:t>满足《低挥发性有机化合物含量涂料产品技术要求》（GB/T38597-2020）</w:t>
            </w:r>
            <w:r>
              <w:rPr>
                <w:rFonts w:hint="eastAsia"/>
                <w:color w:val="auto"/>
                <w:lang w:val="en-US" w:eastAsia="zh-CN"/>
              </w:rPr>
              <w:t>表</w:t>
            </w:r>
            <w:r>
              <w:rPr>
                <w:rFonts w:hint="default"/>
                <w:color w:val="auto"/>
              </w:rPr>
              <w:t>2中</w:t>
            </w:r>
            <w:r>
              <w:rPr>
                <w:rFonts w:hint="eastAsia"/>
                <w:color w:val="auto"/>
                <w:lang w:val="en-US" w:eastAsia="zh-CN"/>
              </w:rPr>
              <w:t>工业防护涂料 机械设备涂料 工程机械和农业机械涂料（含零部件涂料）面漆</w:t>
            </w:r>
            <w:r>
              <w:rPr>
                <w:rFonts w:hint="default"/>
              </w:rPr>
              <w:t>的要求</w:t>
            </w:r>
            <w:r>
              <w:rPr>
                <w:rFonts w:hint="eastAsia"/>
                <w:lang w:eastAsia="zh-CN"/>
              </w:rPr>
              <w:t>（</w:t>
            </w:r>
            <w:r>
              <w:rPr>
                <w:rFonts w:hint="eastAsia"/>
                <w:lang w:val="en-US" w:eastAsia="zh-CN"/>
              </w:rPr>
              <w:t>VOCs≤420g/L</w:t>
            </w:r>
            <w:r>
              <w:rPr>
                <w:rFonts w:hint="eastAsia"/>
                <w:lang w:eastAsia="zh-CN"/>
              </w:rPr>
              <w:t>）</w:t>
            </w:r>
            <w:r>
              <w:rPr>
                <w:rFonts w:hint="eastAsia"/>
                <w:color w:val="auto"/>
                <w:lang w:val="en-US" w:eastAsia="zh-CN"/>
              </w:rPr>
              <w:t>。</w:t>
            </w:r>
          </w:p>
          <w:p w14:paraId="2C47A182">
            <w:pPr>
              <w:keepNext w:val="0"/>
              <w:keepLines w:val="0"/>
              <w:suppressLineNumbers w:val="0"/>
              <w:bidi w:val="0"/>
              <w:spacing w:before="0" w:beforeAutospacing="0" w:after="0" w:afterAutospacing="0"/>
              <w:ind w:left="0" w:right="0"/>
              <w:rPr>
                <w:rFonts w:hint="eastAsia"/>
                <w:lang w:val="en-US" w:eastAsia="zh-CN"/>
              </w:rPr>
            </w:pPr>
            <w:r>
              <w:rPr>
                <w:rFonts w:hint="eastAsia"/>
                <w:color w:val="auto"/>
                <w:lang w:val="en-US" w:eastAsia="zh-CN"/>
              </w:rPr>
              <w:t>金属用油性漆VOCs</w:t>
            </w:r>
            <w:r>
              <w:rPr>
                <w:rFonts w:hint="default"/>
                <w:color w:val="auto"/>
                <w:lang w:val="en-US" w:eastAsia="zh-CN"/>
              </w:rPr>
              <w:t>含量</w:t>
            </w:r>
            <w:r>
              <w:rPr>
                <w:rFonts w:hint="eastAsia"/>
                <w:color w:val="auto"/>
                <w:lang w:val="en-US" w:eastAsia="zh-CN"/>
              </w:rPr>
              <w:t>数据</w:t>
            </w:r>
            <w:r>
              <w:rPr>
                <w:rFonts w:hint="default"/>
                <w:color w:val="auto"/>
                <w:lang w:val="en-US" w:eastAsia="zh-CN"/>
              </w:rPr>
              <w:t>引用</w:t>
            </w:r>
            <w:r>
              <w:rPr>
                <w:rFonts w:hint="eastAsia"/>
                <w:color w:val="auto"/>
                <w:lang w:val="en-US" w:eastAsia="zh-CN"/>
              </w:rPr>
              <w:t>化学工业合成材料老化质量监督检验中心</w:t>
            </w:r>
            <w:r>
              <w:rPr>
                <w:rFonts w:hint="default"/>
                <w:color w:val="auto"/>
                <w:lang w:val="en-US" w:eastAsia="zh-CN"/>
              </w:rPr>
              <w:t>的产品检验检测报告（详见</w:t>
            </w:r>
            <w:r>
              <w:rPr>
                <w:rStyle w:val="46"/>
                <w:rFonts w:hint="default"/>
                <w:lang w:val="en-US" w:eastAsia="zh-CN"/>
              </w:rPr>
              <w:fldChar w:fldCharType="begin"/>
            </w:r>
            <w:r>
              <w:rPr>
                <w:rStyle w:val="46"/>
                <w:rFonts w:hint="default"/>
                <w:lang w:val="en-US" w:eastAsia="zh-CN"/>
              </w:rPr>
              <w:instrText xml:space="preserve"> REF _Ref22296 \h </w:instrText>
            </w:r>
            <w:r>
              <w:rPr>
                <w:rStyle w:val="46"/>
                <w:rFonts w:hint="default"/>
                <w:lang w:val="en-US" w:eastAsia="zh-CN"/>
              </w:rPr>
              <w:fldChar w:fldCharType="separate"/>
            </w:r>
            <w:r>
              <w:rPr>
                <w:rFonts w:hint="eastAsia"/>
              </w:rPr>
              <w:t>附件 16</w:t>
            </w:r>
            <w:r>
              <w:rPr>
                <w:rStyle w:val="46"/>
                <w:rFonts w:hint="default"/>
                <w:lang w:val="en-US" w:eastAsia="zh-CN"/>
              </w:rPr>
              <w:fldChar w:fldCharType="end"/>
            </w:r>
            <w:r>
              <w:rPr>
                <w:rFonts w:hint="default"/>
                <w:color w:val="auto"/>
                <w:lang w:val="en-US" w:eastAsia="zh-CN"/>
              </w:rPr>
              <w:t>），</w:t>
            </w:r>
            <w:r>
              <w:rPr>
                <w:rFonts w:hint="eastAsia"/>
                <w:color w:val="auto"/>
                <w:lang w:val="en-US" w:eastAsia="zh-CN"/>
              </w:rPr>
              <w:t>VOCs含量为319g/L，</w:t>
            </w:r>
            <w:r>
              <w:rPr>
                <w:rFonts w:hint="default"/>
                <w:color w:val="auto"/>
              </w:rPr>
              <w:t>满足《低挥发性有机化合物含量涂料产品技术要求》（GB/T38597-2020）</w:t>
            </w:r>
            <w:r>
              <w:rPr>
                <w:rFonts w:hint="eastAsia"/>
                <w:color w:val="auto"/>
                <w:lang w:val="en-US" w:eastAsia="zh-CN"/>
              </w:rPr>
              <w:t>表</w:t>
            </w:r>
            <w:r>
              <w:rPr>
                <w:rFonts w:hint="default"/>
                <w:color w:val="auto"/>
              </w:rPr>
              <w:t>2中</w:t>
            </w:r>
            <w:r>
              <w:rPr>
                <w:rFonts w:hint="eastAsia"/>
                <w:color w:val="auto"/>
                <w:lang w:val="en-US" w:eastAsia="zh-CN"/>
              </w:rPr>
              <w:t>工业防护涂料 机械设备涂料 工程机械和农业机械涂料（含零部件涂料）面漆</w:t>
            </w:r>
            <w:r>
              <w:rPr>
                <w:rFonts w:hint="default"/>
              </w:rPr>
              <w:t>的要求</w:t>
            </w:r>
            <w:r>
              <w:rPr>
                <w:rFonts w:hint="eastAsia"/>
                <w:lang w:eastAsia="zh-CN"/>
              </w:rPr>
              <w:t>（</w:t>
            </w:r>
            <w:r>
              <w:rPr>
                <w:rFonts w:hint="eastAsia"/>
                <w:lang w:val="en-US" w:eastAsia="zh-CN"/>
              </w:rPr>
              <w:t>VOCs≤420g/L</w:t>
            </w:r>
            <w:r>
              <w:rPr>
                <w:rFonts w:hint="eastAsia"/>
                <w:lang w:eastAsia="zh-CN"/>
              </w:rPr>
              <w:t>）</w:t>
            </w:r>
            <w:r>
              <w:rPr>
                <w:rFonts w:hint="eastAsia"/>
                <w:lang w:val="en-US" w:eastAsia="zh-CN"/>
              </w:rPr>
              <w:t>。</w:t>
            </w:r>
          </w:p>
          <w:p w14:paraId="0FB0D0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auto"/>
                <w:lang w:val="en-US" w:eastAsia="zh-CN"/>
              </w:rPr>
            </w:pPr>
            <w:r>
              <w:rPr>
                <w:rFonts w:hint="eastAsia"/>
                <w:lang w:val="en-US" w:eastAsia="zh-CN"/>
              </w:rPr>
              <w:t>综上可知，本项目使用的水性漆和油性漆，VOCs 含量均符合相关标准规定的限值要求且显著低于限值，属于低VOCs物料。</w:t>
            </w:r>
          </w:p>
          <w:p w14:paraId="76916271">
            <w:pPr>
              <w:pStyle w:val="4"/>
              <w:suppressLineNumbers w:val="0"/>
              <w:bidi w:val="0"/>
              <w:spacing w:before="0" w:beforeAutospacing="0" w:after="0" w:afterAutospacing="0"/>
              <w:ind w:left="0" w:right="0"/>
              <w:rPr>
                <w:rFonts w:hint="default"/>
              </w:rPr>
            </w:pPr>
            <w:r>
              <w:rPr>
                <w:rFonts w:hint="default"/>
              </w:rPr>
              <w:t>主要生产设备</w:t>
            </w:r>
          </w:p>
          <w:p w14:paraId="58EE17F0">
            <w:pPr>
              <w:keepNext w:val="0"/>
              <w:keepLines w:val="0"/>
              <w:suppressLineNumbers w:val="0"/>
              <w:spacing w:before="0" w:beforeAutospacing="0" w:after="0" w:afterAutospacing="0"/>
              <w:ind w:left="0" w:right="0" w:firstLine="480"/>
              <w:rPr>
                <w:rFonts w:hint="eastAsia"/>
                <w:color w:val="auto"/>
              </w:rPr>
            </w:pPr>
            <w:r>
              <w:rPr>
                <w:rFonts w:hint="eastAsia"/>
                <w:color w:val="auto"/>
              </w:rPr>
              <w:t>本项目主要生产设备见表</w:t>
            </w:r>
            <w:r>
              <w:rPr>
                <w:rFonts w:hint="eastAsia"/>
                <w:color w:val="auto"/>
                <w:highlight w:val="none"/>
                <w:lang w:val="en-US" w:eastAsia="zh-CN"/>
              </w:rPr>
              <w:t>2.3-6</w:t>
            </w:r>
            <w:r>
              <w:rPr>
                <w:rFonts w:hint="eastAsia"/>
                <w:color w:val="auto"/>
              </w:rPr>
              <w:t>。</w:t>
            </w:r>
          </w:p>
          <w:p w14:paraId="3CB5000E">
            <w:pPr>
              <w:pStyle w:val="40"/>
              <w:keepNext w:val="0"/>
              <w:keepLines w:val="0"/>
              <w:suppressLineNumbers w:val="0"/>
              <w:bidi w:val="0"/>
              <w:spacing w:before="0" w:beforeAutospacing="0" w:after="0" w:afterAutospacing="0"/>
              <w:ind w:left="0" w:right="0"/>
              <w:rPr>
                <w:rFonts w:hint="eastAsia"/>
                <w:lang w:eastAsia="zh-CN"/>
              </w:rPr>
            </w:pPr>
            <w:r>
              <w:rPr>
                <w:rFonts w:hint="eastAsia"/>
                <w:lang w:eastAsia="zh-CN"/>
              </w:rPr>
              <w:t>表</w:t>
            </w:r>
            <w:r>
              <w:rPr>
                <w:rFonts w:hint="eastAsia"/>
                <w:color w:val="auto"/>
                <w:highlight w:val="none"/>
                <w:lang w:val="en-US" w:eastAsia="zh-CN"/>
              </w:rPr>
              <w:t>2.3-6</w:t>
            </w:r>
            <w:r>
              <w:rPr>
                <w:rFonts w:hint="eastAsia"/>
                <w:lang w:eastAsia="zh-CN"/>
              </w:rPr>
              <w:t xml:space="preserve"> 主要生产设备一览表</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724"/>
              <w:gridCol w:w="800"/>
              <w:gridCol w:w="1262"/>
              <w:gridCol w:w="1262"/>
              <w:gridCol w:w="1262"/>
              <w:gridCol w:w="804"/>
            </w:tblGrid>
            <w:tr w14:paraId="0094AE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505" w:type="pct"/>
                  <w:vMerge w:val="restart"/>
                  <w:tcBorders>
                    <w:left w:val="nil"/>
                  </w:tcBorders>
                  <w:noWrap w:val="0"/>
                  <w:vAlign w:val="center"/>
                </w:tcPr>
                <w:p w14:paraId="2CF58DCF">
                  <w:pPr>
                    <w:pStyle w:val="39"/>
                    <w:keepNext w:val="0"/>
                    <w:keepLines w:val="0"/>
                    <w:widowControl/>
                    <w:suppressLineNumbers w:val="0"/>
                    <w:bidi w:val="0"/>
                    <w:spacing w:before="0" w:beforeAutospacing="0" w:after="0" w:afterAutospacing="0"/>
                    <w:ind w:left="0" w:right="0"/>
                    <w:jc w:val="center"/>
                    <w:rPr>
                      <w:rFonts w:hint="eastAsia"/>
                      <w:color w:val="auto"/>
                      <w:szCs w:val="22"/>
                    </w:rPr>
                  </w:pPr>
                  <w:r>
                    <w:rPr>
                      <w:rFonts w:hint="eastAsia"/>
                      <w:szCs w:val="22"/>
                    </w:rPr>
                    <w:t>序号</w:t>
                  </w:r>
                </w:p>
              </w:tc>
              <w:tc>
                <w:tcPr>
                  <w:tcW w:w="1089" w:type="pct"/>
                  <w:vMerge w:val="restart"/>
                  <w:noWrap w:val="0"/>
                  <w:vAlign w:val="center"/>
                </w:tcPr>
                <w:p w14:paraId="232252C3">
                  <w:pPr>
                    <w:pStyle w:val="39"/>
                    <w:keepNext w:val="0"/>
                    <w:keepLines w:val="0"/>
                    <w:widowControl/>
                    <w:suppressLineNumbers w:val="0"/>
                    <w:bidi w:val="0"/>
                    <w:spacing w:before="0" w:beforeAutospacing="0" w:after="0" w:afterAutospacing="0"/>
                    <w:ind w:left="0" w:right="0"/>
                    <w:jc w:val="center"/>
                    <w:rPr>
                      <w:rFonts w:hint="eastAsia"/>
                      <w:color w:val="auto"/>
                      <w:szCs w:val="22"/>
                      <w:lang w:eastAsia="zh-CN"/>
                    </w:rPr>
                  </w:pPr>
                  <w:r>
                    <w:rPr>
                      <w:rFonts w:hint="eastAsia"/>
                      <w:szCs w:val="22"/>
                    </w:rPr>
                    <w:t>设 备 名 称</w:t>
                  </w:r>
                </w:p>
              </w:tc>
              <w:tc>
                <w:tcPr>
                  <w:tcW w:w="505" w:type="pct"/>
                  <w:vMerge w:val="restart"/>
                  <w:noWrap w:val="0"/>
                  <w:vAlign w:val="center"/>
                </w:tcPr>
                <w:p w14:paraId="422C30ED">
                  <w:pPr>
                    <w:pStyle w:val="39"/>
                    <w:keepNext w:val="0"/>
                    <w:keepLines w:val="0"/>
                    <w:widowControl/>
                    <w:suppressLineNumbers w:val="0"/>
                    <w:bidi w:val="0"/>
                    <w:spacing w:before="0" w:beforeAutospacing="0" w:after="0" w:afterAutospacing="0"/>
                    <w:ind w:left="0" w:right="0"/>
                    <w:jc w:val="center"/>
                    <w:rPr>
                      <w:rFonts w:hint="eastAsia"/>
                      <w:color w:val="auto"/>
                      <w:szCs w:val="22"/>
                    </w:rPr>
                  </w:pPr>
                  <w:r>
                    <w:rPr>
                      <w:rFonts w:hint="eastAsia"/>
                      <w:szCs w:val="22"/>
                    </w:rPr>
                    <w:t>单位</w:t>
                  </w:r>
                </w:p>
              </w:tc>
              <w:tc>
                <w:tcPr>
                  <w:tcW w:w="2899" w:type="pct"/>
                  <w:gridSpan w:val="4"/>
                  <w:tcBorders>
                    <w:right w:val="nil"/>
                  </w:tcBorders>
                  <w:noWrap w:val="0"/>
                  <w:vAlign w:val="center"/>
                </w:tcPr>
                <w:p w14:paraId="0630319F">
                  <w:pPr>
                    <w:pStyle w:val="39"/>
                    <w:keepNext w:val="0"/>
                    <w:keepLines w:val="0"/>
                    <w:widowControl/>
                    <w:suppressLineNumbers w:val="0"/>
                    <w:bidi w:val="0"/>
                    <w:spacing w:before="0" w:beforeAutospacing="0" w:after="0" w:afterAutospacing="0"/>
                    <w:ind w:left="0" w:leftChars="0" w:right="0" w:rightChars="0"/>
                    <w:jc w:val="center"/>
                    <w:rPr>
                      <w:rFonts w:hint="default" w:eastAsia="宋体"/>
                      <w:szCs w:val="22"/>
                      <w:lang w:val="en-US" w:eastAsia="zh-CN"/>
                    </w:rPr>
                  </w:pPr>
                  <w:r>
                    <w:rPr>
                      <w:rFonts w:hint="eastAsia"/>
                      <w:szCs w:val="22"/>
                      <w:lang w:val="en-US" w:eastAsia="zh-CN"/>
                    </w:rPr>
                    <w:t>数量</w:t>
                  </w:r>
                </w:p>
              </w:tc>
            </w:tr>
            <w:tr w14:paraId="7AD912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505" w:type="pct"/>
                  <w:vMerge w:val="continue"/>
                  <w:tcBorders>
                    <w:left w:val="nil"/>
                  </w:tcBorders>
                  <w:noWrap w:val="0"/>
                  <w:vAlign w:val="center"/>
                </w:tcPr>
                <w:p w14:paraId="461CE4AA">
                  <w:pPr>
                    <w:pStyle w:val="39"/>
                    <w:keepNext w:val="0"/>
                    <w:keepLines w:val="0"/>
                    <w:widowControl/>
                    <w:suppressLineNumbers w:val="0"/>
                    <w:bidi w:val="0"/>
                    <w:spacing w:before="0" w:beforeAutospacing="0" w:after="0" w:afterAutospacing="0"/>
                    <w:ind w:left="0" w:right="0"/>
                    <w:jc w:val="center"/>
                    <w:rPr>
                      <w:rFonts w:hint="eastAsia"/>
                      <w:szCs w:val="22"/>
                    </w:rPr>
                  </w:pPr>
                </w:p>
              </w:tc>
              <w:tc>
                <w:tcPr>
                  <w:tcW w:w="1089" w:type="pct"/>
                  <w:vMerge w:val="continue"/>
                  <w:noWrap w:val="0"/>
                  <w:vAlign w:val="center"/>
                </w:tcPr>
                <w:p w14:paraId="62F1EE58">
                  <w:pPr>
                    <w:pStyle w:val="39"/>
                    <w:keepNext w:val="0"/>
                    <w:keepLines w:val="0"/>
                    <w:widowControl/>
                    <w:suppressLineNumbers w:val="0"/>
                    <w:bidi w:val="0"/>
                    <w:spacing w:before="0" w:beforeAutospacing="0" w:after="0" w:afterAutospacing="0"/>
                    <w:ind w:left="0" w:right="0"/>
                    <w:jc w:val="center"/>
                    <w:rPr>
                      <w:rFonts w:hint="eastAsia"/>
                      <w:szCs w:val="22"/>
                    </w:rPr>
                  </w:pPr>
                </w:p>
              </w:tc>
              <w:tc>
                <w:tcPr>
                  <w:tcW w:w="505" w:type="pct"/>
                  <w:vMerge w:val="continue"/>
                  <w:noWrap w:val="0"/>
                  <w:vAlign w:val="center"/>
                </w:tcPr>
                <w:p w14:paraId="67FED778">
                  <w:pPr>
                    <w:pStyle w:val="39"/>
                    <w:keepNext w:val="0"/>
                    <w:keepLines w:val="0"/>
                    <w:widowControl/>
                    <w:suppressLineNumbers w:val="0"/>
                    <w:bidi w:val="0"/>
                    <w:spacing w:before="0" w:beforeAutospacing="0" w:after="0" w:afterAutospacing="0"/>
                    <w:ind w:left="0" w:right="0"/>
                    <w:jc w:val="center"/>
                    <w:rPr>
                      <w:rFonts w:hint="eastAsia"/>
                      <w:szCs w:val="22"/>
                    </w:rPr>
                  </w:pPr>
                </w:p>
              </w:tc>
              <w:tc>
                <w:tcPr>
                  <w:tcW w:w="797" w:type="pct"/>
                  <w:tcBorders>
                    <w:right w:val="nil"/>
                  </w:tcBorders>
                  <w:noWrap w:val="0"/>
                  <w:vAlign w:val="center"/>
                </w:tcPr>
                <w:p w14:paraId="4E8D642C">
                  <w:pPr>
                    <w:pStyle w:val="39"/>
                    <w:keepNext w:val="0"/>
                    <w:keepLines w:val="0"/>
                    <w:widowControl/>
                    <w:suppressLineNumbers w:val="0"/>
                    <w:bidi w:val="0"/>
                    <w:spacing w:before="0" w:beforeAutospacing="0" w:after="0" w:afterAutospacing="0"/>
                    <w:ind w:left="0" w:leftChars="0" w:right="0" w:rightChars="0"/>
                    <w:jc w:val="center"/>
                    <w:rPr>
                      <w:rFonts w:hint="eastAsia"/>
                      <w:szCs w:val="22"/>
                      <w:lang w:val="en-US" w:eastAsia="zh-CN"/>
                    </w:rPr>
                  </w:pPr>
                  <w:r>
                    <w:rPr>
                      <w:rFonts w:hint="eastAsia"/>
                      <w:szCs w:val="22"/>
                      <w:lang w:val="en-US" w:eastAsia="zh-CN"/>
                    </w:rPr>
                    <w:t>生产线1</w:t>
                  </w:r>
                </w:p>
              </w:tc>
              <w:tc>
                <w:tcPr>
                  <w:tcW w:w="797" w:type="pct"/>
                  <w:tcBorders>
                    <w:right w:val="nil"/>
                  </w:tcBorders>
                  <w:noWrap w:val="0"/>
                  <w:vAlign w:val="center"/>
                </w:tcPr>
                <w:p w14:paraId="303C27DB">
                  <w:pPr>
                    <w:pStyle w:val="39"/>
                    <w:keepNext w:val="0"/>
                    <w:keepLines w:val="0"/>
                    <w:widowControl/>
                    <w:suppressLineNumbers w:val="0"/>
                    <w:bidi w:val="0"/>
                    <w:spacing w:before="0" w:beforeAutospacing="0" w:after="0" w:afterAutospacing="0"/>
                    <w:ind w:left="0" w:leftChars="0" w:right="0" w:rightChars="0"/>
                    <w:jc w:val="center"/>
                    <w:rPr>
                      <w:rFonts w:hint="eastAsia"/>
                      <w:szCs w:val="22"/>
                    </w:rPr>
                  </w:pPr>
                  <w:r>
                    <w:rPr>
                      <w:rFonts w:hint="eastAsia"/>
                      <w:szCs w:val="22"/>
                      <w:lang w:val="en-US" w:eastAsia="zh-CN"/>
                    </w:rPr>
                    <w:t>生产线2</w:t>
                  </w:r>
                </w:p>
              </w:tc>
              <w:tc>
                <w:tcPr>
                  <w:tcW w:w="797" w:type="pct"/>
                  <w:tcBorders>
                    <w:right w:val="nil"/>
                  </w:tcBorders>
                  <w:noWrap w:val="0"/>
                  <w:vAlign w:val="center"/>
                </w:tcPr>
                <w:p w14:paraId="5A02BAB8">
                  <w:pPr>
                    <w:pStyle w:val="39"/>
                    <w:keepNext w:val="0"/>
                    <w:keepLines w:val="0"/>
                    <w:widowControl/>
                    <w:suppressLineNumbers w:val="0"/>
                    <w:bidi w:val="0"/>
                    <w:spacing w:before="0" w:beforeAutospacing="0" w:after="0" w:afterAutospacing="0"/>
                    <w:ind w:left="0" w:leftChars="0" w:right="0" w:rightChars="0"/>
                    <w:jc w:val="center"/>
                    <w:rPr>
                      <w:rFonts w:hint="eastAsia"/>
                      <w:szCs w:val="22"/>
                    </w:rPr>
                  </w:pPr>
                  <w:r>
                    <w:rPr>
                      <w:rFonts w:hint="eastAsia"/>
                      <w:szCs w:val="22"/>
                      <w:lang w:val="en-US" w:eastAsia="zh-CN"/>
                    </w:rPr>
                    <w:t>生产线3</w:t>
                  </w:r>
                </w:p>
              </w:tc>
              <w:tc>
                <w:tcPr>
                  <w:tcW w:w="507" w:type="pct"/>
                  <w:tcBorders>
                    <w:right w:val="nil"/>
                  </w:tcBorders>
                  <w:noWrap w:val="0"/>
                  <w:vAlign w:val="center"/>
                </w:tcPr>
                <w:p w14:paraId="689FB489">
                  <w:pPr>
                    <w:pStyle w:val="39"/>
                    <w:keepNext w:val="0"/>
                    <w:keepLines w:val="0"/>
                    <w:widowControl/>
                    <w:suppressLineNumbers w:val="0"/>
                    <w:bidi w:val="0"/>
                    <w:spacing w:before="0" w:beforeAutospacing="0" w:after="0" w:afterAutospacing="0"/>
                    <w:ind w:left="0" w:leftChars="0" w:right="0" w:rightChars="0"/>
                    <w:jc w:val="center"/>
                    <w:rPr>
                      <w:rFonts w:hint="eastAsia"/>
                      <w:szCs w:val="22"/>
                    </w:rPr>
                  </w:pPr>
                  <w:r>
                    <w:rPr>
                      <w:rFonts w:hint="eastAsia"/>
                      <w:szCs w:val="22"/>
                      <w:lang w:val="en-US" w:eastAsia="zh-CN"/>
                    </w:rPr>
                    <w:t>合计</w:t>
                  </w:r>
                </w:p>
              </w:tc>
            </w:tr>
            <w:tr w14:paraId="48CAE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505" w:type="pct"/>
                  <w:tcBorders>
                    <w:left w:val="nil"/>
                  </w:tcBorders>
                  <w:noWrap w:val="0"/>
                  <w:vAlign w:val="center"/>
                </w:tcPr>
                <w:p w14:paraId="4F03BD87">
                  <w:pPr>
                    <w:pStyle w:val="39"/>
                    <w:keepNext w:val="0"/>
                    <w:keepLines w:val="0"/>
                    <w:widowControl/>
                    <w:suppressLineNumbers w:val="0"/>
                    <w:bidi w:val="0"/>
                    <w:spacing w:before="0" w:beforeAutospacing="0" w:after="0" w:afterAutospacing="0"/>
                    <w:ind w:left="0" w:right="0"/>
                    <w:jc w:val="center"/>
                    <w:rPr>
                      <w:rFonts w:hint="eastAsia" w:eastAsia="宋体"/>
                      <w:color w:val="auto"/>
                      <w:szCs w:val="22"/>
                      <w:lang w:eastAsia="zh-CN"/>
                    </w:rPr>
                  </w:pPr>
                  <w:r>
                    <w:rPr>
                      <w:rFonts w:hint="eastAsia"/>
                      <w:szCs w:val="22"/>
                      <w:lang w:val="en-US" w:eastAsia="zh-CN"/>
                    </w:rPr>
                    <w:t>1</w:t>
                  </w:r>
                </w:p>
              </w:tc>
              <w:tc>
                <w:tcPr>
                  <w:tcW w:w="1089" w:type="pct"/>
                  <w:noWrap w:val="0"/>
                  <w:vAlign w:val="center"/>
                </w:tcPr>
                <w:p w14:paraId="3B85CD29">
                  <w:pPr>
                    <w:pStyle w:val="39"/>
                    <w:keepNext w:val="0"/>
                    <w:keepLines w:val="0"/>
                    <w:widowControl/>
                    <w:suppressLineNumbers w:val="0"/>
                    <w:bidi w:val="0"/>
                    <w:spacing w:before="0" w:beforeAutospacing="0" w:after="0" w:afterAutospacing="0"/>
                    <w:ind w:left="0" w:right="0"/>
                    <w:jc w:val="center"/>
                    <w:rPr>
                      <w:rFonts w:hint="eastAsia" w:eastAsia="宋体"/>
                      <w:color w:val="auto"/>
                      <w:szCs w:val="22"/>
                      <w:lang w:val="en-US" w:eastAsia="zh-CN"/>
                    </w:rPr>
                  </w:pPr>
                  <w:r>
                    <w:rPr>
                      <w:rFonts w:hint="eastAsia"/>
                      <w:szCs w:val="22"/>
                      <w:lang w:val="en-US" w:eastAsia="zh-CN"/>
                    </w:rPr>
                    <w:t>水帘柜</w:t>
                  </w:r>
                </w:p>
              </w:tc>
              <w:tc>
                <w:tcPr>
                  <w:tcW w:w="505" w:type="pct"/>
                  <w:noWrap w:val="0"/>
                  <w:vAlign w:val="center"/>
                </w:tcPr>
                <w:p w14:paraId="1B86CD68">
                  <w:pPr>
                    <w:pStyle w:val="39"/>
                    <w:keepNext w:val="0"/>
                    <w:keepLines w:val="0"/>
                    <w:widowControl/>
                    <w:suppressLineNumbers w:val="0"/>
                    <w:bidi w:val="0"/>
                    <w:spacing w:before="0" w:beforeAutospacing="0" w:after="0" w:afterAutospacing="0"/>
                    <w:ind w:left="0" w:right="0"/>
                    <w:jc w:val="center"/>
                    <w:rPr>
                      <w:rFonts w:hint="eastAsia"/>
                      <w:color w:val="auto"/>
                      <w:szCs w:val="22"/>
                    </w:rPr>
                  </w:pPr>
                  <w:r>
                    <w:rPr>
                      <w:rFonts w:hint="eastAsia"/>
                      <w:szCs w:val="22"/>
                    </w:rPr>
                    <w:t>台</w:t>
                  </w:r>
                </w:p>
              </w:tc>
              <w:tc>
                <w:tcPr>
                  <w:tcW w:w="797" w:type="pct"/>
                  <w:tcBorders>
                    <w:right w:val="nil"/>
                  </w:tcBorders>
                  <w:noWrap w:val="0"/>
                  <w:vAlign w:val="center"/>
                </w:tcPr>
                <w:p w14:paraId="603F4D35">
                  <w:pPr>
                    <w:pStyle w:val="39"/>
                    <w:keepNext w:val="0"/>
                    <w:keepLines w:val="0"/>
                    <w:widowControl/>
                    <w:suppressLineNumbers w:val="0"/>
                    <w:bidi w:val="0"/>
                    <w:spacing w:before="0" w:beforeAutospacing="0" w:after="0" w:afterAutospacing="0"/>
                    <w:ind w:left="0" w:right="0"/>
                    <w:jc w:val="center"/>
                    <w:rPr>
                      <w:rFonts w:hint="default"/>
                      <w:szCs w:val="22"/>
                      <w:lang w:val="en-US" w:eastAsia="zh-CN"/>
                    </w:rPr>
                  </w:pPr>
                  <w:r>
                    <w:rPr>
                      <w:rFonts w:hint="eastAsia"/>
                      <w:szCs w:val="22"/>
                      <w:lang w:val="en-US" w:eastAsia="zh-CN"/>
                    </w:rPr>
                    <w:t>3</w:t>
                  </w:r>
                </w:p>
              </w:tc>
              <w:tc>
                <w:tcPr>
                  <w:tcW w:w="797" w:type="pct"/>
                  <w:tcBorders>
                    <w:right w:val="nil"/>
                  </w:tcBorders>
                  <w:noWrap w:val="0"/>
                  <w:vAlign w:val="center"/>
                </w:tcPr>
                <w:p w14:paraId="1080C29D">
                  <w:pPr>
                    <w:pStyle w:val="39"/>
                    <w:keepNext w:val="0"/>
                    <w:keepLines w:val="0"/>
                    <w:widowControl/>
                    <w:suppressLineNumbers w:val="0"/>
                    <w:bidi w:val="0"/>
                    <w:spacing w:before="0" w:beforeAutospacing="0" w:after="0" w:afterAutospacing="0"/>
                    <w:ind w:left="0" w:right="0"/>
                    <w:jc w:val="center"/>
                    <w:rPr>
                      <w:rFonts w:hint="default"/>
                      <w:szCs w:val="22"/>
                      <w:lang w:val="en-US" w:eastAsia="zh-CN"/>
                    </w:rPr>
                  </w:pPr>
                  <w:r>
                    <w:rPr>
                      <w:rFonts w:hint="eastAsia"/>
                      <w:szCs w:val="22"/>
                      <w:lang w:val="en-US" w:eastAsia="zh-CN"/>
                    </w:rPr>
                    <w:t>3</w:t>
                  </w:r>
                </w:p>
              </w:tc>
              <w:tc>
                <w:tcPr>
                  <w:tcW w:w="797" w:type="pct"/>
                  <w:tcBorders>
                    <w:right w:val="nil"/>
                  </w:tcBorders>
                  <w:noWrap w:val="0"/>
                  <w:vAlign w:val="center"/>
                </w:tcPr>
                <w:p w14:paraId="145FC50C">
                  <w:pPr>
                    <w:pStyle w:val="39"/>
                    <w:keepNext w:val="0"/>
                    <w:keepLines w:val="0"/>
                    <w:widowControl/>
                    <w:suppressLineNumbers w:val="0"/>
                    <w:bidi w:val="0"/>
                    <w:spacing w:before="0" w:beforeAutospacing="0" w:after="0" w:afterAutospacing="0"/>
                    <w:ind w:left="0" w:right="0"/>
                    <w:jc w:val="center"/>
                    <w:rPr>
                      <w:rFonts w:hint="default"/>
                      <w:szCs w:val="22"/>
                      <w:lang w:val="en-US" w:eastAsia="zh-CN"/>
                    </w:rPr>
                  </w:pPr>
                  <w:r>
                    <w:rPr>
                      <w:rFonts w:hint="eastAsia"/>
                      <w:szCs w:val="22"/>
                      <w:lang w:val="en-US" w:eastAsia="zh-CN"/>
                    </w:rPr>
                    <w:t>3</w:t>
                  </w:r>
                </w:p>
              </w:tc>
              <w:tc>
                <w:tcPr>
                  <w:tcW w:w="507" w:type="pct"/>
                  <w:tcBorders>
                    <w:right w:val="nil"/>
                  </w:tcBorders>
                  <w:noWrap w:val="0"/>
                  <w:vAlign w:val="center"/>
                </w:tcPr>
                <w:p w14:paraId="22E877BE">
                  <w:pPr>
                    <w:pStyle w:val="39"/>
                    <w:keepNext w:val="0"/>
                    <w:keepLines w:val="0"/>
                    <w:widowControl/>
                    <w:suppressLineNumbers w:val="0"/>
                    <w:bidi w:val="0"/>
                    <w:spacing w:before="0" w:beforeAutospacing="0" w:after="0" w:afterAutospacing="0"/>
                    <w:ind w:left="0" w:leftChars="0" w:right="0" w:rightChars="0"/>
                    <w:jc w:val="center"/>
                    <w:rPr>
                      <w:rFonts w:hint="eastAsia"/>
                      <w:szCs w:val="22"/>
                      <w:lang w:val="en-US" w:eastAsia="zh-CN"/>
                    </w:rPr>
                  </w:pPr>
                  <w:r>
                    <w:rPr>
                      <w:rFonts w:hint="eastAsia"/>
                      <w:szCs w:val="22"/>
                      <w:lang w:val="en-US" w:eastAsia="zh-CN"/>
                    </w:rPr>
                    <w:t>9</w:t>
                  </w:r>
                </w:p>
              </w:tc>
            </w:tr>
            <w:tr w14:paraId="7E6EA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05" w:type="pct"/>
                  <w:tcBorders>
                    <w:left w:val="nil"/>
                  </w:tcBorders>
                  <w:noWrap w:val="0"/>
                  <w:vAlign w:val="center"/>
                </w:tcPr>
                <w:p w14:paraId="2DB66C67">
                  <w:pPr>
                    <w:pStyle w:val="39"/>
                    <w:keepNext w:val="0"/>
                    <w:keepLines w:val="0"/>
                    <w:widowControl/>
                    <w:suppressLineNumbers w:val="0"/>
                    <w:bidi w:val="0"/>
                    <w:spacing w:before="0" w:beforeAutospacing="0" w:after="0" w:afterAutospacing="0"/>
                    <w:ind w:left="0" w:right="0"/>
                    <w:jc w:val="center"/>
                    <w:rPr>
                      <w:rFonts w:hint="eastAsia"/>
                      <w:color w:val="auto"/>
                      <w:szCs w:val="22"/>
                      <w:lang w:val="en-US" w:eastAsia="zh-CN"/>
                    </w:rPr>
                  </w:pPr>
                  <w:r>
                    <w:rPr>
                      <w:rFonts w:hint="eastAsia"/>
                      <w:szCs w:val="22"/>
                      <w:lang w:val="en-US" w:eastAsia="zh-CN"/>
                    </w:rPr>
                    <w:t>2</w:t>
                  </w:r>
                </w:p>
              </w:tc>
              <w:tc>
                <w:tcPr>
                  <w:tcW w:w="1089" w:type="pct"/>
                  <w:noWrap w:val="0"/>
                  <w:vAlign w:val="center"/>
                </w:tcPr>
                <w:p w14:paraId="1E01888C">
                  <w:pPr>
                    <w:pStyle w:val="39"/>
                    <w:keepNext w:val="0"/>
                    <w:keepLines w:val="0"/>
                    <w:widowControl/>
                    <w:suppressLineNumbers w:val="0"/>
                    <w:bidi w:val="0"/>
                    <w:spacing w:before="0" w:beforeAutospacing="0" w:after="0" w:afterAutospacing="0"/>
                    <w:ind w:left="0" w:right="0"/>
                    <w:jc w:val="center"/>
                    <w:rPr>
                      <w:rFonts w:hint="default"/>
                      <w:color w:val="auto"/>
                      <w:szCs w:val="22"/>
                      <w:lang w:val="en-US" w:eastAsia="zh-CN"/>
                    </w:rPr>
                  </w:pPr>
                  <w:r>
                    <w:rPr>
                      <w:rFonts w:hint="eastAsia"/>
                      <w:szCs w:val="22"/>
                      <w:lang w:val="en-US" w:eastAsia="zh-CN"/>
                    </w:rPr>
                    <w:t>喷漆平板线</w:t>
                  </w:r>
                </w:p>
              </w:tc>
              <w:tc>
                <w:tcPr>
                  <w:tcW w:w="505" w:type="pct"/>
                  <w:noWrap w:val="0"/>
                  <w:vAlign w:val="center"/>
                </w:tcPr>
                <w:p w14:paraId="477FA45F">
                  <w:pPr>
                    <w:pStyle w:val="39"/>
                    <w:keepNext w:val="0"/>
                    <w:keepLines w:val="0"/>
                    <w:widowControl/>
                    <w:suppressLineNumbers w:val="0"/>
                    <w:bidi w:val="0"/>
                    <w:spacing w:before="0" w:beforeAutospacing="0" w:after="0" w:afterAutospacing="0"/>
                    <w:ind w:left="0" w:right="0"/>
                    <w:jc w:val="center"/>
                    <w:rPr>
                      <w:rFonts w:hint="eastAsia" w:eastAsia="宋体"/>
                      <w:color w:val="auto"/>
                      <w:szCs w:val="22"/>
                      <w:lang w:val="en-US" w:eastAsia="zh-CN"/>
                    </w:rPr>
                  </w:pPr>
                  <w:r>
                    <w:rPr>
                      <w:rFonts w:hint="eastAsia"/>
                      <w:szCs w:val="22"/>
                      <w:lang w:val="en-US" w:eastAsia="zh-CN"/>
                    </w:rPr>
                    <w:t>条</w:t>
                  </w:r>
                </w:p>
              </w:tc>
              <w:tc>
                <w:tcPr>
                  <w:tcW w:w="797" w:type="pct"/>
                  <w:tcBorders>
                    <w:right w:val="nil"/>
                  </w:tcBorders>
                  <w:noWrap w:val="0"/>
                  <w:vAlign w:val="center"/>
                </w:tcPr>
                <w:p w14:paraId="09AD757F">
                  <w:pPr>
                    <w:pStyle w:val="39"/>
                    <w:keepNext w:val="0"/>
                    <w:keepLines w:val="0"/>
                    <w:widowControl/>
                    <w:suppressLineNumbers w:val="0"/>
                    <w:bidi w:val="0"/>
                    <w:spacing w:before="0" w:beforeAutospacing="0" w:after="0" w:afterAutospacing="0"/>
                    <w:ind w:left="0" w:right="0"/>
                    <w:jc w:val="center"/>
                    <w:rPr>
                      <w:rFonts w:hint="default"/>
                      <w:szCs w:val="22"/>
                      <w:lang w:val="en-US" w:eastAsia="zh-CN"/>
                    </w:rPr>
                  </w:pPr>
                  <w:r>
                    <w:rPr>
                      <w:rFonts w:hint="eastAsia"/>
                      <w:szCs w:val="22"/>
                      <w:lang w:val="en-US" w:eastAsia="zh-CN"/>
                    </w:rPr>
                    <w:t>1</w:t>
                  </w:r>
                </w:p>
              </w:tc>
              <w:tc>
                <w:tcPr>
                  <w:tcW w:w="797" w:type="pct"/>
                  <w:tcBorders>
                    <w:right w:val="nil"/>
                  </w:tcBorders>
                  <w:noWrap w:val="0"/>
                  <w:vAlign w:val="center"/>
                </w:tcPr>
                <w:p w14:paraId="4881FA91">
                  <w:pPr>
                    <w:pStyle w:val="39"/>
                    <w:keepNext w:val="0"/>
                    <w:keepLines w:val="0"/>
                    <w:widowControl/>
                    <w:suppressLineNumbers w:val="0"/>
                    <w:bidi w:val="0"/>
                    <w:spacing w:before="0" w:beforeAutospacing="0" w:after="0" w:afterAutospacing="0"/>
                    <w:ind w:left="0" w:right="0"/>
                    <w:jc w:val="center"/>
                    <w:rPr>
                      <w:rFonts w:hint="default"/>
                      <w:szCs w:val="22"/>
                      <w:lang w:val="en-US" w:eastAsia="zh-CN"/>
                    </w:rPr>
                  </w:pPr>
                  <w:r>
                    <w:rPr>
                      <w:rFonts w:hint="eastAsia"/>
                      <w:szCs w:val="22"/>
                      <w:lang w:val="en-US" w:eastAsia="zh-CN"/>
                    </w:rPr>
                    <w:t>1</w:t>
                  </w:r>
                </w:p>
              </w:tc>
              <w:tc>
                <w:tcPr>
                  <w:tcW w:w="797" w:type="pct"/>
                  <w:tcBorders>
                    <w:right w:val="nil"/>
                  </w:tcBorders>
                  <w:noWrap w:val="0"/>
                  <w:vAlign w:val="center"/>
                </w:tcPr>
                <w:p w14:paraId="32A9632B">
                  <w:pPr>
                    <w:pStyle w:val="39"/>
                    <w:keepNext w:val="0"/>
                    <w:keepLines w:val="0"/>
                    <w:widowControl/>
                    <w:suppressLineNumbers w:val="0"/>
                    <w:bidi w:val="0"/>
                    <w:spacing w:before="0" w:beforeAutospacing="0" w:after="0" w:afterAutospacing="0"/>
                    <w:ind w:left="0" w:right="0"/>
                    <w:jc w:val="center"/>
                    <w:rPr>
                      <w:rFonts w:hint="default"/>
                      <w:szCs w:val="22"/>
                      <w:lang w:val="en-US" w:eastAsia="zh-CN"/>
                    </w:rPr>
                  </w:pPr>
                  <w:r>
                    <w:rPr>
                      <w:rFonts w:hint="eastAsia"/>
                      <w:szCs w:val="22"/>
                      <w:lang w:val="en-US" w:eastAsia="zh-CN"/>
                    </w:rPr>
                    <w:t>1</w:t>
                  </w:r>
                </w:p>
              </w:tc>
              <w:tc>
                <w:tcPr>
                  <w:tcW w:w="507" w:type="pct"/>
                  <w:tcBorders>
                    <w:right w:val="nil"/>
                  </w:tcBorders>
                  <w:noWrap w:val="0"/>
                  <w:vAlign w:val="center"/>
                </w:tcPr>
                <w:p w14:paraId="20EE4CD1">
                  <w:pPr>
                    <w:pStyle w:val="39"/>
                    <w:keepNext w:val="0"/>
                    <w:keepLines w:val="0"/>
                    <w:widowControl/>
                    <w:suppressLineNumbers w:val="0"/>
                    <w:bidi w:val="0"/>
                    <w:spacing w:before="0" w:beforeAutospacing="0" w:after="0" w:afterAutospacing="0"/>
                    <w:ind w:left="0" w:leftChars="0" w:right="0" w:rightChars="0"/>
                    <w:jc w:val="center"/>
                    <w:rPr>
                      <w:rFonts w:hint="eastAsia"/>
                      <w:szCs w:val="22"/>
                      <w:lang w:val="en-US" w:eastAsia="zh-CN"/>
                    </w:rPr>
                  </w:pPr>
                  <w:r>
                    <w:rPr>
                      <w:rFonts w:hint="eastAsia"/>
                      <w:szCs w:val="22"/>
                      <w:lang w:val="en-US" w:eastAsia="zh-CN"/>
                    </w:rPr>
                    <w:t>3</w:t>
                  </w:r>
                </w:p>
              </w:tc>
            </w:tr>
            <w:tr w14:paraId="0DA1AD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05" w:type="pct"/>
                  <w:tcBorders>
                    <w:left w:val="nil"/>
                  </w:tcBorders>
                  <w:noWrap w:val="0"/>
                  <w:vAlign w:val="center"/>
                </w:tcPr>
                <w:p w14:paraId="44E19B5E">
                  <w:pPr>
                    <w:pStyle w:val="39"/>
                    <w:keepNext w:val="0"/>
                    <w:keepLines w:val="0"/>
                    <w:widowControl/>
                    <w:suppressLineNumbers w:val="0"/>
                    <w:bidi w:val="0"/>
                    <w:spacing w:before="0" w:beforeAutospacing="0" w:after="0" w:afterAutospacing="0"/>
                    <w:ind w:left="0" w:right="0"/>
                    <w:jc w:val="center"/>
                    <w:rPr>
                      <w:rFonts w:hint="eastAsia"/>
                      <w:color w:val="auto"/>
                      <w:kern w:val="2"/>
                      <w:szCs w:val="24"/>
                      <w:lang w:val="en-US" w:eastAsia="zh-CN" w:bidi="ar-SA"/>
                    </w:rPr>
                  </w:pPr>
                  <w:r>
                    <w:rPr>
                      <w:rFonts w:hint="eastAsia"/>
                      <w:szCs w:val="22"/>
                      <w:lang w:val="en-US" w:eastAsia="zh-CN"/>
                    </w:rPr>
                    <w:t>3</w:t>
                  </w:r>
                </w:p>
              </w:tc>
              <w:tc>
                <w:tcPr>
                  <w:tcW w:w="1089" w:type="pct"/>
                  <w:noWrap w:val="0"/>
                  <w:vAlign w:val="center"/>
                </w:tcPr>
                <w:p w14:paraId="0AE3101E">
                  <w:pPr>
                    <w:pStyle w:val="39"/>
                    <w:keepNext w:val="0"/>
                    <w:keepLines w:val="0"/>
                    <w:widowControl/>
                    <w:suppressLineNumbers w:val="0"/>
                    <w:bidi w:val="0"/>
                    <w:spacing w:before="0" w:beforeAutospacing="0" w:after="0" w:afterAutospacing="0"/>
                    <w:ind w:left="0" w:right="0"/>
                    <w:jc w:val="center"/>
                    <w:rPr>
                      <w:rFonts w:hint="default"/>
                      <w:color w:val="auto"/>
                      <w:szCs w:val="22"/>
                      <w:lang w:val="en-US" w:eastAsia="zh-CN"/>
                    </w:rPr>
                  </w:pPr>
                  <w:r>
                    <w:rPr>
                      <w:rFonts w:hint="eastAsia"/>
                      <w:szCs w:val="22"/>
                      <w:lang w:val="en-US" w:eastAsia="zh-CN"/>
                    </w:rPr>
                    <w:t>抛光机</w:t>
                  </w:r>
                </w:p>
              </w:tc>
              <w:tc>
                <w:tcPr>
                  <w:tcW w:w="505" w:type="pct"/>
                  <w:noWrap w:val="0"/>
                  <w:vAlign w:val="center"/>
                </w:tcPr>
                <w:p w14:paraId="16BEFD23">
                  <w:pPr>
                    <w:pStyle w:val="39"/>
                    <w:keepNext w:val="0"/>
                    <w:keepLines w:val="0"/>
                    <w:widowControl/>
                    <w:suppressLineNumbers w:val="0"/>
                    <w:bidi w:val="0"/>
                    <w:spacing w:before="0" w:beforeAutospacing="0" w:after="0" w:afterAutospacing="0"/>
                    <w:ind w:left="0" w:right="0"/>
                    <w:jc w:val="center"/>
                    <w:rPr>
                      <w:rFonts w:hint="eastAsia"/>
                      <w:color w:val="auto"/>
                      <w:szCs w:val="22"/>
                    </w:rPr>
                  </w:pPr>
                  <w:r>
                    <w:rPr>
                      <w:rFonts w:hint="eastAsia"/>
                      <w:szCs w:val="22"/>
                    </w:rPr>
                    <w:t>台</w:t>
                  </w:r>
                </w:p>
              </w:tc>
              <w:tc>
                <w:tcPr>
                  <w:tcW w:w="797" w:type="pct"/>
                  <w:tcBorders>
                    <w:right w:val="nil"/>
                  </w:tcBorders>
                  <w:noWrap w:val="0"/>
                  <w:vAlign w:val="center"/>
                </w:tcPr>
                <w:p w14:paraId="41DA05D2">
                  <w:pPr>
                    <w:pStyle w:val="39"/>
                    <w:keepNext w:val="0"/>
                    <w:keepLines w:val="0"/>
                    <w:widowControl/>
                    <w:suppressLineNumbers w:val="0"/>
                    <w:bidi w:val="0"/>
                    <w:spacing w:before="0" w:beforeAutospacing="0" w:after="0" w:afterAutospacing="0"/>
                    <w:ind w:left="0" w:right="0"/>
                    <w:jc w:val="center"/>
                    <w:rPr>
                      <w:rFonts w:hint="default"/>
                      <w:szCs w:val="22"/>
                      <w:lang w:val="en-US" w:eastAsia="zh-CN"/>
                    </w:rPr>
                  </w:pPr>
                  <w:r>
                    <w:rPr>
                      <w:rFonts w:hint="eastAsia"/>
                      <w:szCs w:val="22"/>
                      <w:lang w:val="en-US" w:eastAsia="zh-CN"/>
                    </w:rPr>
                    <w:t>10</w:t>
                  </w:r>
                </w:p>
              </w:tc>
              <w:tc>
                <w:tcPr>
                  <w:tcW w:w="797" w:type="pct"/>
                  <w:tcBorders>
                    <w:right w:val="nil"/>
                  </w:tcBorders>
                  <w:noWrap w:val="0"/>
                  <w:vAlign w:val="center"/>
                </w:tcPr>
                <w:p w14:paraId="400BD29E">
                  <w:pPr>
                    <w:pStyle w:val="39"/>
                    <w:keepNext w:val="0"/>
                    <w:keepLines w:val="0"/>
                    <w:widowControl/>
                    <w:suppressLineNumbers w:val="0"/>
                    <w:bidi w:val="0"/>
                    <w:spacing w:before="0" w:beforeAutospacing="0" w:after="0" w:afterAutospacing="0"/>
                    <w:ind w:left="0" w:right="0"/>
                    <w:jc w:val="center"/>
                    <w:rPr>
                      <w:rFonts w:hint="default"/>
                      <w:szCs w:val="22"/>
                      <w:lang w:val="en-US" w:eastAsia="zh-CN"/>
                    </w:rPr>
                  </w:pPr>
                  <w:r>
                    <w:rPr>
                      <w:rFonts w:hint="eastAsia"/>
                      <w:szCs w:val="22"/>
                      <w:lang w:val="en-US" w:eastAsia="zh-CN"/>
                    </w:rPr>
                    <w:t>10</w:t>
                  </w:r>
                </w:p>
              </w:tc>
              <w:tc>
                <w:tcPr>
                  <w:tcW w:w="797" w:type="pct"/>
                  <w:tcBorders>
                    <w:right w:val="nil"/>
                  </w:tcBorders>
                  <w:noWrap w:val="0"/>
                  <w:vAlign w:val="center"/>
                </w:tcPr>
                <w:p w14:paraId="5B3D218F">
                  <w:pPr>
                    <w:pStyle w:val="39"/>
                    <w:keepNext w:val="0"/>
                    <w:keepLines w:val="0"/>
                    <w:widowControl/>
                    <w:suppressLineNumbers w:val="0"/>
                    <w:bidi w:val="0"/>
                    <w:spacing w:before="0" w:beforeAutospacing="0" w:after="0" w:afterAutospacing="0"/>
                    <w:ind w:left="0" w:right="0"/>
                    <w:jc w:val="center"/>
                    <w:rPr>
                      <w:rFonts w:hint="default"/>
                      <w:szCs w:val="22"/>
                      <w:lang w:val="en-US" w:eastAsia="zh-CN"/>
                    </w:rPr>
                  </w:pPr>
                  <w:r>
                    <w:rPr>
                      <w:rFonts w:hint="eastAsia"/>
                      <w:szCs w:val="22"/>
                      <w:lang w:val="en-US" w:eastAsia="zh-CN"/>
                    </w:rPr>
                    <w:t>10</w:t>
                  </w:r>
                </w:p>
              </w:tc>
              <w:tc>
                <w:tcPr>
                  <w:tcW w:w="507" w:type="pct"/>
                  <w:tcBorders>
                    <w:right w:val="nil"/>
                  </w:tcBorders>
                  <w:noWrap w:val="0"/>
                  <w:vAlign w:val="center"/>
                </w:tcPr>
                <w:p w14:paraId="2AD43451">
                  <w:pPr>
                    <w:pStyle w:val="39"/>
                    <w:keepNext w:val="0"/>
                    <w:keepLines w:val="0"/>
                    <w:widowControl/>
                    <w:suppressLineNumbers w:val="0"/>
                    <w:bidi w:val="0"/>
                    <w:spacing w:before="0" w:beforeAutospacing="0" w:after="0" w:afterAutospacing="0"/>
                    <w:ind w:left="0" w:leftChars="0" w:right="0" w:rightChars="0"/>
                    <w:jc w:val="center"/>
                    <w:rPr>
                      <w:rFonts w:hint="eastAsia"/>
                      <w:szCs w:val="22"/>
                      <w:lang w:val="en-US" w:eastAsia="zh-CN"/>
                    </w:rPr>
                  </w:pPr>
                  <w:r>
                    <w:rPr>
                      <w:rFonts w:hint="eastAsia"/>
                      <w:szCs w:val="22"/>
                      <w:lang w:val="en-US" w:eastAsia="zh-CN"/>
                    </w:rPr>
                    <w:t>30</w:t>
                  </w:r>
                </w:p>
              </w:tc>
            </w:tr>
            <w:tr w14:paraId="2A80A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05" w:type="pct"/>
                  <w:tcBorders>
                    <w:left w:val="nil"/>
                  </w:tcBorders>
                  <w:noWrap w:val="0"/>
                  <w:vAlign w:val="center"/>
                </w:tcPr>
                <w:p w14:paraId="7456635E">
                  <w:pPr>
                    <w:pStyle w:val="39"/>
                    <w:keepNext w:val="0"/>
                    <w:keepLines w:val="0"/>
                    <w:widowControl/>
                    <w:suppressLineNumbers w:val="0"/>
                    <w:bidi w:val="0"/>
                    <w:spacing w:before="0" w:beforeAutospacing="0" w:after="0" w:afterAutospacing="0"/>
                    <w:ind w:left="0" w:right="0"/>
                    <w:jc w:val="center"/>
                    <w:rPr>
                      <w:rFonts w:hint="default" w:eastAsia="宋体"/>
                      <w:color w:val="auto"/>
                      <w:kern w:val="2"/>
                      <w:szCs w:val="24"/>
                      <w:lang w:val="en-US" w:eastAsia="zh-CN" w:bidi="ar-SA"/>
                    </w:rPr>
                  </w:pPr>
                  <w:r>
                    <w:rPr>
                      <w:rFonts w:hint="eastAsia"/>
                      <w:szCs w:val="22"/>
                      <w:lang w:val="en-US" w:eastAsia="zh-CN"/>
                    </w:rPr>
                    <w:t>4</w:t>
                  </w:r>
                </w:p>
              </w:tc>
              <w:tc>
                <w:tcPr>
                  <w:tcW w:w="1089" w:type="pct"/>
                  <w:noWrap w:val="0"/>
                  <w:vAlign w:val="center"/>
                </w:tcPr>
                <w:p w14:paraId="59713C3D">
                  <w:pPr>
                    <w:pStyle w:val="39"/>
                    <w:keepNext w:val="0"/>
                    <w:keepLines w:val="0"/>
                    <w:widowControl/>
                    <w:suppressLineNumbers w:val="0"/>
                    <w:bidi w:val="0"/>
                    <w:spacing w:before="0" w:beforeAutospacing="0" w:after="0" w:afterAutospacing="0"/>
                    <w:ind w:left="0" w:right="0"/>
                    <w:jc w:val="center"/>
                    <w:rPr>
                      <w:rFonts w:hint="default"/>
                      <w:color w:val="auto"/>
                      <w:szCs w:val="22"/>
                      <w:lang w:val="en-US" w:eastAsia="zh-CN"/>
                    </w:rPr>
                  </w:pPr>
                  <w:r>
                    <w:rPr>
                      <w:rFonts w:hint="eastAsia"/>
                      <w:szCs w:val="22"/>
                      <w:lang w:val="en-US" w:eastAsia="zh-CN"/>
                    </w:rPr>
                    <w:t>喷枪</w:t>
                  </w:r>
                </w:p>
              </w:tc>
              <w:tc>
                <w:tcPr>
                  <w:tcW w:w="505" w:type="pct"/>
                  <w:noWrap w:val="0"/>
                  <w:vAlign w:val="center"/>
                </w:tcPr>
                <w:p w14:paraId="6A89CF9D">
                  <w:pPr>
                    <w:pStyle w:val="39"/>
                    <w:keepNext w:val="0"/>
                    <w:keepLines w:val="0"/>
                    <w:widowControl/>
                    <w:suppressLineNumbers w:val="0"/>
                    <w:bidi w:val="0"/>
                    <w:spacing w:before="0" w:beforeAutospacing="0" w:after="0" w:afterAutospacing="0"/>
                    <w:ind w:left="0" w:right="0"/>
                    <w:jc w:val="center"/>
                    <w:rPr>
                      <w:rFonts w:hint="eastAsia" w:eastAsia="宋体"/>
                      <w:color w:val="auto"/>
                      <w:szCs w:val="22"/>
                      <w:lang w:eastAsia="zh-CN"/>
                    </w:rPr>
                  </w:pPr>
                  <w:r>
                    <w:rPr>
                      <w:rFonts w:hint="eastAsia"/>
                      <w:szCs w:val="22"/>
                      <w:lang w:val="en-US" w:eastAsia="zh-CN"/>
                    </w:rPr>
                    <w:t>把</w:t>
                  </w:r>
                </w:p>
              </w:tc>
              <w:tc>
                <w:tcPr>
                  <w:tcW w:w="1262" w:type="dxa"/>
                  <w:tcBorders>
                    <w:right w:val="nil"/>
                  </w:tcBorders>
                  <w:noWrap w:val="0"/>
                  <w:vAlign w:val="center"/>
                </w:tcPr>
                <w:p w14:paraId="5087BFF3">
                  <w:pPr>
                    <w:pStyle w:val="39"/>
                    <w:keepNext w:val="0"/>
                    <w:keepLines w:val="0"/>
                    <w:widowControl/>
                    <w:suppressLineNumbers w:val="0"/>
                    <w:bidi w:val="0"/>
                    <w:spacing w:before="0" w:beforeAutospacing="0" w:after="0" w:afterAutospacing="0"/>
                    <w:ind w:left="0" w:leftChars="0" w:right="0" w:rightChars="0"/>
                    <w:jc w:val="center"/>
                    <w:rPr>
                      <w:rFonts w:hint="default"/>
                      <w:szCs w:val="22"/>
                      <w:lang w:val="en-US" w:eastAsia="zh-CN"/>
                    </w:rPr>
                  </w:pPr>
                  <w:r>
                    <w:rPr>
                      <w:rFonts w:hint="eastAsia"/>
                      <w:szCs w:val="22"/>
                      <w:lang w:val="en-US" w:eastAsia="zh-CN"/>
                    </w:rPr>
                    <w:t>10</w:t>
                  </w:r>
                </w:p>
              </w:tc>
              <w:tc>
                <w:tcPr>
                  <w:tcW w:w="1262" w:type="dxa"/>
                  <w:tcBorders>
                    <w:right w:val="nil"/>
                  </w:tcBorders>
                  <w:noWrap w:val="0"/>
                  <w:vAlign w:val="center"/>
                </w:tcPr>
                <w:p w14:paraId="021FC552">
                  <w:pPr>
                    <w:pStyle w:val="39"/>
                    <w:keepNext w:val="0"/>
                    <w:keepLines w:val="0"/>
                    <w:widowControl/>
                    <w:suppressLineNumbers w:val="0"/>
                    <w:bidi w:val="0"/>
                    <w:spacing w:before="0" w:beforeAutospacing="0" w:after="0" w:afterAutospacing="0"/>
                    <w:ind w:left="0" w:leftChars="0" w:right="0" w:rightChars="0"/>
                    <w:jc w:val="center"/>
                    <w:rPr>
                      <w:rFonts w:hint="eastAsia"/>
                      <w:szCs w:val="22"/>
                      <w:lang w:val="en-US" w:eastAsia="zh-CN"/>
                    </w:rPr>
                  </w:pPr>
                  <w:r>
                    <w:rPr>
                      <w:rFonts w:hint="eastAsia"/>
                      <w:szCs w:val="22"/>
                      <w:lang w:val="en-US" w:eastAsia="zh-CN"/>
                    </w:rPr>
                    <w:t>10</w:t>
                  </w:r>
                </w:p>
              </w:tc>
              <w:tc>
                <w:tcPr>
                  <w:tcW w:w="1262" w:type="dxa"/>
                  <w:tcBorders>
                    <w:right w:val="nil"/>
                  </w:tcBorders>
                  <w:noWrap w:val="0"/>
                  <w:vAlign w:val="center"/>
                </w:tcPr>
                <w:p w14:paraId="782DCA99">
                  <w:pPr>
                    <w:pStyle w:val="39"/>
                    <w:keepNext w:val="0"/>
                    <w:keepLines w:val="0"/>
                    <w:widowControl/>
                    <w:suppressLineNumbers w:val="0"/>
                    <w:bidi w:val="0"/>
                    <w:spacing w:before="0" w:beforeAutospacing="0" w:after="0" w:afterAutospacing="0"/>
                    <w:ind w:left="0" w:leftChars="0" w:right="0" w:rightChars="0"/>
                    <w:jc w:val="center"/>
                    <w:rPr>
                      <w:rFonts w:hint="eastAsia"/>
                      <w:szCs w:val="22"/>
                      <w:lang w:val="en-US" w:eastAsia="zh-CN"/>
                    </w:rPr>
                  </w:pPr>
                  <w:r>
                    <w:rPr>
                      <w:rFonts w:hint="eastAsia"/>
                      <w:szCs w:val="22"/>
                      <w:lang w:val="en-US" w:eastAsia="zh-CN"/>
                    </w:rPr>
                    <w:t>10</w:t>
                  </w:r>
                </w:p>
              </w:tc>
              <w:tc>
                <w:tcPr>
                  <w:tcW w:w="804" w:type="dxa"/>
                  <w:tcBorders>
                    <w:right w:val="nil"/>
                  </w:tcBorders>
                  <w:noWrap w:val="0"/>
                  <w:vAlign w:val="center"/>
                </w:tcPr>
                <w:p w14:paraId="7C530D8D">
                  <w:pPr>
                    <w:pStyle w:val="39"/>
                    <w:keepNext w:val="0"/>
                    <w:keepLines w:val="0"/>
                    <w:widowControl/>
                    <w:suppressLineNumbers w:val="0"/>
                    <w:bidi w:val="0"/>
                    <w:spacing w:before="0" w:beforeAutospacing="0" w:after="0" w:afterAutospacing="0"/>
                    <w:ind w:left="0" w:leftChars="0" w:right="0" w:rightChars="0"/>
                    <w:jc w:val="center"/>
                    <w:rPr>
                      <w:rFonts w:hint="eastAsia"/>
                      <w:szCs w:val="22"/>
                      <w:lang w:val="en-US" w:eastAsia="zh-CN"/>
                    </w:rPr>
                  </w:pPr>
                  <w:r>
                    <w:rPr>
                      <w:rFonts w:hint="eastAsia"/>
                      <w:szCs w:val="22"/>
                      <w:lang w:val="en-US" w:eastAsia="zh-CN"/>
                    </w:rPr>
                    <w:t>30</w:t>
                  </w:r>
                </w:p>
              </w:tc>
            </w:tr>
            <w:tr w14:paraId="12AD4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505" w:type="pct"/>
                  <w:tcBorders>
                    <w:left w:val="nil"/>
                  </w:tcBorders>
                  <w:noWrap w:val="0"/>
                  <w:vAlign w:val="center"/>
                </w:tcPr>
                <w:p w14:paraId="3F37300D">
                  <w:pPr>
                    <w:pStyle w:val="39"/>
                    <w:keepNext w:val="0"/>
                    <w:keepLines w:val="0"/>
                    <w:widowControl/>
                    <w:suppressLineNumbers w:val="0"/>
                    <w:bidi w:val="0"/>
                    <w:spacing w:before="0" w:beforeAutospacing="0" w:after="0" w:afterAutospacing="0"/>
                    <w:ind w:left="0" w:right="0"/>
                    <w:jc w:val="center"/>
                    <w:rPr>
                      <w:rFonts w:hint="eastAsia" w:eastAsia="宋体"/>
                      <w:color w:val="auto"/>
                      <w:szCs w:val="22"/>
                      <w:lang w:eastAsia="zh-CN"/>
                    </w:rPr>
                  </w:pPr>
                  <w:r>
                    <w:rPr>
                      <w:rFonts w:hint="eastAsia"/>
                      <w:szCs w:val="22"/>
                      <w:lang w:val="en-US" w:eastAsia="zh-CN"/>
                    </w:rPr>
                    <w:t>5</w:t>
                  </w:r>
                </w:p>
              </w:tc>
              <w:tc>
                <w:tcPr>
                  <w:tcW w:w="1089" w:type="pct"/>
                  <w:noWrap w:val="0"/>
                  <w:vAlign w:val="center"/>
                </w:tcPr>
                <w:p w14:paraId="3FA9C1EB">
                  <w:pPr>
                    <w:pStyle w:val="39"/>
                    <w:keepNext w:val="0"/>
                    <w:keepLines w:val="0"/>
                    <w:widowControl/>
                    <w:suppressLineNumbers w:val="0"/>
                    <w:bidi w:val="0"/>
                    <w:spacing w:before="0" w:beforeAutospacing="0" w:after="0" w:afterAutospacing="0"/>
                    <w:ind w:left="0" w:right="0"/>
                    <w:jc w:val="center"/>
                    <w:rPr>
                      <w:rFonts w:hint="default" w:eastAsia="宋体"/>
                      <w:color w:val="auto"/>
                      <w:szCs w:val="22"/>
                      <w:lang w:val="en-US" w:eastAsia="zh-CN"/>
                    </w:rPr>
                  </w:pPr>
                  <w:r>
                    <w:rPr>
                      <w:rFonts w:hint="eastAsia"/>
                      <w:szCs w:val="22"/>
                      <w:lang w:val="en-US" w:eastAsia="zh-CN"/>
                    </w:rPr>
                    <w:t>电面包炉</w:t>
                  </w:r>
                </w:p>
              </w:tc>
              <w:tc>
                <w:tcPr>
                  <w:tcW w:w="505" w:type="pct"/>
                  <w:noWrap w:val="0"/>
                  <w:vAlign w:val="center"/>
                </w:tcPr>
                <w:p w14:paraId="48320CD6">
                  <w:pPr>
                    <w:pStyle w:val="39"/>
                    <w:keepNext w:val="0"/>
                    <w:keepLines w:val="0"/>
                    <w:widowControl/>
                    <w:suppressLineNumbers w:val="0"/>
                    <w:bidi w:val="0"/>
                    <w:spacing w:before="0" w:beforeAutospacing="0" w:after="0" w:afterAutospacing="0"/>
                    <w:ind w:left="0" w:right="0"/>
                    <w:jc w:val="center"/>
                    <w:rPr>
                      <w:rFonts w:hint="eastAsia"/>
                      <w:color w:val="auto"/>
                      <w:szCs w:val="22"/>
                    </w:rPr>
                  </w:pPr>
                  <w:r>
                    <w:rPr>
                      <w:rFonts w:hint="eastAsia"/>
                      <w:szCs w:val="22"/>
                    </w:rPr>
                    <w:t>台</w:t>
                  </w:r>
                </w:p>
              </w:tc>
              <w:tc>
                <w:tcPr>
                  <w:tcW w:w="797" w:type="pct"/>
                  <w:tcBorders>
                    <w:right w:val="nil"/>
                  </w:tcBorders>
                  <w:noWrap w:val="0"/>
                  <w:vAlign w:val="center"/>
                </w:tcPr>
                <w:p w14:paraId="49856852">
                  <w:pPr>
                    <w:pStyle w:val="39"/>
                    <w:keepNext w:val="0"/>
                    <w:keepLines w:val="0"/>
                    <w:widowControl/>
                    <w:suppressLineNumbers w:val="0"/>
                    <w:bidi w:val="0"/>
                    <w:spacing w:before="0" w:beforeAutospacing="0" w:after="0" w:afterAutospacing="0"/>
                    <w:ind w:left="0" w:right="0"/>
                    <w:jc w:val="center"/>
                    <w:rPr>
                      <w:rFonts w:hint="default"/>
                      <w:szCs w:val="22"/>
                      <w:lang w:val="en-US" w:eastAsia="zh-CN"/>
                    </w:rPr>
                  </w:pPr>
                  <w:r>
                    <w:rPr>
                      <w:rFonts w:hint="eastAsia"/>
                      <w:szCs w:val="22"/>
                      <w:lang w:val="en-US" w:eastAsia="zh-CN"/>
                    </w:rPr>
                    <w:t>1</w:t>
                  </w:r>
                </w:p>
              </w:tc>
              <w:tc>
                <w:tcPr>
                  <w:tcW w:w="797" w:type="pct"/>
                  <w:tcBorders>
                    <w:right w:val="nil"/>
                  </w:tcBorders>
                  <w:noWrap w:val="0"/>
                  <w:vAlign w:val="center"/>
                </w:tcPr>
                <w:p w14:paraId="1C09CF42">
                  <w:pPr>
                    <w:pStyle w:val="39"/>
                    <w:keepNext w:val="0"/>
                    <w:keepLines w:val="0"/>
                    <w:widowControl/>
                    <w:suppressLineNumbers w:val="0"/>
                    <w:bidi w:val="0"/>
                    <w:spacing w:before="0" w:beforeAutospacing="0" w:after="0" w:afterAutospacing="0"/>
                    <w:ind w:left="0" w:right="0"/>
                    <w:jc w:val="center"/>
                    <w:rPr>
                      <w:rFonts w:hint="default"/>
                      <w:szCs w:val="22"/>
                      <w:lang w:val="en-US" w:eastAsia="zh-CN"/>
                    </w:rPr>
                  </w:pPr>
                  <w:r>
                    <w:rPr>
                      <w:rFonts w:hint="eastAsia"/>
                      <w:szCs w:val="22"/>
                      <w:lang w:val="en-US" w:eastAsia="zh-CN"/>
                    </w:rPr>
                    <w:t>1</w:t>
                  </w:r>
                </w:p>
              </w:tc>
              <w:tc>
                <w:tcPr>
                  <w:tcW w:w="797" w:type="pct"/>
                  <w:tcBorders>
                    <w:right w:val="nil"/>
                  </w:tcBorders>
                  <w:noWrap w:val="0"/>
                  <w:vAlign w:val="center"/>
                </w:tcPr>
                <w:p w14:paraId="57DFDF15">
                  <w:pPr>
                    <w:pStyle w:val="39"/>
                    <w:keepNext w:val="0"/>
                    <w:keepLines w:val="0"/>
                    <w:widowControl/>
                    <w:suppressLineNumbers w:val="0"/>
                    <w:bidi w:val="0"/>
                    <w:spacing w:before="0" w:beforeAutospacing="0" w:after="0" w:afterAutospacing="0"/>
                    <w:ind w:left="0" w:right="0"/>
                    <w:jc w:val="center"/>
                    <w:rPr>
                      <w:rFonts w:hint="default"/>
                      <w:szCs w:val="22"/>
                      <w:lang w:val="en-US" w:eastAsia="zh-CN"/>
                    </w:rPr>
                  </w:pPr>
                  <w:r>
                    <w:rPr>
                      <w:rFonts w:hint="eastAsia"/>
                      <w:szCs w:val="22"/>
                      <w:lang w:val="en-US" w:eastAsia="zh-CN"/>
                    </w:rPr>
                    <w:t>1</w:t>
                  </w:r>
                </w:p>
              </w:tc>
              <w:tc>
                <w:tcPr>
                  <w:tcW w:w="507" w:type="pct"/>
                  <w:tcBorders>
                    <w:right w:val="nil"/>
                  </w:tcBorders>
                  <w:noWrap w:val="0"/>
                  <w:vAlign w:val="center"/>
                </w:tcPr>
                <w:p w14:paraId="36586DD0">
                  <w:pPr>
                    <w:pStyle w:val="39"/>
                    <w:keepNext w:val="0"/>
                    <w:keepLines w:val="0"/>
                    <w:widowControl/>
                    <w:suppressLineNumbers w:val="0"/>
                    <w:bidi w:val="0"/>
                    <w:spacing w:before="0" w:beforeAutospacing="0" w:after="0" w:afterAutospacing="0"/>
                    <w:ind w:left="0" w:leftChars="0" w:right="0" w:rightChars="0"/>
                    <w:jc w:val="center"/>
                    <w:rPr>
                      <w:rFonts w:hint="eastAsia"/>
                      <w:szCs w:val="22"/>
                      <w:lang w:val="en-US" w:eastAsia="zh-CN"/>
                    </w:rPr>
                  </w:pPr>
                  <w:r>
                    <w:rPr>
                      <w:rFonts w:hint="eastAsia"/>
                      <w:szCs w:val="22"/>
                      <w:lang w:val="en-US" w:eastAsia="zh-CN"/>
                    </w:rPr>
                    <w:t>3</w:t>
                  </w:r>
                </w:p>
              </w:tc>
            </w:tr>
            <w:tr w14:paraId="3E7D9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505" w:type="pct"/>
                  <w:tcBorders>
                    <w:left w:val="nil"/>
                  </w:tcBorders>
                  <w:noWrap w:val="0"/>
                  <w:vAlign w:val="center"/>
                </w:tcPr>
                <w:p w14:paraId="72D2D2CF">
                  <w:pPr>
                    <w:pStyle w:val="39"/>
                    <w:keepNext w:val="0"/>
                    <w:keepLines w:val="0"/>
                    <w:widowControl/>
                    <w:suppressLineNumbers w:val="0"/>
                    <w:bidi w:val="0"/>
                    <w:spacing w:before="0" w:beforeAutospacing="0" w:after="0" w:afterAutospacing="0"/>
                    <w:ind w:left="0" w:right="0"/>
                    <w:jc w:val="center"/>
                    <w:rPr>
                      <w:rFonts w:hint="eastAsia"/>
                      <w:color w:val="auto"/>
                      <w:szCs w:val="22"/>
                      <w:lang w:val="en-US" w:eastAsia="zh-CN"/>
                    </w:rPr>
                  </w:pPr>
                  <w:r>
                    <w:rPr>
                      <w:rFonts w:hint="eastAsia"/>
                      <w:szCs w:val="22"/>
                      <w:lang w:val="en-US" w:eastAsia="zh-CN"/>
                    </w:rPr>
                    <w:t>6</w:t>
                  </w:r>
                </w:p>
              </w:tc>
              <w:tc>
                <w:tcPr>
                  <w:tcW w:w="1089" w:type="pct"/>
                  <w:noWrap w:val="0"/>
                  <w:vAlign w:val="center"/>
                </w:tcPr>
                <w:p w14:paraId="7AD506E3">
                  <w:pPr>
                    <w:pStyle w:val="39"/>
                    <w:keepNext w:val="0"/>
                    <w:keepLines w:val="0"/>
                    <w:widowControl/>
                    <w:suppressLineNumbers w:val="0"/>
                    <w:bidi w:val="0"/>
                    <w:spacing w:before="0" w:beforeAutospacing="0" w:after="0" w:afterAutospacing="0"/>
                    <w:ind w:left="0" w:right="0"/>
                    <w:jc w:val="center"/>
                    <w:rPr>
                      <w:rFonts w:hint="default" w:eastAsia="宋体"/>
                      <w:color w:val="auto"/>
                      <w:szCs w:val="22"/>
                      <w:lang w:val="en-US" w:eastAsia="zh-CN"/>
                    </w:rPr>
                  </w:pPr>
                  <w:r>
                    <w:rPr>
                      <w:rFonts w:hint="eastAsia"/>
                      <w:szCs w:val="22"/>
                      <w:lang w:val="en-US" w:eastAsia="zh-CN"/>
                    </w:rPr>
                    <w:t>空压机</w:t>
                  </w:r>
                </w:p>
              </w:tc>
              <w:tc>
                <w:tcPr>
                  <w:tcW w:w="505" w:type="pct"/>
                  <w:noWrap w:val="0"/>
                  <w:vAlign w:val="center"/>
                </w:tcPr>
                <w:p w14:paraId="282B99F1">
                  <w:pPr>
                    <w:pStyle w:val="39"/>
                    <w:keepNext w:val="0"/>
                    <w:keepLines w:val="0"/>
                    <w:widowControl/>
                    <w:suppressLineNumbers w:val="0"/>
                    <w:bidi w:val="0"/>
                    <w:spacing w:before="0" w:beforeAutospacing="0" w:after="0" w:afterAutospacing="0"/>
                    <w:ind w:left="0" w:right="0"/>
                    <w:jc w:val="center"/>
                    <w:rPr>
                      <w:rFonts w:hint="eastAsia"/>
                      <w:color w:val="auto"/>
                      <w:szCs w:val="22"/>
                    </w:rPr>
                  </w:pPr>
                  <w:r>
                    <w:rPr>
                      <w:rFonts w:hint="eastAsia"/>
                      <w:szCs w:val="22"/>
                    </w:rPr>
                    <w:t>台</w:t>
                  </w:r>
                </w:p>
              </w:tc>
              <w:tc>
                <w:tcPr>
                  <w:tcW w:w="797" w:type="pct"/>
                  <w:tcBorders>
                    <w:right w:val="nil"/>
                  </w:tcBorders>
                  <w:noWrap w:val="0"/>
                  <w:vAlign w:val="center"/>
                </w:tcPr>
                <w:p w14:paraId="120F8859">
                  <w:pPr>
                    <w:pStyle w:val="39"/>
                    <w:keepNext w:val="0"/>
                    <w:keepLines w:val="0"/>
                    <w:widowControl/>
                    <w:suppressLineNumbers w:val="0"/>
                    <w:bidi w:val="0"/>
                    <w:spacing w:before="0" w:beforeAutospacing="0" w:after="0" w:afterAutospacing="0"/>
                    <w:ind w:left="0" w:right="0"/>
                    <w:jc w:val="center"/>
                    <w:rPr>
                      <w:rFonts w:hint="default"/>
                      <w:szCs w:val="22"/>
                      <w:lang w:val="en-US" w:eastAsia="zh-CN"/>
                    </w:rPr>
                  </w:pPr>
                  <w:r>
                    <w:rPr>
                      <w:rFonts w:hint="eastAsia"/>
                      <w:szCs w:val="22"/>
                      <w:lang w:val="en-US" w:eastAsia="zh-CN"/>
                    </w:rPr>
                    <w:t>/</w:t>
                  </w:r>
                </w:p>
              </w:tc>
              <w:tc>
                <w:tcPr>
                  <w:tcW w:w="797" w:type="pct"/>
                  <w:tcBorders>
                    <w:right w:val="nil"/>
                  </w:tcBorders>
                  <w:noWrap w:val="0"/>
                  <w:vAlign w:val="center"/>
                </w:tcPr>
                <w:p w14:paraId="0D5D6FB6">
                  <w:pPr>
                    <w:pStyle w:val="39"/>
                    <w:keepNext w:val="0"/>
                    <w:keepLines w:val="0"/>
                    <w:widowControl/>
                    <w:suppressLineNumbers w:val="0"/>
                    <w:bidi w:val="0"/>
                    <w:spacing w:before="0" w:beforeAutospacing="0" w:after="0" w:afterAutospacing="0"/>
                    <w:ind w:left="0" w:right="0"/>
                    <w:jc w:val="center"/>
                    <w:rPr>
                      <w:rFonts w:hint="default"/>
                      <w:szCs w:val="22"/>
                      <w:lang w:val="en-US" w:eastAsia="zh-CN"/>
                    </w:rPr>
                  </w:pPr>
                  <w:r>
                    <w:rPr>
                      <w:rFonts w:hint="eastAsia"/>
                      <w:szCs w:val="22"/>
                      <w:lang w:val="en-US" w:eastAsia="zh-CN"/>
                    </w:rPr>
                    <w:t>/</w:t>
                  </w:r>
                </w:p>
              </w:tc>
              <w:tc>
                <w:tcPr>
                  <w:tcW w:w="797" w:type="pct"/>
                  <w:tcBorders>
                    <w:right w:val="nil"/>
                  </w:tcBorders>
                  <w:noWrap w:val="0"/>
                  <w:vAlign w:val="center"/>
                </w:tcPr>
                <w:p w14:paraId="05DD336F">
                  <w:pPr>
                    <w:pStyle w:val="39"/>
                    <w:keepNext w:val="0"/>
                    <w:keepLines w:val="0"/>
                    <w:widowControl/>
                    <w:suppressLineNumbers w:val="0"/>
                    <w:bidi w:val="0"/>
                    <w:spacing w:before="0" w:beforeAutospacing="0" w:after="0" w:afterAutospacing="0"/>
                    <w:ind w:left="0" w:right="0"/>
                    <w:jc w:val="center"/>
                    <w:rPr>
                      <w:rFonts w:hint="default"/>
                      <w:szCs w:val="22"/>
                      <w:lang w:val="en-US" w:eastAsia="zh-CN"/>
                    </w:rPr>
                  </w:pPr>
                  <w:r>
                    <w:rPr>
                      <w:rFonts w:hint="eastAsia"/>
                      <w:szCs w:val="22"/>
                      <w:lang w:val="en-US" w:eastAsia="zh-CN"/>
                    </w:rPr>
                    <w:t>/</w:t>
                  </w:r>
                </w:p>
              </w:tc>
              <w:tc>
                <w:tcPr>
                  <w:tcW w:w="507" w:type="pct"/>
                  <w:tcBorders>
                    <w:right w:val="nil"/>
                  </w:tcBorders>
                  <w:noWrap w:val="0"/>
                  <w:vAlign w:val="center"/>
                </w:tcPr>
                <w:p w14:paraId="1E26A4A4">
                  <w:pPr>
                    <w:pStyle w:val="39"/>
                    <w:keepNext w:val="0"/>
                    <w:keepLines w:val="0"/>
                    <w:widowControl/>
                    <w:suppressLineNumbers w:val="0"/>
                    <w:bidi w:val="0"/>
                    <w:spacing w:before="0" w:beforeAutospacing="0" w:after="0" w:afterAutospacing="0"/>
                    <w:ind w:left="0" w:leftChars="0" w:right="0" w:rightChars="0"/>
                    <w:jc w:val="center"/>
                    <w:rPr>
                      <w:rFonts w:hint="eastAsia"/>
                      <w:szCs w:val="22"/>
                      <w:lang w:val="en-US" w:eastAsia="zh-CN"/>
                    </w:rPr>
                  </w:pPr>
                  <w:r>
                    <w:rPr>
                      <w:rFonts w:hint="eastAsia"/>
                      <w:szCs w:val="22"/>
                      <w:lang w:val="en-US" w:eastAsia="zh-CN"/>
                    </w:rPr>
                    <w:t>1</w:t>
                  </w:r>
                </w:p>
              </w:tc>
            </w:tr>
          </w:tbl>
          <w:p w14:paraId="1FBA3E62">
            <w:pPr>
              <w:pStyle w:val="4"/>
              <w:suppressLineNumbers w:val="0"/>
              <w:bidi w:val="0"/>
              <w:spacing w:before="0" w:beforeAutospacing="0" w:after="0" w:afterAutospacing="0"/>
              <w:ind w:left="0" w:right="0"/>
              <w:rPr>
                <w:rFonts w:hint="default"/>
                <w:lang w:val="en-US" w:eastAsia="zh-CN"/>
              </w:rPr>
            </w:pPr>
            <w:r>
              <w:rPr>
                <w:rFonts w:hint="eastAsia"/>
                <w:lang w:val="en-US" w:eastAsia="zh-CN"/>
              </w:rPr>
              <w:t>物料平衡及水平衡</w:t>
            </w:r>
          </w:p>
          <w:p w14:paraId="1149B7F6">
            <w:pPr>
              <w:keepNext w:val="0"/>
              <w:keepLines w:val="0"/>
              <w:suppressLineNumbers w:val="0"/>
              <w:bidi w:val="0"/>
              <w:spacing w:before="0" w:beforeAutospacing="0" w:after="0" w:afterAutospacing="0"/>
              <w:ind w:left="0" w:right="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物料平衡</w:t>
            </w:r>
          </w:p>
          <w:p w14:paraId="6DBF142F">
            <w:pPr>
              <w:pStyle w:val="40"/>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eastAsia="zh-CN"/>
              </w:rPr>
              <w:t>表</w:t>
            </w:r>
            <w:r>
              <w:rPr>
                <w:rFonts w:hint="eastAsia"/>
                <w:color w:val="auto"/>
                <w:highlight w:val="none"/>
                <w:lang w:val="en-US" w:eastAsia="zh-CN"/>
              </w:rPr>
              <w:t>2.3-7</w:t>
            </w:r>
            <w:r>
              <w:rPr>
                <w:rFonts w:hint="eastAsia"/>
                <w:highlight w:val="none"/>
                <w:lang w:eastAsia="zh-CN"/>
              </w:rPr>
              <w:t xml:space="preserve"> </w:t>
            </w:r>
            <w:r>
              <w:rPr>
                <w:rFonts w:hint="eastAsia"/>
                <w:highlight w:val="none"/>
                <w:lang w:val="en-US" w:eastAsia="zh-CN"/>
              </w:rPr>
              <w:t>物料平衡表</w:t>
            </w:r>
          </w:p>
          <w:tbl>
            <w:tblPr>
              <w:tblStyle w:val="30"/>
              <w:tblW w:w="497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2823"/>
              <w:gridCol w:w="2172"/>
              <w:gridCol w:w="1405"/>
            </w:tblGrid>
            <w:tr w14:paraId="72093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40" w:type="pct"/>
                  <w:tcBorders>
                    <w:left w:val="nil"/>
                  </w:tcBorders>
                  <w:noWrap w:val="0"/>
                  <w:vAlign w:val="top"/>
                </w:tcPr>
                <w:p w14:paraId="090BF6F7">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eastAsia"/>
                      <w:szCs w:val="22"/>
                      <w:highlight w:val="none"/>
                      <w:lang w:val="en-US" w:eastAsia="zh-CN"/>
                    </w:rPr>
                    <w:t>投入</w:t>
                  </w:r>
                </w:p>
              </w:tc>
              <w:tc>
                <w:tcPr>
                  <w:tcW w:w="1790" w:type="pct"/>
                  <w:noWrap w:val="0"/>
                  <w:vAlign w:val="center"/>
                </w:tcPr>
                <w:p w14:paraId="47A7449C">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eastAsia"/>
                      <w:szCs w:val="22"/>
                      <w:highlight w:val="none"/>
                      <w:lang w:val="en-US" w:eastAsia="zh-CN"/>
                    </w:rPr>
                    <w:t>投入量</w:t>
                  </w:r>
                </w:p>
              </w:tc>
              <w:tc>
                <w:tcPr>
                  <w:tcW w:w="1377" w:type="pct"/>
                  <w:noWrap w:val="0"/>
                  <w:vAlign w:val="center"/>
                </w:tcPr>
                <w:p w14:paraId="5DFD39FC">
                  <w:pPr>
                    <w:pStyle w:val="39"/>
                    <w:keepNext w:val="0"/>
                    <w:keepLines w:val="0"/>
                    <w:widowControl/>
                    <w:suppressLineNumbers w:val="0"/>
                    <w:bidi w:val="0"/>
                    <w:spacing w:before="0" w:beforeAutospacing="0" w:after="0" w:afterAutospacing="0"/>
                    <w:ind w:left="0" w:right="0"/>
                    <w:rPr>
                      <w:rFonts w:hint="eastAsia"/>
                      <w:szCs w:val="22"/>
                      <w:highlight w:val="none"/>
                    </w:rPr>
                  </w:pPr>
                  <w:r>
                    <w:rPr>
                      <w:rFonts w:hint="eastAsia"/>
                      <w:szCs w:val="22"/>
                      <w:highlight w:val="none"/>
                      <w:lang w:val="en-US" w:eastAsia="zh-CN"/>
                    </w:rPr>
                    <w:t>产出</w:t>
                  </w:r>
                </w:p>
              </w:tc>
              <w:tc>
                <w:tcPr>
                  <w:tcW w:w="891" w:type="pct"/>
                  <w:tcBorders>
                    <w:right w:val="nil"/>
                  </w:tcBorders>
                  <w:noWrap w:val="0"/>
                  <w:vAlign w:val="center"/>
                </w:tcPr>
                <w:p w14:paraId="24A272E7">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eastAsia"/>
                      <w:szCs w:val="22"/>
                      <w:highlight w:val="none"/>
                      <w:lang w:val="en-US" w:eastAsia="zh-CN"/>
                    </w:rPr>
                    <w:t>产出量</w:t>
                  </w:r>
                </w:p>
              </w:tc>
            </w:tr>
            <w:tr w14:paraId="54A82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40" w:type="pct"/>
                  <w:vMerge w:val="restart"/>
                  <w:tcBorders>
                    <w:left w:val="nil"/>
                  </w:tcBorders>
                  <w:noWrap w:val="0"/>
                  <w:vAlign w:val="center"/>
                </w:tcPr>
                <w:p w14:paraId="1876D1CF">
                  <w:pPr>
                    <w:pStyle w:val="39"/>
                    <w:keepNext w:val="0"/>
                    <w:keepLines w:val="0"/>
                    <w:widowControl/>
                    <w:suppressLineNumbers w:val="0"/>
                    <w:bidi w:val="0"/>
                    <w:spacing w:before="0" w:beforeAutospacing="0" w:after="0" w:afterAutospacing="0"/>
                    <w:ind w:left="0" w:right="0"/>
                    <w:rPr>
                      <w:rFonts w:hint="eastAsia"/>
                      <w:szCs w:val="22"/>
                      <w:highlight w:val="none"/>
                      <w:lang w:val="en-US" w:eastAsia="zh-CN"/>
                    </w:rPr>
                  </w:pPr>
                  <w:r>
                    <w:rPr>
                      <w:rFonts w:hint="eastAsia"/>
                      <w:szCs w:val="22"/>
                      <w:highlight w:val="none"/>
                      <w:lang w:val="en-US" w:eastAsia="zh-CN"/>
                    </w:rPr>
                    <w:t>压铸铝</w:t>
                  </w:r>
                </w:p>
              </w:tc>
              <w:tc>
                <w:tcPr>
                  <w:tcW w:w="1790" w:type="pct"/>
                  <w:vMerge w:val="restart"/>
                  <w:noWrap w:val="0"/>
                  <w:vAlign w:val="center"/>
                </w:tcPr>
                <w:p w14:paraId="524DF159">
                  <w:pPr>
                    <w:pStyle w:val="39"/>
                    <w:keepNext w:val="0"/>
                    <w:keepLines w:val="0"/>
                    <w:widowControl/>
                    <w:suppressLineNumbers w:val="0"/>
                    <w:bidi w:val="0"/>
                    <w:spacing w:before="0" w:beforeAutospacing="0" w:after="0" w:afterAutospacing="0"/>
                    <w:ind w:left="0" w:right="0"/>
                    <w:rPr>
                      <w:rFonts w:hint="eastAsia"/>
                      <w:szCs w:val="22"/>
                      <w:highlight w:val="none"/>
                      <w:lang w:val="en-US" w:eastAsia="zh-CN"/>
                    </w:rPr>
                  </w:pPr>
                  <w:r>
                    <w:rPr>
                      <w:rFonts w:hint="eastAsia"/>
                      <w:szCs w:val="22"/>
                      <w:highlight w:val="none"/>
                      <w:lang w:val="en-US" w:eastAsia="zh-CN"/>
                    </w:rPr>
                    <w:t>20.6万套</w:t>
                  </w:r>
                </w:p>
              </w:tc>
              <w:tc>
                <w:tcPr>
                  <w:tcW w:w="1377" w:type="pct"/>
                  <w:noWrap w:val="0"/>
                  <w:vAlign w:val="center"/>
                </w:tcPr>
                <w:p w14:paraId="69CB2CDA">
                  <w:pPr>
                    <w:pStyle w:val="39"/>
                    <w:keepNext w:val="0"/>
                    <w:keepLines w:val="0"/>
                    <w:widowControl/>
                    <w:suppressLineNumbers w:val="0"/>
                    <w:bidi w:val="0"/>
                    <w:spacing w:before="0" w:beforeAutospacing="0" w:after="0" w:afterAutospacing="0"/>
                    <w:ind w:left="0" w:right="0"/>
                    <w:rPr>
                      <w:rFonts w:hint="default"/>
                      <w:szCs w:val="22"/>
                      <w:highlight w:val="none"/>
                      <w:lang w:val="en-US"/>
                    </w:rPr>
                  </w:pPr>
                  <w:r>
                    <w:rPr>
                      <w:rFonts w:hint="eastAsia"/>
                      <w:szCs w:val="22"/>
                      <w:highlight w:val="none"/>
                      <w:lang w:val="en-US" w:eastAsia="zh-CN"/>
                    </w:rPr>
                    <w:t>铝合金产品</w:t>
                  </w:r>
                </w:p>
              </w:tc>
              <w:tc>
                <w:tcPr>
                  <w:tcW w:w="891" w:type="pct"/>
                  <w:tcBorders>
                    <w:right w:val="nil"/>
                  </w:tcBorders>
                  <w:noWrap w:val="0"/>
                  <w:vAlign w:val="center"/>
                </w:tcPr>
                <w:p w14:paraId="312EBD1B">
                  <w:pPr>
                    <w:pStyle w:val="39"/>
                    <w:keepNext w:val="0"/>
                    <w:keepLines w:val="0"/>
                    <w:widowControl/>
                    <w:suppressLineNumbers w:val="0"/>
                    <w:bidi w:val="0"/>
                    <w:spacing w:before="0" w:beforeAutospacing="0" w:after="0" w:afterAutospacing="0"/>
                    <w:ind w:left="0" w:right="0"/>
                    <w:rPr>
                      <w:rFonts w:hint="eastAsia"/>
                      <w:szCs w:val="22"/>
                      <w:highlight w:val="none"/>
                      <w:lang w:val="en-US" w:eastAsia="zh-CN"/>
                    </w:rPr>
                  </w:pPr>
                  <w:r>
                    <w:rPr>
                      <w:rFonts w:hint="eastAsia"/>
                      <w:szCs w:val="22"/>
                      <w:highlight w:val="none"/>
                      <w:lang w:val="en-US" w:eastAsia="zh-CN"/>
                    </w:rPr>
                    <w:t>20万套</w:t>
                  </w:r>
                </w:p>
              </w:tc>
            </w:tr>
            <w:tr w14:paraId="74F15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40" w:type="pct"/>
                  <w:vMerge w:val="continue"/>
                  <w:tcBorders>
                    <w:left w:val="nil"/>
                  </w:tcBorders>
                  <w:noWrap w:val="0"/>
                  <w:vAlign w:val="center"/>
                </w:tcPr>
                <w:p w14:paraId="3EE54651">
                  <w:pPr>
                    <w:pStyle w:val="39"/>
                    <w:keepNext w:val="0"/>
                    <w:keepLines w:val="0"/>
                    <w:widowControl/>
                    <w:suppressLineNumbers w:val="0"/>
                    <w:bidi w:val="0"/>
                    <w:spacing w:before="0" w:beforeAutospacing="0" w:after="0" w:afterAutospacing="0"/>
                    <w:ind w:left="0" w:right="0"/>
                    <w:rPr>
                      <w:rFonts w:hint="eastAsia"/>
                      <w:szCs w:val="22"/>
                      <w:highlight w:val="none"/>
                      <w:lang w:val="en-US" w:eastAsia="zh-CN"/>
                    </w:rPr>
                  </w:pPr>
                </w:p>
              </w:tc>
              <w:tc>
                <w:tcPr>
                  <w:tcW w:w="1790" w:type="pct"/>
                  <w:vMerge w:val="continue"/>
                  <w:noWrap w:val="0"/>
                  <w:vAlign w:val="center"/>
                </w:tcPr>
                <w:p w14:paraId="17C0ED57">
                  <w:pPr>
                    <w:pStyle w:val="39"/>
                    <w:keepNext w:val="0"/>
                    <w:keepLines w:val="0"/>
                    <w:widowControl/>
                    <w:suppressLineNumbers w:val="0"/>
                    <w:bidi w:val="0"/>
                    <w:spacing w:before="0" w:beforeAutospacing="0" w:after="0" w:afterAutospacing="0"/>
                    <w:ind w:left="0" w:right="0"/>
                    <w:rPr>
                      <w:rFonts w:hint="eastAsia"/>
                      <w:szCs w:val="22"/>
                      <w:highlight w:val="none"/>
                      <w:lang w:val="en-US" w:eastAsia="zh-CN"/>
                    </w:rPr>
                  </w:pPr>
                </w:p>
              </w:tc>
              <w:tc>
                <w:tcPr>
                  <w:tcW w:w="1377" w:type="pct"/>
                  <w:noWrap w:val="0"/>
                  <w:vAlign w:val="center"/>
                </w:tcPr>
                <w:p w14:paraId="04169863">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eastAsia"/>
                      <w:szCs w:val="22"/>
                      <w:highlight w:val="none"/>
                      <w:lang w:val="en-US" w:eastAsia="zh-CN"/>
                    </w:rPr>
                    <w:t>铝合金不合格产品</w:t>
                  </w:r>
                </w:p>
              </w:tc>
              <w:tc>
                <w:tcPr>
                  <w:tcW w:w="891" w:type="pct"/>
                  <w:tcBorders>
                    <w:right w:val="nil"/>
                  </w:tcBorders>
                  <w:noWrap w:val="0"/>
                  <w:vAlign w:val="center"/>
                </w:tcPr>
                <w:p w14:paraId="25771DF8">
                  <w:pPr>
                    <w:pStyle w:val="39"/>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eastAsia"/>
                      <w:szCs w:val="22"/>
                      <w:highlight w:val="none"/>
                      <w:lang w:val="en-US" w:eastAsia="zh-CN"/>
                    </w:rPr>
                    <w:t>0.6万套</w:t>
                  </w:r>
                </w:p>
              </w:tc>
            </w:tr>
            <w:tr w14:paraId="71E09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940" w:type="pct"/>
                  <w:vMerge w:val="restart"/>
                  <w:tcBorders>
                    <w:left w:val="nil"/>
                  </w:tcBorders>
                  <w:noWrap w:val="0"/>
                  <w:vAlign w:val="center"/>
                </w:tcPr>
                <w:p w14:paraId="31B0039F">
                  <w:pPr>
                    <w:pStyle w:val="39"/>
                    <w:keepNext w:val="0"/>
                    <w:keepLines w:val="0"/>
                    <w:widowControl/>
                    <w:suppressLineNumbers w:val="0"/>
                    <w:bidi w:val="0"/>
                    <w:spacing w:before="0" w:beforeAutospacing="0" w:after="0" w:afterAutospacing="0"/>
                    <w:ind w:left="0" w:right="0"/>
                    <w:rPr>
                      <w:rFonts w:hint="eastAsia"/>
                      <w:szCs w:val="22"/>
                      <w:highlight w:val="none"/>
                      <w:lang w:val="en-US" w:eastAsia="zh-CN"/>
                    </w:rPr>
                  </w:pPr>
                  <w:r>
                    <w:rPr>
                      <w:rFonts w:hint="eastAsia"/>
                      <w:szCs w:val="22"/>
                      <w:highlight w:val="none"/>
                      <w:lang w:val="en-US" w:eastAsia="zh-CN"/>
                    </w:rPr>
                    <w:t>塑胶壳</w:t>
                  </w:r>
                </w:p>
              </w:tc>
              <w:tc>
                <w:tcPr>
                  <w:tcW w:w="1790" w:type="pct"/>
                  <w:vMerge w:val="restart"/>
                  <w:noWrap w:val="0"/>
                  <w:vAlign w:val="center"/>
                </w:tcPr>
                <w:p w14:paraId="1C88D9B4">
                  <w:pPr>
                    <w:pStyle w:val="39"/>
                    <w:keepNext w:val="0"/>
                    <w:keepLines w:val="0"/>
                    <w:widowControl/>
                    <w:suppressLineNumbers w:val="0"/>
                    <w:bidi w:val="0"/>
                    <w:spacing w:before="0" w:beforeAutospacing="0" w:after="0" w:afterAutospacing="0"/>
                    <w:ind w:left="0" w:right="0"/>
                    <w:rPr>
                      <w:rFonts w:hint="eastAsia"/>
                      <w:szCs w:val="22"/>
                      <w:highlight w:val="none"/>
                      <w:lang w:val="en-US" w:eastAsia="zh-CN"/>
                    </w:rPr>
                  </w:pPr>
                  <w:r>
                    <w:rPr>
                      <w:rFonts w:hint="eastAsia"/>
                      <w:szCs w:val="22"/>
                      <w:highlight w:val="none"/>
                      <w:lang w:val="en-US" w:eastAsia="zh-CN"/>
                    </w:rPr>
                    <w:t>30.9万套</w:t>
                  </w:r>
                </w:p>
              </w:tc>
              <w:tc>
                <w:tcPr>
                  <w:tcW w:w="1377" w:type="pct"/>
                  <w:noWrap w:val="0"/>
                  <w:vAlign w:val="center"/>
                </w:tcPr>
                <w:p w14:paraId="3E92045F">
                  <w:pPr>
                    <w:pStyle w:val="39"/>
                    <w:keepNext w:val="0"/>
                    <w:keepLines w:val="0"/>
                    <w:widowControl/>
                    <w:suppressLineNumbers w:val="0"/>
                    <w:bidi w:val="0"/>
                    <w:spacing w:before="0" w:beforeAutospacing="0" w:after="0" w:afterAutospacing="0"/>
                    <w:ind w:left="0" w:right="0"/>
                    <w:rPr>
                      <w:rFonts w:hint="eastAsia"/>
                      <w:szCs w:val="22"/>
                      <w:highlight w:val="none"/>
                    </w:rPr>
                  </w:pPr>
                  <w:r>
                    <w:rPr>
                      <w:rFonts w:hint="eastAsia"/>
                      <w:szCs w:val="22"/>
                      <w:highlight w:val="none"/>
                      <w:lang w:val="en-US" w:eastAsia="zh-CN"/>
                    </w:rPr>
                    <w:t>塑胶件</w:t>
                  </w:r>
                </w:p>
              </w:tc>
              <w:tc>
                <w:tcPr>
                  <w:tcW w:w="891" w:type="pct"/>
                  <w:tcBorders>
                    <w:right w:val="nil"/>
                  </w:tcBorders>
                  <w:noWrap w:val="0"/>
                  <w:vAlign w:val="center"/>
                </w:tcPr>
                <w:p w14:paraId="223CA8A4">
                  <w:pPr>
                    <w:pStyle w:val="39"/>
                    <w:keepNext w:val="0"/>
                    <w:keepLines w:val="0"/>
                    <w:widowControl/>
                    <w:suppressLineNumbers w:val="0"/>
                    <w:bidi w:val="0"/>
                    <w:spacing w:before="0" w:beforeAutospacing="0" w:after="0" w:afterAutospacing="0"/>
                    <w:ind w:left="0" w:right="0"/>
                    <w:rPr>
                      <w:rFonts w:hint="eastAsia"/>
                      <w:szCs w:val="22"/>
                      <w:highlight w:val="none"/>
                      <w:lang w:val="en-US" w:eastAsia="zh-CN"/>
                    </w:rPr>
                  </w:pPr>
                  <w:r>
                    <w:rPr>
                      <w:rFonts w:hint="eastAsia"/>
                      <w:szCs w:val="22"/>
                      <w:highlight w:val="none"/>
                      <w:lang w:val="en-US" w:eastAsia="zh-CN"/>
                    </w:rPr>
                    <w:t>30万套</w:t>
                  </w:r>
                </w:p>
              </w:tc>
            </w:tr>
            <w:tr w14:paraId="0E527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40" w:type="pct"/>
                  <w:vMerge w:val="continue"/>
                  <w:tcBorders>
                    <w:left w:val="nil"/>
                  </w:tcBorders>
                  <w:noWrap w:val="0"/>
                  <w:vAlign w:val="center"/>
                </w:tcPr>
                <w:p w14:paraId="4B2E300F">
                  <w:pPr>
                    <w:pStyle w:val="39"/>
                    <w:keepNext w:val="0"/>
                    <w:keepLines w:val="0"/>
                    <w:widowControl/>
                    <w:suppressLineNumbers w:val="0"/>
                    <w:bidi w:val="0"/>
                    <w:spacing w:before="0" w:beforeAutospacing="0" w:after="0" w:afterAutospacing="0"/>
                    <w:ind w:left="0" w:right="0"/>
                    <w:rPr>
                      <w:rFonts w:hint="eastAsia"/>
                      <w:szCs w:val="22"/>
                      <w:lang w:val="en-US" w:eastAsia="zh-CN"/>
                    </w:rPr>
                  </w:pPr>
                </w:p>
              </w:tc>
              <w:tc>
                <w:tcPr>
                  <w:tcW w:w="1790" w:type="pct"/>
                  <w:vMerge w:val="continue"/>
                  <w:noWrap w:val="0"/>
                  <w:vAlign w:val="center"/>
                </w:tcPr>
                <w:p w14:paraId="066145BC">
                  <w:pPr>
                    <w:pStyle w:val="39"/>
                    <w:keepNext w:val="0"/>
                    <w:keepLines w:val="0"/>
                    <w:widowControl/>
                    <w:suppressLineNumbers w:val="0"/>
                    <w:bidi w:val="0"/>
                    <w:spacing w:before="0" w:beforeAutospacing="0" w:after="0" w:afterAutospacing="0"/>
                    <w:ind w:left="0" w:right="0"/>
                    <w:rPr>
                      <w:rFonts w:hint="eastAsia"/>
                      <w:szCs w:val="22"/>
                      <w:lang w:val="en-US" w:eastAsia="zh-CN"/>
                    </w:rPr>
                  </w:pPr>
                </w:p>
              </w:tc>
              <w:tc>
                <w:tcPr>
                  <w:tcW w:w="1377" w:type="pct"/>
                  <w:noWrap w:val="0"/>
                  <w:vAlign w:val="center"/>
                </w:tcPr>
                <w:p w14:paraId="6E92C103">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塑胶件不合格产品</w:t>
                  </w:r>
                </w:p>
              </w:tc>
              <w:tc>
                <w:tcPr>
                  <w:tcW w:w="891" w:type="pct"/>
                  <w:tcBorders>
                    <w:right w:val="nil"/>
                  </w:tcBorders>
                  <w:noWrap w:val="0"/>
                  <w:vAlign w:val="center"/>
                </w:tcPr>
                <w:p w14:paraId="32B1B45E">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0.9万套</w:t>
                  </w:r>
                </w:p>
              </w:tc>
            </w:tr>
            <w:tr w14:paraId="177B6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40" w:type="pct"/>
                  <w:vMerge w:val="restart"/>
                  <w:tcBorders>
                    <w:left w:val="nil"/>
                  </w:tcBorders>
                  <w:noWrap w:val="0"/>
                  <w:vAlign w:val="center"/>
                </w:tcPr>
                <w:p w14:paraId="0D97412E">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钣金</w:t>
                  </w:r>
                </w:p>
              </w:tc>
              <w:tc>
                <w:tcPr>
                  <w:tcW w:w="1790" w:type="pct"/>
                  <w:vMerge w:val="restart"/>
                  <w:noWrap w:val="0"/>
                  <w:vAlign w:val="center"/>
                </w:tcPr>
                <w:p w14:paraId="71DFD0C8">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10.3万套</w:t>
                  </w:r>
                </w:p>
              </w:tc>
              <w:tc>
                <w:tcPr>
                  <w:tcW w:w="1377" w:type="pct"/>
                  <w:noWrap w:val="0"/>
                  <w:vAlign w:val="center"/>
                </w:tcPr>
                <w:p w14:paraId="4EAFD5D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钣金件</w:t>
                  </w:r>
                </w:p>
              </w:tc>
              <w:tc>
                <w:tcPr>
                  <w:tcW w:w="891" w:type="pct"/>
                  <w:tcBorders>
                    <w:right w:val="nil"/>
                  </w:tcBorders>
                  <w:noWrap w:val="0"/>
                  <w:vAlign w:val="center"/>
                </w:tcPr>
                <w:p w14:paraId="2417C212">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10万套</w:t>
                  </w:r>
                </w:p>
              </w:tc>
            </w:tr>
            <w:tr w14:paraId="617418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40" w:type="pct"/>
                  <w:vMerge w:val="continue"/>
                  <w:tcBorders>
                    <w:left w:val="nil"/>
                  </w:tcBorders>
                  <w:noWrap w:val="0"/>
                  <w:vAlign w:val="center"/>
                </w:tcPr>
                <w:p w14:paraId="0A87C810">
                  <w:pPr>
                    <w:pStyle w:val="39"/>
                    <w:keepNext w:val="0"/>
                    <w:keepLines w:val="0"/>
                    <w:widowControl/>
                    <w:suppressLineNumbers w:val="0"/>
                    <w:bidi w:val="0"/>
                    <w:spacing w:before="0" w:beforeAutospacing="0" w:after="0" w:afterAutospacing="0"/>
                    <w:ind w:left="0" w:right="0"/>
                    <w:rPr>
                      <w:rFonts w:hint="eastAsia"/>
                      <w:szCs w:val="22"/>
                      <w:lang w:val="en-US" w:eastAsia="zh-CN"/>
                    </w:rPr>
                  </w:pPr>
                </w:p>
              </w:tc>
              <w:tc>
                <w:tcPr>
                  <w:tcW w:w="1790" w:type="pct"/>
                  <w:vMerge w:val="continue"/>
                  <w:noWrap w:val="0"/>
                  <w:vAlign w:val="center"/>
                </w:tcPr>
                <w:p w14:paraId="24243CB7">
                  <w:pPr>
                    <w:pStyle w:val="39"/>
                    <w:keepNext w:val="0"/>
                    <w:keepLines w:val="0"/>
                    <w:widowControl/>
                    <w:suppressLineNumbers w:val="0"/>
                    <w:bidi w:val="0"/>
                    <w:spacing w:before="0" w:beforeAutospacing="0" w:after="0" w:afterAutospacing="0"/>
                    <w:ind w:left="0" w:right="0"/>
                    <w:rPr>
                      <w:rFonts w:hint="eastAsia"/>
                      <w:szCs w:val="22"/>
                      <w:lang w:val="en-US" w:eastAsia="zh-CN"/>
                    </w:rPr>
                  </w:pPr>
                </w:p>
              </w:tc>
              <w:tc>
                <w:tcPr>
                  <w:tcW w:w="1377" w:type="pct"/>
                  <w:noWrap w:val="0"/>
                  <w:vAlign w:val="center"/>
                </w:tcPr>
                <w:p w14:paraId="3C23A700">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钣金件不合格产品</w:t>
                  </w:r>
                </w:p>
              </w:tc>
              <w:tc>
                <w:tcPr>
                  <w:tcW w:w="891" w:type="pct"/>
                  <w:tcBorders>
                    <w:right w:val="nil"/>
                  </w:tcBorders>
                  <w:noWrap w:val="0"/>
                  <w:vAlign w:val="center"/>
                </w:tcPr>
                <w:p w14:paraId="23E4A849">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0.3万套</w:t>
                  </w:r>
                </w:p>
              </w:tc>
            </w:tr>
          </w:tbl>
          <w:p w14:paraId="571FD7B8">
            <w:pPr>
              <w:keepNext w:val="0"/>
              <w:keepLines w:val="0"/>
              <w:suppressLineNumbers w:val="0"/>
              <w:bidi w:val="0"/>
              <w:spacing w:before="0" w:beforeAutospacing="0" w:after="0" w:afterAutospacing="0"/>
              <w:ind w:left="0" w:right="0"/>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水平衡</w:t>
            </w:r>
          </w:p>
          <w:p w14:paraId="3EC8B442">
            <w:pPr>
              <w:keepNext w:val="0"/>
              <w:keepLines w:val="0"/>
              <w:suppressLineNumbers w:val="0"/>
              <w:bidi w:val="0"/>
              <w:spacing w:before="0" w:beforeAutospacing="0" w:after="0" w:afterAutospacing="0"/>
              <w:ind w:left="0" w:right="0"/>
              <w:rPr>
                <w:rFonts w:hint="default"/>
              </w:rPr>
            </w:pPr>
            <w:r>
              <w:rPr>
                <w:rFonts w:hint="default"/>
              </w:rPr>
              <w:t>①生产用水</w:t>
            </w:r>
          </w:p>
          <w:p w14:paraId="5889E0BC">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a.损耗用水</w:t>
            </w:r>
          </w:p>
          <w:p w14:paraId="3615FAF0">
            <w:pPr>
              <w:keepNext w:val="0"/>
              <w:keepLines w:val="0"/>
              <w:suppressLineNumbers w:val="0"/>
              <w:bidi w:val="0"/>
              <w:spacing w:before="0" w:beforeAutospacing="0" w:after="0" w:afterAutospacing="0"/>
              <w:ind w:left="0" w:right="0" w:firstLine="480" w:firstLineChars="200"/>
              <w:rPr>
                <w:rFonts w:hint="eastAsia"/>
              </w:rPr>
            </w:pPr>
            <w:r>
              <w:rPr>
                <w:rFonts w:hint="eastAsia"/>
              </w:rPr>
              <w:t>项目喷漆工序</w:t>
            </w:r>
            <w:r>
              <w:rPr>
                <w:rFonts w:hint="eastAsia"/>
                <w:lang w:val="en-US" w:eastAsia="zh-CN"/>
              </w:rPr>
              <w:t>计划建设9台规格相同的水帘柜，每条生产线配置3台水帘柜</w:t>
            </w:r>
            <w:r>
              <w:rPr>
                <w:rFonts w:hint="eastAsia"/>
              </w:rPr>
              <w:t>，喷漆水帘柜在喷漆过程中有少量有机物进入水中形成了含漆废水。根据建设单位提供资料，</w:t>
            </w:r>
            <w:r>
              <w:rPr>
                <w:rFonts w:hint="eastAsia"/>
                <w:lang w:val="en-US" w:eastAsia="zh-CN"/>
              </w:rPr>
              <w:t>每台</w:t>
            </w:r>
            <w:r>
              <w:rPr>
                <w:rFonts w:hint="eastAsia"/>
              </w:rPr>
              <w:t>水帘柜循环水池的储水量约为</w:t>
            </w:r>
            <w:r>
              <w:rPr>
                <w:rFonts w:hint="eastAsia"/>
                <w:lang w:val="en-US" w:eastAsia="zh-CN"/>
              </w:rPr>
              <w:t>0.15t，故9台</w:t>
            </w:r>
            <w:r>
              <w:rPr>
                <w:rFonts w:hint="eastAsia"/>
              </w:rPr>
              <w:t>水帘柜循环水池的</w:t>
            </w:r>
            <w:r>
              <w:rPr>
                <w:rFonts w:hint="eastAsia"/>
                <w:lang w:val="en-US" w:eastAsia="zh-CN"/>
              </w:rPr>
              <w:t>合计</w:t>
            </w:r>
            <w:r>
              <w:rPr>
                <w:rFonts w:hint="eastAsia"/>
              </w:rPr>
              <w:t>储水量约为</w:t>
            </w:r>
            <w:r>
              <w:rPr>
                <w:rFonts w:hint="eastAsia"/>
                <w:lang w:val="en-US" w:eastAsia="zh-CN"/>
              </w:rPr>
              <w:t>1.35t</w:t>
            </w:r>
            <w:r>
              <w:rPr>
                <w:rFonts w:hint="eastAsia"/>
              </w:rPr>
              <w:t>。建设单位拟将该喷漆水帘柜的水循环使用，该废水由于蒸发等损耗需定期补充新鲜水，喷漆水帘柜循环水在使用过程中损耗水量按用水量的10%计算，</w:t>
            </w:r>
            <w:r>
              <w:rPr>
                <w:rFonts w:hint="eastAsia"/>
                <w:lang w:val="en-US" w:eastAsia="zh-CN"/>
              </w:rPr>
              <w:t>1台水帘柜的损耗水量为0.015t/d（4.5t/a），</w:t>
            </w:r>
            <w:r>
              <w:rPr>
                <w:rFonts w:hint="eastAsia"/>
              </w:rPr>
              <w:t>则</w:t>
            </w:r>
            <w:r>
              <w:rPr>
                <w:rFonts w:hint="eastAsia"/>
                <w:lang w:val="en-US" w:eastAsia="zh-CN"/>
              </w:rPr>
              <w:t>9台水帘柜合计</w:t>
            </w:r>
            <w:r>
              <w:rPr>
                <w:rFonts w:hint="eastAsia"/>
              </w:rPr>
              <w:t>损耗水量为</w:t>
            </w:r>
            <w:r>
              <w:rPr>
                <w:rFonts w:hint="eastAsia"/>
                <w:lang w:val="en-US" w:eastAsia="zh-CN"/>
              </w:rPr>
              <w:t>0.135</w:t>
            </w:r>
            <w:r>
              <w:rPr>
                <w:rFonts w:hint="eastAsia"/>
              </w:rPr>
              <w:t>t/d（</w:t>
            </w:r>
            <w:r>
              <w:rPr>
                <w:rFonts w:hint="eastAsia"/>
                <w:lang w:val="en-US" w:eastAsia="zh-CN"/>
              </w:rPr>
              <w:t>40.5</w:t>
            </w:r>
            <w:r>
              <w:rPr>
                <w:rFonts w:hint="eastAsia"/>
              </w:rPr>
              <w:t>t/a）。</w:t>
            </w:r>
          </w:p>
          <w:p w14:paraId="508EB7C7">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b.更换用水</w:t>
            </w:r>
          </w:p>
          <w:p w14:paraId="36A63B26">
            <w:pPr>
              <w:keepNext w:val="0"/>
              <w:keepLines w:val="0"/>
              <w:suppressLineNumbers w:val="0"/>
              <w:bidi w:val="0"/>
              <w:spacing w:before="0" w:beforeAutospacing="0" w:after="0" w:afterAutospacing="0"/>
              <w:ind w:left="0" w:right="0"/>
              <w:rPr>
                <w:rFonts w:hint="default"/>
                <w:lang w:eastAsia="zh-CN"/>
              </w:rPr>
            </w:pPr>
            <w:r>
              <w:rPr>
                <w:rFonts w:hint="eastAsia"/>
              </w:rPr>
              <w:t>因循环使用时间较长后水质变浑浊，废水多次循环使用导致盐分增加，需定期对喷漆水帘柜循环水进行更换，项目喷漆水帘柜用水计划</w:t>
            </w:r>
            <w:r>
              <w:rPr>
                <w:rFonts w:hint="eastAsia"/>
                <w:lang w:val="en-US" w:eastAsia="zh-CN"/>
              </w:rPr>
              <w:t>一年</w:t>
            </w:r>
            <w:r>
              <w:rPr>
                <w:rFonts w:hint="eastAsia"/>
              </w:rPr>
              <w:t>更换一次，每次喷漆水帘柜废水全部更换，更换废水产生量为</w:t>
            </w:r>
            <w:r>
              <w:rPr>
                <w:rFonts w:hint="eastAsia"/>
                <w:lang w:val="en-US" w:eastAsia="zh-CN"/>
              </w:rPr>
              <w:t>1.35</w:t>
            </w:r>
            <w:r>
              <w:rPr>
                <w:rFonts w:hint="eastAsia"/>
              </w:rPr>
              <w:t>t/a。</w:t>
            </w:r>
            <w:r>
              <w:rPr>
                <w:rFonts w:hint="eastAsia"/>
                <w:lang w:val="en-US" w:eastAsia="zh-CN"/>
              </w:rPr>
              <w:t>定期</w:t>
            </w:r>
            <w:r>
              <w:rPr>
                <w:rFonts w:hint="eastAsia"/>
              </w:rPr>
              <w:t>更换的</w:t>
            </w:r>
            <w:r>
              <w:rPr>
                <w:rFonts w:hint="eastAsia"/>
                <w:lang w:val="en-US" w:eastAsia="zh-CN"/>
              </w:rPr>
              <w:t>水帘柜废水集中收集，</w:t>
            </w:r>
            <w:r>
              <w:rPr>
                <w:rFonts w:hint="eastAsia"/>
              </w:rPr>
              <w:t>当作危险废物委托有资质单位统一处置</w:t>
            </w:r>
            <w:r>
              <w:rPr>
                <w:rFonts w:hint="eastAsia"/>
                <w:lang w:eastAsia="zh-CN"/>
              </w:rPr>
              <w:t>。</w:t>
            </w:r>
          </w:p>
          <w:p w14:paraId="077E43F9">
            <w:pPr>
              <w:keepNext w:val="0"/>
              <w:keepLines w:val="0"/>
              <w:suppressLineNumbers w:val="0"/>
              <w:bidi w:val="0"/>
              <w:spacing w:before="0" w:beforeAutospacing="0" w:after="0" w:afterAutospacing="0"/>
              <w:ind w:left="0" w:right="0"/>
              <w:rPr>
                <w:rFonts w:hint="default"/>
                <w:lang w:val="en-US" w:eastAsia="zh-CN"/>
              </w:rPr>
            </w:pPr>
            <w:r>
              <w:rPr>
                <w:rFonts w:hint="default"/>
              </w:rPr>
              <w:t>②</w:t>
            </w:r>
            <w:r>
              <w:rPr>
                <w:rFonts w:hint="default"/>
                <w:lang w:val="en-US" w:eastAsia="zh-CN"/>
              </w:rPr>
              <w:t>生活污水</w:t>
            </w:r>
          </w:p>
          <w:p w14:paraId="38E18DB9">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本项目劳动定员13人，均不在厂内食宿，根据《建筑给水排水设计规范》（GB50015-2019），项目不住宿员工用水量按50L/人·d计算，年工作300天，则生活用水量为0.65t/d（195t/a）。根据《室外排水设计规范》（GB 50014-2006）（2016年版），居民生活污水定额可按用水定额的80%计算（其余20%蒸发损耗等），则生活污水排放量为0.52</w:t>
            </w:r>
            <w:r>
              <w:rPr>
                <w:rFonts w:hint="default"/>
                <w:lang w:val="en-US" w:eastAsia="zh-CN"/>
              </w:rPr>
              <w:t>t/d（</w:t>
            </w:r>
            <w:r>
              <w:rPr>
                <w:rFonts w:hint="eastAsia"/>
                <w:lang w:val="en-US" w:eastAsia="zh-CN"/>
              </w:rPr>
              <w:t>156</w:t>
            </w:r>
            <w:r>
              <w:rPr>
                <w:rFonts w:hint="default"/>
                <w:lang w:val="en-US" w:eastAsia="zh-CN"/>
              </w:rPr>
              <w:t>t/a）。</w:t>
            </w:r>
          </w:p>
          <w:p w14:paraId="3D9900AA">
            <w:pPr>
              <w:keepNext w:val="0"/>
              <w:keepLines w:val="0"/>
              <w:suppressLineNumbers w:val="0"/>
              <w:bidi w:val="0"/>
              <w:spacing w:before="0" w:beforeAutospacing="0" w:after="0" w:afterAutospacing="0"/>
              <w:ind w:left="0" w:right="0"/>
              <w:rPr>
                <w:rFonts w:hint="default"/>
              </w:rPr>
            </w:pPr>
            <w:r>
              <w:rPr>
                <w:rFonts w:hint="default"/>
              </w:rPr>
              <w:t>项目水平衡图见图</w:t>
            </w:r>
            <w:r>
              <w:rPr>
                <w:rFonts w:hint="default"/>
                <w:lang w:val="en-US" w:eastAsia="zh-CN"/>
              </w:rPr>
              <w:t>2.</w:t>
            </w:r>
            <w:r>
              <w:rPr>
                <w:rFonts w:hint="eastAsia"/>
                <w:lang w:val="en-US" w:eastAsia="zh-CN"/>
              </w:rPr>
              <w:t>6-</w:t>
            </w:r>
            <w:r>
              <w:rPr>
                <w:rFonts w:hint="default"/>
                <w:lang w:val="en-US" w:eastAsia="zh-CN"/>
              </w:rPr>
              <w:t>1</w:t>
            </w:r>
            <w:r>
              <w:rPr>
                <w:rFonts w:hint="default"/>
              </w:rPr>
              <w:t>。</w:t>
            </w:r>
          </w:p>
          <w:p w14:paraId="146CDCC1">
            <w:pPr>
              <w:pStyle w:val="15"/>
              <w:keepNext w:val="0"/>
              <w:keepLines w:val="0"/>
              <w:suppressLineNumbers w:val="0"/>
              <w:bidi w:val="0"/>
              <w:spacing w:before="0" w:beforeAutospacing="0" w:after="0" w:afterAutospacing="0"/>
              <w:ind w:left="0" w:right="0"/>
              <w:jc w:val="center"/>
              <w:rPr>
                <w:rFonts w:hint="default"/>
              </w:rPr>
            </w:pPr>
            <w:r>
              <w:rPr>
                <w:rFonts w:hint="default"/>
                <w:lang w:val="en-US" w:eastAsia="zh-CN"/>
              </w:rPr>
              <w:drawing>
                <wp:inline distT="0" distB="0" distL="114300" distR="114300">
                  <wp:extent cx="4697095" cy="2304415"/>
                  <wp:effectExtent l="0" t="0" r="8255" b="635"/>
                  <wp:docPr id="79" name="F360BE8B-6686-4F3D-AEAF-501FE73E4058-1" descr="C:/Users/Administrator/AppData/Local/Temp/绘图1(5).png绘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360BE8B-6686-4F3D-AEAF-501FE73E4058-1" descr="C:/Users/Administrator/AppData/Local/Temp/绘图1(5).png绘图1(5)"/>
                          <pic:cNvPicPr>
                            <a:picLocks noChangeAspect="1"/>
                          </pic:cNvPicPr>
                        </pic:nvPicPr>
                        <pic:blipFill>
                          <a:blip r:embed="rId16"/>
                          <a:stretch>
                            <a:fillRect/>
                          </a:stretch>
                        </pic:blipFill>
                        <pic:spPr>
                          <a:xfrm>
                            <a:off x="0" y="0"/>
                            <a:ext cx="4696968" cy="2304288"/>
                          </a:xfrm>
                          <a:prstGeom prst="rect">
                            <a:avLst/>
                          </a:prstGeom>
                        </pic:spPr>
                      </pic:pic>
                    </a:graphicData>
                  </a:graphic>
                </wp:inline>
              </w:drawing>
            </w:r>
          </w:p>
          <w:p w14:paraId="60DA1599">
            <w:pPr>
              <w:pStyle w:val="40"/>
              <w:keepNext w:val="0"/>
              <w:keepLines w:val="0"/>
              <w:suppressLineNumbers w:val="0"/>
              <w:bidi w:val="0"/>
              <w:spacing w:before="0" w:beforeAutospacing="0" w:after="0" w:afterAutospacing="0"/>
              <w:ind w:left="0" w:right="0"/>
              <w:rPr>
                <w:rFonts w:hint="eastAsia"/>
                <w:lang w:eastAsia="zh-CN"/>
              </w:rPr>
            </w:pPr>
            <w:r>
              <w:rPr>
                <w:rFonts w:hint="default"/>
              </w:rPr>
              <w:t>图</w:t>
            </w:r>
            <w:r>
              <w:rPr>
                <w:rFonts w:hint="default"/>
                <w:lang w:val="en-US" w:eastAsia="zh-CN"/>
              </w:rPr>
              <w:t>2.</w:t>
            </w:r>
            <w:r>
              <w:rPr>
                <w:rFonts w:hint="eastAsia"/>
                <w:lang w:val="en-US" w:eastAsia="zh-CN"/>
              </w:rPr>
              <w:t>3</w:t>
            </w:r>
            <w:r>
              <w:rPr>
                <w:rFonts w:hint="default"/>
                <w:lang w:val="en-US" w:eastAsia="zh-CN"/>
              </w:rPr>
              <w:t>-1  项目</w:t>
            </w:r>
            <w:r>
              <w:rPr>
                <w:rFonts w:hint="default"/>
              </w:rPr>
              <w:t>水平衡图</w:t>
            </w:r>
            <w:r>
              <w:rPr>
                <w:rFonts w:hint="eastAsia"/>
                <w:lang w:eastAsia="zh-CN"/>
              </w:rPr>
              <w:t>（</w:t>
            </w:r>
            <w:r>
              <w:rPr>
                <w:rFonts w:hint="eastAsia"/>
                <w:lang w:val="en-US" w:eastAsia="zh-CN"/>
              </w:rPr>
              <w:t>t/a</w:t>
            </w:r>
            <w:r>
              <w:rPr>
                <w:rFonts w:hint="eastAsia"/>
                <w:lang w:eastAsia="zh-CN"/>
              </w:rPr>
              <w:t>）</w:t>
            </w:r>
          </w:p>
          <w:p w14:paraId="0B9C29E4">
            <w:pPr>
              <w:pStyle w:val="4"/>
              <w:suppressLineNumbers w:val="0"/>
              <w:bidi w:val="0"/>
              <w:spacing w:before="0" w:beforeAutospacing="0" w:after="0" w:afterAutospacing="0"/>
              <w:ind w:left="0" w:right="0"/>
              <w:rPr>
                <w:rFonts w:hint="eastAsia"/>
                <w:lang w:val="en-US" w:eastAsia="zh-CN"/>
              </w:rPr>
            </w:pPr>
            <w:r>
              <w:rPr>
                <w:rFonts w:hint="eastAsia"/>
                <w:lang w:val="en-US" w:eastAsia="zh-CN"/>
              </w:rPr>
              <w:t xml:space="preserve">平面布置合理性分析 </w:t>
            </w:r>
          </w:p>
          <w:p w14:paraId="7A16A708">
            <w:pPr>
              <w:keepNext w:val="0"/>
              <w:keepLines w:val="0"/>
              <w:suppressLineNumbers w:val="0"/>
              <w:bidi w:val="0"/>
              <w:spacing w:before="0" w:beforeAutospacing="0" w:after="0" w:afterAutospacing="0"/>
              <w:ind w:left="0" w:right="0"/>
              <w:rPr>
                <w:rFonts w:hint="eastAsia"/>
              </w:rPr>
            </w:pPr>
            <w:r>
              <w:rPr>
                <w:rFonts w:hint="eastAsia"/>
              </w:rPr>
              <w:t>项目位于福清融侨经济技术开发区（租赁福清洪添科技有限公司车间2第3层），主要建筑面积</w:t>
            </w:r>
            <w:r>
              <w:rPr>
                <w:rFonts w:hint="eastAsia"/>
                <w:lang w:val="en-US" w:eastAsia="zh-CN"/>
              </w:rPr>
              <w:t>2212.46m</w:t>
            </w:r>
            <w:r>
              <w:rPr>
                <w:rFonts w:hint="eastAsia"/>
                <w:vertAlign w:val="superscript"/>
                <w:lang w:val="en-US" w:eastAsia="zh-CN"/>
              </w:rPr>
              <w:t>2</w:t>
            </w:r>
            <w:r>
              <w:rPr>
                <w:rFonts w:hint="eastAsia"/>
              </w:rPr>
              <w:t>。厂房内主要包括</w:t>
            </w:r>
            <w:r>
              <w:rPr>
                <w:rFonts w:hint="eastAsia"/>
                <w:lang w:val="en-US" w:eastAsia="zh-CN"/>
              </w:rPr>
              <w:t>生产区（投料区、检验区、打磨房、喷漆烘干房、加烤区）</w:t>
            </w:r>
            <w:r>
              <w:rPr>
                <w:rFonts w:hint="eastAsia"/>
                <w:lang w:eastAsia="zh-CN"/>
              </w:rPr>
              <w:t>、</w:t>
            </w:r>
            <w:r>
              <w:rPr>
                <w:rFonts w:hint="eastAsia"/>
              </w:rPr>
              <w:t>原料区</w:t>
            </w:r>
            <w:r>
              <w:rPr>
                <w:rFonts w:hint="eastAsia"/>
                <w:highlight w:val="none"/>
              </w:rPr>
              <w:t>和成品区，生产区位于车间</w:t>
            </w:r>
            <w:r>
              <w:rPr>
                <w:rFonts w:hint="eastAsia"/>
                <w:highlight w:val="none"/>
                <w:lang w:val="en-US" w:eastAsia="zh-CN"/>
              </w:rPr>
              <w:t>西侧</w:t>
            </w:r>
            <w:r>
              <w:rPr>
                <w:rFonts w:hint="eastAsia"/>
                <w:highlight w:val="none"/>
              </w:rPr>
              <w:t>，原料区、成品区位于车间</w:t>
            </w:r>
            <w:r>
              <w:rPr>
                <w:rFonts w:hint="eastAsia"/>
                <w:highlight w:val="none"/>
                <w:lang w:val="en-US" w:eastAsia="zh-CN"/>
              </w:rPr>
              <w:t>东</w:t>
            </w:r>
            <w:r>
              <w:rPr>
                <w:rFonts w:hint="eastAsia"/>
                <w:highlight w:val="none"/>
              </w:rPr>
              <w:t>侧。</w:t>
            </w:r>
          </w:p>
          <w:p w14:paraId="5F9F2798">
            <w:pPr>
              <w:keepNext w:val="0"/>
              <w:keepLines w:val="0"/>
              <w:suppressLineNumbers w:val="0"/>
              <w:bidi w:val="0"/>
              <w:spacing w:before="0" w:beforeAutospacing="0" w:after="0" w:afterAutospacing="0"/>
              <w:ind w:left="0" w:right="0"/>
              <w:rPr>
                <w:rFonts w:hint="eastAsia"/>
                <w:color w:val="auto"/>
              </w:rPr>
            </w:pPr>
            <w:r>
              <w:rPr>
                <w:rFonts w:hint="eastAsia"/>
              </w:rPr>
              <w:t>此平面布置方案功能划分相对清晰，各</w:t>
            </w:r>
            <w:r>
              <w:rPr>
                <w:rFonts w:hint="eastAsia"/>
                <w:lang w:val="en-US" w:eastAsia="zh-CN"/>
              </w:rPr>
              <w:t>区域</w:t>
            </w:r>
            <w:r>
              <w:rPr>
                <w:rFonts w:hint="eastAsia"/>
              </w:rPr>
              <w:t>之间物流顺畅，运输距离较短，有利于生产布置</w:t>
            </w:r>
            <w:r>
              <w:rPr>
                <w:rFonts w:hint="eastAsia"/>
                <w:lang w:eastAsia="zh-CN"/>
              </w:rPr>
              <w:t>。</w:t>
            </w:r>
            <w:r>
              <w:rPr>
                <w:rFonts w:hint="eastAsia"/>
              </w:rPr>
              <w:t>在满足生产条件要求的前提下，充分利用厂区空间进行设备布置，布局紧凑，生产流程比较流畅，布局基本合理，物料流向顺畅，符合防火、安全、卫生等有关规范，总体布局功能分区明确，便于生产的连续性，项目平面布置基本合理</w:t>
            </w:r>
            <w:r>
              <w:rPr>
                <w:rFonts w:hint="eastAsia"/>
                <w:lang w:eastAsia="zh-CN"/>
              </w:rPr>
              <w:t>，</w:t>
            </w:r>
            <w:r>
              <w:rPr>
                <w:rFonts w:hint="eastAsia"/>
                <w:lang w:val="en-US" w:eastAsia="zh-CN"/>
              </w:rPr>
              <w:t>项目车间</w:t>
            </w:r>
            <w:r>
              <w:rPr>
                <w:rFonts w:hint="eastAsia"/>
              </w:rPr>
              <w:t>平面布置图见</w:t>
            </w:r>
            <w:r>
              <w:rPr>
                <w:rStyle w:val="46"/>
                <w:rFonts w:hint="eastAsia"/>
                <w:lang w:eastAsia="zh-CN"/>
              </w:rPr>
              <w:fldChar w:fldCharType="begin"/>
            </w:r>
            <w:r>
              <w:rPr>
                <w:rStyle w:val="46"/>
                <w:rFonts w:hint="eastAsia"/>
                <w:lang w:eastAsia="zh-CN"/>
              </w:rPr>
              <w:instrText xml:space="preserve"> REF _Ref22851 \h </w:instrText>
            </w:r>
            <w:r>
              <w:rPr>
                <w:rStyle w:val="46"/>
                <w:rFonts w:hint="eastAsia"/>
                <w:lang w:eastAsia="zh-CN"/>
              </w:rPr>
              <w:fldChar w:fldCharType="separate"/>
            </w:r>
            <w:r>
              <w:rPr>
                <w:rStyle w:val="46"/>
                <w:rFonts w:hint="eastAsia"/>
              </w:rPr>
              <w:t>附图 4</w:t>
            </w:r>
            <w:r>
              <w:rPr>
                <w:rStyle w:val="46"/>
                <w:rFonts w:hint="eastAsia"/>
                <w:lang w:eastAsia="zh-CN"/>
              </w:rPr>
              <w:fldChar w:fldCharType="end"/>
            </w:r>
            <w:r>
              <w:rPr>
                <w:rFonts w:hint="eastAsia"/>
              </w:rPr>
              <w:t>。</w:t>
            </w:r>
          </w:p>
        </w:tc>
      </w:tr>
      <w:tr w14:paraId="2286A6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23" w:type="dxa"/>
            <w:noWrap w:val="0"/>
            <w:vAlign w:val="center"/>
          </w:tcPr>
          <w:p w14:paraId="3C646D91">
            <w:pPr>
              <w:pStyle w:val="41"/>
              <w:keepNext w:val="0"/>
              <w:keepLines w:val="0"/>
              <w:suppressLineNumbers w:val="0"/>
              <w:bidi w:val="0"/>
              <w:spacing w:before="0" w:beforeAutospacing="0" w:after="0" w:afterAutospacing="0"/>
              <w:ind w:left="0" w:right="0"/>
              <w:rPr>
                <w:rFonts w:hint="eastAsia"/>
              </w:rPr>
            </w:pPr>
            <w:r>
              <w:rPr>
                <w:rFonts w:hint="eastAsia"/>
              </w:rPr>
              <w:t>工艺流程和产排污环节</w:t>
            </w:r>
          </w:p>
        </w:tc>
        <w:tc>
          <w:tcPr>
            <w:tcW w:w="8161" w:type="dxa"/>
            <w:noWrap w:val="0"/>
            <w:vAlign w:val="top"/>
          </w:tcPr>
          <w:p w14:paraId="352C68B2">
            <w:pPr>
              <w:pStyle w:val="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生产工艺流程及产污环节</w:t>
            </w:r>
          </w:p>
          <w:p w14:paraId="17348412">
            <w:pPr>
              <w:pStyle w:val="4"/>
              <w:suppressLineNumbers w:val="0"/>
              <w:bidi w:val="0"/>
              <w:spacing w:before="0" w:beforeAutospacing="0" w:after="0" w:afterAutospacing="0"/>
              <w:ind w:left="0" w:right="0"/>
              <w:rPr>
                <w:rFonts w:hint="eastAsia"/>
                <w:lang w:eastAsia="zh-CN"/>
              </w:rPr>
            </w:pPr>
            <w:r>
              <w:rPr>
                <w:rFonts w:hint="eastAsia"/>
                <w:lang w:val="en-US" w:eastAsia="zh-CN"/>
              </w:rPr>
              <w:t>工艺流程及工艺介绍</w:t>
            </w:r>
          </w:p>
          <w:p w14:paraId="4F0C0C1F">
            <w:pPr>
              <w:keepNext w:val="0"/>
              <w:keepLines w:val="0"/>
              <w:suppressLineNumbers w:val="0"/>
              <w:bidi w:val="0"/>
              <w:spacing w:before="0" w:beforeAutospacing="0" w:after="0" w:afterAutospacing="0"/>
              <w:ind w:left="0" w:right="0"/>
              <w:rPr>
                <w:rFonts w:hint="eastAsia"/>
                <w:lang w:eastAsia="zh-CN"/>
              </w:rPr>
            </w:pPr>
            <w:r>
              <w:rPr>
                <w:rFonts w:hint="eastAsia"/>
              </w:rPr>
              <w:t>本项目设置</w:t>
            </w:r>
            <w:r>
              <w:rPr>
                <w:rFonts w:hint="eastAsia"/>
                <w:lang w:val="en-US" w:eastAsia="zh-CN"/>
              </w:rPr>
              <w:t>3</w:t>
            </w:r>
            <w:r>
              <w:rPr>
                <w:rFonts w:hint="eastAsia"/>
              </w:rPr>
              <w:t>条生产线，配套废气处理系统。</w:t>
            </w:r>
          </w:p>
          <w:p w14:paraId="0D5ED052">
            <w:pPr>
              <w:keepNext w:val="0"/>
              <w:keepLines w:val="0"/>
              <w:suppressLineNumbers w:val="0"/>
              <w:spacing w:before="0" w:beforeAutospacing="0" w:after="0" w:afterAutospacing="0"/>
              <w:ind w:left="0" w:right="0"/>
              <w:rPr>
                <w:rFonts w:hint="eastAsia"/>
                <w:color w:val="auto"/>
              </w:rPr>
            </w:pPr>
            <w:r>
              <w:rPr>
                <w:rFonts w:hint="eastAsia"/>
                <w:color w:val="auto"/>
                <w:lang w:eastAsia="zh-CN"/>
              </w:rPr>
              <w:t>本</w:t>
            </w:r>
            <w:r>
              <w:rPr>
                <w:rFonts w:hint="eastAsia"/>
                <w:color w:val="auto"/>
              </w:rPr>
              <w:t>项目生产工艺流程及产污环节图见图2</w:t>
            </w:r>
            <w:r>
              <w:rPr>
                <w:rFonts w:hint="eastAsia"/>
                <w:color w:val="auto"/>
                <w:lang w:val="en-US" w:eastAsia="zh-CN"/>
              </w:rPr>
              <w:t>.4</w:t>
            </w:r>
            <w:r>
              <w:rPr>
                <w:rFonts w:hint="eastAsia"/>
                <w:color w:val="auto"/>
              </w:rPr>
              <w:t>-1：</w:t>
            </w:r>
          </w:p>
          <w:p w14:paraId="3A17FECB">
            <w:pPr>
              <w:pStyle w:val="15"/>
              <w:keepNext w:val="0"/>
              <w:keepLines w:val="0"/>
              <w:suppressLineNumbers w:val="0"/>
              <w:bidi w:val="0"/>
              <w:spacing w:before="0" w:beforeAutospacing="0" w:after="0" w:afterAutospacing="0"/>
              <w:ind w:left="0" w:right="0"/>
              <w:jc w:val="center"/>
              <w:rPr>
                <w:rFonts w:hint="eastAsia" w:eastAsia="宋体"/>
                <w:lang w:eastAsia="zh-CN"/>
              </w:rPr>
            </w:pPr>
            <w:r>
              <w:rPr>
                <w:rFonts w:hint="eastAsia"/>
                <w:lang w:eastAsia="zh-CN"/>
              </w:rPr>
              <w:drawing>
                <wp:inline distT="0" distB="0" distL="114300" distR="114300">
                  <wp:extent cx="4724400" cy="4742815"/>
                  <wp:effectExtent l="0" t="0" r="0" b="635"/>
                  <wp:docPr id="18" name="F360BE8B-6686-4F3D-AEAF-501FE73E4058-2" descr="C:/Users/Administrator/AppData/Local/Temp/绘图1(9).png绘图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360BE8B-6686-4F3D-AEAF-501FE73E4058-2" descr="C:/Users/Administrator/AppData/Local/Temp/绘图1(9).png绘图1(9)"/>
                          <pic:cNvPicPr>
                            <a:picLocks noChangeAspect="1"/>
                          </pic:cNvPicPr>
                        </pic:nvPicPr>
                        <pic:blipFill>
                          <a:blip r:embed="rId17"/>
                          <a:stretch>
                            <a:fillRect/>
                          </a:stretch>
                        </pic:blipFill>
                        <pic:spPr>
                          <a:xfrm>
                            <a:off x="0" y="0"/>
                            <a:ext cx="4724400" cy="4742688"/>
                          </a:xfrm>
                          <a:prstGeom prst="rect">
                            <a:avLst/>
                          </a:prstGeom>
                        </pic:spPr>
                      </pic:pic>
                    </a:graphicData>
                  </a:graphic>
                </wp:inline>
              </w:drawing>
            </w:r>
          </w:p>
          <w:p w14:paraId="0F779F51">
            <w:pPr>
              <w:pStyle w:val="40"/>
              <w:keepNext w:val="0"/>
              <w:keepLines w:val="0"/>
              <w:suppressLineNumbers w:val="0"/>
              <w:bidi w:val="0"/>
              <w:spacing w:before="0" w:beforeAutospacing="0" w:after="0" w:afterAutospacing="0"/>
              <w:ind w:left="0" w:right="0"/>
              <w:rPr>
                <w:rFonts w:hint="eastAsia"/>
                <w:color w:val="auto"/>
              </w:rPr>
            </w:pPr>
            <w:r>
              <w:rPr>
                <w:rFonts w:hint="eastAsia"/>
              </w:rPr>
              <w:t>图2</w:t>
            </w:r>
            <w:r>
              <w:rPr>
                <w:rFonts w:hint="eastAsia"/>
                <w:lang w:val="en-US" w:eastAsia="zh-CN"/>
              </w:rPr>
              <w:t>.4</w:t>
            </w:r>
            <w:r>
              <w:rPr>
                <w:rFonts w:hint="eastAsia"/>
              </w:rPr>
              <w:t xml:space="preserve">-1  </w:t>
            </w:r>
            <w:r>
              <w:rPr>
                <w:rFonts w:hint="eastAsia"/>
                <w:lang w:val="en-US" w:eastAsia="zh-CN"/>
              </w:rPr>
              <w:t>本项目</w:t>
            </w:r>
            <w:r>
              <w:rPr>
                <w:rFonts w:hint="eastAsia"/>
              </w:rPr>
              <w:t>工艺流程及产污环节示意图</w:t>
            </w:r>
          </w:p>
          <w:p w14:paraId="116A9A7C">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生产线1#</w:t>
            </w:r>
            <w:r>
              <w:rPr>
                <w:rFonts w:hint="eastAsia" w:cs="Times New Roman"/>
                <w:b/>
                <w:bCs/>
                <w:color w:val="auto"/>
                <w:kern w:val="0"/>
                <w:sz w:val="24"/>
                <w:szCs w:val="24"/>
                <w:lang w:val="en-US" w:eastAsia="zh-CN"/>
              </w:rPr>
              <w:t>、生产线2#、生产线3#</w:t>
            </w:r>
            <w:r>
              <w:rPr>
                <w:rFonts w:hint="eastAsia" w:ascii="Times New Roman" w:hAnsi="Times New Roman" w:eastAsia="宋体" w:cs="Times New Roman"/>
                <w:b/>
                <w:bCs/>
                <w:color w:val="auto"/>
                <w:kern w:val="0"/>
                <w:sz w:val="24"/>
                <w:szCs w:val="24"/>
                <w:lang w:val="en-US" w:eastAsia="zh-CN"/>
              </w:rPr>
              <w:t>工艺流程简述：</w:t>
            </w:r>
          </w:p>
          <w:p w14:paraId="39C53AF0">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三条生产线的生产工艺，产污环节以及环保设施相同。</w:t>
            </w:r>
          </w:p>
          <w:p w14:paraId="2380C2C9">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打磨：利用打磨机对压铸铝外表面不平整处进行打磨处理，使之变得平整、光滑，产生G1打磨废气。</w:t>
            </w:r>
          </w:p>
          <w:p w14:paraId="11113E23">
            <w:pPr>
              <w:keepNext w:val="0"/>
              <w:keepLines w:val="0"/>
              <w:widowControl/>
              <w:suppressLineNumbers w:val="0"/>
              <w:bidi w:val="0"/>
              <w:spacing w:before="0" w:beforeAutospacing="0" w:after="0" w:afterAutospacing="0"/>
              <w:ind w:left="0" w:right="0"/>
              <w:jc w:val="left"/>
              <w:rPr>
                <w:rFonts w:hint="eastAsia"/>
                <w:lang w:val="en-US" w:eastAsia="zh-CN"/>
              </w:rPr>
            </w:pPr>
            <w:r>
              <w:rPr>
                <w:rFonts w:hint="eastAsia"/>
                <w:lang w:val="en-US" w:eastAsia="zh-CN"/>
              </w:rPr>
              <w:t>喷漆、烘干</w:t>
            </w:r>
            <w:r>
              <w:rPr>
                <w:rFonts w:hint="eastAsia"/>
                <w:lang w:eastAsia="zh-CN"/>
              </w:rPr>
              <w:t>：</w:t>
            </w:r>
            <w:r>
              <w:rPr>
                <w:rFonts w:hint="eastAsia" w:ascii="宋体" w:hAnsi="宋体" w:eastAsia="宋体" w:cs="宋体"/>
                <w:kern w:val="0"/>
                <w:sz w:val="24"/>
                <w:szCs w:val="24"/>
                <w:lang w:val="en-US" w:eastAsia="zh-CN" w:bidi="ar"/>
              </w:rPr>
              <w:t>本项目根据产品的类型及用途选择不同的漆，其中水性丙烯酸涂料（主要成分为脂肪族聚氨酯丙烯酸共聚物）用于塑胶壳喷漆，ABS塑胶漆（主要组分为丙烯酸树脂50~65%）用于非水性漆适配类型的塑胶壳喷漆，PE金属烤漆涂料（主要组分为饱和聚酯树脂40~55%）用于钣金及经打磨后的压铸铝喷漆，随后在水帘喷漆台上对上述对应工件（塑胶壳、钣金或经打磨后的压铸铝）分别进行均匀喷漆，水帘喷漆台同步进行废气和漆雾处理，喷漆完成后工件进入喷漆平板线自带的电烘干设备（隧道炉）内烘干固化，再送入电面包炉内加烤以提升漆层附着力和质量，该过程</w:t>
            </w:r>
            <w:r>
              <w:rPr>
                <w:rFonts w:hint="eastAsia"/>
                <w:lang w:val="en-US" w:eastAsia="zh-CN"/>
              </w:rPr>
              <w:t>会产生G2喷漆、烘干废气、S1水帘柜废液、S2废漆渣、S3废水性漆桶、S4废油性漆桶。根据涂料成分报告及VOCs检测报告（详见</w:t>
            </w:r>
            <w:r>
              <w:rPr>
                <w:rStyle w:val="46"/>
                <w:rFonts w:hint="eastAsia"/>
                <w:lang w:val="en-US" w:eastAsia="zh-CN"/>
              </w:rPr>
              <w:fldChar w:fldCharType="begin"/>
            </w:r>
            <w:r>
              <w:rPr>
                <w:rStyle w:val="46"/>
                <w:rFonts w:hint="eastAsia"/>
                <w:lang w:val="en-US" w:eastAsia="zh-CN"/>
              </w:rPr>
              <w:instrText xml:space="preserve"> REF _Ref29965 \h </w:instrText>
            </w:r>
            <w:r>
              <w:rPr>
                <w:rStyle w:val="46"/>
                <w:rFonts w:hint="eastAsia"/>
                <w:lang w:val="en-US" w:eastAsia="zh-CN"/>
              </w:rPr>
              <w:fldChar w:fldCharType="separate"/>
            </w:r>
            <w:r>
              <w:rPr>
                <w:rStyle w:val="46"/>
                <w:rFonts w:hint="eastAsia"/>
              </w:rPr>
              <w:t>附件 11</w:t>
            </w:r>
            <w:r>
              <w:rPr>
                <w:rStyle w:val="46"/>
                <w:rFonts w:hint="eastAsia"/>
                <w:lang w:val="en-US" w:eastAsia="zh-CN"/>
              </w:rPr>
              <w:t>-</w:t>
            </w:r>
            <w:r>
              <w:rPr>
                <w:rStyle w:val="46"/>
                <w:rFonts w:hint="eastAsia"/>
                <w:lang w:val="en-US" w:eastAsia="zh-CN"/>
              </w:rPr>
              <w:fldChar w:fldCharType="end"/>
            </w:r>
            <w:r>
              <w:rPr>
                <w:rStyle w:val="46"/>
                <w:rFonts w:hint="eastAsia"/>
                <w:lang w:val="en-US" w:eastAsia="zh-CN"/>
              </w:rPr>
              <w:fldChar w:fldCharType="begin"/>
            </w:r>
            <w:r>
              <w:rPr>
                <w:rStyle w:val="46"/>
                <w:rFonts w:hint="eastAsia"/>
                <w:lang w:val="en-US" w:eastAsia="zh-CN"/>
              </w:rPr>
              <w:instrText xml:space="preserve"> REF _Ref22378 \h </w:instrText>
            </w:r>
            <w:r>
              <w:rPr>
                <w:rStyle w:val="46"/>
                <w:rFonts w:hint="eastAsia"/>
                <w:lang w:val="en-US" w:eastAsia="zh-CN"/>
              </w:rPr>
              <w:fldChar w:fldCharType="separate"/>
            </w:r>
            <w:r>
              <w:rPr>
                <w:rStyle w:val="46"/>
                <w:rFonts w:hint="eastAsia"/>
              </w:rPr>
              <w:t>附件 17</w:t>
            </w:r>
            <w:r>
              <w:rPr>
                <w:rStyle w:val="46"/>
                <w:rFonts w:hint="eastAsia"/>
                <w:lang w:val="en-US" w:eastAsia="zh-CN"/>
              </w:rPr>
              <w:fldChar w:fldCharType="end"/>
            </w:r>
            <w:r>
              <w:rPr>
                <w:rFonts w:hint="eastAsia"/>
                <w:lang w:val="en-US" w:eastAsia="zh-CN"/>
              </w:rPr>
              <w:t>），未含有苯、甲苯和二甲苯等特征污染物，因此，以非甲烷总烃进行表征。</w:t>
            </w:r>
          </w:p>
          <w:p w14:paraId="6DC53648">
            <w:pPr>
              <w:pStyle w:val="27"/>
              <w:keepNext w:val="0"/>
              <w:keepLines w:val="0"/>
              <w:suppressLineNumbers w:val="0"/>
              <w:spacing w:before="0" w:beforeAutospacing="0" w:after="0" w:afterAutospacing="0"/>
              <w:ind w:left="0" w:right="0"/>
              <w:rPr>
                <w:rFonts w:hint="eastAsia"/>
                <w:lang w:val="en-US" w:eastAsia="zh-CN"/>
              </w:rPr>
            </w:pPr>
            <w:r>
              <w:rPr>
                <w:rFonts w:hint="eastAsia"/>
                <w:lang w:val="en-US" w:eastAsia="zh-CN"/>
              </w:rPr>
              <w:t>检验：人工检验产品表面有无毛飞、沙孔等，产生S5不合格产品。</w:t>
            </w:r>
          </w:p>
          <w:p w14:paraId="35466ECD">
            <w:pPr>
              <w:pStyle w:val="27"/>
              <w:keepNext w:val="0"/>
              <w:keepLines w:val="0"/>
              <w:suppressLineNumbers w:val="0"/>
              <w:spacing w:before="0" w:beforeAutospacing="0" w:after="0" w:afterAutospacing="0"/>
              <w:ind w:left="0" w:right="0"/>
              <w:rPr>
                <w:rFonts w:hint="default"/>
                <w:lang w:val="en-US" w:eastAsia="zh-CN"/>
              </w:rPr>
            </w:pPr>
            <w:r>
              <w:rPr>
                <w:rFonts w:hint="eastAsia"/>
                <w:lang w:val="en-US" w:eastAsia="zh-CN"/>
              </w:rPr>
              <w:t>加烤：检验后的合格品送入电面包炉内加烤，产生G3加烤废气</w:t>
            </w:r>
          </w:p>
          <w:p w14:paraId="5BDCEDFD">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检验：再次进行人工检验产品表面有无毛飞、沙孔等，产生S5不合格产品。</w:t>
            </w:r>
          </w:p>
          <w:p w14:paraId="3A10A879">
            <w:pPr>
              <w:pStyle w:val="27"/>
              <w:keepNext w:val="0"/>
              <w:keepLines w:val="0"/>
              <w:suppressLineNumbers w:val="0"/>
              <w:spacing w:before="0" w:beforeAutospacing="0" w:after="0" w:afterAutospacing="0"/>
              <w:ind w:left="0" w:right="0"/>
              <w:rPr>
                <w:rFonts w:hint="eastAsia"/>
              </w:rPr>
            </w:pPr>
            <w:r>
              <w:rPr>
                <w:rFonts w:hint="eastAsia"/>
                <w:lang w:eastAsia="zh-CN"/>
              </w:rPr>
              <w:t>包装、</w:t>
            </w:r>
            <w:r>
              <w:rPr>
                <w:rFonts w:hint="eastAsia"/>
                <w:lang w:val="en-US" w:eastAsia="zh-CN"/>
              </w:rPr>
              <w:t>入库</w:t>
            </w:r>
            <w:r>
              <w:rPr>
                <w:rFonts w:hint="eastAsia"/>
                <w:lang w:eastAsia="zh-CN"/>
              </w:rPr>
              <w:t>：</w:t>
            </w:r>
            <w:r>
              <w:rPr>
                <w:rFonts w:hint="eastAsia"/>
                <w:lang w:val="en-US" w:eastAsia="zh-CN"/>
              </w:rPr>
              <w:t>检验合格的</w:t>
            </w:r>
            <w:r>
              <w:rPr>
                <w:rFonts w:hint="eastAsia"/>
                <w:lang w:eastAsia="zh-CN"/>
              </w:rPr>
              <w:t>成品</w:t>
            </w:r>
            <w:r>
              <w:rPr>
                <w:rFonts w:hint="eastAsia"/>
                <w:lang w:val="en-US" w:eastAsia="zh-CN"/>
              </w:rPr>
              <w:t>通过气泡袋包装好后再用来料装的包装箱（框）</w:t>
            </w:r>
            <w:r>
              <w:rPr>
                <w:rFonts w:hint="eastAsia"/>
                <w:lang w:eastAsia="zh-CN"/>
              </w:rPr>
              <w:t>包装</w:t>
            </w:r>
            <w:r>
              <w:rPr>
                <w:rFonts w:hint="eastAsia"/>
                <w:lang w:val="en-US" w:eastAsia="zh-CN"/>
              </w:rPr>
              <w:t>后即可</w:t>
            </w:r>
            <w:r>
              <w:rPr>
                <w:rFonts w:hint="eastAsia"/>
                <w:lang w:eastAsia="zh-CN"/>
              </w:rPr>
              <w:t>入库，</w:t>
            </w:r>
            <w:r>
              <w:rPr>
                <w:rFonts w:hint="eastAsia"/>
                <w:lang w:val="en-US" w:eastAsia="zh-CN"/>
              </w:rPr>
              <w:t>不产生废包装材料</w:t>
            </w:r>
            <w:r>
              <w:rPr>
                <w:rFonts w:hint="eastAsia"/>
                <w:lang w:eastAsia="zh-CN"/>
              </w:rPr>
              <w:t>。</w:t>
            </w:r>
          </w:p>
          <w:p w14:paraId="4B177BDA">
            <w:pPr>
              <w:keepNext w:val="0"/>
              <w:keepLines w:val="0"/>
              <w:suppressLineNumbers w:val="0"/>
              <w:spacing w:before="0" w:beforeAutospacing="0" w:after="0" w:afterAutospacing="0"/>
              <w:ind w:left="0" w:right="0"/>
              <w:rPr>
                <w:rFonts w:hint="eastAsia"/>
                <w:lang w:eastAsia="zh-CN"/>
              </w:rPr>
            </w:pPr>
            <w:r>
              <w:rPr>
                <w:rFonts w:hint="default" w:eastAsia="宋体"/>
                <w:b w:val="0"/>
                <w:bCs w:val="0"/>
                <w:iCs w:val="0"/>
                <w:lang w:val="en-US" w:eastAsia="zh-CN"/>
              </w:rPr>
              <w:t>废气治理设施</w:t>
            </w:r>
            <w:r>
              <w:rPr>
                <w:rFonts w:hint="eastAsia"/>
                <w:b w:val="0"/>
                <w:bCs w:val="0"/>
                <w:iCs w:val="0"/>
                <w:lang w:val="en-US" w:eastAsia="zh-CN"/>
              </w:rPr>
              <w:t>“</w:t>
            </w:r>
            <w:r>
              <w:rPr>
                <w:rFonts w:hint="eastAsia" w:eastAsia="宋体"/>
                <w:lang w:eastAsia="zh-CN"/>
              </w:rPr>
              <w:t>过滤棉+</w:t>
            </w:r>
            <w:r>
              <w:rPr>
                <w:rFonts w:hint="eastAsia"/>
                <w:lang w:eastAsia="zh-CN"/>
              </w:rPr>
              <w:t>二级活性炭</w:t>
            </w:r>
            <w:r>
              <w:rPr>
                <w:rFonts w:hint="eastAsia" w:eastAsia="宋体"/>
                <w:lang w:eastAsia="zh-CN"/>
              </w:rPr>
              <w:t>吸附装置</w:t>
            </w:r>
            <w:r>
              <w:rPr>
                <w:rFonts w:hint="eastAsia"/>
                <w:b w:val="0"/>
                <w:bCs w:val="0"/>
                <w:iCs w:val="0"/>
                <w:lang w:val="en-US" w:eastAsia="zh-CN"/>
              </w:rPr>
              <w:t>”会</w:t>
            </w:r>
            <w:r>
              <w:rPr>
                <w:rFonts w:hint="default" w:eastAsia="宋体"/>
                <w:b w:val="0"/>
                <w:bCs w:val="0"/>
                <w:iCs w:val="0"/>
                <w:lang w:val="en-US" w:eastAsia="zh-CN"/>
              </w:rPr>
              <w:t>产生S</w:t>
            </w:r>
            <w:r>
              <w:rPr>
                <w:rFonts w:hint="eastAsia"/>
                <w:b w:val="0"/>
                <w:bCs w:val="0"/>
                <w:iCs w:val="0"/>
                <w:lang w:val="en-US" w:eastAsia="zh-CN"/>
              </w:rPr>
              <w:t>6</w:t>
            </w:r>
            <w:r>
              <w:rPr>
                <w:rFonts w:hint="default" w:eastAsia="宋体"/>
                <w:b w:val="0"/>
                <w:bCs w:val="0"/>
                <w:iCs w:val="0"/>
                <w:lang w:val="en-US" w:eastAsia="zh-CN"/>
              </w:rPr>
              <w:t>废活性炭</w:t>
            </w:r>
            <w:r>
              <w:rPr>
                <w:rFonts w:hint="eastAsia" w:eastAsia="宋体"/>
                <w:b w:val="0"/>
                <w:bCs w:val="0"/>
                <w:iCs w:val="0"/>
                <w:lang w:val="en-US" w:eastAsia="zh-CN"/>
              </w:rPr>
              <w:t>、S</w:t>
            </w:r>
            <w:r>
              <w:rPr>
                <w:rFonts w:hint="eastAsia"/>
                <w:b w:val="0"/>
                <w:bCs w:val="0"/>
                <w:iCs w:val="0"/>
                <w:lang w:val="en-US" w:eastAsia="zh-CN"/>
              </w:rPr>
              <w:t>7</w:t>
            </w:r>
            <w:r>
              <w:rPr>
                <w:rFonts w:hint="eastAsia" w:eastAsia="宋体"/>
                <w:b w:val="0"/>
                <w:bCs w:val="0"/>
                <w:iCs w:val="0"/>
                <w:lang w:val="en-US" w:eastAsia="zh-CN"/>
              </w:rPr>
              <w:t>废过滤棉</w:t>
            </w:r>
            <w:r>
              <w:rPr>
                <w:rFonts w:hint="default" w:eastAsia="宋体"/>
                <w:b w:val="0"/>
                <w:bCs w:val="0"/>
                <w:iCs w:val="0"/>
                <w:lang w:val="en-US" w:eastAsia="zh-CN"/>
              </w:rPr>
              <w:t>；设备维护过程以及生产过程中会产生S</w:t>
            </w:r>
            <w:r>
              <w:rPr>
                <w:rFonts w:hint="eastAsia"/>
                <w:b w:val="0"/>
                <w:bCs w:val="0"/>
                <w:iCs w:val="0"/>
                <w:lang w:val="en-US" w:eastAsia="zh-CN"/>
              </w:rPr>
              <w:t>8</w:t>
            </w:r>
            <w:r>
              <w:rPr>
                <w:rFonts w:hint="default" w:eastAsia="宋体"/>
                <w:b w:val="0"/>
                <w:bCs w:val="0"/>
                <w:iCs w:val="0"/>
                <w:lang w:val="en-US" w:eastAsia="zh-CN"/>
              </w:rPr>
              <w:t>废</w:t>
            </w:r>
            <w:r>
              <w:rPr>
                <w:rFonts w:hint="eastAsia"/>
                <w:b w:val="0"/>
                <w:bCs w:val="0"/>
                <w:iCs w:val="0"/>
                <w:lang w:val="en-US" w:eastAsia="zh-CN"/>
              </w:rPr>
              <w:t>机</w:t>
            </w:r>
            <w:r>
              <w:rPr>
                <w:rFonts w:hint="default" w:eastAsia="宋体"/>
                <w:b w:val="0"/>
                <w:bCs w:val="0"/>
                <w:iCs w:val="0"/>
                <w:lang w:val="en-US" w:eastAsia="zh-CN"/>
              </w:rPr>
              <w:t>油。</w:t>
            </w:r>
          </w:p>
          <w:p w14:paraId="67AC26CC">
            <w:pPr>
              <w:pStyle w:val="4"/>
              <w:suppressLineNumbers w:val="0"/>
              <w:bidi w:val="0"/>
              <w:spacing w:before="0" w:beforeAutospacing="0" w:after="0" w:afterAutospacing="0"/>
              <w:ind w:left="0" w:right="0"/>
              <w:rPr>
                <w:rFonts w:hint="eastAsia"/>
              </w:rPr>
            </w:pPr>
            <w:r>
              <w:rPr>
                <w:rFonts w:hint="eastAsia"/>
                <w:lang w:val="en-US" w:eastAsia="zh-CN"/>
              </w:rPr>
              <w:t>产污环节</w:t>
            </w:r>
          </w:p>
          <w:p w14:paraId="1FE39E84">
            <w:pPr>
              <w:keepNext w:val="0"/>
              <w:keepLines w:val="0"/>
              <w:suppressLineNumbers w:val="0"/>
              <w:bidi w:val="0"/>
              <w:spacing w:before="0" w:beforeAutospacing="0" w:after="0" w:afterAutospacing="0"/>
              <w:ind w:left="0" w:right="0"/>
              <w:rPr>
                <w:rFonts w:hint="eastAsia"/>
              </w:rPr>
            </w:pPr>
            <w:r>
              <w:rPr>
                <w:rFonts w:hint="eastAsia"/>
              </w:rPr>
              <w:t>本项目运营期产物环节汇总见下表。</w:t>
            </w:r>
          </w:p>
          <w:p w14:paraId="127F68B9">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rPr>
            </w:pPr>
            <w:r>
              <w:rPr>
                <w:rFonts w:hint="default"/>
              </w:rPr>
              <w:t>表</w:t>
            </w:r>
            <w:r>
              <w:rPr>
                <w:rFonts w:hint="eastAsia"/>
                <w:color w:val="auto"/>
                <w:highlight w:val="none"/>
                <w:lang w:val="en-US" w:eastAsia="zh-CN"/>
              </w:rPr>
              <w:t>2.4-1</w:t>
            </w:r>
            <w:r>
              <w:rPr>
                <w:rFonts w:hint="default"/>
              </w:rPr>
              <w:t xml:space="preserve">  项目运营期产污环节汇总表</w:t>
            </w:r>
          </w:p>
          <w:tbl>
            <w:tblPr>
              <w:tblStyle w:val="3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78"/>
              <w:gridCol w:w="725"/>
              <w:gridCol w:w="1367"/>
              <w:gridCol w:w="2029"/>
              <w:gridCol w:w="3443"/>
            </w:tblGrid>
            <w:tr w14:paraId="0E360F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4" w:type="pct"/>
                  <w:gridSpan w:val="2"/>
                  <w:noWrap w:val="0"/>
                  <w:vAlign w:val="center"/>
                </w:tcPr>
                <w:p w14:paraId="13D901E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类别</w:t>
                  </w:r>
                </w:p>
              </w:tc>
              <w:tc>
                <w:tcPr>
                  <w:tcW w:w="860" w:type="pct"/>
                  <w:noWrap w:val="0"/>
                  <w:vAlign w:val="center"/>
                </w:tcPr>
                <w:p w14:paraId="4CB9CD7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污染源/污染工序</w:t>
                  </w:r>
                </w:p>
              </w:tc>
              <w:tc>
                <w:tcPr>
                  <w:tcW w:w="1277" w:type="pct"/>
                  <w:noWrap w:val="0"/>
                  <w:vAlign w:val="center"/>
                </w:tcPr>
                <w:p w14:paraId="133C40E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污染物</w:t>
                  </w:r>
                </w:p>
              </w:tc>
              <w:tc>
                <w:tcPr>
                  <w:tcW w:w="2167" w:type="pct"/>
                  <w:noWrap w:val="0"/>
                  <w:vAlign w:val="center"/>
                </w:tcPr>
                <w:p w14:paraId="638F65C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治理措施</w:t>
                  </w:r>
                </w:p>
              </w:tc>
            </w:tr>
            <w:tr w14:paraId="40A6E2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4" w:type="pct"/>
                  <w:gridSpan w:val="2"/>
                  <w:vMerge w:val="restart"/>
                  <w:noWrap w:val="0"/>
                  <w:vAlign w:val="center"/>
                </w:tcPr>
                <w:p w14:paraId="0980B50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废水</w:t>
                  </w:r>
                </w:p>
              </w:tc>
              <w:tc>
                <w:tcPr>
                  <w:tcW w:w="860" w:type="pct"/>
                  <w:noWrap w:val="0"/>
                  <w:vAlign w:val="center"/>
                </w:tcPr>
                <w:p w14:paraId="26862C2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职工生活污水</w:t>
                  </w:r>
                </w:p>
              </w:tc>
              <w:tc>
                <w:tcPr>
                  <w:tcW w:w="1277" w:type="pct"/>
                  <w:noWrap w:val="0"/>
                  <w:vAlign w:val="center"/>
                </w:tcPr>
                <w:p w14:paraId="645C852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pH、COD、BOD</w:t>
                  </w:r>
                  <w:r>
                    <w:rPr>
                      <w:rFonts w:hint="eastAsia"/>
                      <w:szCs w:val="22"/>
                      <w:vertAlign w:val="subscript"/>
                    </w:rPr>
                    <w:t>5</w:t>
                  </w:r>
                  <w:r>
                    <w:rPr>
                      <w:rFonts w:hint="eastAsia"/>
                      <w:szCs w:val="22"/>
                    </w:rPr>
                    <w:t>、SS、NH</w:t>
                  </w:r>
                  <w:r>
                    <w:rPr>
                      <w:rFonts w:hint="eastAsia"/>
                      <w:szCs w:val="22"/>
                      <w:vertAlign w:val="subscript"/>
                    </w:rPr>
                    <w:t>3</w:t>
                  </w:r>
                  <w:r>
                    <w:rPr>
                      <w:rFonts w:hint="eastAsia"/>
                      <w:szCs w:val="22"/>
                    </w:rPr>
                    <w:t>-N</w:t>
                  </w:r>
                </w:p>
              </w:tc>
              <w:tc>
                <w:tcPr>
                  <w:tcW w:w="2167" w:type="pct"/>
                  <w:noWrap w:val="0"/>
                  <w:vAlign w:val="center"/>
                </w:tcPr>
                <w:p w14:paraId="2F244FF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经化粪池预处理后接入市政污水管网排入福清市融元污水处理厂集中处理</w:t>
                  </w:r>
                </w:p>
              </w:tc>
            </w:tr>
            <w:tr w14:paraId="6FDAE9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4" w:type="pct"/>
                  <w:gridSpan w:val="2"/>
                  <w:vMerge w:val="continue"/>
                  <w:noWrap w:val="0"/>
                  <w:vAlign w:val="center"/>
                </w:tcPr>
                <w:p w14:paraId="0B028756">
                  <w:pPr>
                    <w:pStyle w:val="39"/>
                    <w:keepNext w:val="0"/>
                    <w:keepLines w:val="0"/>
                    <w:widowControl/>
                    <w:suppressLineNumbers w:val="0"/>
                    <w:bidi w:val="0"/>
                    <w:spacing w:before="0" w:beforeAutospacing="0" w:after="0" w:afterAutospacing="0"/>
                    <w:ind w:left="0" w:right="0"/>
                    <w:rPr>
                      <w:rFonts w:hint="eastAsia"/>
                      <w:szCs w:val="22"/>
                    </w:rPr>
                  </w:pPr>
                </w:p>
              </w:tc>
              <w:tc>
                <w:tcPr>
                  <w:tcW w:w="860" w:type="pct"/>
                  <w:noWrap w:val="0"/>
                  <w:vAlign w:val="center"/>
                </w:tcPr>
                <w:p w14:paraId="782788DA">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水帘喷漆废水</w:t>
                  </w:r>
                </w:p>
              </w:tc>
              <w:tc>
                <w:tcPr>
                  <w:tcW w:w="1277" w:type="pct"/>
                  <w:noWrap w:val="0"/>
                  <w:vAlign w:val="center"/>
                </w:tcPr>
                <w:p w14:paraId="10AF6890">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w:t>
                  </w:r>
                </w:p>
              </w:tc>
              <w:tc>
                <w:tcPr>
                  <w:tcW w:w="2167" w:type="pct"/>
                  <w:noWrap w:val="0"/>
                  <w:vAlign w:val="center"/>
                </w:tcPr>
                <w:p w14:paraId="62447827">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rPr>
                    <w:t>循环使用，不外排</w:t>
                  </w:r>
                  <w:r>
                    <w:rPr>
                      <w:rFonts w:hint="eastAsia"/>
                      <w:szCs w:val="22"/>
                      <w:lang w:eastAsia="zh-CN"/>
                    </w:rPr>
                    <w:t>。待浓度过高时按危废委托有资质的危废处置单位处置</w:t>
                  </w:r>
                </w:p>
              </w:tc>
            </w:tr>
            <w:tr w14:paraId="07D912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694" w:type="pct"/>
                  <w:gridSpan w:val="2"/>
                  <w:vMerge w:val="restart"/>
                  <w:noWrap w:val="0"/>
                  <w:vAlign w:val="center"/>
                </w:tcPr>
                <w:p w14:paraId="03A3F88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废气</w:t>
                  </w:r>
                </w:p>
              </w:tc>
              <w:tc>
                <w:tcPr>
                  <w:tcW w:w="860" w:type="pct"/>
                  <w:tcBorders>
                    <w:bottom w:val="single" w:color="auto" w:sz="4" w:space="0"/>
                  </w:tcBorders>
                  <w:noWrap w:val="0"/>
                  <w:vAlign w:val="center"/>
                </w:tcPr>
                <w:p w14:paraId="5340A5DE">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打磨</w:t>
                  </w:r>
                </w:p>
              </w:tc>
              <w:tc>
                <w:tcPr>
                  <w:tcW w:w="1277" w:type="pct"/>
                  <w:tcBorders>
                    <w:bottom w:val="single" w:color="auto" w:sz="4" w:space="0"/>
                  </w:tcBorders>
                  <w:noWrap w:val="0"/>
                  <w:vAlign w:val="center"/>
                </w:tcPr>
                <w:p w14:paraId="51D65A0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颗粒物</w:t>
                  </w:r>
                </w:p>
              </w:tc>
              <w:tc>
                <w:tcPr>
                  <w:tcW w:w="2167" w:type="pct"/>
                  <w:tcBorders>
                    <w:bottom w:val="single" w:color="auto" w:sz="4" w:space="0"/>
                  </w:tcBorders>
                  <w:noWrap w:val="0"/>
                  <w:vAlign w:val="center"/>
                </w:tcPr>
                <w:p w14:paraId="08517FAB">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设置密闭生产车间，无组织排放</w:t>
                  </w:r>
                </w:p>
              </w:tc>
            </w:tr>
            <w:tr w14:paraId="238156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82" w:hRule="atLeast"/>
                <w:jc w:val="center"/>
              </w:trPr>
              <w:tc>
                <w:tcPr>
                  <w:tcW w:w="694" w:type="pct"/>
                  <w:gridSpan w:val="2"/>
                  <w:vMerge w:val="continue"/>
                  <w:noWrap w:val="0"/>
                  <w:vAlign w:val="center"/>
                </w:tcPr>
                <w:p w14:paraId="49916AD2">
                  <w:pPr>
                    <w:pStyle w:val="39"/>
                    <w:keepNext w:val="0"/>
                    <w:keepLines w:val="0"/>
                    <w:widowControl/>
                    <w:suppressLineNumbers w:val="0"/>
                    <w:bidi w:val="0"/>
                    <w:spacing w:before="0" w:beforeAutospacing="0" w:after="0" w:afterAutospacing="0"/>
                    <w:ind w:left="0" w:right="0"/>
                    <w:rPr>
                      <w:rFonts w:hint="eastAsia"/>
                      <w:szCs w:val="22"/>
                    </w:rPr>
                  </w:pPr>
                </w:p>
              </w:tc>
              <w:tc>
                <w:tcPr>
                  <w:tcW w:w="860" w:type="pct"/>
                  <w:tcBorders>
                    <w:top w:val="single" w:color="auto" w:sz="4" w:space="0"/>
                    <w:bottom w:val="single" w:color="auto" w:sz="4" w:space="0"/>
                  </w:tcBorders>
                  <w:noWrap w:val="0"/>
                  <w:vAlign w:val="center"/>
                </w:tcPr>
                <w:p w14:paraId="3F33E67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喷漆、烘干、加烤废气</w:t>
                  </w:r>
                </w:p>
              </w:tc>
              <w:tc>
                <w:tcPr>
                  <w:tcW w:w="1277" w:type="pct"/>
                  <w:tcBorders>
                    <w:top w:val="single" w:color="auto" w:sz="4" w:space="0"/>
                    <w:bottom w:val="single" w:color="auto" w:sz="4" w:space="0"/>
                  </w:tcBorders>
                  <w:noWrap w:val="0"/>
                  <w:vAlign w:val="center"/>
                </w:tcPr>
                <w:p w14:paraId="0057799A">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非甲烷总烃、颗粒物</w:t>
                  </w:r>
                </w:p>
              </w:tc>
              <w:tc>
                <w:tcPr>
                  <w:tcW w:w="2167" w:type="pct"/>
                  <w:tcBorders>
                    <w:top w:val="single" w:color="auto" w:sz="4" w:space="0"/>
                  </w:tcBorders>
                  <w:noWrap w:val="0"/>
                  <w:vAlign w:val="center"/>
                </w:tcPr>
                <w:p w14:paraId="5B2146F5">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lang w:eastAsia="zh-CN"/>
                    </w:rPr>
                    <w:t>全厂共设三条生产线，配套建设两套完全独立、互不连通的废气治理设施：其中，1#生产线的烘干、加烤及喷漆（经水帘柜预处理）废气合并进入其专用的“过滤棉+二级活性炭吸附装置”处理，最终通过15米高排气筒DA001排放；2#和3#生产线的烘烤、加烤及喷漆（分别经水帘柜预处理）废气合并共用一套“过滤棉+二级活性炭吸附装置”处理，最终通过15米高排气筒DA002排放</w:t>
                  </w:r>
                </w:p>
              </w:tc>
            </w:tr>
            <w:tr w14:paraId="25E477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6" w:hRule="atLeast"/>
                <w:jc w:val="center"/>
              </w:trPr>
              <w:tc>
                <w:tcPr>
                  <w:tcW w:w="238" w:type="pct"/>
                  <w:vMerge w:val="restart"/>
                  <w:noWrap w:val="0"/>
                  <w:vAlign w:val="center"/>
                </w:tcPr>
                <w:p w14:paraId="64C6B990">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固废</w:t>
                  </w:r>
                </w:p>
              </w:tc>
              <w:tc>
                <w:tcPr>
                  <w:tcW w:w="456" w:type="pct"/>
                  <w:noWrap w:val="0"/>
                  <w:vAlign w:val="center"/>
                </w:tcPr>
                <w:p w14:paraId="0713393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一般工业固废</w:t>
                  </w:r>
                </w:p>
              </w:tc>
              <w:tc>
                <w:tcPr>
                  <w:tcW w:w="860" w:type="pct"/>
                  <w:noWrap w:val="0"/>
                  <w:vAlign w:val="center"/>
                </w:tcPr>
                <w:p w14:paraId="15A39CB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检验</w:t>
                  </w:r>
                </w:p>
              </w:tc>
              <w:tc>
                <w:tcPr>
                  <w:tcW w:w="1277" w:type="pct"/>
                  <w:tcBorders>
                    <w:bottom w:val="single" w:color="auto" w:sz="4" w:space="0"/>
                  </w:tcBorders>
                  <w:noWrap w:val="0"/>
                  <w:vAlign w:val="center"/>
                </w:tcPr>
                <w:p w14:paraId="21EFB51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S5不合格产品</w:t>
                  </w:r>
                </w:p>
              </w:tc>
              <w:tc>
                <w:tcPr>
                  <w:tcW w:w="2167" w:type="pct"/>
                  <w:noWrap w:val="0"/>
                  <w:vAlign w:val="center"/>
                </w:tcPr>
                <w:p w14:paraId="66606C1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退回待加工产品综合利用</w:t>
                  </w:r>
                </w:p>
              </w:tc>
            </w:tr>
            <w:tr w14:paraId="02A5C1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238" w:type="pct"/>
                  <w:vMerge w:val="continue"/>
                  <w:noWrap w:val="0"/>
                  <w:vAlign w:val="center"/>
                </w:tcPr>
                <w:p w14:paraId="529A7271">
                  <w:pPr>
                    <w:pStyle w:val="39"/>
                    <w:keepNext w:val="0"/>
                    <w:keepLines w:val="0"/>
                    <w:widowControl/>
                    <w:suppressLineNumbers w:val="0"/>
                    <w:bidi w:val="0"/>
                    <w:spacing w:before="0" w:beforeAutospacing="0" w:after="0" w:afterAutospacing="0"/>
                    <w:ind w:left="0" w:right="0"/>
                    <w:rPr>
                      <w:rFonts w:hint="eastAsia"/>
                      <w:szCs w:val="22"/>
                    </w:rPr>
                  </w:pPr>
                </w:p>
              </w:tc>
              <w:tc>
                <w:tcPr>
                  <w:tcW w:w="456" w:type="pct"/>
                  <w:vMerge w:val="restart"/>
                  <w:noWrap w:val="0"/>
                  <w:vAlign w:val="center"/>
                </w:tcPr>
                <w:p w14:paraId="44A615D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危险废物</w:t>
                  </w:r>
                </w:p>
              </w:tc>
              <w:tc>
                <w:tcPr>
                  <w:tcW w:w="860" w:type="pct"/>
                  <w:vMerge w:val="restart"/>
                  <w:noWrap w:val="0"/>
                  <w:vAlign w:val="center"/>
                </w:tcPr>
                <w:p w14:paraId="43870C90">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喷漆</w:t>
                  </w:r>
                </w:p>
              </w:tc>
              <w:tc>
                <w:tcPr>
                  <w:tcW w:w="1277" w:type="pct"/>
                  <w:noWrap w:val="0"/>
                  <w:vAlign w:val="center"/>
                </w:tcPr>
                <w:p w14:paraId="5AA2772A">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S1</w:t>
                  </w:r>
                  <w:r>
                    <w:rPr>
                      <w:rFonts w:hint="default"/>
                      <w:szCs w:val="22"/>
                      <w:lang w:val="en-US" w:eastAsia="zh-CN"/>
                    </w:rPr>
                    <w:t>水帘柜废液</w:t>
                  </w:r>
                </w:p>
              </w:tc>
              <w:tc>
                <w:tcPr>
                  <w:tcW w:w="2167" w:type="pct"/>
                  <w:vMerge w:val="restart"/>
                  <w:noWrap w:val="0"/>
                  <w:vAlign w:val="center"/>
                </w:tcPr>
                <w:p w14:paraId="32DA52E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分类收集暂存于</w:t>
                  </w:r>
                  <w:r>
                    <w:rPr>
                      <w:rFonts w:hint="eastAsia"/>
                      <w:szCs w:val="22"/>
                      <w:lang w:eastAsia="zh-CN"/>
                    </w:rPr>
                    <w:t>危废贮存库</w:t>
                  </w:r>
                  <w:r>
                    <w:rPr>
                      <w:rFonts w:hint="eastAsia"/>
                      <w:szCs w:val="22"/>
                    </w:rPr>
                    <w:t>，委托资质的单位定期外运处置</w:t>
                  </w:r>
                </w:p>
              </w:tc>
            </w:tr>
            <w:tr w14:paraId="1B8630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238" w:type="pct"/>
                  <w:vMerge w:val="continue"/>
                  <w:noWrap w:val="0"/>
                  <w:vAlign w:val="center"/>
                </w:tcPr>
                <w:p w14:paraId="2AA99491">
                  <w:pPr>
                    <w:pStyle w:val="39"/>
                    <w:keepNext w:val="0"/>
                    <w:keepLines w:val="0"/>
                    <w:widowControl/>
                    <w:suppressLineNumbers w:val="0"/>
                    <w:bidi w:val="0"/>
                    <w:spacing w:before="0" w:beforeAutospacing="0" w:after="0" w:afterAutospacing="0"/>
                    <w:ind w:left="0" w:right="0"/>
                    <w:rPr>
                      <w:rFonts w:hint="eastAsia"/>
                      <w:szCs w:val="22"/>
                    </w:rPr>
                  </w:pPr>
                </w:p>
              </w:tc>
              <w:tc>
                <w:tcPr>
                  <w:tcW w:w="456" w:type="pct"/>
                  <w:vMerge w:val="continue"/>
                  <w:noWrap w:val="0"/>
                  <w:vAlign w:val="center"/>
                </w:tcPr>
                <w:p w14:paraId="4FB877D7">
                  <w:pPr>
                    <w:pStyle w:val="39"/>
                    <w:keepNext w:val="0"/>
                    <w:keepLines w:val="0"/>
                    <w:widowControl/>
                    <w:suppressLineNumbers w:val="0"/>
                    <w:bidi w:val="0"/>
                    <w:spacing w:before="0" w:beforeAutospacing="0" w:after="0" w:afterAutospacing="0"/>
                    <w:ind w:left="0" w:right="0"/>
                    <w:rPr>
                      <w:rFonts w:hint="eastAsia"/>
                      <w:szCs w:val="22"/>
                    </w:rPr>
                  </w:pPr>
                </w:p>
              </w:tc>
              <w:tc>
                <w:tcPr>
                  <w:tcW w:w="860" w:type="pct"/>
                  <w:vMerge w:val="continue"/>
                  <w:noWrap w:val="0"/>
                  <w:vAlign w:val="center"/>
                </w:tcPr>
                <w:p w14:paraId="6A0EA200">
                  <w:pPr>
                    <w:pStyle w:val="39"/>
                    <w:keepNext w:val="0"/>
                    <w:keepLines w:val="0"/>
                    <w:widowControl/>
                    <w:suppressLineNumbers w:val="0"/>
                    <w:bidi w:val="0"/>
                    <w:spacing w:before="0" w:beforeAutospacing="0" w:after="0" w:afterAutospacing="0"/>
                    <w:ind w:left="0" w:right="0"/>
                    <w:rPr>
                      <w:rFonts w:hint="eastAsia"/>
                      <w:szCs w:val="22"/>
                      <w:lang w:eastAsia="zh-CN"/>
                    </w:rPr>
                  </w:pPr>
                </w:p>
              </w:tc>
              <w:tc>
                <w:tcPr>
                  <w:tcW w:w="1277" w:type="pct"/>
                  <w:noWrap w:val="0"/>
                  <w:vAlign w:val="center"/>
                </w:tcPr>
                <w:p w14:paraId="1DC66F3A">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S2</w:t>
                  </w:r>
                  <w:r>
                    <w:rPr>
                      <w:rFonts w:hint="default"/>
                      <w:szCs w:val="22"/>
                      <w:lang w:val="en-US" w:eastAsia="zh-CN"/>
                    </w:rPr>
                    <w:t>废漆渣</w:t>
                  </w:r>
                </w:p>
              </w:tc>
              <w:tc>
                <w:tcPr>
                  <w:tcW w:w="2167" w:type="pct"/>
                  <w:vMerge w:val="continue"/>
                  <w:noWrap w:val="0"/>
                  <w:vAlign w:val="center"/>
                </w:tcPr>
                <w:p w14:paraId="0764D757">
                  <w:pPr>
                    <w:pStyle w:val="39"/>
                    <w:keepNext w:val="0"/>
                    <w:keepLines w:val="0"/>
                    <w:widowControl/>
                    <w:suppressLineNumbers w:val="0"/>
                    <w:bidi w:val="0"/>
                    <w:spacing w:before="0" w:beforeAutospacing="0" w:after="0" w:afterAutospacing="0"/>
                    <w:ind w:left="0" w:right="0"/>
                    <w:rPr>
                      <w:rFonts w:hint="eastAsia"/>
                      <w:szCs w:val="22"/>
                    </w:rPr>
                  </w:pPr>
                </w:p>
              </w:tc>
            </w:tr>
            <w:tr w14:paraId="060360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238" w:type="pct"/>
                  <w:vMerge w:val="continue"/>
                  <w:noWrap w:val="0"/>
                  <w:vAlign w:val="center"/>
                </w:tcPr>
                <w:p w14:paraId="209D9DBB">
                  <w:pPr>
                    <w:pStyle w:val="39"/>
                    <w:keepNext w:val="0"/>
                    <w:keepLines w:val="0"/>
                    <w:widowControl/>
                    <w:suppressLineNumbers w:val="0"/>
                    <w:bidi w:val="0"/>
                    <w:spacing w:before="0" w:beforeAutospacing="0" w:after="0" w:afterAutospacing="0"/>
                    <w:ind w:left="0" w:right="0"/>
                    <w:rPr>
                      <w:rFonts w:hint="eastAsia"/>
                      <w:szCs w:val="22"/>
                    </w:rPr>
                  </w:pPr>
                </w:p>
              </w:tc>
              <w:tc>
                <w:tcPr>
                  <w:tcW w:w="456" w:type="pct"/>
                  <w:vMerge w:val="continue"/>
                  <w:noWrap w:val="0"/>
                  <w:vAlign w:val="center"/>
                </w:tcPr>
                <w:p w14:paraId="3BB08C16">
                  <w:pPr>
                    <w:pStyle w:val="39"/>
                    <w:keepNext w:val="0"/>
                    <w:keepLines w:val="0"/>
                    <w:widowControl/>
                    <w:suppressLineNumbers w:val="0"/>
                    <w:bidi w:val="0"/>
                    <w:spacing w:before="0" w:beforeAutospacing="0" w:after="0" w:afterAutospacing="0"/>
                    <w:ind w:left="0" w:right="0"/>
                    <w:rPr>
                      <w:rFonts w:hint="eastAsia"/>
                      <w:szCs w:val="22"/>
                    </w:rPr>
                  </w:pPr>
                </w:p>
              </w:tc>
              <w:tc>
                <w:tcPr>
                  <w:tcW w:w="860" w:type="pct"/>
                  <w:vMerge w:val="continue"/>
                  <w:noWrap w:val="0"/>
                  <w:vAlign w:val="center"/>
                </w:tcPr>
                <w:p w14:paraId="382C4D44">
                  <w:pPr>
                    <w:pStyle w:val="39"/>
                    <w:keepNext w:val="0"/>
                    <w:keepLines w:val="0"/>
                    <w:widowControl/>
                    <w:suppressLineNumbers w:val="0"/>
                    <w:bidi w:val="0"/>
                    <w:spacing w:before="0" w:beforeAutospacing="0" w:after="0" w:afterAutospacing="0"/>
                    <w:ind w:left="0" w:right="0"/>
                    <w:rPr>
                      <w:rFonts w:hint="eastAsia"/>
                      <w:szCs w:val="22"/>
                      <w:lang w:eastAsia="zh-CN"/>
                    </w:rPr>
                  </w:pPr>
                </w:p>
              </w:tc>
              <w:tc>
                <w:tcPr>
                  <w:tcW w:w="1277" w:type="pct"/>
                  <w:noWrap w:val="0"/>
                  <w:vAlign w:val="center"/>
                </w:tcPr>
                <w:p w14:paraId="2B3617B7">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S3废水性漆桶</w:t>
                  </w:r>
                </w:p>
              </w:tc>
              <w:tc>
                <w:tcPr>
                  <w:tcW w:w="2167" w:type="pct"/>
                  <w:vMerge w:val="continue"/>
                  <w:noWrap w:val="0"/>
                  <w:vAlign w:val="center"/>
                </w:tcPr>
                <w:p w14:paraId="07698458">
                  <w:pPr>
                    <w:pStyle w:val="39"/>
                    <w:keepNext w:val="0"/>
                    <w:keepLines w:val="0"/>
                    <w:widowControl/>
                    <w:suppressLineNumbers w:val="0"/>
                    <w:bidi w:val="0"/>
                    <w:spacing w:before="0" w:beforeAutospacing="0" w:after="0" w:afterAutospacing="0"/>
                    <w:ind w:left="0" w:right="0"/>
                    <w:rPr>
                      <w:rFonts w:hint="eastAsia"/>
                      <w:szCs w:val="22"/>
                    </w:rPr>
                  </w:pPr>
                </w:p>
              </w:tc>
            </w:tr>
            <w:tr w14:paraId="3F529E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238" w:type="pct"/>
                  <w:vMerge w:val="continue"/>
                  <w:noWrap w:val="0"/>
                  <w:vAlign w:val="center"/>
                </w:tcPr>
                <w:p w14:paraId="3162DB22">
                  <w:pPr>
                    <w:pStyle w:val="39"/>
                    <w:keepNext w:val="0"/>
                    <w:keepLines w:val="0"/>
                    <w:widowControl/>
                    <w:suppressLineNumbers w:val="0"/>
                    <w:bidi w:val="0"/>
                    <w:spacing w:before="0" w:beforeAutospacing="0" w:after="0" w:afterAutospacing="0"/>
                    <w:ind w:left="0" w:right="0"/>
                    <w:rPr>
                      <w:rFonts w:hint="eastAsia"/>
                      <w:szCs w:val="22"/>
                    </w:rPr>
                  </w:pPr>
                </w:p>
              </w:tc>
              <w:tc>
                <w:tcPr>
                  <w:tcW w:w="456" w:type="pct"/>
                  <w:vMerge w:val="continue"/>
                  <w:noWrap w:val="0"/>
                  <w:vAlign w:val="center"/>
                </w:tcPr>
                <w:p w14:paraId="0034E8CF">
                  <w:pPr>
                    <w:pStyle w:val="39"/>
                    <w:keepNext w:val="0"/>
                    <w:keepLines w:val="0"/>
                    <w:widowControl/>
                    <w:suppressLineNumbers w:val="0"/>
                    <w:bidi w:val="0"/>
                    <w:spacing w:before="0" w:beforeAutospacing="0" w:after="0" w:afterAutospacing="0"/>
                    <w:ind w:left="0" w:right="0"/>
                    <w:rPr>
                      <w:rFonts w:hint="eastAsia"/>
                      <w:szCs w:val="22"/>
                    </w:rPr>
                  </w:pPr>
                </w:p>
              </w:tc>
              <w:tc>
                <w:tcPr>
                  <w:tcW w:w="860" w:type="pct"/>
                  <w:vMerge w:val="continue"/>
                  <w:noWrap w:val="0"/>
                  <w:vAlign w:val="center"/>
                </w:tcPr>
                <w:p w14:paraId="2DCFF0B3">
                  <w:pPr>
                    <w:pStyle w:val="39"/>
                    <w:keepNext w:val="0"/>
                    <w:keepLines w:val="0"/>
                    <w:widowControl/>
                    <w:suppressLineNumbers w:val="0"/>
                    <w:bidi w:val="0"/>
                    <w:spacing w:before="0" w:beforeAutospacing="0" w:after="0" w:afterAutospacing="0"/>
                    <w:ind w:left="0" w:right="0"/>
                    <w:rPr>
                      <w:rFonts w:hint="eastAsia"/>
                      <w:szCs w:val="22"/>
                      <w:lang w:eastAsia="zh-CN"/>
                    </w:rPr>
                  </w:pPr>
                </w:p>
              </w:tc>
              <w:tc>
                <w:tcPr>
                  <w:tcW w:w="1277" w:type="pct"/>
                  <w:noWrap w:val="0"/>
                  <w:vAlign w:val="center"/>
                </w:tcPr>
                <w:p w14:paraId="0F6620ED">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S4废油性漆桶</w:t>
                  </w:r>
                </w:p>
              </w:tc>
              <w:tc>
                <w:tcPr>
                  <w:tcW w:w="2167" w:type="pct"/>
                  <w:vMerge w:val="continue"/>
                  <w:noWrap w:val="0"/>
                  <w:vAlign w:val="center"/>
                </w:tcPr>
                <w:p w14:paraId="735C4577">
                  <w:pPr>
                    <w:pStyle w:val="39"/>
                    <w:keepNext w:val="0"/>
                    <w:keepLines w:val="0"/>
                    <w:widowControl/>
                    <w:suppressLineNumbers w:val="0"/>
                    <w:bidi w:val="0"/>
                    <w:spacing w:before="0" w:beforeAutospacing="0" w:after="0" w:afterAutospacing="0"/>
                    <w:ind w:left="0" w:right="0"/>
                    <w:rPr>
                      <w:rFonts w:hint="eastAsia"/>
                      <w:szCs w:val="22"/>
                    </w:rPr>
                  </w:pPr>
                </w:p>
              </w:tc>
            </w:tr>
            <w:tr w14:paraId="74C8C6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67" w:hRule="atLeast"/>
                <w:jc w:val="center"/>
              </w:trPr>
              <w:tc>
                <w:tcPr>
                  <w:tcW w:w="238" w:type="pct"/>
                  <w:vMerge w:val="continue"/>
                  <w:noWrap w:val="0"/>
                  <w:vAlign w:val="center"/>
                </w:tcPr>
                <w:p w14:paraId="3A8F5AD7">
                  <w:pPr>
                    <w:pStyle w:val="39"/>
                    <w:keepNext w:val="0"/>
                    <w:keepLines w:val="0"/>
                    <w:widowControl/>
                    <w:suppressLineNumbers w:val="0"/>
                    <w:bidi w:val="0"/>
                    <w:spacing w:before="0" w:beforeAutospacing="0" w:after="0" w:afterAutospacing="0"/>
                    <w:ind w:left="0" w:right="0"/>
                    <w:rPr>
                      <w:rFonts w:hint="eastAsia"/>
                      <w:szCs w:val="22"/>
                    </w:rPr>
                  </w:pPr>
                </w:p>
              </w:tc>
              <w:tc>
                <w:tcPr>
                  <w:tcW w:w="456" w:type="pct"/>
                  <w:vMerge w:val="continue"/>
                  <w:noWrap w:val="0"/>
                  <w:vAlign w:val="center"/>
                </w:tcPr>
                <w:p w14:paraId="1F6258F7">
                  <w:pPr>
                    <w:pStyle w:val="39"/>
                    <w:keepNext w:val="0"/>
                    <w:keepLines w:val="0"/>
                    <w:widowControl/>
                    <w:suppressLineNumbers w:val="0"/>
                    <w:bidi w:val="0"/>
                    <w:spacing w:before="0" w:beforeAutospacing="0" w:after="0" w:afterAutospacing="0"/>
                    <w:ind w:left="0" w:right="0"/>
                    <w:rPr>
                      <w:rFonts w:hint="eastAsia"/>
                      <w:szCs w:val="22"/>
                    </w:rPr>
                  </w:pPr>
                </w:p>
              </w:tc>
              <w:tc>
                <w:tcPr>
                  <w:tcW w:w="860" w:type="pct"/>
                  <w:vMerge w:val="restart"/>
                  <w:noWrap w:val="0"/>
                  <w:vAlign w:val="center"/>
                </w:tcPr>
                <w:p w14:paraId="1A548A15">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废气处理</w:t>
                  </w:r>
                </w:p>
              </w:tc>
              <w:tc>
                <w:tcPr>
                  <w:tcW w:w="1277" w:type="pct"/>
                  <w:noWrap w:val="0"/>
                  <w:vAlign w:val="center"/>
                </w:tcPr>
                <w:p w14:paraId="34F74EFC">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S6</w:t>
                  </w:r>
                  <w:r>
                    <w:rPr>
                      <w:rFonts w:hint="default"/>
                      <w:szCs w:val="22"/>
                      <w:lang w:val="en-US" w:eastAsia="zh-CN"/>
                    </w:rPr>
                    <w:t>废活性炭</w:t>
                  </w:r>
                </w:p>
              </w:tc>
              <w:tc>
                <w:tcPr>
                  <w:tcW w:w="2167" w:type="pct"/>
                  <w:vMerge w:val="continue"/>
                  <w:noWrap w:val="0"/>
                  <w:vAlign w:val="center"/>
                </w:tcPr>
                <w:p w14:paraId="394A5D5C">
                  <w:pPr>
                    <w:pStyle w:val="39"/>
                    <w:keepNext w:val="0"/>
                    <w:keepLines w:val="0"/>
                    <w:widowControl/>
                    <w:suppressLineNumbers w:val="0"/>
                    <w:bidi w:val="0"/>
                    <w:spacing w:before="0" w:beforeAutospacing="0" w:after="0" w:afterAutospacing="0"/>
                    <w:ind w:left="0" w:right="0"/>
                    <w:rPr>
                      <w:rFonts w:hint="eastAsia"/>
                      <w:szCs w:val="22"/>
                    </w:rPr>
                  </w:pPr>
                </w:p>
              </w:tc>
            </w:tr>
            <w:tr w14:paraId="52EFB7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67" w:hRule="atLeast"/>
                <w:jc w:val="center"/>
              </w:trPr>
              <w:tc>
                <w:tcPr>
                  <w:tcW w:w="238" w:type="pct"/>
                  <w:vMerge w:val="continue"/>
                  <w:noWrap w:val="0"/>
                  <w:vAlign w:val="center"/>
                </w:tcPr>
                <w:p w14:paraId="14CA0B0B">
                  <w:pPr>
                    <w:pStyle w:val="39"/>
                    <w:keepNext w:val="0"/>
                    <w:keepLines w:val="0"/>
                    <w:widowControl/>
                    <w:suppressLineNumbers w:val="0"/>
                    <w:bidi w:val="0"/>
                    <w:spacing w:before="0" w:beforeAutospacing="0" w:after="0" w:afterAutospacing="0"/>
                    <w:ind w:left="0" w:right="0"/>
                    <w:rPr>
                      <w:rFonts w:hint="eastAsia"/>
                      <w:szCs w:val="22"/>
                    </w:rPr>
                  </w:pPr>
                </w:p>
              </w:tc>
              <w:tc>
                <w:tcPr>
                  <w:tcW w:w="456" w:type="pct"/>
                  <w:vMerge w:val="continue"/>
                  <w:noWrap w:val="0"/>
                  <w:vAlign w:val="center"/>
                </w:tcPr>
                <w:p w14:paraId="7E9922C1">
                  <w:pPr>
                    <w:pStyle w:val="39"/>
                    <w:keepNext w:val="0"/>
                    <w:keepLines w:val="0"/>
                    <w:widowControl/>
                    <w:suppressLineNumbers w:val="0"/>
                    <w:bidi w:val="0"/>
                    <w:spacing w:before="0" w:beforeAutospacing="0" w:after="0" w:afterAutospacing="0"/>
                    <w:ind w:left="0" w:right="0"/>
                    <w:rPr>
                      <w:rFonts w:hint="eastAsia"/>
                      <w:szCs w:val="22"/>
                    </w:rPr>
                  </w:pPr>
                </w:p>
              </w:tc>
              <w:tc>
                <w:tcPr>
                  <w:tcW w:w="860" w:type="pct"/>
                  <w:vMerge w:val="continue"/>
                  <w:noWrap w:val="0"/>
                  <w:vAlign w:val="center"/>
                </w:tcPr>
                <w:p w14:paraId="0F6F7FCD">
                  <w:pPr>
                    <w:pStyle w:val="39"/>
                    <w:keepNext w:val="0"/>
                    <w:keepLines w:val="0"/>
                    <w:widowControl/>
                    <w:suppressLineNumbers w:val="0"/>
                    <w:bidi w:val="0"/>
                    <w:spacing w:before="0" w:beforeAutospacing="0" w:after="0" w:afterAutospacing="0"/>
                    <w:ind w:left="0" w:right="0"/>
                    <w:rPr>
                      <w:rFonts w:hint="default"/>
                      <w:szCs w:val="22"/>
                      <w:lang w:val="en-US" w:eastAsia="zh-CN"/>
                    </w:rPr>
                  </w:pPr>
                </w:p>
              </w:tc>
              <w:tc>
                <w:tcPr>
                  <w:tcW w:w="1277" w:type="pct"/>
                  <w:noWrap w:val="0"/>
                  <w:vAlign w:val="center"/>
                </w:tcPr>
                <w:p w14:paraId="3FAB8C0F">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S7废过滤棉</w:t>
                  </w:r>
                </w:p>
              </w:tc>
              <w:tc>
                <w:tcPr>
                  <w:tcW w:w="2167" w:type="pct"/>
                  <w:vMerge w:val="continue"/>
                  <w:noWrap w:val="0"/>
                  <w:vAlign w:val="center"/>
                </w:tcPr>
                <w:p w14:paraId="47323F9B">
                  <w:pPr>
                    <w:pStyle w:val="39"/>
                    <w:keepNext w:val="0"/>
                    <w:keepLines w:val="0"/>
                    <w:widowControl/>
                    <w:suppressLineNumbers w:val="0"/>
                    <w:bidi w:val="0"/>
                    <w:spacing w:before="0" w:beforeAutospacing="0" w:after="0" w:afterAutospacing="0"/>
                    <w:ind w:left="0" w:right="0"/>
                    <w:rPr>
                      <w:rFonts w:hint="eastAsia"/>
                      <w:szCs w:val="22"/>
                    </w:rPr>
                  </w:pPr>
                </w:p>
              </w:tc>
            </w:tr>
            <w:tr w14:paraId="64BC81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238" w:type="pct"/>
                  <w:vMerge w:val="continue"/>
                  <w:noWrap w:val="0"/>
                  <w:vAlign w:val="center"/>
                </w:tcPr>
                <w:p w14:paraId="268EE161">
                  <w:pPr>
                    <w:pStyle w:val="39"/>
                    <w:keepNext w:val="0"/>
                    <w:keepLines w:val="0"/>
                    <w:widowControl/>
                    <w:suppressLineNumbers w:val="0"/>
                    <w:bidi w:val="0"/>
                    <w:spacing w:before="0" w:beforeAutospacing="0" w:after="0" w:afterAutospacing="0"/>
                    <w:ind w:left="0" w:right="0"/>
                    <w:rPr>
                      <w:rFonts w:hint="eastAsia"/>
                      <w:szCs w:val="22"/>
                    </w:rPr>
                  </w:pPr>
                </w:p>
              </w:tc>
              <w:tc>
                <w:tcPr>
                  <w:tcW w:w="456" w:type="pct"/>
                  <w:vMerge w:val="continue"/>
                  <w:noWrap w:val="0"/>
                  <w:vAlign w:val="center"/>
                </w:tcPr>
                <w:p w14:paraId="4E67D782">
                  <w:pPr>
                    <w:pStyle w:val="39"/>
                    <w:keepNext w:val="0"/>
                    <w:keepLines w:val="0"/>
                    <w:widowControl/>
                    <w:suppressLineNumbers w:val="0"/>
                    <w:bidi w:val="0"/>
                    <w:spacing w:before="0" w:beforeAutospacing="0" w:after="0" w:afterAutospacing="0"/>
                    <w:ind w:left="0" w:right="0"/>
                    <w:rPr>
                      <w:rFonts w:hint="eastAsia"/>
                      <w:szCs w:val="22"/>
                    </w:rPr>
                  </w:pPr>
                </w:p>
              </w:tc>
              <w:tc>
                <w:tcPr>
                  <w:tcW w:w="860" w:type="pct"/>
                  <w:noWrap w:val="0"/>
                  <w:vAlign w:val="center"/>
                </w:tcPr>
                <w:p w14:paraId="4529294A">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设备保养、检修等</w:t>
                  </w:r>
                </w:p>
              </w:tc>
              <w:tc>
                <w:tcPr>
                  <w:tcW w:w="1277" w:type="pct"/>
                  <w:noWrap w:val="0"/>
                  <w:vAlign w:val="center"/>
                </w:tcPr>
                <w:p w14:paraId="3DF06205">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S8</w:t>
                  </w:r>
                  <w:r>
                    <w:rPr>
                      <w:rFonts w:hint="default"/>
                      <w:szCs w:val="22"/>
                    </w:rPr>
                    <w:t>废机油</w:t>
                  </w:r>
                </w:p>
              </w:tc>
              <w:tc>
                <w:tcPr>
                  <w:tcW w:w="2167" w:type="pct"/>
                  <w:vMerge w:val="continue"/>
                  <w:noWrap w:val="0"/>
                  <w:vAlign w:val="center"/>
                </w:tcPr>
                <w:p w14:paraId="0D1CDAC8">
                  <w:pPr>
                    <w:pStyle w:val="39"/>
                    <w:keepNext w:val="0"/>
                    <w:keepLines w:val="0"/>
                    <w:widowControl/>
                    <w:suppressLineNumbers w:val="0"/>
                    <w:bidi w:val="0"/>
                    <w:spacing w:before="0" w:beforeAutospacing="0" w:after="0" w:afterAutospacing="0"/>
                    <w:ind w:left="0" w:right="0"/>
                    <w:rPr>
                      <w:rFonts w:hint="eastAsia"/>
                      <w:szCs w:val="22"/>
                    </w:rPr>
                  </w:pPr>
                </w:p>
              </w:tc>
            </w:tr>
            <w:tr w14:paraId="174D9E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38" w:type="pct"/>
                  <w:vMerge w:val="continue"/>
                  <w:noWrap w:val="0"/>
                  <w:vAlign w:val="center"/>
                </w:tcPr>
                <w:p w14:paraId="7C1BE2F6">
                  <w:pPr>
                    <w:pStyle w:val="39"/>
                    <w:keepNext w:val="0"/>
                    <w:keepLines w:val="0"/>
                    <w:widowControl/>
                    <w:suppressLineNumbers w:val="0"/>
                    <w:bidi w:val="0"/>
                    <w:spacing w:before="0" w:beforeAutospacing="0" w:after="0" w:afterAutospacing="0"/>
                    <w:ind w:left="0" w:right="0"/>
                    <w:rPr>
                      <w:rFonts w:hint="eastAsia"/>
                      <w:szCs w:val="22"/>
                    </w:rPr>
                  </w:pPr>
                </w:p>
              </w:tc>
              <w:tc>
                <w:tcPr>
                  <w:tcW w:w="1316" w:type="pct"/>
                  <w:gridSpan w:val="2"/>
                  <w:noWrap w:val="0"/>
                  <w:vAlign w:val="center"/>
                </w:tcPr>
                <w:p w14:paraId="0F9F3540">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职工生活垃圾</w:t>
                  </w:r>
                </w:p>
              </w:tc>
              <w:tc>
                <w:tcPr>
                  <w:tcW w:w="1277" w:type="pct"/>
                  <w:noWrap w:val="0"/>
                  <w:vAlign w:val="center"/>
                </w:tcPr>
                <w:p w14:paraId="0A39F64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纸屑、果皮、塑料盒、塑料袋等</w:t>
                  </w:r>
                </w:p>
              </w:tc>
              <w:tc>
                <w:tcPr>
                  <w:tcW w:w="2167" w:type="pct"/>
                  <w:noWrap w:val="0"/>
                  <w:vAlign w:val="center"/>
                </w:tcPr>
                <w:p w14:paraId="163D90F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委托环卫部门统一外运处置</w:t>
                  </w:r>
                </w:p>
              </w:tc>
            </w:tr>
            <w:tr w14:paraId="3E99E6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4" w:type="pct"/>
                  <w:gridSpan w:val="2"/>
                  <w:noWrap w:val="0"/>
                  <w:vAlign w:val="center"/>
                </w:tcPr>
                <w:p w14:paraId="4185D04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噪声</w:t>
                  </w:r>
                </w:p>
              </w:tc>
              <w:tc>
                <w:tcPr>
                  <w:tcW w:w="860" w:type="pct"/>
                  <w:noWrap w:val="0"/>
                  <w:vAlign w:val="center"/>
                </w:tcPr>
                <w:p w14:paraId="0E48C78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机械设备</w:t>
                  </w:r>
                </w:p>
              </w:tc>
              <w:tc>
                <w:tcPr>
                  <w:tcW w:w="1277" w:type="pct"/>
                  <w:noWrap w:val="0"/>
                  <w:vAlign w:val="center"/>
                </w:tcPr>
                <w:p w14:paraId="5DCDFDD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Leq</w:t>
                  </w:r>
                </w:p>
              </w:tc>
              <w:tc>
                <w:tcPr>
                  <w:tcW w:w="2167" w:type="pct"/>
                  <w:noWrap w:val="0"/>
                  <w:vAlign w:val="center"/>
                </w:tcPr>
                <w:p w14:paraId="11F09FB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厂房隔声、设备基础减振等综合降噪措施</w:t>
                  </w:r>
                </w:p>
              </w:tc>
            </w:tr>
          </w:tbl>
          <w:p w14:paraId="13FC5C4D">
            <w:pPr>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lang w:val="en-US" w:eastAsia="zh-CN" w:bidi="ar-SA"/>
              </w:rPr>
            </w:pPr>
          </w:p>
        </w:tc>
      </w:tr>
      <w:tr w14:paraId="2B50A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14:paraId="3D42C0A6">
            <w:pPr>
              <w:pStyle w:val="41"/>
              <w:keepNext w:val="0"/>
              <w:keepLines w:val="0"/>
              <w:suppressLineNumbers w:val="0"/>
              <w:bidi w:val="0"/>
              <w:spacing w:before="0" w:beforeAutospacing="0" w:after="0" w:afterAutospacing="0"/>
              <w:ind w:left="0" w:right="0"/>
              <w:rPr>
                <w:rFonts w:hint="eastAsia"/>
              </w:rPr>
            </w:pPr>
            <w:r>
              <w:rPr>
                <w:rFonts w:hint="eastAsia"/>
              </w:rPr>
              <w:t>与项目有关的原有环境污染问题</w:t>
            </w:r>
          </w:p>
        </w:tc>
        <w:tc>
          <w:tcPr>
            <w:tcW w:w="8161" w:type="dxa"/>
            <w:noWrap w:val="0"/>
            <w:vAlign w:val="center"/>
          </w:tcPr>
          <w:p w14:paraId="25A17A6B">
            <w:pPr>
              <w:keepNext w:val="0"/>
              <w:keepLines w:val="0"/>
              <w:suppressLineNumbers w:val="0"/>
              <w:bidi w:val="0"/>
              <w:spacing w:before="0" w:beforeAutospacing="0" w:after="0" w:afterAutospacing="0"/>
              <w:ind w:left="0" w:right="0"/>
              <w:rPr>
                <w:rFonts w:hint="default" w:ascii="Times New Roman" w:hAnsi="Times New Roman" w:cs="Times New Roman"/>
                <w:color w:val="auto"/>
                <w:vertAlign w:val="baseline"/>
                <w:lang w:val="en-US" w:eastAsia="zh-CN"/>
              </w:rPr>
            </w:pPr>
            <w:r>
              <w:rPr>
                <w:rFonts w:hint="eastAsia" w:cs="Times New Roman"/>
                <w:color w:val="auto"/>
                <w:vertAlign w:val="baseline"/>
                <w:lang w:val="en-US" w:eastAsia="zh-CN"/>
              </w:rPr>
              <w:t>本项目为新建项目，不存在与本项目有关的环境污染问题。</w:t>
            </w:r>
          </w:p>
        </w:tc>
      </w:tr>
    </w:tbl>
    <w:p w14:paraId="68FE2349">
      <w:pPr>
        <w:jc w:val="center"/>
        <w:rPr>
          <w:rFonts w:ascii="Times New Roman" w:hAnsi="Times New Roman" w:eastAsia="黑体"/>
          <w:snapToGrid w:val="0"/>
          <w:color w:val="auto"/>
          <w:sz w:val="36"/>
          <w:szCs w:val="36"/>
        </w:rPr>
        <w:sectPr>
          <w:pgSz w:w="11906" w:h="16838"/>
          <w:pgMar w:top="1418"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D0437F9">
      <w:pPr>
        <w:pStyle w:val="2"/>
        <w:tabs>
          <w:tab w:val="left" w:pos="420"/>
          <w:tab w:val="clear" w:pos="715"/>
        </w:tabs>
        <w:bidi w:val="0"/>
      </w:pPr>
      <w:bookmarkStart w:id="19" w:name="_Toc7854"/>
      <w:bookmarkStart w:id="20" w:name="_Toc29608"/>
      <w:r>
        <w:t>区域环境质量现状、环境保护目标及评价标准</w:t>
      </w:r>
      <w:bookmarkEnd w:id="19"/>
      <w:bookmarkEnd w:id="20"/>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6BE365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00" w:type="dxa"/>
            <w:noWrap w:val="0"/>
            <w:vAlign w:val="center"/>
          </w:tcPr>
          <w:p w14:paraId="308BFA28">
            <w:pPr>
              <w:pStyle w:val="41"/>
              <w:keepNext w:val="0"/>
              <w:keepLines w:val="0"/>
              <w:suppressLineNumbers w:val="0"/>
              <w:bidi w:val="0"/>
              <w:spacing w:before="0" w:beforeAutospacing="0" w:after="0" w:afterAutospacing="0"/>
              <w:ind w:left="0" w:right="0"/>
              <w:rPr>
                <w:rFonts w:hint="eastAsia"/>
              </w:rPr>
            </w:pPr>
            <w:r>
              <w:rPr>
                <w:rFonts w:hint="eastAsia"/>
              </w:rPr>
              <w:t>区域</w:t>
            </w:r>
          </w:p>
          <w:p w14:paraId="7FF632BC">
            <w:pPr>
              <w:pStyle w:val="41"/>
              <w:keepNext w:val="0"/>
              <w:keepLines w:val="0"/>
              <w:suppressLineNumbers w:val="0"/>
              <w:bidi w:val="0"/>
              <w:spacing w:before="0" w:beforeAutospacing="0" w:after="0" w:afterAutospacing="0"/>
              <w:ind w:left="0" w:right="0"/>
              <w:rPr>
                <w:rFonts w:hint="eastAsia"/>
              </w:rPr>
            </w:pPr>
            <w:r>
              <w:rPr>
                <w:rFonts w:hint="eastAsia"/>
              </w:rPr>
              <w:t>环境</w:t>
            </w:r>
          </w:p>
          <w:p w14:paraId="00E6EF28">
            <w:pPr>
              <w:pStyle w:val="41"/>
              <w:keepNext w:val="0"/>
              <w:keepLines w:val="0"/>
              <w:suppressLineNumbers w:val="0"/>
              <w:bidi w:val="0"/>
              <w:spacing w:before="0" w:beforeAutospacing="0" w:after="0" w:afterAutospacing="0"/>
              <w:ind w:left="0" w:right="0"/>
              <w:rPr>
                <w:rFonts w:hint="eastAsia"/>
              </w:rPr>
            </w:pPr>
            <w:r>
              <w:rPr>
                <w:rFonts w:hint="eastAsia"/>
              </w:rPr>
              <w:t>质量</w:t>
            </w:r>
          </w:p>
          <w:p w14:paraId="13F0EE46">
            <w:pPr>
              <w:pStyle w:val="41"/>
              <w:keepNext w:val="0"/>
              <w:keepLines w:val="0"/>
              <w:suppressLineNumbers w:val="0"/>
              <w:bidi w:val="0"/>
              <w:spacing w:before="0" w:beforeAutospacing="0" w:after="0" w:afterAutospacing="0"/>
              <w:ind w:left="0" w:right="0"/>
              <w:rPr>
                <w:rFonts w:hint="eastAsia"/>
              </w:rPr>
            </w:pPr>
            <w:r>
              <w:rPr>
                <w:rFonts w:hint="eastAsia"/>
              </w:rPr>
              <w:t>现状</w:t>
            </w:r>
          </w:p>
        </w:tc>
        <w:tc>
          <w:tcPr>
            <w:tcW w:w="8190" w:type="dxa"/>
            <w:noWrap w:val="0"/>
            <w:vAlign w:val="center"/>
          </w:tcPr>
          <w:p w14:paraId="468F78B1">
            <w:pPr>
              <w:pStyle w:val="3"/>
              <w:keepNext w:val="0"/>
              <w:keepLines w:val="0"/>
              <w:suppressLineNumbers w:val="0"/>
              <w:bidi w:val="0"/>
              <w:spacing w:before="0" w:beforeAutospacing="0" w:after="0" w:afterAutospacing="0"/>
              <w:ind w:left="0" w:right="0"/>
              <w:rPr>
                <w:rFonts w:hint="default"/>
              </w:rPr>
            </w:pPr>
            <w:r>
              <w:rPr>
                <w:rFonts w:hint="eastAsia"/>
                <w:lang w:val="en-US" w:eastAsia="zh-CN"/>
              </w:rPr>
              <w:t>大气</w:t>
            </w:r>
            <w:r>
              <w:rPr>
                <w:rFonts w:hint="default"/>
                <w:lang w:val="en-US" w:eastAsia="zh-CN"/>
              </w:rPr>
              <w:t>环境</w:t>
            </w:r>
            <w:r>
              <w:rPr>
                <w:rFonts w:hint="default"/>
              </w:rPr>
              <w:t>质量现状</w:t>
            </w:r>
          </w:p>
          <w:p w14:paraId="09A8C42C">
            <w:pPr>
              <w:pStyle w:val="4"/>
              <w:suppressLineNumbers w:val="0"/>
              <w:bidi w:val="0"/>
              <w:spacing w:before="0" w:beforeAutospacing="0" w:after="0" w:afterAutospacing="0"/>
              <w:ind w:left="0" w:right="0"/>
              <w:rPr>
                <w:rFonts w:hint="eastAsia"/>
                <w:lang w:val="en-US" w:eastAsia="zh-CN"/>
              </w:rPr>
            </w:pPr>
            <w:r>
              <w:rPr>
                <w:rFonts w:hint="default"/>
                <w:lang w:val="en-US" w:eastAsia="zh-CN"/>
              </w:rPr>
              <w:t>环境空气质量功能区划</w:t>
            </w:r>
          </w:p>
          <w:p w14:paraId="70676887">
            <w:pPr>
              <w:keepNext w:val="0"/>
              <w:keepLines w:val="0"/>
              <w:suppressLineNumbers w:val="0"/>
              <w:bidi w:val="0"/>
              <w:spacing w:before="0" w:beforeAutospacing="0" w:after="0" w:afterAutospacing="0"/>
              <w:ind w:left="0" w:right="0"/>
              <w:rPr>
                <w:rFonts w:hint="eastAsia"/>
              </w:rPr>
            </w:pPr>
            <w:bookmarkStart w:id="21" w:name="_Toc339964236"/>
            <w:bookmarkStart w:id="22" w:name="_Toc338850492"/>
            <w:r>
              <w:rPr>
                <w:rFonts w:hint="eastAsia"/>
              </w:rPr>
              <w:t>本评价区域处于福清市融侨经济开发区</w:t>
            </w:r>
            <w:r>
              <w:rPr>
                <w:rFonts w:hint="eastAsia"/>
                <w:lang w:eastAsia="zh-CN"/>
              </w:rPr>
              <w:t>，</w:t>
            </w:r>
            <w:r>
              <w:rPr>
                <w:rFonts w:hint="eastAsia"/>
              </w:rPr>
              <w:t>根据福州市人民政府榕政综</w:t>
            </w:r>
            <w:r>
              <w:rPr>
                <w:rFonts w:hint="eastAsia"/>
                <w:lang w:eastAsia="zh-CN"/>
              </w:rPr>
              <w:t>〔2014〕30号</w:t>
            </w:r>
            <w:r>
              <w:rPr>
                <w:rFonts w:hint="eastAsia"/>
              </w:rPr>
              <w:t>文件正式批准实施《福州市环境空气质量功能区划</w:t>
            </w:r>
            <w:r>
              <w:rPr>
                <w:rFonts w:hint="eastAsia"/>
                <w:lang w:eastAsia="zh-CN"/>
              </w:rPr>
              <w:t>（</w:t>
            </w:r>
            <w:r>
              <w:rPr>
                <w:rFonts w:hint="eastAsia"/>
              </w:rPr>
              <w:t>报批稿</w:t>
            </w:r>
            <w:r>
              <w:rPr>
                <w:rFonts w:hint="eastAsia"/>
                <w:lang w:eastAsia="zh-CN"/>
              </w:rPr>
              <w:t>）</w:t>
            </w:r>
            <w:r>
              <w:rPr>
                <w:rFonts w:hint="eastAsia"/>
              </w:rPr>
              <w:t>》的规定，项目所在区域环境空气功能规划为二类区，环境空气质量执行</w:t>
            </w:r>
            <w:r>
              <w:rPr>
                <w:rFonts w:hint="eastAsia"/>
                <w:lang w:eastAsia="zh-CN"/>
              </w:rPr>
              <w:t>《环境空气质量标准》（GB3095-2026）中的二级标准（过渡阶段浓度限值）</w:t>
            </w:r>
            <w:r>
              <w:rPr>
                <w:rFonts w:hint="eastAsia"/>
              </w:rPr>
              <w:t>。非甲烷总烃参照执行《大气污染物综合排放标准详解》</w:t>
            </w:r>
            <w:r>
              <w:rPr>
                <w:rFonts w:hint="eastAsia"/>
                <w:lang w:eastAsia="zh-CN"/>
              </w:rPr>
              <w:t>（</w:t>
            </w:r>
            <w:bookmarkStart w:id="70" w:name="_GoBack"/>
            <w:bookmarkEnd w:id="70"/>
            <w:r>
              <w:rPr>
                <w:rFonts w:hint="eastAsia"/>
                <w:lang w:eastAsia="zh-CN"/>
              </w:rPr>
              <w:t>生态环境</w:t>
            </w:r>
            <w:r>
              <w:rPr>
                <w:rFonts w:hint="eastAsia"/>
                <w:lang w:val="en-US" w:eastAsia="zh-CN"/>
              </w:rPr>
              <w:t>部</w:t>
            </w:r>
            <w:r>
              <w:rPr>
                <w:rFonts w:hint="eastAsia"/>
              </w:rPr>
              <w:t>科技标准司</w:t>
            </w:r>
            <w:r>
              <w:rPr>
                <w:rFonts w:hint="eastAsia"/>
                <w:lang w:eastAsia="zh-CN"/>
              </w:rPr>
              <w:t>）</w:t>
            </w:r>
            <w:r>
              <w:rPr>
                <w:rFonts w:hint="eastAsia"/>
              </w:rPr>
              <w:t>中规定的标准限值，具体详见表3</w:t>
            </w:r>
            <w:r>
              <w:rPr>
                <w:rFonts w:hint="eastAsia"/>
                <w:lang w:val="en-US" w:eastAsia="zh-CN"/>
              </w:rPr>
              <w:t>.1</w:t>
            </w:r>
            <w:r>
              <w:rPr>
                <w:rFonts w:hint="eastAsia"/>
              </w:rPr>
              <w:t>-1。</w:t>
            </w:r>
          </w:p>
          <w:p w14:paraId="2CAD37CD">
            <w:pPr>
              <w:pStyle w:val="40"/>
              <w:keepNext w:val="0"/>
              <w:keepLines w:val="0"/>
              <w:suppressLineNumbers w:val="0"/>
              <w:bidi w:val="0"/>
              <w:spacing w:before="0" w:beforeAutospacing="0" w:after="0" w:afterAutospacing="0"/>
              <w:ind w:left="0" w:right="0"/>
              <w:rPr>
                <w:rFonts w:hint="default"/>
              </w:rPr>
            </w:pPr>
            <w:r>
              <w:rPr>
                <w:rFonts w:hint="eastAsia"/>
              </w:rPr>
              <w:t>表3</w:t>
            </w:r>
            <w:r>
              <w:rPr>
                <w:rFonts w:hint="eastAsia"/>
                <w:lang w:val="en-US" w:eastAsia="zh-CN"/>
              </w:rPr>
              <w:t>.1</w:t>
            </w:r>
            <w:r>
              <w:rPr>
                <w:rFonts w:hint="eastAsia"/>
              </w:rPr>
              <w:t>-1</w:t>
            </w:r>
            <w:r>
              <w:rPr>
                <w:rFonts w:hint="default"/>
              </w:rPr>
              <w:t xml:space="preserve">  本项目环境空气标准一览表</w:t>
            </w:r>
          </w:p>
          <w:tbl>
            <w:tblPr>
              <w:tblStyle w:val="30"/>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359"/>
              <w:gridCol w:w="1866"/>
              <w:gridCol w:w="1338"/>
              <w:gridCol w:w="3408"/>
            </w:tblGrid>
            <w:tr w14:paraId="38C7F56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359" w:type="dxa"/>
                  <w:noWrap w:val="0"/>
                  <w:vAlign w:val="center"/>
                </w:tcPr>
                <w:p w14:paraId="22BD7DE6">
                  <w:pPr>
                    <w:pStyle w:val="39"/>
                    <w:keepNext w:val="0"/>
                    <w:keepLines w:val="0"/>
                    <w:widowControl/>
                    <w:suppressLineNumbers w:val="0"/>
                    <w:bidi w:val="0"/>
                    <w:spacing w:before="0" w:beforeAutospacing="0" w:after="0" w:afterAutospacing="0"/>
                    <w:ind w:left="0" w:leftChars="0" w:right="0" w:rightChars="0"/>
                    <w:rPr>
                      <w:rFonts w:hint="eastAsia"/>
                      <w:szCs w:val="22"/>
                    </w:rPr>
                  </w:pPr>
                  <w:r>
                    <w:rPr>
                      <w:rFonts w:hint="default"/>
                      <w:szCs w:val="22"/>
                      <w:lang w:eastAsia="zh-CN"/>
                    </w:rPr>
                    <w:t>污染物名称</w:t>
                  </w:r>
                </w:p>
              </w:tc>
              <w:tc>
                <w:tcPr>
                  <w:tcW w:w="1866" w:type="dxa"/>
                  <w:noWrap w:val="0"/>
                  <w:vAlign w:val="center"/>
                </w:tcPr>
                <w:p w14:paraId="04EBDC72">
                  <w:pPr>
                    <w:pStyle w:val="39"/>
                    <w:keepNext w:val="0"/>
                    <w:keepLines w:val="0"/>
                    <w:widowControl/>
                    <w:suppressLineNumbers w:val="0"/>
                    <w:bidi w:val="0"/>
                    <w:spacing w:before="0" w:beforeAutospacing="0" w:after="0" w:afterAutospacing="0"/>
                    <w:ind w:left="0" w:leftChars="0" w:right="0" w:rightChars="0"/>
                    <w:rPr>
                      <w:rFonts w:hint="eastAsia"/>
                      <w:szCs w:val="22"/>
                    </w:rPr>
                  </w:pPr>
                  <w:r>
                    <w:rPr>
                      <w:rFonts w:hint="default"/>
                      <w:szCs w:val="22"/>
                      <w:lang w:eastAsia="zh-CN"/>
                    </w:rPr>
                    <w:t>取值时间</w:t>
                  </w:r>
                </w:p>
              </w:tc>
              <w:tc>
                <w:tcPr>
                  <w:tcW w:w="1338" w:type="dxa"/>
                  <w:noWrap w:val="0"/>
                  <w:vAlign w:val="center"/>
                </w:tcPr>
                <w:p w14:paraId="1F9DA60B">
                  <w:pPr>
                    <w:pStyle w:val="39"/>
                    <w:keepNext w:val="0"/>
                    <w:keepLines w:val="0"/>
                    <w:widowControl/>
                    <w:suppressLineNumbers w:val="0"/>
                    <w:bidi w:val="0"/>
                    <w:spacing w:before="0" w:beforeAutospacing="0" w:after="0" w:afterAutospacing="0"/>
                    <w:ind w:left="0" w:leftChars="0" w:right="0" w:rightChars="0"/>
                    <w:rPr>
                      <w:rFonts w:hint="eastAsia"/>
                      <w:szCs w:val="22"/>
                    </w:rPr>
                  </w:pPr>
                  <w:r>
                    <w:rPr>
                      <w:rFonts w:hint="default"/>
                      <w:szCs w:val="22"/>
                      <w:lang w:eastAsia="zh-CN"/>
                    </w:rPr>
                    <w:t>浓度限值</w:t>
                  </w:r>
                </w:p>
              </w:tc>
              <w:tc>
                <w:tcPr>
                  <w:tcW w:w="2137" w:type="pct"/>
                  <w:noWrap w:val="0"/>
                  <w:vAlign w:val="center"/>
                </w:tcPr>
                <w:p w14:paraId="2CDB900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标准来源</w:t>
                  </w:r>
                </w:p>
              </w:tc>
            </w:tr>
            <w:tr w14:paraId="5242CBD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359" w:type="dxa"/>
                  <w:vMerge w:val="restart"/>
                  <w:noWrap w:val="0"/>
                  <w:vAlign w:val="center"/>
                </w:tcPr>
                <w:p w14:paraId="15FC084C">
                  <w:pPr>
                    <w:pStyle w:val="39"/>
                    <w:keepNext w:val="0"/>
                    <w:keepLines w:val="0"/>
                    <w:widowControl/>
                    <w:suppressLineNumbers w:val="0"/>
                    <w:spacing w:before="0" w:beforeAutospacing="0" w:after="0" w:afterAutospacing="0"/>
                    <w:ind w:left="0" w:right="0"/>
                    <w:rPr>
                      <w:rFonts w:hint="eastAsia"/>
                      <w:szCs w:val="22"/>
                    </w:rPr>
                  </w:pPr>
                  <w:r>
                    <w:rPr>
                      <w:rFonts w:hint="default"/>
                      <w:szCs w:val="22"/>
                    </w:rPr>
                    <w:t>PM</w:t>
                  </w:r>
                  <w:r>
                    <w:rPr>
                      <w:rFonts w:hint="default"/>
                      <w:szCs w:val="22"/>
                      <w:vertAlign w:val="subscript"/>
                    </w:rPr>
                    <w:t>10</w:t>
                  </w:r>
                </w:p>
              </w:tc>
              <w:tc>
                <w:tcPr>
                  <w:tcW w:w="1866" w:type="dxa"/>
                  <w:noWrap w:val="0"/>
                  <w:vAlign w:val="center"/>
                </w:tcPr>
                <w:p w14:paraId="5CB2237A">
                  <w:pPr>
                    <w:pStyle w:val="39"/>
                    <w:keepNext w:val="0"/>
                    <w:keepLines w:val="0"/>
                    <w:widowControl/>
                    <w:suppressLineNumbers w:val="0"/>
                    <w:spacing w:before="0" w:beforeAutospacing="0" w:after="0" w:afterAutospacing="0"/>
                    <w:ind w:left="0" w:right="0"/>
                    <w:rPr>
                      <w:rFonts w:hint="eastAsia"/>
                      <w:szCs w:val="22"/>
                    </w:rPr>
                  </w:pPr>
                  <w:r>
                    <w:rPr>
                      <w:rFonts w:hint="default"/>
                      <w:szCs w:val="22"/>
                    </w:rPr>
                    <w:t>年平均</w:t>
                  </w:r>
                </w:p>
              </w:tc>
              <w:tc>
                <w:tcPr>
                  <w:tcW w:w="1338" w:type="dxa"/>
                  <w:noWrap w:val="0"/>
                  <w:vAlign w:val="center"/>
                </w:tcPr>
                <w:p w14:paraId="768438BA">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6</w:t>
                  </w:r>
                  <w:r>
                    <w:rPr>
                      <w:rFonts w:hint="default"/>
                      <w:szCs w:val="22"/>
                    </w:rPr>
                    <w:t>0μg/m</w:t>
                  </w:r>
                  <w:r>
                    <w:rPr>
                      <w:rFonts w:hint="default"/>
                      <w:szCs w:val="22"/>
                      <w:vertAlign w:val="superscript"/>
                    </w:rPr>
                    <w:t>3</w:t>
                  </w:r>
                </w:p>
              </w:tc>
              <w:tc>
                <w:tcPr>
                  <w:tcW w:w="2137" w:type="pct"/>
                  <w:vMerge w:val="restart"/>
                  <w:noWrap w:val="0"/>
                  <w:vAlign w:val="center"/>
                </w:tcPr>
                <w:p w14:paraId="2CD0B548">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eastAsia="zh-CN"/>
                    </w:rPr>
                    <w:t>《环境空气质量标准》（GB3095-2026）中的二级标准（过渡阶段浓度限值）</w:t>
                  </w:r>
                </w:p>
              </w:tc>
            </w:tr>
            <w:tr w14:paraId="5D6F294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359" w:type="dxa"/>
                  <w:vMerge w:val="continue"/>
                  <w:noWrap w:val="0"/>
                  <w:vAlign w:val="center"/>
                </w:tcPr>
                <w:p w14:paraId="7E54A899">
                  <w:pPr>
                    <w:pStyle w:val="39"/>
                    <w:keepNext w:val="0"/>
                    <w:keepLines w:val="0"/>
                    <w:widowControl/>
                    <w:suppressLineNumbers w:val="0"/>
                    <w:bidi w:val="0"/>
                    <w:spacing w:before="0" w:beforeAutospacing="0" w:after="0" w:afterAutospacing="0"/>
                    <w:ind w:left="0" w:leftChars="0" w:right="0" w:rightChars="0"/>
                    <w:rPr>
                      <w:rFonts w:hint="eastAsia"/>
                      <w:szCs w:val="22"/>
                    </w:rPr>
                  </w:pPr>
                </w:p>
              </w:tc>
              <w:tc>
                <w:tcPr>
                  <w:tcW w:w="1866" w:type="dxa"/>
                  <w:noWrap w:val="0"/>
                  <w:vAlign w:val="center"/>
                </w:tcPr>
                <w:p w14:paraId="2B10F2EB">
                  <w:pPr>
                    <w:pStyle w:val="39"/>
                    <w:keepNext w:val="0"/>
                    <w:keepLines w:val="0"/>
                    <w:widowControl/>
                    <w:suppressLineNumbers w:val="0"/>
                    <w:spacing w:before="0" w:beforeAutospacing="0" w:after="0" w:afterAutospacing="0"/>
                    <w:ind w:left="0" w:right="0"/>
                    <w:rPr>
                      <w:rFonts w:hint="eastAsia"/>
                      <w:szCs w:val="22"/>
                    </w:rPr>
                  </w:pPr>
                  <w:r>
                    <w:rPr>
                      <w:rFonts w:hint="default"/>
                      <w:szCs w:val="22"/>
                    </w:rPr>
                    <w:t>24小时平均</w:t>
                  </w:r>
                </w:p>
              </w:tc>
              <w:tc>
                <w:tcPr>
                  <w:tcW w:w="1338" w:type="dxa"/>
                  <w:noWrap w:val="0"/>
                  <w:vAlign w:val="center"/>
                </w:tcPr>
                <w:p w14:paraId="2B8CA3B6">
                  <w:pPr>
                    <w:pStyle w:val="39"/>
                    <w:keepNext w:val="0"/>
                    <w:keepLines w:val="0"/>
                    <w:widowControl/>
                    <w:suppressLineNumbers w:val="0"/>
                    <w:spacing w:before="0" w:beforeAutospacing="0" w:after="0" w:afterAutospacing="0"/>
                    <w:ind w:left="0" w:right="0"/>
                    <w:rPr>
                      <w:rFonts w:hint="eastAsia"/>
                      <w:szCs w:val="22"/>
                    </w:rPr>
                  </w:pPr>
                  <w:r>
                    <w:rPr>
                      <w:rFonts w:hint="default"/>
                      <w:szCs w:val="22"/>
                    </w:rPr>
                    <w:t>1</w:t>
                  </w:r>
                  <w:r>
                    <w:rPr>
                      <w:rFonts w:hint="eastAsia"/>
                      <w:szCs w:val="22"/>
                      <w:lang w:val="en-US" w:eastAsia="zh-CN"/>
                    </w:rPr>
                    <w:t>2</w:t>
                  </w:r>
                  <w:r>
                    <w:rPr>
                      <w:rFonts w:hint="default"/>
                      <w:szCs w:val="22"/>
                    </w:rPr>
                    <w:t>0μg/m</w:t>
                  </w:r>
                  <w:r>
                    <w:rPr>
                      <w:rFonts w:hint="eastAsia"/>
                      <w:szCs w:val="22"/>
                      <w:vertAlign w:val="superscript"/>
                      <w:lang w:eastAsia="zh-CN"/>
                    </w:rPr>
                    <w:t>3</w:t>
                  </w:r>
                </w:p>
              </w:tc>
              <w:tc>
                <w:tcPr>
                  <w:tcW w:w="2137" w:type="pct"/>
                  <w:vMerge w:val="continue"/>
                  <w:noWrap w:val="0"/>
                  <w:vAlign w:val="center"/>
                </w:tcPr>
                <w:p w14:paraId="3C8D1632">
                  <w:pPr>
                    <w:pStyle w:val="39"/>
                    <w:keepNext w:val="0"/>
                    <w:keepLines w:val="0"/>
                    <w:widowControl/>
                    <w:suppressLineNumbers w:val="0"/>
                    <w:bidi w:val="0"/>
                    <w:spacing w:before="0" w:beforeAutospacing="0" w:after="0" w:afterAutospacing="0"/>
                    <w:ind w:left="0" w:right="0"/>
                    <w:rPr>
                      <w:rFonts w:hint="eastAsia"/>
                      <w:szCs w:val="22"/>
                    </w:rPr>
                  </w:pPr>
                </w:p>
              </w:tc>
            </w:tr>
            <w:tr w14:paraId="3304032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359" w:type="dxa"/>
                  <w:vMerge w:val="restart"/>
                  <w:noWrap w:val="0"/>
                  <w:vAlign w:val="center"/>
                </w:tcPr>
                <w:p w14:paraId="4618DA72">
                  <w:pPr>
                    <w:pStyle w:val="39"/>
                    <w:keepNext w:val="0"/>
                    <w:keepLines w:val="0"/>
                    <w:widowControl/>
                    <w:suppressLineNumbers w:val="0"/>
                    <w:spacing w:before="0" w:beforeAutospacing="0" w:after="0" w:afterAutospacing="0"/>
                    <w:ind w:left="0" w:right="0"/>
                    <w:rPr>
                      <w:rFonts w:hint="eastAsia"/>
                      <w:szCs w:val="22"/>
                    </w:rPr>
                  </w:pPr>
                  <w:r>
                    <w:rPr>
                      <w:rFonts w:hint="default"/>
                      <w:szCs w:val="22"/>
                    </w:rPr>
                    <w:t>PM</w:t>
                  </w:r>
                  <w:r>
                    <w:rPr>
                      <w:rFonts w:hint="default"/>
                      <w:szCs w:val="22"/>
                      <w:vertAlign w:val="subscript"/>
                    </w:rPr>
                    <w:t>2.5</w:t>
                  </w:r>
                </w:p>
              </w:tc>
              <w:tc>
                <w:tcPr>
                  <w:tcW w:w="1866" w:type="dxa"/>
                  <w:noWrap w:val="0"/>
                  <w:vAlign w:val="center"/>
                </w:tcPr>
                <w:p w14:paraId="21564FC6">
                  <w:pPr>
                    <w:pStyle w:val="39"/>
                    <w:keepNext w:val="0"/>
                    <w:keepLines w:val="0"/>
                    <w:widowControl/>
                    <w:suppressLineNumbers w:val="0"/>
                    <w:spacing w:before="0" w:beforeAutospacing="0" w:after="0" w:afterAutospacing="0"/>
                    <w:ind w:left="0" w:right="0"/>
                    <w:rPr>
                      <w:rFonts w:hint="eastAsia"/>
                      <w:szCs w:val="22"/>
                    </w:rPr>
                  </w:pPr>
                  <w:r>
                    <w:rPr>
                      <w:rFonts w:hint="default"/>
                      <w:szCs w:val="22"/>
                    </w:rPr>
                    <w:t>年平均</w:t>
                  </w:r>
                </w:p>
              </w:tc>
              <w:tc>
                <w:tcPr>
                  <w:tcW w:w="1338" w:type="dxa"/>
                  <w:noWrap w:val="0"/>
                  <w:vAlign w:val="center"/>
                </w:tcPr>
                <w:p w14:paraId="44E4EB8E">
                  <w:pPr>
                    <w:pStyle w:val="39"/>
                    <w:keepNext w:val="0"/>
                    <w:keepLines w:val="0"/>
                    <w:widowControl/>
                    <w:suppressLineNumbers w:val="0"/>
                    <w:spacing w:before="0" w:beforeAutospacing="0" w:after="0" w:afterAutospacing="0"/>
                    <w:ind w:left="0" w:right="0"/>
                    <w:rPr>
                      <w:rFonts w:hint="eastAsia"/>
                      <w:szCs w:val="22"/>
                    </w:rPr>
                  </w:pPr>
                  <w:r>
                    <w:rPr>
                      <w:rFonts w:hint="default"/>
                      <w:szCs w:val="22"/>
                    </w:rPr>
                    <w:t>3</w:t>
                  </w:r>
                  <w:r>
                    <w:rPr>
                      <w:rFonts w:hint="eastAsia"/>
                      <w:szCs w:val="22"/>
                      <w:lang w:val="en-US" w:eastAsia="zh-CN"/>
                    </w:rPr>
                    <w:t>0</w:t>
                  </w:r>
                  <w:r>
                    <w:rPr>
                      <w:rFonts w:hint="default"/>
                      <w:szCs w:val="22"/>
                    </w:rPr>
                    <w:t>μg/m</w:t>
                  </w:r>
                  <w:r>
                    <w:rPr>
                      <w:rFonts w:hint="eastAsia"/>
                      <w:szCs w:val="22"/>
                      <w:vertAlign w:val="superscript"/>
                      <w:lang w:eastAsia="zh-CN"/>
                    </w:rPr>
                    <w:t>3</w:t>
                  </w:r>
                </w:p>
              </w:tc>
              <w:tc>
                <w:tcPr>
                  <w:tcW w:w="2137" w:type="pct"/>
                  <w:vMerge w:val="continue"/>
                  <w:noWrap w:val="0"/>
                  <w:vAlign w:val="center"/>
                </w:tcPr>
                <w:p w14:paraId="79DEDE73">
                  <w:pPr>
                    <w:pStyle w:val="39"/>
                    <w:keepNext w:val="0"/>
                    <w:keepLines w:val="0"/>
                    <w:widowControl/>
                    <w:suppressLineNumbers w:val="0"/>
                    <w:bidi w:val="0"/>
                    <w:spacing w:before="0" w:beforeAutospacing="0" w:after="0" w:afterAutospacing="0"/>
                    <w:ind w:left="0" w:right="0"/>
                    <w:rPr>
                      <w:rFonts w:hint="eastAsia"/>
                      <w:szCs w:val="22"/>
                    </w:rPr>
                  </w:pPr>
                </w:p>
              </w:tc>
            </w:tr>
            <w:tr w14:paraId="3EE47E2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359" w:type="dxa"/>
                  <w:vMerge w:val="continue"/>
                  <w:noWrap w:val="0"/>
                  <w:vAlign w:val="center"/>
                </w:tcPr>
                <w:p w14:paraId="41E3DC98">
                  <w:pPr>
                    <w:pStyle w:val="39"/>
                    <w:keepNext w:val="0"/>
                    <w:keepLines w:val="0"/>
                    <w:widowControl/>
                    <w:suppressLineNumbers w:val="0"/>
                    <w:bidi w:val="0"/>
                    <w:spacing w:before="0" w:beforeAutospacing="0" w:after="0" w:afterAutospacing="0"/>
                    <w:ind w:left="0" w:leftChars="0" w:right="0" w:rightChars="0"/>
                    <w:rPr>
                      <w:rFonts w:hint="eastAsia"/>
                      <w:szCs w:val="22"/>
                    </w:rPr>
                  </w:pPr>
                </w:p>
              </w:tc>
              <w:tc>
                <w:tcPr>
                  <w:tcW w:w="1866" w:type="dxa"/>
                  <w:noWrap w:val="0"/>
                  <w:vAlign w:val="center"/>
                </w:tcPr>
                <w:p w14:paraId="55DDD49B">
                  <w:pPr>
                    <w:pStyle w:val="39"/>
                    <w:keepNext w:val="0"/>
                    <w:keepLines w:val="0"/>
                    <w:widowControl/>
                    <w:suppressLineNumbers w:val="0"/>
                    <w:spacing w:before="0" w:beforeAutospacing="0" w:after="0" w:afterAutospacing="0"/>
                    <w:ind w:left="0" w:right="0"/>
                    <w:rPr>
                      <w:rFonts w:hint="eastAsia"/>
                      <w:szCs w:val="22"/>
                    </w:rPr>
                  </w:pPr>
                  <w:r>
                    <w:rPr>
                      <w:rFonts w:hint="default"/>
                      <w:szCs w:val="22"/>
                    </w:rPr>
                    <w:t>24小时平均</w:t>
                  </w:r>
                </w:p>
              </w:tc>
              <w:tc>
                <w:tcPr>
                  <w:tcW w:w="1338" w:type="dxa"/>
                  <w:noWrap w:val="0"/>
                  <w:vAlign w:val="center"/>
                </w:tcPr>
                <w:p w14:paraId="58549FED">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60</w:t>
                  </w:r>
                  <w:r>
                    <w:rPr>
                      <w:rFonts w:hint="default"/>
                      <w:szCs w:val="22"/>
                    </w:rPr>
                    <w:t>μg/m</w:t>
                  </w:r>
                  <w:r>
                    <w:rPr>
                      <w:rFonts w:hint="eastAsia"/>
                      <w:szCs w:val="22"/>
                      <w:vertAlign w:val="superscript"/>
                      <w:lang w:eastAsia="zh-CN"/>
                    </w:rPr>
                    <w:t>3</w:t>
                  </w:r>
                </w:p>
              </w:tc>
              <w:tc>
                <w:tcPr>
                  <w:tcW w:w="2137" w:type="pct"/>
                  <w:vMerge w:val="continue"/>
                  <w:noWrap w:val="0"/>
                  <w:vAlign w:val="center"/>
                </w:tcPr>
                <w:p w14:paraId="059C01A1">
                  <w:pPr>
                    <w:pStyle w:val="39"/>
                    <w:keepNext w:val="0"/>
                    <w:keepLines w:val="0"/>
                    <w:widowControl/>
                    <w:suppressLineNumbers w:val="0"/>
                    <w:bidi w:val="0"/>
                    <w:spacing w:before="0" w:beforeAutospacing="0" w:after="0" w:afterAutospacing="0"/>
                    <w:ind w:left="0" w:right="0"/>
                    <w:rPr>
                      <w:rFonts w:hint="eastAsia"/>
                      <w:szCs w:val="22"/>
                    </w:rPr>
                  </w:pPr>
                </w:p>
              </w:tc>
            </w:tr>
            <w:tr w14:paraId="62740F5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359" w:type="dxa"/>
                  <w:vMerge w:val="restart"/>
                  <w:noWrap w:val="0"/>
                  <w:vAlign w:val="center"/>
                </w:tcPr>
                <w:p w14:paraId="1F344AE7">
                  <w:pPr>
                    <w:pStyle w:val="39"/>
                    <w:keepNext w:val="0"/>
                    <w:keepLines w:val="0"/>
                    <w:widowControl/>
                    <w:suppressLineNumbers w:val="0"/>
                    <w:spacing w:before="0" w:beforeAutospacing="0" w:after="0" w:afterAutospacing="0"/>
                    <w:ind w:left="0" w:right="0"/>
                    <w:rPr>
                      <w:rFonts w:hint="eastAsia"/>
                      <w:szCs w:val="22"/>
                    </w:rPr>
                  </w:pPr>
                  <w:r>
                    <w:rPr>
                      <w:rFonts w:hint="default"/>
                      <w:szCs w:val="22"/>
                    </w:rPr>
                    <w:t>SO</w:t>
                  </w:r>
                  <w:r>
                    <w:rPr>
                      <w:rFonts w:hint="default"/>
                      <w:szCs w:val="22"/>
                      <w:vertAlign w:val="subscript"/>
                    </w:rPr>
                    <w:t>2</w:t>
                  </w:r>
                </w:p>
              </w:tc>
              <w:tc>
                <w:tcPr>
                  <w:tcW w:w="1866" w:type="dxa"/>
                  <w:noWrap w:val="0"/>
                  <w:vAlign w:val="center"/>
                </w:tcPr>
                <w:p w14:paraId="24A19BAF">
                  <w:pPr>
                    <w:pStyle w:val="39"/>
                    <w:keepNext w:val="0"/>
                    <w:keepLines w:val="0"/>
                    <w:widowControl/>
                    <w:suppressLineNumbers w:val="0"/>
                    <w:spacing w:before="0" w:beforeAutospacing="0" w:after="0" w:afterAutospacing="0"/>
                    <w:ind w:left="0" w:right="0"/>
                    <w:rPr>
                      <w:rFonts w:hint="eastAsia"/>
                      <w:szCs w:val="22"/>
                    </w:rPr>
                  </w:pPr>
                  <w:r>
                    <w:rPr>
                      <w:rFonts w:hint="default"/>
                      <w:szCs w:val="22"/>
                    </w:rPr>
                    <w:t>年平均</w:t>
                  </w:r>
                </w:p>
              </w:tc>
              <w:tc>
                <w:tcPr>
                  <w:tcW w:w="1338" w:type="dxa"/>
                  <w:noWrap w:val="0"/>
                  <w:vAlign w:val="center"/>
                </w:tcPr>
                <w:p w14:paraId="0C2F5026">
                  <w:pPr>
                    <w:pStyle w:val="39"/>
                    <w:keepNext w:val="0"/>
                    <w:keepLines w:val="0"/>
                    <w:widowControl/>
                    <w:suppressLineNumbers w:val="0"/>
                    <w:spacing w:before="0" w:beforeAutospacing="0" w:after="0" w:afterAutospacing="0"/>
                    <w:ind w:left="0" w:right="0"/>
                    <w:rPr>
                      <w:rFonts w:hint="eastAsia"/>
                      <w:szCs w:val="22"/>
                    </w:rPr>
                  </w:pPr>
                  <w:r>
                    <w:rPr>
                      <w:rFonts w:hint="default"/>
                      <w:szCs w:val="22"/>
                    </w:rPr>
                    <w:t>60μg/m</w:t>
                  </w:r>
                  <w:r>
                    <w:rPr>
                      <w:rFonts w:hint="eastAsia"/>
                      <w:szCs w:val="22"/>
                      <w:vertAlign w:val="superscript"/>
                      <w:lang w:eastAsia="zh-CN"/>
                    </w:rPr>
                    <w:t>3</w:t>
                  </w:r>
                </w:p>
              </w:tc>
              <w:tc>
                <w:tcPr>
                  <w:tcW w:w="2137" w:type="pct"/>
                  <w:vMerge w:val="continue"/>
                  <w:noWrap w:val="0"/>
                  <w:vAlign w:val="center"/>
                </w:tcPr>
                <w:p w14:paraId="470DBD64">
                  <w:pPr>
                    <w:pStyle w:val="39"/>
                    <w:keepNext w:val="0"/>
                    <w:keepLines w:val="0"/>
                    <w:widowControl/>
                    <w:suppressLineNumbers w:val="0"/>
                    <w:bidi w:val="0"/>
                    <w:spacing w:before="0" w:beforeAutospacing="0" w:after="0" w:afterAutospacing="0"/>
                    <w:ind w:left="0" w:right="0"/>
                    <w:rPr>
                      <w:rFonts w:hint="eastAsia"/>
                      <w:szCs w:val="22"/>
                    </w:rPr>
                  </w:pPr>
                </w:p>
              </w:tc>
            </w:tr>
            <w:tr w14:paraId="653CBA9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359" w:type="dxa"/>
                  <w:vMerge w:val="continue"/>
                  <w:noWrap w:val="0"/>
                  <w:vAlign w:val="center"/>
                </w:tcPr>
                <w:p w14:paraId="62CD2135">
                  <w:pPr>
                    <w:pStyle w:val="39"/>
                    <w:keepNext w:val="0"/>
                    <w:keepLines w:val="0"/>
                    <w:widowControl/>
                    <w:suppressLineNumbers w:val="0"/>
                    <w:bidi w:val="0"/>
                    <w:spacing w:before="0" w:beforeAutospacing="0" w:after="0" w:afterAutospacing="0"/>
                    <w:ind w:left="0" w:leftChars="0" w:right="0" w:rightChars="0"/>
                    <w:rPr>
                      <w:rFonts w:hint="eastAsia"/>
                      <w:szCs w:val="22"/>
                    </w:rPr>
                  </w:pPr>
                </w:p>
              </w:tc>
              <w:tc>
                <w:tcPr>
                  <w:tcW w:w="1866" w:type="dxa"/>
                  <w:noWrap w:val="0"/>
                  <w:vAlign w:val="center"/>
                </w:tcPr>
                <w:p w14:paraId="3276082B">
                  <w:pPr>
                    <w:pStyle w:val="39"/>
                    <w:keepNext w:val="0"/>
                    <w:keepLines w:val="0"/>
                    <w:widowControl/>
                    <w:suppressLineNumbers w:val="0"/>
                    <w:spacing w:before="0" w:beforeAutospacing="0" w:after="0" w:afterAutospacing="0"/>
                    <w:ind w:left="0" w:right="0"/>
                    <w:rPr>
                      <w:rFonts w:hint="eastAsia"/>
                      <w:szCs w:val="22"/>
                    </w:rPr>
                  </w:pPr>
                  <w:r>
                    <w:rPr>
                      <w:rFonts w:hint="default"/>
                      <w:szCs w:val="22"/>
                    </w:rPr>
                    <w:t>24小时平均</w:t>
                  </w:r>
                </w:p>
              </w:tc>
              <w:tc>
                <w:tcPr>
                  <w:tcW w:w="1338" w:type="dxa"/>
                  <w:noWrap w:val="0"/>
                  <w:vAlign w:val="center"/>
                </w:tcPr>
                <w:p w14:paraId="1E759C46">
                  <w:pPr>
                    <w:pStyle w:val="39"/>
                    <w:keepNext w:val="0"/>
                    <w:keepLines w:val="0"/>
                    <w:widowControl/>
                    <w:suppressLineNumbers w:val="0"/>
                    <w:spacing w:before="0" w:beforeAutospacing="0" w:after="0" w:afterAutospacing="0"/>
                    <w:ind w:left="0" w:right="0"/>
                    <w:rPr>
                      <w:rFonts w:hint="eastAsia"/>
                      <w:szCs w:val="22"/>
                    </w:rPr>
                  </w:pPr>
                  <w:r>
                    <w:rPr>
                      <w:rFonts w:hint="default"/>
                      <w:szCs w:val="22"/>
                    </w:rPr>
                    <w:t>150μg/m</w:t>
                  </w:r>
                  <w:r>
                    <w:rPr>
                      <w:rFonts w:hint="eastAsia"/>
                      <w:szCs w:val="22"/>
                      <w:vertAlign w:val="superscript"/>
                      <w:lang w:eastAsia="zh-CN"/>
                    </w:rPr>
                    <w:t>3</w:t>
                  </w:r>
                </w:p>
              </w:tc>
              <w:tc>
                <w:tcPr>
                  <w:tcW w:w="2137" w:type="pct"/>
                  <w:vMerge w:val="continue"/>
                  <w:noWrap w:val="0"/>
                  <w:vAlign w:val="center"/>
                </w:tcPr>
                <w:p w14:paraId="7AA0FE2D">
                  <w:pPr>
                    <w:pStyle w:val="39"/>
                    <w:keepNext w:val="0"/>
                    <w:keepLines w:val="0"/>
                    <w:widowControl/>
                    <w:suppressLineNumbers w:val="0"/>
                    <w:bidi w:val="0"/>
                    <w:spacing w:before="0" w:beforeAutospacing="0" w:after="0" w:afterAutospacing="0"/>
                    <w:ind w:left="0" w:right="0"/>
                    <w:rPr>
                      <w:rFonts w:hint="eastAsia"/>
                      <w:szCs w:val="22"/>
                    </w:rPr>
                  </w:pPr>
                </w:p>
              </w:tc>
            </w:tr>
            <w:tr w14:paraId="460D601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359" w:type="dxa"/>
                  <w:vMerge w:val="continue"/>
                  <w:noWrap w:val="0"/>
                  <w:vAlign w:val="center"/>
                </w:tcPr>
                <w:p w14:paraId="6F835B8F">
                  <w:pPr>
                    <w:pStyle w:val="39"/>
                    <w:keepNext w:val="0"/>
                    <w:keepLines w:val="0"/>
                    <w:widowControl/>
                    <w:suppressLineNumbers w:val="0"/>
                    <w:bidi w:val="0"/>
                    <w:spacing w:before="0" w:beforeAutospacing="0" w:after="0" w:afterAutospacing="0"/>
                    <w:ind w:left="0" w:leftChars="0" w:right="0" w:rightChars="0"/>
                    <w:rPr>
                      <w:rFonts w:hint="eastAsia"/>
                      <w:szCs w:val="22"/>
                    </w:rPr>
                  </w:pPr>
                </w:p>
              </w:tc>
              <w:tc>
                <w:tcPr>
                  <w:tcW w:w="1866" w:type="dxa"/>
                  <w:noWrap w:val="0"/>
                  <w:vAlign w:val="center"/>
                </w:tcPr>
                <w:p w14:paraId="4AF49AC4">
                  <w:pPr>
                    <w:pStyle w:val="39"/>
                    <w:keepNext w:val="0"/>
                    <w:keepLines w:val="0"/>
                    <w:widowControl/>
                    <w:suppressLineNumbers w:val="0"/>
                    <w:spacing w:before="0" w:beforeAutospacing="0" w:after="0" w:afterAutospacing="0"/>
                    <w:ind w:left="0" w:right="0"/>
                    <w:rPr>
                      <w:rFonts w:hint="eastAsia"/>
                      <w:szCs w:val="22"/>
                    </w:rPr>
                  </w:pPr>
                  <w:r>
                    <w:rPr>
                      <w:rFonts w:hint="default"/>
                      <w:szCs w:val="22"/>
                    </w:rPr>
                    <w:t>1小时平均</w:t>
                  </w:r>
                </w:p>
              </w:tc>
              <w:tc>
                <w:tcPr>
                  <w:tcW w:w="1338" w:type="dxa"/>
                  <w:noWrap w:val="0"/>
                  <w:vAlign w:val="center"/>
                </w:tcPr>
                <w:p w14:paraId="4FE17CB9">
                  <w:pPr>
                    <w:pStyle w:val="39"/>
                    <w:keepNext w:val="0"/>
                    <w:keepLines w:val="0"/>
                    <w:widowControl/>
                    <w:suppressLineNumbers w:val="0"/>
                    <w:spacing w:before="0" w:beforeAutospacing="0" w:after="0" w:afterAutospacing="0"/>
                    <w:ind w:left="0" w:right="0"/>
                    <w:rPr>
                      <w:rFonts w:hint="eastAsia"/>
                      <w:szCs w:val="22"/>
                    </w:rPr>
                  </w:pPr>
                  <w:r>
                    <w:rPr>
                      <w:rFonts w:hint="default"/>
                      <w:szCs w:val="22"/>
                    </w:rPr>
                    <w:t>500μg/m</w:t>
                  </w:r>
                  <w:r>
                    <w:rPr>
                      <w:rFonts w:hint="eastAsia"/>
                      <w:szCs w:val="22"/>
                      <w:vertAlign w:val="superscript"/>
                      <w:lang w:eastAsia="zh-CN"/>
                    </w:rPr>
                    <w:t>3</w:t>
                  </w:r>
                </w:p>
              </w:tc>
              <w:tc>
                <w:tcPr>
                  <w:tcW w:w="2137" w:type="pct"/>
                  <w:vMerge w:val="continue"/>
                  <w:noWrap w:val="0"/>
                  <w:vAlign w:val="center"/>
                </w:tcPr>
                <w:p w14:paraId="24843977">
                  <w:pPr>
                    <w:pStyle w:val="39"/>
                    <w:keepNext w:val="0"/>
                    <w:keepLines w:val="0"/>
                    <w:widowControl/>
                    <w:suppressLineNumbers w:val="0"/>
                    <w:bidi w:val="0"/>
                    <w:spacing w:before="0" w:beforeAutospacing="0" w:after="0" w:afterAutospacing="0"/>
                    <w:ind w:left="0" w:right="0"/>
                    <w:rPr>
                      <w:rFonts w:hint="eastAsia"/>
                      <w:szCs w:val="22"/>
                    </w:rPr>
                  </w:pPr>
                </w:p>
              </w:tc>
            </w:tr>
            <w:tr w14:paraId="716ED98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359" w:type="dxa"/>
                  <w:vMerge w:val="restart"/>
                  <w:noWrap w:val="0"/>
                  <w:vAlign w:val="center"/>
                </w:tcPr>
                <w:p w14:paraId="5B53C6E4">
                  <w:pPr>
                    <w:pStyle w:val="39"/>
                    <w:keepNext w:val="0"/>
                    <w:keepLines w:val="0"/>
                    <w:widowControl/>
                    <w:suppressLineNumbers w:val="0"/>
                    <w:spacing w:before="0" w:beforeAutospacing="0" w:after="0" w:afterAutospacing="0"/>
                    <w:ind w:left="0" w:right="0"/>
                    <w:rPr>
                      <w:rFonts w:hint="eastAsia"/>
                      <w:szCs w:val="22"/>
                    </w:rPr>
                  </w:pPr>
                  <w:r>
                    <w:rPr>
                      <w:rFonts w:hint="default"/>
                      <w:szCs w:val="22"/>
                    </w:rPr>
                    <w:t>CO</w:t>
                  </w:r>
                </w:p>
              </w:tc>
              <w:tc>
                <w:tcPr>
                  <w:tcW w:w="1866" w:type="dxa"/>
                  <w:noWrap w:val="0"/>
                  <w:vAlign w:val="center"/>
                </w:tcPr>
                <w:p w14:paraId="4537CCCF">
                  <w:pPr>
                    <w:pStyle w:val="39"/>
                    <w:keepNext w:val="0"/>
                    <w:keepLines w:val="0"/>
                    <w:widowControl/>
                    <w:suppressLineNumbers w:val="0"/>
                    <w:spacing w:before="0" w:beforeAutospacing="0" w:after="0" w:afterAutospacing="0"/>
                    <w:ind w:left="0" w:right="0"/>
                    <w:rPr>
                      <w:rFonts w:hint="eastAsia"/>
                      <w:szCs w:val="22"/>
                    </w:rPr>
                  </w:pPr>
                  <w:r>
                    <w:rPr>
                      <w:rFonts w:hint="default"/>
                      <w:szCs w:val="22"/>
                    </w:rPr>
                    <w:t>24小时平均</w:t>
                  </w:r>
                </w:p>
              </w:tc>
              <w:tc>
                <w:tcPr>
                  <w:tcW w:w="1338" w:type="dxa"/>
                  <w:noWrap w:val="0"/>
                  <w:vAlign w:val="center"/>
                </w:tcPr>
                <w:p w14:paraId="272855A8">
                  <w:pPr>
                    <w:pStyle w:val="39"/>
                    <w:keepNext w:val="0"/>
                    <w:keepLines w:val="0"/>
                    <w:widowControl/>
                    <w:suppressLineNumbers w:val="0"/>
                    <w:spacing w:before="0" w:beforeAutospacing="0" w:after="0" w:afterAutospacing="0"/>
                    <w:ind w:left="0" w:right="0"/>
                    <w:rPr>
                      <w:rFonts w:hint="eastAsia"/>
                      <w:szCs w:val="22"/>
                    </w:rPr>
                  </w:pPr>
                  <w:r>
                    <w:rPr>
                      <w:rFonts w:hint="default"/>
                      <w:szCs w:val="22"/>
                    </w:rPr>
                    <w:t>4mg/m</w:t>
                  </w:r>
                  <w:r>
                    <w:rPr>
                      <w:rFonts w:hint="eastAsia"/>
                      <w:szCs w:val="22"/>
                      <w:vertAlign w:val="superscript"/>
                      <w:lang w:eastAsia="zh-CN"/>
                    </w:rPr>
                    <w:t>3</w:t>
                  </w:r>
                </w:p>
              </w:tc>
              <w:tc>
                <w:tcPr>
                  <w:tcW w:w="2137" w:type="pct"/>
                  <w:vMerge w:val="continue"/>
                  <w:noWrap w:val="0"/>
                  <w:vAlign w:val="center"/>
                </w:tcPr>
                <w:p w14:paraId="4E11B9C4">
                  <w:pPr>
                    <w:pStyle w:val="39"/>
                    <w:keepNext w:val="0"/>
                    <w:keepLines w:val="0"/>
                    <w:widowControl/>
                    <w:suppressLineNumbers w:val="0"/>
                    <w:bidi w:val="0"/>
                    <w:spacing w:before="0" w:beforeAutospacing="0" w:after="0" w:afterAutospacing="0"/>
                    <w:ind w:left="0" w:right="0"/>
                    <w:rPr>
                      <w:rFonts w:hint="eastAsia"/>
                      <w:szCs w:val="22"/>
                    </w:rPr>
                  </w:pPr>
                </w:p>
              </w:tc>
            </w:tr>
            <w:tr w14:paraId="0267E43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359" w:type="dxa"/>
                  <w:vMerge w:val="continue"/>
                  <w:noWrap w:val="0"/>
                  <w:vAlign w:val="center"/>
                </w:tcPr>
                <w:p w14:paraId="57B9FA39">
                  <w:pPr>
                    <w:pStyle w:val="39"/>
                    <w:keepNext w:val="0"/>
                    <w:keepLines w:val="0"/>
                    <w:widowControl/>
                    <w:suppressLineNumbers w:val="0"/>
                    <w:bidi w:val="0"/>
                    <w:spacing w:before="0" w:beforeAutospacing="0" w:after="0" w:afterAutospacing="0"/>
                    <w:ind w:left="0" w:leftChars="0" w:right="0" w:rightChars="0"/>
                    <w:rPr>
                      <w:rFonts w:hint="eastAsia"/>
                      <w:szCs w:val="22"/>
                    </w:rPr>
                  </w:pPr>
                </w:p>
              </w:tc>
              <w:tc>
                <w:tcPr>
                  <w:tcW w:w="1866" w:type="dxa"/>
                  <w:noWrap w:val="0"/>
                  <w:vAlign w:val="center"/>
                </w:tcPr>
                <w:p w14:paraId="5829FA4B">
                  <w:pPr>
                    <w:pStyle w:val="39"/>
                    <w:keepNext w:val="0"/>
                    <w:keepLines w:val="0"/>
                    <w:widowControl/>
                    <w:suppressLineNumbers w:val="0"/>
                    <w:spacing w:before="0" w:beforeAutospacing="0" w:after="0" w:afterAutospacing="0"/>
                    <w:ind w:left="0" w:right="0"/>
                    <w:rPr>
                      <w:rFonts w:hint="eastAsia"/>
                      <w:szCs w:val="22"/>
                    </w:rPr>
                  </w:pPr>
                  <w:r>
                    <w:rPr>
                      <w:rFonts w:hint="default"/>
                      <w:szCs w:val="22"/>
                    </w:rPr>
                    <w:t>1小时平均</w:t>
                  </w:r>
                </w:p>
              </w:tc>
              <w:tc>
                <w:tcPr>
                  <w:tcW w:w="1338" w:type="dxa"/>
                  <w:noWrap w:val="0"/>
                  <w:vAlign w:val="center"/>
                </w:tcPr>
                <w:p w14:paraId="55FCD85E">
                  <w:pPr>
                    <w:pStyle w:val="39"/>
                    <w:keepNext w:val="0"/>
                    <w:keepLines w:val="0"/>
                    <w:widowControl/>
                    <w:suppressLineNumbers w:val="0"/>
                    <w:spacing w:before="0" w:beforeAutospacing="0" w:after="0" w:afterAutospacing="0"/>
                    <w:ind w:left="0" w:right="0"/>
                    <w:rPr>
                      <w:rFonts w:hint="eastAsia"/>
                      <w:szCs w:val="22"/>
                    </w:rPr>
                  </w:pPr>
                  <w:r>
                    <w:rPr>
                      <w:rFonts w:hint="default"/>
                      <w:szCs w:val="22"/>
                    </w:rPr>
                    <w:t>10mg/m</w:t>
                  </w:r>
                  <w:r>
                    <w:rPr>
                      <w:rFonts w:hint="eastAsia"/>
                      <w:szCs w:val="22"/>
                      <w:vertAlign w:val="superscript"/>
                      <w:lang w:eastAsia="zh-CN"/>
                    </w:rPr>
                    <w:t>3</w:t>
                  </w:r>
                </w:p>
              </w:tc>
              <w:tc>
                <w:tcPr>
                  <w:tcW w:w="2137" w:type="pct"/>
                  <w:vMerge w:val="continue"/>
                  <w:noWrap w:val="0"/>
                  <w:vAlign w:val="center"/>
                </w:tcPr>
                <w:p w14:paraId="6693FBAA">
                  <w:pPr>
                    <w:pStyle w:val="39"/>
                    <w:keepNext w:val="0"/>
                    <w:keepLines w:val="0"/>
                    <w:widowControl/>
                    <w:suppressLineNumbers w:val="0"/>
                    <w:bidi w:val="0"/>
                    <w:spacing w:before="0" w:beforeAutospacing="0" w:after="0" w:afterAutospacing="0"/>
                    <w:ind w:left="0" w:right="0"/>
                    <w:rPr>
                      <w:rFonts w:hint="eastAsia"/>
                      <w:szCs w:val="22"/>
                    </w:rPr>
                  </w:pPr>
                </w:p>
              </w:tc>
            </w:tr>
            <w:tr w14:paraId="0B7F9F7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359" w:type="dxa"/>
                  <w:vMerge w:val="restart"/>
                  <w:noWrap w:val="0"/>
                  <w:vAlign w:val="center"/>
                </w:tcPr>
                <w:p w14:paraId="72C2F283">
                  <w:pPr>
                    <w:pStyle w:val="39"/>
                    <w:keepNext w:val="0"/>
                    <w:keepLines w:val="0"/>
                    <w:widowControl/>
                    <w:suppressLineNumbers w:val="0"/>
                    <w:spacing w:before="0" w:beforeAutospacing="0" w:after="0" w:afterAutospacing="0"/>
                    <w:ind w:left="0" w:right="0"/>
                    <w:rPr>
                      <w:rFonts w:hint="eastAsia"/>
                      <w:szCs w:val="22"/>
                    </w:rPr>
                  </w:pPr>
                  <w:r>
                    <w:rPr>
                      <w:rFonts w:hint="default"/>
                      <w:szCs w:val="22"/>
                    </w:rPr>
                    <w:t>O</w:t>
                  </w:r>
                  <w:r>
                    <w:rPr>
                      <w:rFonts w:hint="default"/>
                      <w:szCs w:val="22"/>
                      <w:vertAlign w:val="subscript"/>
                    </w:rPr>
                    <w:t>3</w:t>
                  </w:r>
                </w:p>
              </w:tc>
              <w:tc>
                <w:tcPr>
                  <w:tcW w:w="1866" w:type="dxa"/>
                  <w:noWrap w:val="0"/>
                  <w:vAlign w:val="center"/>
                </w:tcPr>
                <w:p w14:paraId="75C6BDDD">
                  <w:pPr>
                    <w:pStyle w:val="39"/>
                    <w:keepNext w:val="0"/>
                    <w:keepLines w:val="0"/>
                    <w:widowControl/>
                    <w:suppressLineNumbers w:val="0"/>
                    <w:spacing w:before="0" w:beforeAutospacing="0" w:after="0" w:afterAutospacing="0"/>
                    <w:ind w:left="0" w:right="0"/>
                    <w:rPr>
                      <w:rFonts w:hint="eastAsia"/>
                      <w:szCs w:val="22"/>
                    </w:rPr>
                  </w:pPr>
                  <w:r>
                    <w:rPr>
                      <w:rFonts w:hint="default"/>
                      <w:szCs w:val="22"/>
                    </w:rPr>
                    <w:t>日最大8小时平均</w:t>
                  </w:r>
                </w:p>
              </w:tc>
              <w:tc>
                <w:tcPr>
                  <w:tcW w:w="1338" w:type="dxa"/>
                  <w:noWrap w:val="0"/>
                  <w:vAlign w:val="center"/>
                </w:tcPr>
                <w:p w14:paraId="478FE571">
                  <w:pPr>
                    <w:pStyle w:val="39"/>
                    <w:keepNext w:val="0"/>
                    <w:keepLines w:val="0"/>
                    <w:widowControl/>
                    <w:suppressLineNumbers w:val="0"/>
                    <w:spacing w:before="0" w:beforeAutospacing="0" w:after="0" w:afterAutospacing="0"/>
                    <w:ind w:left="0" w:right="0"/>
                    <w:rPr>
                      <w:rFonts w:hint="eastAsia"/>
                      <w:szCs w:val="22"/>
                    </w:rPr>
                  </w:pPr>
                  <w:r>
                    <w:rPr>
                      <w:rFonts w:hint="default"/>
                      <w:szCs w:val="22"/>
                    </w:rPr>
                    <w:t>160μg/m</w:t>
                  </w:r>
                  <w:r>
                    <w:rPr>
                      <w:rFonts w:hint="eastAsia"/>
                      <w:szCs w:val="22"/>
                      <w:vertAlign w:val="superscript"/>
                      <w:lang w:eastAsia="zh-CN"/>
                    </w:rPr>
                    <w:t>3</w:t>
                  </w:r>
                </w:p>
              </w:tc>
              <w:tc>
                <w:tcPr>
                  <w:tcW w:w="2137" w:type="pct"/>
                  <w:vMerge w:val="continue"/>
                  <w:noWrap w:val="0"/>
                  <w:vAlign w:val="center"/>
                </w:tcPr>
                <w:p w14:paraId="1F3EF4AC">
                  <w:pPr>
                    <w:pStyle w:val="39"/>
                    <w:keepNext w:val="0"/>
                    <w:keepLines w:val="0"/>
                    <w:widowControl/>
                    <w:suppressLineNumbers w:val="0"/>
                    <w:bidi w:val="0"/>
                    <w:spacing w:before="0" w:beforeAutospacing="0" w:after="0" w:afterAutospacing="0"/>
                    <w:ind w:left="0" w:right="0"/>
                    <w:rPr>
                      <w:rFonts w:hint="eastAsia"/>
                      <w:szCs w:val="22"/>
                    </w:rPr>
                  </w:pPr>
                </w:p>
              </w:tc>
            </w:tr>
            <w:tr w14:paraId="24DE357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359" w:type="dxa"/>
                  <w:vMerge w:val="continue"/>
                  <w:noWrap w:val="0"/>
                  <w:vAlign w:val="center"/>
                </w:tcPr>
                <w:p w14:paraId="767E8192">
                  <w:pPr>
                    <w:pStyle w:val="39"/>
                    <w:keepNext w:val="0"/>
                    <w:keepLines w:val="0"/>
                    <w:widowControl/>
                    <w:suppressLineNumbers w:val="0"/>
                    <w:bidi w:val="0"/>
                    <w:spacing w:before="0" w:beforeAutospacing="0" w:after="0" w:afterAutospacing="0"/>
                    <w:ind w:left="0" w:leftChars="0" w:right="0" w:rightChars="0"/>
                    <w:rPr>
                      <w:rFonts w:hint="eastAsia"/>
                      <w:szCs w:val="22"/>
                    </w:rPr>
                  </w:pPr>
                </w:p>
              </w:tc>
              <w:tc>
                <w:tcPr>
                  <w:tcW w:w="1866" w:type="dxa"/>
                  <w:noWrap w:val="0"/>
                  <w:vAlign w:val="center"/>
                </w:tcPr>
                <w:p w14:paraId="47F38FA7">
                  <w:pPr>
                    <w:pStyle w:val="39"/>
                    <w:keepNext w:val="0"/>
                    <w:keepLines w:val="0"/>
                    <w:widowControl/>
                    <w:suppressLineNumbers w:val="0"/>
                    <w:spacing w:before="0" w:beforeAutospacing="0" w:after="0" w:afterAutospacing="0"/>
                    <w:ind w:left="0" w:right="0"/>
                    <w:rPr>
                      <w:rFonts w:hint="eastAsia"/>
                      <w:szCs w:val="22"/>
                    </w:rPr>
                  </w:pPr>
                  <w:r>
                    <w:rPr>
                      <w:rFonts w:hint="default"/>
                      <w:szCs w:val="22"/>
                    </w:rPr>
                    <w:t>1小时平均</w:t>
                  </w:r>
                </w:p>
              </w:tc>
              <w:tc>
                <w:tcPr>
                  <w:tcW w:w="1338" w:type="dxa"/>
                  <w:noWrap w:val="0"/>
                  <w:vAlign w:val="center"/>
                </w:tcPr>
                <w:p w14:paraId="703C786E">
                  <w:pPr>
                    <w:pStyle w:val="39"/>
                    <w:keepNext w:val="0"/>
                    <w:keepLines w:val="0"/>
                    <w:widowControl/>
                    <w:suppressLineNumbers w:val="0"/>
                    <w:spacing w:before="0" w:beforeAutospacing="0" w:after="0" w:afterAutospacing="0"/>
                    <w:ind w:left="0" w:right="0"/>
                    <w:rPr>
                      <w:rFonts w:hint="eastAsia"/>
                      <w:szCs w:val="22"/>
                    </w:rPr>
                  </w:pPr>
                  <w:r>
                    <w:rPr>
                      <w:rFonts w:hint="default"/>
                      <w:szCs w:val="22"/>
                    </w:rPr>
                    <w:t>200μg/m</w:t>
                  </w:r>
                  <w:r>
                    <w:rPr>
                      <w:rFonts w:hint="eastAsia"/>
                      <w:szCs w:val="22"/>
                      <w:vertAlign w:val="superscript"/>
                      <w:lang w:eastAsia="zh-CN"/>
                    </w:rPr>
                    <w:t>3</w:t>
                  </w:r>
                </w:p>
              </w:tc>
              <w:tc>
                <w:tcPr>
                  <w:tcW w:w="2137" w:type="pct"/>
                  <w:vMerge w:val="continue"/>
                  <w:noWrap w:val="0"/>
                  <w:vAlign w:val="center"/>
                </w:tcPr>
                <w:p w14:paraId="597A2733">
                  <w:pPr>
                    <w:pStyle w:val="39"/>
                    <w:keepNext w:val="0"/>
                    <w:keepLines w:val="0"/>
                    <w:widowControl/>
                    <w:suppressLineNumbers w:val="0"/>
                    <w:bidi w:val="0"/>
                    <w:spacing w:before="0" w:beforeAutospacing="0" w:after="0" w:afterAutospacing="0"/>
                    <w:ind w:left="0" w:right="0"/>
                    <w:rPr>
                      <w:rFonts w:hint="eastAsia"/>
                      <w:szCs w:val="22"/>
                    </w:rPr>
                  </w:pPr>
                </w:p>
              </w:tc>
            </w:tr>
            <w:tr w14:paraId="223925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359" w:type="dxa"/>
                  <w:vMerge w:val="restart"/>
                  <w:noWrap w:val="0"/>
                  <w:vAlign w:val="center"/>
                </w:tcPr>
                <w:p w14:paraId="31BBD95E">
                  <w:pPr>
                    <w:pStyle w:val="39"/>
                    <w:keepNext w:val="0"/>
                    <w:keepLines w:val="0"/>
                    <w:widowControl/>
                    <w:suppressLineNumbers w:val="0"/>
                    <w:spacing w:before="0" w:beforeAutospacing="0" w:after="0" w:afterAutospacing="0"/>
                    <w:ind w:left="0" w:right="0"/>
                    <w:rPr>
                      <w:rFonts w:hint="eastAsia"/>
                      <w:szCs w:val="22"/>
                    </w:rPr>
                  </w:pPr>
                  <w:r>
                    <w:rPr>
                      <w:rFonts w:hint="default"/>
                      <w:szCs w:val="22"/>
                    </w:rPr>
                    <w:t>NO</w:t>
                  </w:r>
                  <w:r>
                    <w:rPr>
                      <w:rFonts w:hint="default"/>
                      <w:szCs w:val="22"/>
                      <w:vertAlign w:val="subscript"/>
                    </w:rPr>
                    <w:t>2</w:t>
                  </w:r>
                </w:p>
              </w:tc>
              <w:tc>
                <w:tcPr>
                  <w:tcW w:w="1866" w:type="dxa"/>
                  <w:noWrap w:val="0"/>
                  <w:vAlign w:val="center"/>
                </w:tcPr>
                <w:p w14:paraId="5BBE9639">
                  <w:pPr>
                    <w:pStyle w:val="39"/>
                    <w:keepNext w:val="0"/>
                    <w:keepLines w:val="0"/>
                    <w:widowControl/>
                    <w:suppressLineNumbers w:val="0"/>
                    <w:spacing w:before="0" w:beforeAutospacing="0" w:after="0" w:afterAutospacing="0"/>
                    <w:ind w:left="0" w:right="0"/>
                    <w:rPr>
                      <w:rFonts w:hint="eastAsia"/>
                      <w:szCs w:val="22"/>
                    </w:rPr>
                  </w:pPr>
                  <w:r>
                    <w:rPr>
                      <w:rFonts w:hint="default"/>
                      <w:szCs w:val="22"/>
                    </w:rPr>
                    <w:t>年平均</w:t>
                  </w:r>
                </w:p>
              </w:tc>
              <w:tc>
                <w:tcPr>
                  <w:tcW w:w="1338" w:type="dxa"/>
                  <w:noWrap w:val="0"/>
                  <w:vAlign w:val="center"/>
                </w:tcPr>
                <w:p w14:paraId="5B7421F0">
                  <w:pPr>
                    <w:pStyle w:val="39"/>
                    <w:keepNext w:val="0"/>
                    <w:keepLines w:val="0"/>
                    <w:widowControl/>
                    <w:suppressLineNumbers w:val="0"/>
                    <w:spacing w:before="0" w:beforeAutospacing="0" w:after="0" w:afterAutospacing="0"/>
                    <w:ind w:left="0" w:right="0"/>
                    <w:rPr>
                      <w:rFonts w:hint="eastAsia"/>
                      <w:szCs w:val="22"/>
                    </w:rPr>
                  </w:pPr>
                  <w:r>
                    <w:rPr>
                      <w:rFonts w:hint="default"/>
                      <w:szCs w:val="22"/>
                    </w:rPr>
                    <w:t>40μg/m</w:t>
                  </w:r>
                  <w:r>
                    <w:rPr>
                      <w:rFonts w:hint="eastAsia"/>
                      <w:szCs w:val="22"/>
                      <w:vertAlign w:val="superscript"/>
                      <w:lang w:eastAsia="zh-CN"/>
                    </w:rPr>
                    <w:t>3</w:t>
                  </w:r>
                </w:p>
              </w:tc>
              <w:tc>
                <w:tcPr>
                  <w:tcW w:w="2137" w:type="pct"/>
                  <w:vMerge w:val="continue"/>
                  <w:noWrap w:val="0"/>
                  <w:vAlign w:val="center"/>
                </w:tcPr>
                <w:p w14:paraId="0C892A87">
                  <w:pPr>
                    <w:pStyle w:val="39"/>
                    <w:keepNext w:val="0"/>
                    <w:keepLines w:val="0"/>
                    <w:widowControl/>
                    <w:suppressLineNumbers w:val="0"/>
                    <w:bidi w:val="0"/>
                    <w:spacing w:before="0" w:beforeAutospacing="0" w:after="0" w:afterAutospacing="0"/>
                    <w:ind w:left="0" w:right="0"/>
                    <w:rPr>
                      <w:rFonts w:hint="eastAsia"/>
                      <w:szCs w:val="22"/>
                    </w:rPr>
                  </w:pPr>
                </w:p>
              </w:tc>
            </w:tr>
            <w:tr w14:paraId="3AB1419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359" w:type="dxa"/>
                  <w:vMerge w:val="continue"/>
                  <w:noWrap w:val="0"/>
                  <w:vAlign w:val="center"/>
                </w:tcPr>
                <w:p w14:paraId="1B5F34A0">
                  <w:pPr>
                    <w:pStyle w:val="39"/>
                    <w:keepNext w:val="0"/>
                    <w:keepLines w:val="0"/>
                    <w:widowControl/>
                    <w:suppressLineNumbers w:val="0"/>
                    <w:bidi w:val="0"/>
                    <w:spacing w:before="0" w:beforeAutospacing="0" w:after="0" w:afterAutospacing="0"/>
                    <w:ind w:left="0" w:leftChars="0" w:right="0" w:rightChars="0"/>
                    <w:rPr>
                      <w:rFonts w:hint="eastAsia"/>
                      <w:szCs w:val="22"/>
                    </w:rPr>
                  </w:pPr>
                </w:p>
              </w:tc>
              <w:tc>
                <w:tcPr>
                  <w:tcW w:w="1866" w:type="dxa"/>
                  <w:noWrap w:val="0"/>
                  <w:vAlign w:val="center"/>
                </w:tcPr>
                <w:p w14:paraId="161C1D8D">
                  <w:pPr>
                    <w:pStyle w:val="39"/>
                    <w:keepNext w:val="0"/>
                    <w:keepLines w:val="0"/>
                    <w:widowControl/>
                    <w:suppressLineNumbers w:val="0"/>
                    <w:spacing w:before="0" w:beforeAutospacing="0" w:after="0" w:afterAutospacing="0"/>
                    <w:ind w:left="0" w:right="0"/>
                    <w:rPr>
                      <w:rFonts w:hint="eastAsia"/>
                      <w:szCs w:val="22"/>
                    </w:rPr>
                  </w:pPr>
                  <w:r>
                    <w:rPr>
                      <w:rFonts w:hint="default"/>
                      <w:szCs w:val="22"/>
                    </w:rPr>
                    <w:t>24小时平均</w:t>
                  </w:r>
                </w:p>
              </w:tc>
              <w:tc>
                <w:tcPr>
                  <w:tcW w:w="1338" w:type="dxa"/>
                  <w:noWrap w:val="0"/>
                  <w:vAlign w:val="center"/>
                </w:tcPr>
                <w:p w14:paraId="1AB4E133">
                  <w:pPr>
                    <w:pStyle w:val="39"/>
                    <w:keepNext w:val="0"/>
                    <w:keepLines w:val="0"/>
                    <w:widowControl/>
                    <w:suppressLineNumbers w:val="0"/>
                    <w:spacing w:before="0" w:beforeAutospacing="0" w:after="0" w:afterAutospacing="0"/>
                    <w:ind w:left="0" w:right="0"/>
                    <w:rPr>
                      <w:rFonts w:hint="eastAsia"/>
                      <w:szCs w:val="22"/>
                    </w:rPr>
                  </w:pPr>
                  <w:r>
                    <w:rPr>
                      <w:rFonts w:hint="default"/>
                      <w:szCs w:val="22"/>
                    </w:rPr>
                    <w:t>80μg/m</w:t>
                  </w:r>
                  <w:r>
                    <w:rPr>
                      <w:rFonts w:hint="eastAsia"/>
                      <w:szCs w:val="22"/>
                      <w:vertAlign w:val="superscript"/>
                      <w:lang w:eastAsia="zh-CN"/>
                    </w:rPr>
                    <w:t>3</w:t>
                  </w:r>
                </w:p>
              </w:tc>
              <w:tc>
                <w:tcPr>
                  <w:tcW w:w="2137" w:type="pct"/>
                  <w:vMerge w:val="continue"/>
                  <w:noWrap w:val="0"/>
                  <w:vAlign w:val="center"/>
                </w:tcPr>
                <w:p w14:paraId="10146A56">
                  <w:pPr>
                    <w:pStyle w:val="39"/>
                    <w:keepNext w:val="0"/>
                    <w:keepLines w:val="0"/>
                    <w:widowControl/>
                    <w:suppressLineNumbers w:val="0"/>
                    <w:bidi w:val="0"/>
                    <w:spacing w:before="0" w:beforeAutospacing="0" w:after="0" w:afterAutospacing="0"/>
                    <w:ind w:left="0" w:right="0"/>
                    <w:rPr>
                      <w:rFonts w:hint="eastAsia"/>
                      <w:szCs w:val="22"/>
                    </w:rPr>
                  </w:pPr>
                </w:p>
              </w:tc>
            </w:tr>
            <w:tr w14:paraId="657A552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359" w:type="dxa"/>
                  <w:vMerge w:val="continue"/>
                  <w:noWrap w:val="0"/>
                  <w:vAlign w:val="center"/>
                </w:tcPr>
                <w:p w14:paraId="126833CB">
                  <w:pPr>
                    <w:pStyle w:val="39"/>
                    <w:keepNext w:val="0"/>
                    <w:keepLines w:val="0"/>
                    <w:widowControl/>
                    <w:suppressLineNumbers w:val="0"/>
                    <w:bidi w:val="0"/>
                    <w:spacing w:before="0" w:beforeAutospacing="0" w:after="0" w:afterAutospacing="0"/>
                    <w:ind w:left="0" w:leftChars="0" w:right="0" w:rightChars="0"/>
                    <w:rPr>
                      <w:rFonts w:hint="eastAsia"/>
                      <w:szCs w:val="22"/>
                    </w:rPr>
                  </w:pPr>
                </w:p>
              </w:tc>
              <w:tc>
                <w:tcPr>
                  <w:tcW w:w="1866" w:type="dxa"/>
                  <w:noWrap w:val="0"/>
                  <w:vAlign w:val="center"/>
                </w:tcPr>
                <w:p w14:paraId="6B240ECC">
                  <w:pPr>
                    <w:pStyle w:val="39"/>
                    <w:keepNext w:val="0"/>
                    <w:keepLines w:val="0"/>
                    <w:widowControl/>
                    <w:suppressLineNumbers w:val="0"/>
                    <w:spacing w:before="0" w:beforeAutospacing="0" w:after="0" w:afterAutospacing="0"/>
                    <w:ind w:left="0" w:right="0"/>
                    <w:rPr>
                      <w:rFonts w:hint="eastAsia"/>
                      <w:szCs w:val="22"/>
                    </w:rPr>
                  </w:pPr>
                  <w:r>
                    <w:rPr>
                      <w:rFonts w:hint="default"/>
                      <w:szCs w:val="22"/>
                    </w:rPr>
                    <w:t>1小时平均</w:t>
                  </w:r>
                </w:p>
              </w:tc>
              <w:tc>
                <w:tcPr>
                  <w:tcW w:w="1338" w:type="dxa"/>
                  <w:noWrap w:val="0"/>
                  <w:vAlign w:val="center"/>
                </w:tcPr>
                <w:p w14:paraId="7F91029F">
                  <w:pPr>
                    <w:pStyle w:val="39"/>
                    <w:keepNext w:val="0"/>
                    <w:keepLines w:val="0"/>
                    <w:widowControl/>
                    <w:suppressLineNumbers w:val="0"/>
                    <w:spacing w:before="0" w:beforeAutospacing="0" w:after="0" w:afterAutospacing="0"/>
                    <w:ind w:left="0" w:right="0"/>
                    <w:rPr>
                      <w:rFonts w:hint="eastAsia"/>
                      <w:szCs w:val="22"/>
                    </w:rPr>
                  </w:pPr>
                  <w:r>
                    <w:rPr>
                      <w:rFonts w:hint="default"/>
                      <w:szCs w:val="22"/>
                    </w:rPr>
                    <w:t>200μg/m</w:t>
                  </w:r>
                  <w:r>
                    <w:rPr>
                      <w:rFonts w:hint="eastAsia"/>
                      <w:szCs w:val="22"/>
                      <w:vertAlign w:val="superscript"/>
                      <w:lang w:eastAsia="zh-CN"/>
                    </w:rPr>
                    <w:t>3</w:t>
                  </w:r>
                </w:p>
              </w:tc>
              <w:tc>
                <w:tcPr>
                  <w:tcW w:w="2137" w:type="pct"/>
                  <w:vMerge w:val="continue"/>
                  <w:noWrap w:val="0"/>
                  <w:vAlign w:val="center"/>
                </w:tcPr>
                <w:p w14:paraId="4A432A2B">
                  <w:pPr>
                    <w:pStyle w:val="39"/>
                    <w:keepNext w:val="0"/>
                    <w:keepLines w:val="0"/>
                    <w:widowControl/>
                    <w:suppressLineNumbers w:val="0"/>
                    <w:bidi w:val="0"/>
                    <w:spacing w:before="0" w:beforeAutospacing="0" w:after="0" w:afterAutospacing="0"/>
                    <w:ind w:left="0" w:right="0"/>
                    <w:rPr>
                      <w:rFonts w:hint="eastAsia"/>
                      <w:szCs w:val="22"/>
                    </w:rPr>
                  </w:pPr>
                </w:p>
              </w:tc>
            </w:tr>
            <w:tr w14:paraId="3DF290D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359" w:type="dxa"/>
                  <w:vMerge w:val="restart"/>
                  <w:noWrap w:val="0"/>
                  <w:vAlign w:val="center"/>
                </w:tcPr>
                <w:p w14:paraId="34FE526D">
                  <w:pPr>
                    <w:pStyle w:val="39"/>
                    <w:keepNext w:val="0"/>
                    <w:keepLines w:val="0"/>
                    <w:widowControl/>
                    <w:suppressLineNumbers w:val="0"/>
                    <w:spacing w:before="0" w:beforeAutospacing="0" w:after="0" w:afterAutospacing="0"/>
                    <w:ind w:left="0" w:right="0"/>
                    <w:rPr>
                      <w:rFonts w:hint="default" w:eastAsia="宋体"/>
                      <w:szCs w:val="22"/>
                      <w:lang w:val="en-US" w:eastAsia="zh-CN"/>
                    </w:rPr>
                  </w:pPr>
                  <w:r>
                    <w:rPr>
                      <w:rFonts w:hint="eastAsia"/>
                      <w:szCs w:val="22"/>
                      <w:lang w:val="en-US" w:eastAsia="zh-CN"/>
                    </w:rPr>
                    <w:t>TSP</w:t>
                  </w:r>
                </w:p>
              </w:tc>
              <w:tc>
                <w:tcPr>
                  <w:tcW w:w="1866" w:type="dxa"/>
                  <w:noWrap w:val="0"/>
                  <w:vAlign w:val="center"/>
                </w:tcPr>
                <w:p w14:paraId="5931D663">
                  <w:pPr>
                    <w:pStyle w:val="39"/>
                    <w:keepNext w:val="0"/>
                    <w:keepLines w:val="0"/>
                    <w:widowControl/>
                    <w:suppressLineNumbers w:val="0"/>
                    <w:spacing w:before="0" w:beforeAutospacing="0" w:after="0" w:afterAutospacing="0"/>
                    <w:ind w:left="0" w:right="0"/>
                    <w:rPr>
                      <w:rFonts w:hint="eastAsia"/>
                      <w:szCs w:val="22"/>
                    </w:rPr>
                  </w:pPr>
                  <w:r>
                    <w:rPr>
                      <w:rFonts w:hint="default"/>
                      <w:szCs w:val="22"/>
                    </w:rPr>
                    <w:t>年平均</w:t>
                  </w:r>
                </w:p>
              </w:tc>
              <w:tc>
                <w:tcPr>
                  <w:tcW w:w="1338" w:type="dxa"/>
                  <w:noWrap w:val="0"/>
                  <w:vAlign w:val="center"/>
                </w:tcPr>
                <w:p w14:paraId="4B01C0C7">
                  <w:pPr>
                    <w:pStyle w:val="39"/>
                    <w:keepNext w:val="0"/>
                    <w:keepLines w:val="0"/>
                    <w:widowControl/>
                    <w:suppressLineNumbers w:val="0"/>
                    <w:spacing w:before="0" w:beforeAutospacing="0" w:after="0" w:afterAutospacing="0"/>
                    <w:ind w:left="0" w:right="0"/>
                    <w:rPr>
                      <w:rFonts w:hint="eastAsia"/>
                      <w:szCs w:val="22"/>
                    </w:rPr>
                  </w:pPr>
                  <w:r>
                    <w:rPr>
                      <w:rFonts w:hint="default"/>
                      <w:szCs w:val="22"/>
                    </w:rPr>
                    <w:t>200μg/m³</w:t>
                  </w:r>
                </w:p>
              </w:tc>
              <w:tc>
                <w:tcPr>
                  <w:tcW w:w="2137" w:type="pct"/>
                  <w:vMerge w:val="continue"/>
                  <w:noWrap w:val="0"/>
                  <w:vAlign w:val="center"/>
                </w:tcPr>
                <w:p w14:paraId="01631728">
                  <w:pPr>
                    <w:pStyle w:val="39"/>
                    <w:keepNext w:val="0"/>
                    <w:keepLines w:val="0"/>
                    <w:widowControl/>
                    <w:suppressLineNumbers w:val="0"/>
                    <w:bidi w:val="0"/>
                    <w:spacing w:before="0" w:beforeAutospacing="0" w:after="0" w:afterAutospacing="0"/>
                    <w:ind w:left="0" w:right="0"/>
                    <w:rPr>
                      <w:rFonts w:hint="eastAsia"/>
                      <w:szCs w:val="22"/>
                    </w:rPr>
                  </w:pPr>
                </w:p>
              </w:tc>
            </w:tr>
            <w:tr w14:paraId="76A7578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1359" w:type="dxa"/>
                  <w:vMerge w:val="continue"/>
                  <w:noWrap w:val="0"/>
                  <w:vAlign w:val="center"/>
                </w:tcPr>
                <w:p w14:paraId="515CADDE">
                  <w:pPr>
                    <w:pStyle w:val="39"/>
                    <w:keepNext w:val="0"/>
                    <w:keepLines w:val="0"/>
                    <w:widowControl/>
                    <w:suppressLineNumbers w:val="0"/>
                    <w:bidi w:val="0"/>
                    <w:spacing w:before="0" w:beforeAutospacing="0" w:after="0" w:afterAutospacing="0"/>
                    <w:ind w:left="0" w:leftChars="0" w:right="0" w:rightChars="0"/>
                    <w:rPr>
                      <w:rFonts w:hint="eastAsia"/>
                      <w:szCs w:val="22"/>
                    </w:rPr>
                  </w:pPr>
                </w:p>
              </w:tc>
              <w:tc>
                <w:tcPr>
                  <w:tcW w:w="1866" w:type="dxa"/>
                  <w:noWrap w:val="0"/>
                  <w:vAlign w:val="center"/>
                </w:tcPr>
                <w:p w14:paraId="6F21D946">
                  <w:pPr>
                    <w:pStyle w:val="39"/>
                    <w:keepNext w:val="0"/>
                    <w:keepLines w:val="0"/>
                    <w:widowControl/>
                    <w:suppressLineNumbers w:val="0"/>
                    <w:spacing w:before="0" w:beforeAutospacing="0" w:after="0" w:afterAutospacing="0"/>
                    <w:ind w:left="0" w:right="0"/>
                    <w:rPr>
                      <w:rFonts w:hint="eastAsia"/>
                      <w:szCs w:val="22"/>
                    </w:rPr>
                  </w:pPr>
                  <w:r>
                    <w:rPr>
                      <w:rFonts w:hint="default"/>
                      <w:szCs w:val="22"/>
                    </w:rPr>
                    <w:t>24小时平均</w:t>
                  </w:r>
                </w:p>
              </w:tc>
              <w:tc>
                <w:tcPr>
                  <w:tcW w:w="1338" w:type="dxa"/>
                  <w:noWrap w:val="0"/>
                  <w:vAlign w:val="center"/>
                </w:tcPr>
                <w:p w14:paraId="6C8696E6">
                  <w:pPr>
                    <w:pStyle w:val="39"/>
                    <w:keepNext w:val="0"/>
                    <w:keepLines w:val="0"/>
                    <w:widowControl/>
                    <w:suppressLineNumbers w:val="0"/>
                    <w:spacing w:before="0" w:beforeAutospacing="0" w:after="0" w:afterAutospacing="0"/>
                    <w:ind w:left="0" w:right="0"/>
                    <w:rPr>
                      <w:rFonts w:hint="eastAsia"/>
                      <w:szCs w:val="22"/>
                    </w:rPr>
                  </w:pPr>
                  <w:r>
                    <w:rPr>
                      <w:rFonts w:hint="default"/>
                      <w:szCs w:val="22"/>
                    </w:rPr>
                    <w:t>300μg/m³</w:t>
                  </w:r>
                </w:p>
              </w:tc>
              <w:tc>
                <w:tcPr>
                  <w:tcW w:w="2137" w:type="pct"/>
                  <w:vMerge w:val="continue"/>
                  <w:noWrap w:val="0"/>
                  <w:vAlign w:val="center"/>
                </w:tcPr>
                <w:p w14:paraId="2826F649">
                  <w:pPr>
                    <w:pStyle w:val="39"/>
                    <w:keepNext w:val="0"/>
                    <w:keepLines w:val="0"/>
                    <w:widowControl/>
                    <w:suppressLineNumbers w:val="0"/>
                    <w:bidi w:val="0"/>
                    <w:spacing w:before="0" w:beforeAutospacing="0" w:after="0" w:afterAutospacing="0"/>
                    <w:ind w:left="0" w:right="0"/>
                    <w:rPr>
                      <w:rFonts w:hint="eastAsia"/>
                      <w:szCs w:val="22"/>
                    </w:rPr>
                  </w:pPr>
                </w:p>
              </w:tc>
            </w:tr>
            <w:tr w14:paraId="55AF8A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noWrap w:val="0"/>
                  <w:vAlign w:val="center"/>
                </w:tcPr>
                <w:p w14:paraId="6447575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非甲烷总烃</w:t>
                  </w:r>
                </w:p>
              </w:tc>
              <w:tc>
                <w:tcPr>
                  <w:tcW w:w="1170" w:type="pct"/>
                  <w:noWrap w:val="0"/>
                  <w:vAlign w:val="center"/>
                </w:tcPr>
                <w:p w14:paraId="26AF46B8">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1小时均值</w:t>
                  </w:r>
                </w:p>
              </w:tc>
              <w:tc>
                <w:tcPr>
                  <w:tcW w:w="839" w:type="pct"/>
                  <w:noWrap w:val="0"/>
                  <w:vAlign w:val="center"/>
                </w:tcPr>
                <w:p w14:paraId="24E7BBE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2.0mg/m</w:t>
                  </w:r>
                  <w:r>
                    <w:rPr>
                      <w:rFonts w:hint="eastAsia"/>
                      <w:szCs w:val="22"/>
                      <w:vertAlign w:val="superscript"/>
                    </w:rPr>
                    <w:t>3</w:t>
                  </w:r>
                </w:p>
              </w:tc>
              <w:tc>
                <w:tcPr>
                  <w:tcW w:w="2137" w:type="pct"/>
                  <w:noWrap w:val="0"/>
                  <w:vAlign w:val="center"/>
                </w:tcPr>
                <w:p w14:paraId="43FD8584">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《大气污染物综合排放标准详解》</w:t>
                  </w:r>
                  <w:r>
                    <w:rPr>
                      <w:rFonts w:hint="eastAsia"/>
                      <w:szCs w:val="22"/>
                      <w:lang w:eastAsia="zh-CN"/>
                    </w:rPr>
                    <w:t>（</w:t>
                  </w:r>
                  <w:r>
                    <w:rPr>
                      <w:rFonts w:hint="eastAsia"/>
                      <w:szCs w:val="22"/>
                    </w:rPr>
                    <w:t>GB16297-1996</w:t>
                  </w:r>
                  <w:r>
                    <w:rPr>
                      <w:rFonts w:hint="eastAsia"/>
                      <w:szCs w:val="22"/>
                      <w:lang w:eastAsia="zh-CN"/>
                    </w:rPr>
                    <w:t>）</w:t>
                  </w:r>
                </w:p>
              </w:tc>
            </w:tr>
            <w:bookmarkEnd w:id="21"/>
            <w:bookmarkEnd w:id="22"/>
          </w:tbl>
          <w:p w14:paraId="7C494389">
            <w:pPr>
              <w:pStyle w:val="4"/>
              <w:suppressLineNumbers w:val="0"/>
              <w:bidi w:val="0"/>
              <w:spacing w:before="0" w:beforeAutospacing="0" w:after="0" w:afterAutospacing="0"/>
              <w:ind w:left="0" w:right="0"/>
              <w:rPr>
                <w:rFonts w:hint="eastAsia"/>
              </w:rPr>
            </w:pPr>
            <w:r>
              <w:rPr>
                <w:rFonts w:hint="eastAsia"/>
              </w:rPr>
              <w:t>区域大气环境质量现状</w:t>
            </w:r>
          </w:p>
          <w:p w14:paraId="00154BDD">
            <w:pPr>
              <w:keepNext w:val="0"/>
              <w:keepLines w:val="0"/>
              <w:suppressLineNumbers w:val="0"/>
              <w:bidi w:val="0"/>
              <w:spacing w:before="0" w:beforeAutospacing="0" w:after="0" w:afterAutospacing="0"/>
              <w:ind w:left="0" w:right="0"/>
              <w:rPr>
                <w:rFonts w:hint="eastAsia"/>
              </w:rPr>
            </w:pPr>
            <w:r>
              <w:rPr>
                <w:rFonts w:hint="eastAsia"/>
                <w:lang w:eastAsia="zh-CN"/>
              </w:rPr>
              <w:t>（</w:t>
            </w:r>
            <w:r>
              <w:rPr>
                <w:rFonts w:hint="eastAsia"/>
              </w:rPr>
              <w:t>1</w:t>
            </w:r>
            <w:r>
              <w:rPr>
                <w:rFonts w:hint="eastAsia"/>
                <w:lang w:eastAsia="zh-CN"/>
              </w:rPr>
              <w:t>）</w:t>
            </w:r>
            <w:r>
              <w:rPr>
                <w:rFonts w:hint="eastAsia"/>
              </w:rPr>
              <w:t>项目所在区域环境质量现状</w:t>
            </w:r>
          </w:p>
          <w:p w14:paraId="7B22453E">
            <w:pPr>
              <w:keepNext w:val="0"/>
              <w:keepLines w:val="0"/>
              <w:suppressLineNumbers w:val="0"/>
              <w:bidi w:val="0"/>
              <w:spacing w:before="0" w:beforeAutospacing="0" w:after="0" w:afterAutospacing="0"/>
              <w:ind w:left="0" w:right="0"/>
              <w:rPr>
                <w:rFonts w:hint="default"/>
                <w:lang w:eastAsia="zh-CN"/>
              </w:rPr>
            </w:pPr>
            <w:r>
              <w:rPr>
                <w:rFonts w:hint="eastAsia"/>
                <w:lang w:val="en-US" w:eastAsia="zh-CN"/>
              </w:rPr>
              <w:t>1）</w:t>
            </w:r>
            <w:r>
              <w:rPr>
                <w:rFonts w:hint="eastAsia"/>
              </w:rPr>
              <w:t>常规污染因子</w:t>
            </w:r>
          </w:p>
          <w:p w14:paraId="24D033BA">
            <w:pPr>
              <w:keepNext w:val="0"/>
              <w:keepLines w:val="0"/>
              <w:pageBreakBefore w:val="0"/>
              <w:widowControl w:val="0"/>
              <w:suppressLineNumbers w:val="0"/>
              <w:tabs>
                <w:tab w:val="left" w:pos="0"/>
              </w:tabs>
              <w:kinsoku/>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城市环境空气质量达标情况评价指标为SO</w:t>
            </w:r>
            <w:r>
              <w:rPr>
                <w:rFonts w:hint="eastAsia" w:ascii="Times New Roman" w:hAnsi="Times New Roman" w:eastAsia="宋体" w:cs="宋体"/>
                <w:color w:val="auto"/>
                <w:kern w:val="0"/>
                <w:sz w:val="24"/>
                <w:szCs w:val="20"/>
                <w:highlight w:val="none"/>
                <w:vertAlign w:val="subscript"/>
                <w:lang w:val="en-US" w:eastAsia="zh-CN" w:bidi="ar-SA"/>
              </w:rPr>
              <w:t>2</w:t>
            </w:r>
            <w:r>
              <w:rPr>
                <w:rFonts w:hint="eastAsia" w:ascii="Times New Roman" w:hAnsi="Times New Roman" w:eastAsia="宋体" w:cs="宋体"/>
                <w:color w:val="auto"/>
                <w:kern w:val="0"/>
                <w:sz w:val="24"/>
                <w:szCs w:val="20"/>
                <w:highlight w:val="none"/>
                <w:lang w:val="en-US" w:eastAsia="zh-CN" w:bidi="ar-SA"/>
              </w:rPr>
              <w:t>、NO</w:t>
            </w:r>
            <w:r>
              <w:rPr>
                <w:rFonts w:hint="eastAsia" w:ascii="Times New Roman" w:hAnsi="Times New Roman" w:eastAsia="宋体" w:cs="宋体"/>
                <w:color w:val="auto"/>
                <w:kern w:val="0"/>
                <w:sz w:val="24"/>
                <w:szCs w:val="20"/>
                <w:highlight w:val="none"/>
                <w:vertAlign w:val="subscript"/>
                <w:lang w:val="en-US" w:eastAsia="zh-CN" w:bidi="ar-SA"/>
              </w:rPr>
              <w:t>2</w:t>
            </w:r>
            <w:r>
              <w:rPr>
                <w:rFonts w:hint="eastAsia" w:ascii="Times New Roman" w:hAnsi="Times New Roman" w:eastAsia="宋体" w:cs="宋体"/>
                <w:color w:val="auto"/>
                <w:kern w:val="0"/>
                <w:sz w:val="24"/>
                <w:szCs w:val="20"/>
                <w:highlight w:val="none"/>
                <w:lang w:val="en-US" w:eastAsia="zh-CN" w:bidi="ar-SA"/>
              </w:rPr>
              <w:t>、PM</w:t>
            </w:r>
            <w:r>
              <w:rPr>
                <w:rFonts w:hint="eastAsia" w:ascii="Times New Roman" w:hAnsi="Times New Roman" w:eastAsia="宋体" w:cs="宋体"/>
                <w:color w:val="auto"/>
                <w:kern w:val="0"/>
                <w:sz w:val="24"/>
                <w:szCs w:val="20"/>
                <w:highlight w:val="none"/>
                <w:vertAlign w:val="subscript"/>
                <w:lang w:val="en-US" w:eastAsia="zh-CN" w:bidi="ar-SA"/>
              </w:rPr>
              <w:t>10</w:t>
            </w:r>
            <w:r>
              <w:rPr>
                <w:rFonts w:hint="eastAsia" w:ascii="Times New Roman" w:hAnsi="Times New Roman" w:eastAsia="宋体" w:cs="宋体"/>
                <w:color w:val="auto"/>
                <w:kern w:val="0"/>
                <w:sz w:val="24"/>
                <w:szCs w:val="20"/>
                <w:highlight w:val="none"/>
                <w:lang w:val="en-US" w:eastAsia="zh-CN" w:bidi="ar-SA"/>
              </w:rPr>
              <w:t>、PM</w:t>
            </w:r>
            <w:r>
              <w:rPr>
                <w:rFonts w:hint="eastAsia" w:ascii="Times New Roman" w:hAnsi="Times New Roman" w:eastAsia="宋体" w:cs="宋体"/>
                <w:color w:val="auto"/>
                <w:kern w:val="0"/>
                <w:sz w:val="24"/>
                <w:szCs w:val="20"/>
                <w:highlight w:val="none"/>
                <w:vertAlign w:val="subscript"/>
                <w:lang w:val="en-US" w:eastAsia="zh-CN" w:bidi="ar-SA"/>
              </w:rPr>
              <w:t>2.5</w:t>
            </w:r>
            <w:r>
              <w:rPr>
                <w:rFonts w:hint="eastAsia" w:ascii="Times New Roman" w:hAnsi="Times New Roman" w:eastAsia="宋体" w:cs="宋体"/>
                <w:color w:val="auto"/>
                <w:kern w:val="0"/>
                <w:sz w:val="24"/>
                <w:szCs w:val="20"/>
                <w:highlight w:val="none"/>
                <w:lang w:val="en-US" w:eastAsia="zh-CN" w:bidi="ar-SA"/>
              </w:rPr>
              <w:t>、CO和O</w:t>
            </w:r>
            <w:r>
              <w:rPr>
                <w:rFonts w:hint="eastAsia" w:ascii="Times New Roman" w:hAnsi="Times New Roman" w:eastAsia="宋体" w:cs="宋体"/>
                <w:color w:val="auto"/>
                <w:kern w:val="0"/>
                <w:sz w:val="24"/>
                <w:szCs w:val="20"/>
                <w:highlight w:val="none"/>
                <w:vertAlign w:val="subscript"/>
                <w:lang w:val="en-US" w:eastAsia="zh-CN" w:bidi="ar-SA"/>
              </w:rPr>
              <w:t>3</w:t>
            </w:r>
            <w:r>
              <w:rPr>
                <w:rFonts w:hint="eastAsia" w:ascii="Times New Roman" w:hAnsi="Times New Roman" w:eastAsia="宋体" w:cs="宋体"/>
                <w:color w:val="auto"/>
                <w:kern w:val="0"/>
                <w:sz w:val="24"/>
                <w:szCs w:val="20"/>
                <w:highlight w:val="none"/>
                <w:lang w:val="en-US" w:eastAsia="zh-CN" w:bidi="ar-SA"/>
              </w:rPr>
              <w:t>，六项污染物全部达标即为城市环境空气质量达标。根据福建省生态环境厅发布的</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20</w:t>
            </w:r>
            <w:r>
              <w:rPr>
                <w:rFonts w:hint="eastAsia" w:cs="宋体"/>
                <w:color w:val="auto"/>
                <w:kern w:val="0"/>
                <w:sz w:val="24"/>
                <w:szCs w:val="20"/>
                <w:highlight w:val="none"/>
                <w:lang w:val="en-US" w:eastAsia="zh-CN" w:bidi="ar-SA"/>
              </w:rPr>
              <w:t>25</w:t>
            </w:r>
            <w:r>
              <w:rPr>
                <w:rFonts w:hint="eastAsia" w:ascii="Times New Roman" w:hAnsi="Times New Roman" w:eastAsia="宋体" w:cs="宋体"/>
                <w:color w:val="auto"/>
                <w:kern w:val="0"/>
                <w:sz w:val="24"/>
                <w:szCs w:val="20"/>
                <w:highlight w:val="none"/>
                <w:lang w:val="en-US" w:eastAsia="zh-CN" w:bidi="ar-SA"/>
              </w:rPr>
              <w:t>年12月福建省城市环境空气质量状况</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显示（https://sthjt.fujian.gov.cn/ztzl/hjzl/dqzl/hjkqzlyb/202601/t20260126_7085242.htm），</w:t>
            </w:r>
            <w:r>
              <w:rPr>
                <w:rFonts w:hint="eastAsia" w:cs="宋体"/>
                <w:color w:val="auto"/>
                <w:kern w:val="0"/>
                <w:sz w:val="24"/>
                <w:szCs w:val="20"/>
                <w:highlight w:val="none"/>
                <w:lang w:val="en-US" w:eastAsia="zh-CN" w:bidi="ar-SA"/>
              </w:rPr>
              <w:t>2025</w:t>
            </w:r>
            <w:r>
              <w:rPr>
                <w:rFonts w:hint="eastAsia" w:ascii="Times New Roman" w:hAnsi="Times New Roman" w:eastAsia="宋体" w:cs="宋体"/>
                <w:color w:val="auto"/>
                <w:kern w:val="0"/>
                <w:sz w:val="24"/>
                <w:szCs w:val="20"/>
                <w:highlight w:val="none"/>
                <w:lang w:val="en-US" w:eastAsia="zh-CN" w:bidi="ar-SA"/>
              </w:rPr>
              <w:t>年1—12月，福清</w:t>
            </w:r>
            <w:r>
              <w:rPr>
                <w:rFonts w:hint="eastAsia" w:cs="宋体"/>
                <w:color w:val="auto"/>
                <w:kern w:val="0"/>
                <w:sz w:val="24"/>
                <w:szCs w:val="20"/>
                <w:highlight w:val="none"/>
                <w:lang w:val="en-US" w:eastAsia="zh-CN" w:bidi="ar-SA"/>
              </w:rPr>
              <w:t>市</w:t>
            </w:r>
            <w:r>
              <w:rPr>
                <w:rFonts w:hint="eastAsia" w:ascii="Times New Roman" w:hAnsi="Times New Roman" w:eastAsia="宋体" w:cs="宋体"/>
                <w:color w:val="auto"/>
                <w:kern w:val="0"/>
                <w:sz w:val="24"/>
                <w:szCs w:val="20"/>
                <w:highlight w:val="none"/>
                <w:lang w:val="en-US" w:eastAsia="zh-CN" w:bidi="ar-SA"/>
              </w:rPr>
              <w:t>环境空气质量综合指数2.</w:t>
            </w:r>
            <w:r>
              <w:rPr>
                <w:rFonts w:hint="eastAsia" w:cs="宋体"/>
                <w:color w:val="auto"/>
                <w:kern w:val="0"/>
                <w:sz w:val="24"/>
                <w:szCs w:val="20"/>
                <w:highlight w:val="none"/>
                <w:lang w:val="en-US" w:eastAsia="zh-CN" w:bidi="ar-SA"/>
              </w:rPr>
              <w:t>3</w:t>
            </w:r>
            <w:r>
              <w:rPr>
                <w:rFonts w:hint="eastAsia" w:ascii="Times New Roman" w:hAnsi="Times New Roman" w:eastAsia="宋体" w:cs="宋体"/>
                <w:color w:val="auto"/>
                <w:kern w:val="0"/>
                <w:sz w:val="24"/>
                <w:szCs w:val="20"/>
                <w:highlight w:val="none"/>
                <w:lang w:val="en-US" w:eastAsia="zh-CN" w:bidi="ar-SA"/>
              </w:rPr>
              <w:t>7。由此可知，福州市城区环境空气质量总体达到二级标准，福清市属于达标区域；见</w:t>
            </w:r>
            <w:r>
              <w:rPr>
                <w:rFonts w:hint="eastAsia" w:cs="宋体"/>
                <w:color w:val="auto"/>
                <w:kern w:val="0"/>
                <w:sz w:val="24"/>
                <w:szCs w:val="20"/>
                <w:highlight w:val="none"/>
                <w:lang w:val="en-US" w:eastAsia="zh-CN" w:bidi="ar-SA"/>
              </w:rPr>
              <w:t>下图</w:t>
            </w:r>
            <w:r>
              <w:rPr>
                <w:rFonts w:hint="eastAsia" w:ascii="Times New Roman" w:hAnsi="Times New Roman" w:eastAsia="宋体" w:cs="宋体"/>
                <w:color w:val="auto"/>
                <w:kern w:val="0"/>
                <w:sz w:val="24"/>
                <w:szCs w:val="20"/>
                <w:highlight w:val="none"/>
                <w:lang w:val="en-US" w:eastAsia="zh-CN" w:bidi="ar-SA"/>
              </w:rPr>
              <w:t>。</w:t>
            </w:r>
          </w:p>
          <w:p w14:paraId="0D7F988B">
            <w:pPr>
              <w:pStyle w:val="40"/>
              <w:keepNext w:val="0"/>
              <w:keepLines w:val="0"/>
              <w:suppressLineNumbers w:val="0"/>
              <w:bidi w:val="0"/>
              <w:spacing w:before="0" w:beforeAutospacing="0" w:after="0" w:afterAutospacing="0"/>
              <w:ind w:left="0" w:right="0"/>
              <w:rPr>
                <w:rFonts w:hint="eastAsia"/>
              </w:rPr>
            </w:pPr>
            <w:r>
              <w:rPr>
                <w:rFonts w:hint="eastAsia"/>
              </w:rPr>
              <w:drawing>
                <wp:inline distT="0" distB="0" distL="114300" distR="114300">
                  <wp:extent cx="4983480" cy="3018155"/>
                  <wp:effectExtent l="0" t="0" r="7620" b="1079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8"/>
                          <a:stretch>
                            <a:fillRect/>
                          </a:stretch>
                        </pic:blipFill>
                        <pic:spPr>
                          <a:xfrm>
                            <a:off x="0" y="0"/>
                            <a:ext cx="4983480" cy="3018155"/>
                          </a:xfrm>
                          <a:prstGeom prst="rect">
                            <a:avLst/>
                          </a:prstGeom>
                          <a:noFill/>
                          <a:ln>
                            <a:noFill/>
                          </a:ln>
                        </pic:spPr>
                      </pic:pic>
                    </a:graphicData>
                  </a:graphic>
                </wp:inline>
              </w:drawing>
            </w:r>
            <w:r>
              <w:rPr>
                <w:rFonts w:hint="eastAsia"/>
                <w:lang w:val="en-US" w:eastAsia="zh-CN"/>
              </w:rPr>
              <w:t>图3.1-1</w:t>
            </w:r>
            <w:r>
              <w:rPr>
                <w:rFonts w:hint="eastAsia"/>
              </w:rPr>
              <w:t xml:space="preserve"> 福清市202</w:t>
            </w:r>
            <w:r>
              <w:rPr>
                <w:rFonts w:hint="eastAsia"/>
                <w:lang w:val="en-US" w:eastAsia="zh-CN"/>
              </w:rPr>
              <w:t>5</w:t>
            </w:r>
            <w:r>
              <w:rPr>
                <w:rFonts w:hint="eastAsia"/>
              </w:rPr>
              <w:t>年1月份~202</w:t>
            </w:r>
            <w:r>
              <w:rPr>
                <w:rFonts w:hint="eastAsia"/>
                <w:lang w:val="en-US" w:eastAsia="zh-CN"/>
              </w:rPr>
              <w:t>5</w:t>
            </w:r>
            <w:r>
              <w:rPr>
                <w:rFonts w:hint="eastAsia"/>
              </w:rPr>
              <w:t>年12月份环境空气质量统计</w:t>
            </w:r>
          </w:p>
          <w:p w14:paraId="5BD30840">
            <w:pPr>
              <w:keepNext w:val="0"/>
              <w:keepLines w:val="0"/>
              <w:suppressLineNumbers w:val="0"/>
              <w:bidi w:val="0"/>
              <w:spacing w:before="0" w:beforeAutospacing="0" w:after="0" w:afterAutospacing="0"/>
              <w:ind w:left="0" w:right="0"/>
              <w:rPr>
                <w:rFonts w:hint="default"/>
              </w:rPr>
            </w:pPr>
            <w:r>
              <w:rPr>
                <w:rFonts w:hint="default"/>
              </w:rPr>
              <w:t>①引用数据的有效性分析</w:t>
            </w:r>
          </w:p>
          <w:p w14:paraId="5209F928">
            <w:pPr>
              <w:keepNext w:val="0"/>
              <w:keepLines w:val="0"/>
              <w:suppressLineNumbers w:val="0"/>
              <w:bidi w:val="0"/>
              <w:spacing w:before="0" w:beforeAutospacing="0" w:after="0" w:afterAutospacing="0"/>
              <w:ind w:left="0" w:right="0"/>
              <w:rPr>
                <w:rFonts w:hint="eastAsia"/>
              </w:rPr>
            </w:pPr>
            <w:r>
              <w:rPr>
                <w:rFonts w:hint="default"/>
              </w:rPr>
              <w:t>根据《环境影响评价技术导则 大气环境》</w:t>
            </w:r>
            <w:r>
              <w:rPr>
                <w:rFonts w:hint="eastAsia"/>
                <w:lang w:eastAsia="zh-CN"/>
              </w:rPr>
              <w:t>（</w:t>
            </w:r>
            <w:r>
              <w:rPr>
                <w:rFonts w:hint="default"/>
              </w:rPr>
              <w:t>HJ2.2-2018</w:t>
            </w:r>
            <w:r>
              <w:rPr>
                <w:rFonts w:hint="eastAsia"/>
                <w:lang w:eastAsia="zh-CN"/>
              </w:rPr>
              <w:t>）</w:t>
            </w:r>
            <w:r>
              <w:rPr>
                <w:rFonts w:hint="default"/>
              </w:rPr>
              <w:t>的6.2.1.1要求：</w:t>
            </w:r>
            <w:r>
              <w:rPr>
                <w:rFonts w:hint="eastAsia"/>
                <w:lang w:eastAsia="zh-CN"/>
              </w:rPr>
              <w:t>“</w:t>
            </w:r>
            <w:r>
              <w:rPr>
                <w:rFonts w:hint="default"/>
              </w:rPr>
              <w:t>项目所在区域达标判定，大气环境质量现状调查应优先采用国家或地方生态环境主管部门发布的评价基准年环境质量公告或环境质量报告中的数据或结论</w:t>
            </w:r>
            <w:r>
              <w:rPr>
                <w:rFonts w:hint="eastAsia"/>
                <w:lang w:eastAsia="zh-CN"/>
              </w:rPr>
              <w:t>”</w:t>
            </w:r>
            <w:r>
              <w:rPr>
                <w:rFonts w:hint="default"/>
              </w:rPr>
              <w:t>，</w:t>
            </w:r>
            <w:r>
              <w:rPr>
                <w:rFonts w:hint="eastAsia"/>
                <w:lang w:eastAsia="zh-CN"/>
              </w:rPr>
              <w:t>本次</w:t>
            </w:r>
            <w:r>
              <w:rPr>
                <w:rFonts w:hint="default"/>
              </w:rPr>
              <w:t>评价选取福清市人民政府发布的环境空气质量现状信息，符合《环境影响评价技术导则 大气环境》</w:t>
            </w:r>
            <w:r>
              <w:rPr>
                <w:rFonts w:hint="eastAsia"/>
                <w:lang w:eastAsia="zh-CN"/>
              </w:rPr>
              <w:t>（</w:t>
            </w:r>
            <w:r>
              <w:rPr>
                <w:rFonts w:hint="default"/>
              </w:rPr>
              <w:t>HJ2.2-2018</w:t>
            </w:r>
            <w:r>
              <w:rPr>
                <w:rFonts w:hint="eastAsia"/>
                <w:lang w:eastAsia="zh-CN"/>
              </w:rPr>
              <w:t>）</w:t>
            </w:r>
            <w:r>
              <w:rPr>
                <w:rFonts w:hint="default"/>
              </w:rPr>
              <w:t>的要求，环境现状监测数据可行。</w:t>
            </w:r>
          </w:p>
          <w:p w14:paraId="43A41DF7">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w:t>
            </w:r>
            <w:r>
              <w:rPr>
                <w:rFonts w:hint="eastAsia"/>
              </w:rPr>
              <w:t>特征污染因子</w:t>
            </w:r>
          </w:p>
          <w:p w14:paraId="75F6B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根据《关于</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建设项目环境影响报告表</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内容、格式及编制技术指南常见问题解答》（生态环境部环境工程评估中心）：</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技术指南中提到‘排放国家、地方环境空气质量标准中有标准限值要求的特征污染物’，其中环境空气质量标准指《环境空气质量标准》</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GB3095</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和地方的环境空气质量标准，不包括《环境影响评价技术导则 大气环境》</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HJ2.2-2018</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附录D、《工业企业设计卫生标准》</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TJ36-97</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、《前苏联居住区标准》</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CH245-71</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、《环境影响评价技术导则 制药建设项目》</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HJ611-2011</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、《大气污染物综合排放标准详解》等导则或参考资料。排放的特征污染物需要在国家、地方环境空气质量标准中有限值要求才涉及现状监测</w:t>
            </w:r>
            <w:r>
              <w:rPr>
                <w:rFonts w:hint="eastAsia" w:cs="Times New Roman"/>
                <w:color w:val="auto"/>
                <w:kern w:val="2"/>
                <w:sz w:val="24"/>
                <w:szCs w:val="24"/>
                <w:highlight w:val="none"/>
                <w:lang w:val="en-US" w:eastAsia="zh-CN" w:bidi="ar-SA"/>
              </w:rPr>
              <w:t>且</w:t>
            </w:r>
            <w:r>
              <w:rPr>
                <w:rFonts w:hint="eastAsia" w:ascii="Times New Roman" w:hAnsi="Times New Roman" w:eastAsia="宋体" w:cs="Times New Roman"/>
                <w:color w:val="auto"/>
                <w:kern w:val="2"/>
                <w:sz w:val="24"/>
                <w:szCs w:val="24"/>
                <w:highlight w:val="none"/>
                <w:lang w:val="en-US" w:eastAsia="zh-CN" w:bidi="ar-SA"/>
              </w:rPr>
              <w:t>优先引用现有监测数据</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p>
          <w:p w14:paraId="5B56E55A">
            <w:pPr>
              <w:keepNext w:val="0"/>
              <w:keepLines w:val="0"/>
              <w:suppressLineNumbers w:val="0"/>
              <w:adjustRightInd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本项目排放的其他污染物为非甲烷总烃</w:t>
            </w:r>
            <w:r>
              <w:rPr>
                <w:rFonts w:hint="eastAsia" w:cs="Times New Roman"/>
                <w:color w:val="auto"/>
                <w:sz w:val="24"/>
                <w:highlight w:val="none"/>
                <w:lang w:eastAsia="zh-CN"/>
              </w:rPr>
              <w:t>、</w:t>
            </w:r>
            <w:r>
              <w:rPr>
                <w:rFonts w:hint="eastAsia" w:cs="Times New Roman"/>
                <w:color w:val="auto"/>
                <w:sz w:val="24"/>
                <w:highlight w:val="none"/>
                <w:lang w:val="en-US" w:eastAsia="zh-CN"/>
              </w:rPr>
              <w:t>颗粒物</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其中非甲烷总烃</w:t>
            </w:r>
            <w:r>
              <w:rPr>
                <w:rFonts w:hint="eastAsia" w:ascii="Times New Roman" w:hAnsi="Times New Roman" w:eastAsia="宋体" w:cs="Times New Roman"/>
                <w:color w:val="auto"/>
                <w:sz w:val="24"/>
                <w:highlight w:val="none"/>
              </w:rPr>
              <w:t>不属于</w:t>
            </w:r>
            <w:r>
              <w:rPr>
                <w:rFonts w:hint="eastAsia" w:cs="Times New Roman"/>
                <w:color w:val="auto"/>
                <w:sz w:val="24"/>
                <w:highlight w:val="none"/>
                <w:lang w:eastAsia="zh-CN"/>
              </w:rPr>
              <w:t>《环境空气质量标准》（GB 3095—2026）</w:t>
            </w:r>
            <w:r>
              <w:rPr>
                <w:rFonts w:hint="eastAsia" w:ascii="Times New Roman" w:hAnsi="Times New Roman" w:eastAsia="宋体" w:cs="Times New Roman"/>
                <w:color w:val="auto"/>
                <w:sz w:val="24"/>
                <w:highlight w:val="none"/>
              </w:rPr>
              <w:t>和</w:t>
            </w:r>
            <w:r>
              <w:rPr>
                <w:rFonts w:hint="eastAsia" w:cs="Times New Roman"/>
                <w:color w:val="auto"/>
                <w:sz w:val="24"/>
                <w:highlight w:val="none"/>
                <w:lang w:eastAsia="zh-CN"/>
              </w:rPr>
              <w:t>地方</w:t>
            </w:r>
            <w:r>
              <w:rPr>
                <w:rFonts w:hint="eastAsia" w:ascii="Times New Roman" w:hAnsi="Times New Roman" w:eastAsia="宋体" w:cs="Times New Roman"/>
                <w:color w:val="auto"/>
                <w:sz w:val="24"/>
                <w:highlight w:val="none"/>
              </w:rPr>
              <w:t>环境空气质量中有标准限值要求的污染物，因此</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不</w:t>
            </w:r>
            <w:r>
              <w:rPr>
                <w:rFonts w:hint="eastAsia" w:ascii="Times New Roman" w:hAnsi="Times New Roman" w:eastAsia="宋体" w:cs="Times New Roman"/>
                <w:color w:val="auto"/>
                <w:sz w:val="24"/>
                <w:highlight w:val="none"/>
                <w:lang w:val="en-US" w:eastAsia="zh-CN"/>
              </w:rPr>
              <w:t>对非甲烷总烃</w:t>
            </w:r>
            <w:r>
              <w:rPr>
                <w:rFonts w:hint="eastAsia" w:ascii="Times New Roman" w:hAnsi="Times New Roman" w:eastAsia="宋体" w:cs="Times New Roman"/>
                <w:color w:val="auto"/>
                <w:sz w:val="24"/>
                <w:highlight w:val="none"/>
              </w:rPr>
              <w:t>进行特征污染物现状检测评价。</w:t>
            </w:r>
          </w:p>
          <w:p w14:paraId="076CEED0">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rPr>
              <w:drawing>
                <wp:anchor distT="0" distB="0" distL="114300" distR="114300" simplePos="0" relativeHeight="251669504" behindDoc="0" locked="0" layoutInCell="1" allowOverlap="1">
                  <wp:simplePos x="0" y="0"/>
                  <wp:positionH relativeFrom="column">
                    <wp:posOffset>4711065</wp:posOffset>
                  </wp:positionH>
                  <wp:positionV relativeFrom="paragraph">
                    <wp:posOffset>1474470</wp:posOffset>
                  </wp:positionV>
                  <wp:extent cx="271145" cy="504825"/>
                  <wp:effectExtent l="0" t="0" r="14605" b="9525"/>
                  <wp:wrapNone/>
                  <wp:docPr id="1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
                          <pic:cNvPicPr>
                            <a:picLocks noChangeAspect="1"/>
                          </pic:cNvPicPr>
                        </pic:nvPicPr>
                        <pic:blipFill>
                          <a:blip r:embed="rId19"/>
                          <a:stretch>
                            <a:fillRect/>
                          </a:stretch>
                        </pic:blipFill>
                        <pic:spPr>
                          <a:xfrm>
                            <a:off x="0" y="0"/>
                            <a:ext cx="271145" cy="504825"/>
                          </a:xfrm>
                          <a:prstGeom prst="rect">
                            <a:avLst/>
                          </a:prstGeom>
                          <a:noFill/>
                          <a:ln>
                            <a:noFill/>
                          </a:ln>
                        </pic:spPr>
                      </pic:pic>
                    </a:graphicData>
                  </a:graphic>
                </wp:anchor>
              </w:drawing>
            </w:r>
            <w:r>
              <w:rPr>
                <w:rFonts w:hint="eastAsia" w:ascii="Times New Roman" w:hAnsi="Times New Roman" w:eastAsia="宋体" w:cs="Times New Roman"/>
                <w:color w:val="auto"/>
                <w:kern w:val="0"/>
                <w:sz w:val="24"/>
                <w:szCs w:val="24"/>
                <w:lang w:val="en-US" w:eastAsia="zh-CN" w:bidi="ar"/>
              </w:rPr>
              <w:t>为了解项目所在区域环境空气中颗粒物情况</w:t>
            </w:r>
            <w:r>
              <w:rPr>
                <w:rFonts w:hint="eastAsia" w:cs="Times New Roman"/>
                <w:color w:val="auto"/>
                <w:kern w:val="0"/>
                <w:sz w:val="24"/>
                <w:szCs w:val="24"/>
                <w:lang w:val="en-US" w:eastAsia="zh-CN" w:bidi="ar"/>
              </w:rPr>
              <w:t>，</w:t>
            </w:r>
            <w:r>
              <w:rPr>
                <w:rFonts w:hint="eastAsia"/>
                <w:b w:val="0"/>
                <w:bCs w:val="0"/>
                <w:iCs w:val="0"/>
              </w:rPr>
              <w:t>引用《福州市闽侯振兴炜业机械有限公司年加工工业连接器300万件、6KV以下工业线缆200万件</w:t>
            </w:r>
            <w:r>
              <w:rPr>
                <w:rFonts w:hint="eastAsia" w:ascii="Times New Roman" w:hAnsi="Times New Roman" w:eastAsia="宋体" w:cs="Times New Roman"/>
                <w:b w:val="0"/>
                <w:bCs w:val="0"/>
                <w:iCs w:val="0"/>
                <w:color w:val="000000"/>
                <w:szCs w:val="21"/>
                <w:highlight w:val="none"/>
                <w:lang w:val="en-US" w:eastAsia="zh-CN"/>
              </w:rPr>
              <w:t>环境影响评价报告表</w:t>
            </w:r>
            <w:r>
              <w:rPr>
                <w:rFonts w:hint="eastAsia"/>
                <w:b w:val="0"/>
                <w:bCs w:val="0"/>
                <w:iCs w:val="0"/>
              </w:rPr>
              <w:t>》中的颗粒物监测数据</w:t>
            </w:r>
            <w:r>
              <w:rPr>
                <w:rFonts w:hint="eastAsia"/>
                <w:b w:val="0"/>
                <w:bCs w:val="0"/>
                <w:iCs w:val="0"/>
                <w:lang w:eastAsia="zh-CN"/>
              </w:rPr>
              <w:t>，</w:t>
            </w:r>
            <w:r>
              <w:rPr>
                <w:rFonts w:hint="eastAsia"/>
                <w:b w:val="0"/>
                <w:bCs w:val="0"/>
                <w:iCs w:val="0"/>
                <w:lang w:val="en-US" w:eastAsia="zh-CN"/>
              </w:rPr>
              <w:t>检测单位为</w:t>
            </w:r>
            <w:r>
              <w:rPr>
                <w:rFonts w:hint="eastAsia" w:cs="Times New Roman"/>
                <w:color w:val="auto"/>
                <w:kern w:val="0"/>
                <w:sz w:val="24"/>
                <w:szCs w:val="24"/>
                <w:lang w:val="en-US" w:eastAsia="zh-CN" w:bidi="ar"/>
              </w:rPr>
              <w:t>福建华远检测有限公司</w:t>
            </w:r>
            <w:r>
              <w:rPr>
                <w:rFonts w:hint="eastAsia" w:ascii="Times New Roman" w:hAnsi="Times New Roman" w:eastAsia="宋体" w:cs="Times New Roman"/>
                <w:color w:val="auto"/>
                <w:kern w:val="0"/>
                <w:sz w:val="24"/>
                <w:szCs w:val="24"/>
                <w:lang w:val="en-US" w:eastAsia="zh-CN" w:bidi="ar"/>
              </w:rPr>
              <w:t>于2025年10月30日~2025年11月02日对其进行监测，监测结果见表3.1-2，检测报告见</w:t>
            </w:r>
            <w:r>
              <w:rPr>
                <w:rStyle w:val="46"/>
                <w:rFonts w:hint="eastAsia"/>
                <w:lang w:val="en-US" w:eastAsia="zh-CN"/>
              </w:rPr>
              <w:fldChar w:fldCharType="begin"/>
            </w:r>
            <w:r>
              <w:rPr>
                <w:rStyle w:val="46"/>
                <w:rFonts w:hint="eastAsia"/>
                <w:lang w:val="en-US" w:eastAsia="zh-CN"/>
              </w:rPr>
              <w:instrText xml:space="preserve"> REF _Ref22411 \h </w:instrText>
            </w:r>
            <w:r>
              <w:rPr>
                <w:rStyle w:val="46"/>
                <w:rFonts w:hint="eastAsia"/>
                <w:lang w:val="en-US" w:eastAsia="zh-CN"/>
              </w:rPr>
              <w:fldChar w:fldCharType="separate"/>
            </w:r>
            <w:r>
              <w:rPr>
                <w:rStyle w:val="46"/>
                <w:rFonts w:hint="eastAsia"/>
              </w:rPr>
              <w:t>附件 18</w:t>
            </w:r>
            <w:r>
              <w:rPr>
                <w:rStyle w:val="46"/>
                <w:rFonts w:hint="eastAsia"/>
                <w:lang w:val="en-US" w:eastAsia="zh-CN"/>
              </w:rPr>
              <w:fldChar w:fldCharType="end"/>
            </w:r>
            <w:r>
              <w:rPr>
                <w:rFonts w:hint="eastAsia" w:ascii="Times New Roman" w:hAnsi="Times New Roman" w:eastAsia="宋体" w:cs="Times New Roman"/>
                <w:color w:val="auto"/>
                <w:kern w:val="0"/>
                <w:sz w:val="24"/>
                <w:szCs w:val="24"/>
                <w:lang w:val="en-US" w:eastAsia="zh-CN" w:bidi="ar"/>
              </w:rPr>
              <w:t>。</w:t>
            </w:r>
          </w:p>
          <w:p w14:paraId="15D8472F">
            <w:pPr>
              <w:pStyle w:val="15"/>
              <w:keepNext w:val="0"/>
              <w:keepLines w:val="0"/>
              <w:suppressLineNumbers w:val="0"/>
              <w:bidi w:val="0"/>
              <w:spacing w:before="0" w:beforeAutospacing="0" w:after="0" w:afterAutospacing="0"/>
              <w:ind w:left="0" w:right="0"/>
              <w:jc w:val="center"/>
              <w:rPr>
                <w:rFonts w:hint="eastAsia"/>
                <w:lang w:val="en-US"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680085</wp:posOffset>
                      </wp:positionH>
                      <wp:positionV relativeFrom="paragraph">
                        <wp:posOffset>1009015</wp:posOffset>
                      </wp:positionV>
                      <wp:extent cx="835660" cy="338455"/>
                      <wp:effectExtent l="200660" t="12700" r="30480" b="1229995"/>
                      <wp:wrapNone/>
                      <wp:docPr id="24" name="矩形标注 24"/>
                      <wp:cNvGraphicFramePr/>
                      <a:graphic xmlns:a="http://schemas.openxmlformats.org/drawingml/2006/main">
                        <a:graphicData uri="http://schemas.microsoft.com/office/word/2010/wordprocessingShape">
                          <wps:wsp>
                            <wps:cNvSpPr/>
                            <wps:spPr>
                              <a:xfrm>
                                <a:off x="1757045" y="4193540"/>
                                <a:ext cx="835660" cy="338455"/>
                              </a:xfrm>
                              <a:prstGeom prst="wedgeRectCallout">
                                <a:avLst>
                                  <a:gd name="adj1" fmla="val -72492"/>
                                  <a:gd name="adj2" fmla="val 408161"/>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C223590">
                                  <w:pPr>
                                    <w:pStyle w:val="3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3.55pt;margin-top:79.45pt;height:26.65pt;width:65.8pt;z-index:251666432;v-text-anchor:middle;mso-width-relative:page;mso-height-relative:page;" fillcolor="#FFFFFF [3212]" filled="t" stroked="t" coordsize="21600,21600" o:gfxdata="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ZjoIJdgAAAALAQAADwAAAAAAAAABACAAAAAiAAAAZHJz&#10;L2Rvd25yZXYueG1sUEsBAhQAFAAAAAgAh07iQCFi2ImvAgAAWgUAAA4AAAAAAAAAAQAgAAAAJwEA&#10;AGRycy9lMm9Eb2MueG1sUEsFBgAAAAAGAAYAWQEAAEgGAAAAAA==&#10;" adj="-4858,98963">
                      <v:fill on="t" focussize="0,0"/>
                      <v:stroke weight="2pt" color="#FF0000 [2404]" joinstyle="round"/>
                      <v:imagedata o:title=""/>
                      <o:lock v:ext="edit" aspectratio="f"/>
                      <v:textbox>
                        <w:txbxContent>
                          <w:p w14:paraId="1C223590">
                            <w:pPr>
                              <w:pStyle w:val="39"/>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p>
                        </w:txbxContent>
                      </v:textbox>
                    </v:shape>
                  </w:pict>
                </mc:Fallback>
              </mc:AlternateContent>
            </w:r>
            <w:r>
              <w:drawing>
                <wp:anchor distT="0" distB="0" distL="114300" distR="114300" simplePos="0" relativeHeight="251670528" behindDoc="0" locked="0" layoutInCell="1" allowOverlap="1">
                  <wp:simplePos x="0" y="0"/>
                  <wp:positionH relativeFrom="column">
                    <wp:posOffset>4455160</wp:posOffset>
                  </wp:positionH>
                  <wp:positionV relativeFrom="paragraph">
                    <wp:posOffset>2414270</wp:posOffset>
                  </wp:positionV>
                  <wp:extent cx="542925" cy="542925"/>
                  <wp:effectExtent l="0" t="0" r="0" b="0"/>
                  <wp:wrapNone/>
                  <wp:docPr id="1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5"/>
                          <pic:cNvPicPr>
                            <a:picLocks noChangeAspect="1"/>
                          </pic:cNvPicPr>
                        </pic:nvPicPr>
                        <pic:blipFill>
                          <a:blip r:embed="rId20"/>
                          <a:srcRect l="34667" t="17724" r="13515" b="12764"/>
                          <a:stretch>
                            <a:fillRect/>
                          </a:stretch>
                        </pic:blipFill>
                        <pic:spPr>
                          <a:xfrm>
                            <a:off x="0" y="0"/>
                            <a:ext cx="542925" cy="542925"/>
                          </a:xfrm>
                          <a:prstGeom prst="rect">
                            <a:avLst/>
                          </a:prstGeom>
                          <a:noFill/>
                          <a:ln>
                            <a:noFill/>
                          </a:ln>
                        </pic:spPr>
                      </pic:pic>
                    </a:graphicData>
                  </a:graphic>
                </wp:anchor>
              </w:drawing>
            </w:r>
            <w:r>
              <w:rPr>
                <w:sz w:val="24"/>
              </w:rPr>
              <mc:AlternateContent>
                <mc:Choice Requires="wps">
                  <w:drawing>
                    <wp:anchor distT="0" distB="0" distL="114300" distR="114300" simplePos="0" relativeHeight="251668480" behindDoc="0" locked="0" layoutInCell="1" allowOverlap="1">
                      <wp:simplePos x="0" y="0"/>
                      <wp:positionH relativeFrom="column">
                        <wp:posOffset>1852295</wp:posOffset>
                      </wp:positionH>
                      <wp:positionV relativeFrom="paragraph">
                        <wp:posOffset>1354455</wp:posOffset>
                      </wp:positionV>
                      <wp:extent cx="767080" cy="247650"/>
                      <wp:effectExtent l="4445" t="4445" r="9525" b="14605"/>
                      <wp:wrapNone/>
                      <wp:docPr id="26" name="文本框 26"/>
                      <wp:cNvGraphicFramePr/>
                      <a:graphic xmlns:a="http://schemas.openxmlformats.org/drawingml/2006/main">
                        <a:graphicData uri="http://schemas.microsoft.com/office/word/2010/wordprocessingShape">
                          <wps:wsp>
                            <wps:cNvSpPr txBox="1"/>
                            <wps:spPr>
                              <a:xfrm>
                                <a:off x="3735705" y="3876040"/>
                                <a:ext cx="767080" cy="247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AE93C9">
                                  <w:pPr>
                                    <w:pStyle w:val="39"/>
                                    <w:bidi w:val="0"/>
                                    <w:rPr>
                                      <w:rFonts w:hint="default"/>
                                      <w:lang w:val="en-US" w:eastAsia="zh-CN"/>
                                    </w:rPr>
                                  </w:pPr>
                                  <w:r>
                                    <w:rPr>
                                      <w:rFonts w:hint="eastAsia"/>
                                      <w:lang w:val="en-US" w:eastAsia="zh-CN"/>
                                    </w:rPr>
                                    <w:t>924m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85pt;margin-top:106.65pt;height:19.5pt;width:60.4pt;z-index:251668480;mso-width-relative:page;mso-height-relative:page;" fillcolor="#FFFFFF [3201]" filled="t" stroked="t" coordsize="21600,21600" o:gfxdata="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P8Do9cAAAALAQAADwAAAAAAAAABACAAAAAiAAAAZHJzL2Rvd25yZXYueG1sUEsBAhQA&#10;FAAAAAgAh07iQGJclShlAgAAxAQAAA4AAAAAAAAAAQAgAAAAJgEAAGRycy9lMm9Eb2MueG1sUEsF&#10;BgAAAAAGAAYAWQEAAP0FAAAAAA==&#10;">
                      <v:fill on="t" focussize="0,0"/>
                      <v:stroke weight="0.5pt" color="#000000 [3204]" joinstyle="round"/>
                      <v:imagedata o:title=""/>
                      <o:lock v:ext="edit" aspectratio="f"/>
                      <v:textbox>
                        <w:txbxContent>
                          <w:p w14:paraId="05AE93C9">
                            <w:pPr>
                              <w:pStyle w:val="39"/>
                              <w:bidi w:val="0"/>
                              <w:rPr>
                                <w:rFonts w:hint="default"/>
                                <w:lang w:val="en-US" w:eastAsia="zh-CN"/>
                              </w:rPr>
                            </w:pPr>
                            <w:r>
                              <w:rPr>
                                <w:rFonts w:hint="eastAsia"/>
                                <w:lang w:val="en-US" w:eastAsia="zh-CN"/>
                              </w:rPr>
                              <w:t>924m</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514985</wp:posOffset>
                      </wp:positionH>
                      <wp:positionV relativeFrom="paragraph">
                        <wp:posOffset>751840</wp:posOffset>
                      </wp:positionV>
                      <wp:extent cx="4270375" cy="1837055"/>
                      <wp:effectExtent l="0" t="13335" r="15875" b="16510"/>
                      <wp:wrapNone/>
                      <wp:docPr id="25" name="直接箭头连接符 25"/>
                      <wp:cNvGraphicFramePr/>
                      <a:graphic xmlns:a="http://schemas.openxmlformats.org/drawingml/2006/main">
                        <a:graphicData uri="http://schemas.microsoft.com/office/word/2010/wordprocessingShape">
                          <wps:wsp>
                            <wps:cNvCnPr/>
                            <wps:spPr>
                              <a:xfrm flipH="1">
                                <a:off x="1727835" y="2468245"/>
                                <a:ext cx="4270375" cy="1837055"/>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0.55pt;margin-top:59.2pt;height:144.65pt;width:336.25pt;z-index:251667456;mso-width-relative:page;mso-height-relative:page;" filled="f" stroked="t" coordsize="21600,21600" o:gfxdata="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PryQ3WAAAACgEA&#10;AA8AAAAAAAAAAQAgAAAAIgAAAGRycy9kb3ducmV2LnhtbFBLAQIUABQAAAAIAIdO4kCG+ueVHAIA&#10;AP8DAAAOAAAAAAAAAAEAIAAAACUBAABkcnMvZTJvRG9jLnhtbFBLBQYAAAAABgAGAFkBAACzBQAA&#10;AAA=&#10;">
                      <v:fill on="f" focussize="0,0"/>
                      <v:stroke weight="2pt" color="#FF0000 [3204]" joinstyle="round" startarrow="open" endarrow="open"/>
                      <v:imagedata o:title=""/>
                      <o:lock v:ext="edit" aspectratio="f"/>
                    </v:shape>
                  </w:pict>
                </mc:Fallback>
              </mc:AlternateContent>
            </w:r>
            <w:r>
              <w:drawing>
                <wp:inline distT="0" distB="0" distL="114300" distR="114300">
                  <wp:extent cx="4923155" cy="2983230"/>
                  <wp:effectExtent l="0" t="0" r="10795" b="7620"/>
                  <wp:docPr id="1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
                          <pic:cNvPicPr>
                            <a:picLocks noChangeAspect="1"/>
                          </pic:cNvPicPr>
                        </pic:nvPicPr>
                        <pic:blipFill>
                          <a:blip r:embed="rId21"/>
                          <a:stretch>
                            <a:fillRect/>
                          </a:stretch>
                        </pic:blipFill>
                        <pic:spPr>
                          <a:xfrm>
                            <a:off x="0" y="0"/>
                            <a:ext cx="4923155" cy="2983230"/>
                          </a:xfrm>
                          <a:prstGeom prst="rect">
                            <a:avLst/>
                          </a:prstGeom>
                          <a:noFill/>
                          <a:ln>
                            <a:noFill/>
                          </a:ln>
                        </pic:spPr>
                      </pic:pic>
                    </a:graphicData>
                  </a:graphic>
                </wp:inline>
              </w:drawing>
            </w:r>
          </w:p>
          <w:p w14:paraId="75036A24">
            <w:pPr>
              <w:pStyle w:val="40"/>
              <w:keepNext w:val="0"/>
              <w:keepLines w:val="0"/>
              <w:suppressLineNumbers w:val="0"/>
              <w:bidi w:val="0"/>
              <w:spacing w:before="0" w:beforeAutospacing="0" w:after="0" w:afterAutospacing="0"/>
              <w:ind w:left="0" w:right="0"/>
              <w:rPr>
                <w:rFonts w:hint="eastAsia"/>
              </w:rPr>
            </w:pPr>
            <w:r>
              <w:rPr>
                <w:rFonts w:hint="eastAsia"/>
              </w:rPr>
              <w:t>图3.1-</w:t>
            </w:r>
            <w:r>
              <w:rPr>
                <w:rFonts w:hint="eastAsia"/>
                <w:lang w:val="en-US" w:eastAsia="zh-CN"/>
              </w:rPr>
              <w:t>2</w:t>
            </w:r>
            <w:r>
              <w:rPr>
                <w:rFonts w:hint="eastAsia"/>
              </w:rPr>
              <w:t xml:space="preserve">  </w:t>
            </w:r>
            <w:r>
              <w:rPr>
                <w:rFonts w:hint="eastAsia"/>
                <w:lang w:val="zh-CN"/>
              </w:rPr>
              <w:t>监测</w:t>
            </w:r>
            <w:r>
              <w:rPr>
                <w:rFonts w:hint="eastAsia"/>
              </w:rPr>
              <w:t>点</w:t>
            </w:r>
            <w:r>
              <w:rPr>
                <w:rFonts w:hint="eastAsia"/>
                <w:lang w:val="zh-CN"/>
              </w:rPr>
              <w:t>位布置图</w:t>
            </w:r>
          </w:p>
          <w:p w14:paraId="00D5BAD4">
            <w:pPr>
              <w:pStyle w:val="40"/>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表3.1-2  颗粒物现状情况一览表</w:t>
            </w:r>
          </w:p>
          <w:tbl>
            <w:tblPr>
              <w:tblStyle w:val="30"/>
              <w:tblW w:w="498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99"/>
              <w:gridCol w:w="1573"/>
              <w:gridCol w:w="2547"/>
              <w:gridCol w:w="1575"/>
              <w:gridCol w:w="1131"/>
            </w:tblGrid>
            <w:tr w14:paraId="4B7E3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tblHeader/>
                <w:jc w:val="center"/>
              </w:trPr>
              <w:tc>
                <w:tcPr>
                  <w:tcW w:w="693" w:type="pct"/>
                  <w:tcBorders>
                    <w:top w:val="single" w:color="000000" w:sz="12" w:space="0"/>
                    <w:left w:val="nil"/>
                    <w:tl2br w:val="nil"/>
                  </w:tcBorders>
                  <w:shd w:val="clear" w:color="auto" w:fill="auto"/>
                  <w:noWrap w:val="0"/>
                  <w:vAlign w:val="center"/>
                </w:tcPr>
                <w:p w14:paraId="2E9D31C6">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rPr>
                    <w:t>检测点位</w:t>
                  </w:r>
                </w:p>
              </w:tc>
              <w:tc>
                <w:tcPr>
                  <w:tcW w:w="992" w:type="pct"/>
                  <w:tcBorders>
                    <w:top w:val="single" w:color="000000" w:sz="12" w:space="0"/>
                  </w:tcBorders>
                  <w:shd w:val="clear" w:color="auto" w:fill="auto"/>
                  <w:noWrap w:val="0"/>
                  <w:vAlign w:val="center"/>
                </w:tcPr>
                <w:p w14:paraId="707DEDCC">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rPr>
                    <w:t>检测项目</w:t>
                  </w:r>
                </w:p>
              </w:tc>
              <w:tc>
                <w:tcPr>
                  <w:tcW w:w="1606" w:type="pct"/>
                  <w:tcBorders>
                    <w:top w:val="single" w:color="000000" w:sz="12" w:space="0"/>
                  </w:tcBorders>
                  <w:shd w:val="clear" w:color="auto" w:fill="auto"/>
                  <w:noWrap w:val="0"/>
                  <w:vAlign w:val="center"/>
                </w:tcPr>
                <w:p w14:paraId="15FD595D">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rPr>
                    <w:t>采样日期</w:t>
                  </w:r>
                </w:p>
              </w:tc>
              <w:tc>
                <w:tcPr>
                  <w:tcW w:w="993" w:type="pct"/>
                  <w:tcBorders>
                    <w:top w:val="single" w:color="000000" w:sz="12" w:space="0"/>
                  </w:tcBorders>
                  <w:shd w:val="clear" w:color="auto" w:fill="auto"/>
                  <w:noWrap w:val="0"/>
                  <w:vAlign w:val="center"/>
                </w:tcPr>
                <w:p w14:paraId="6C666EAA">
                  <w:pPr>
                    <w:pStyle w:val="39"/>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rPr>
                    <w:t>检测结果</w:t>
                  </w:r>
                </w:p>
              </w:tc>
              <w:tc>
                <w:tcPr>
                  <w:tcW w:w="713" w:type="pct"/>
                  <w:tcBorders>
                    <w:top w:val="single" w:color="000000" w:sz="12" w:space="0"/>
                    <w:right w:val="nil"/>
                  </w:tcBorders>
                  <w:shd w:val="clear" w:color="auto" w:fill="auto"/>
                  <w:noWrap w:val="0"/>
                  <w:vAlign w:val="center"/>
                </w:tcPr>
                <w:p w14:paraId="477B0C10">
                  <w:pPr>
                    <w:pStyle w:val="39"/>
                    <w:keepNext w:val="0"/>
                    <w:keepLines w:val="0"/>
                    <w:widowControl/>
                    <w:suppressLineNumbers w:val="0"/>
                    <w:bidi w:val="0"/>
                    <w:spacing w:before="0" w:beforeAutospacing="0" w:after="0" w:afterAutospacing="0"/>
                    <w:ind w:left="0" w:right="0"/>
                    <w:rPr>
                      <w:rFonts w:hint="eastAsia"/>
                      <w:b w:val="0"/>
                      <w:color w:val="000000"/>
                      <w:szCs w:val="22"/>
                      <w:lang w:eastAsia="zh-CN"/>
                    </w:rPr>
                  </w:pPr>
                  <w:r>
                    <w:rPr>
                      <w:rFonts w:hint="eastAsia"/>
                      <w:b w:val="0"/>
                      <w:color w:val="000000"/>
                      <w:szCs w:val="22"/>
                      <w:lang w:eastAsia="zh-CN"/>
                    </w:rPr>
                    <w:t>单位</w:t>
                  </w:r>
                </w:p>
              </w:tc>
            </w:tr>
            <w:tr w14:paraId="564764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93" w:type="pct"/>
                  <w:vMerge w:val="restart"/>
                  <w:tcBorders>
                    <w:left w:val="nil"/>
                  </w:tcBorders>
                  <w:shd w:val="clear" w:color="auto" w:fill="auto"/>
                  <w:noWrap w:val="0"/>
                  <w:vAlign w:val="center"/>
                </w:tcPr>
                <w:p w14:paraId="1F0C654F">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rPr>
                    <w:t>厂区下风向居民点点位Q1</w:t>
                  </w:r>
                </w:p>
              </w:tc>
              <w:tc>
                <w:tcPr>
                  <w:tcW w:w="992" w:type="pct"/>
                  <w:vMerge w:val="restart"/>
                  <w:shd w:val="clear" w:color="auto" w:fill="auto"/>
                  <w:noWrap w:val="0"/>
                  <w:vAlign w:val="center"/>
                </w:tcPr>
                <w:p w14:paraId="5111DF54">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rPr>
                    <w:t>总悬浮颗粒物（TSP）</w:t>
                  </w:r>
                </w:p>
              </w:tc>
              <w:tc>
                <w:tcPr>
                  <w:tcW w:w="1606" w:type="pct"/>
                  <w:shd w:val="clear" w:color="auto" w:fill="auto"/>
                  <w:noWrap w:val="0"/>
                  <w:vAlign w:val="center"/>
                </w:tcPr>
                <w:p w14:paraId="54D675DB">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eastAsia="zh-CN"/>
                    </w:rPr>
                    <w:t>2025年</w:t>
                  </w:r>
                  <w:r>
                    <w:rPr>
                      <w:rFonts w:hint="eastAsia"/>
                      <w:b w:val="0"/>
                      <w:color w:val="000000"/>
                      <w:szCs w:val="22"/>
                      <w:lang w:val="en-US" w:eastAsia="zh-CN"/>
                    </w:rPr>
                    <w:t>10月30</w:t>
                  </w:r>
                  <w:r>
                    <w:rPr>
                      <w:rFonts w:hint="eastAsia"/>
                      <w:b w:val="0"/>
                      <w:color w:val="000000"/>
                      <w:szCs w:val="22"/>
                    </w:rPr>
                    <w:t>日~</w:t>
                  </w:r>
                  <w:r>
                    <w:rPr>
                      <w:rFonts w:hint="eastAsia"/>
                      <w:b w:val="0"/>
                      <w:color w:val="000000"/>
                      <w:szCs w:val="22"/>
                      <w:lang w:val="en-US" w:eastAsia="zh-CN"/>
                    </w:rPr>
                    <w:t>31</w:t>
                  </w:r>
                  <w:r>
                    <w:rPr>
                      <w:rFonts w:hint="eastAsia"/>
                      <w:b w:val="0"/>
                      <w:color w:val="000000"/>
                      <w:szCs w:val="22"/>
                    </w:rPr>
                    <w:t>日</w:t>
                  </w:r>
                </w:p>
              </w:tc>
              <w:tc>
                <w:tcPr>
                  <w:tcW w:w="993" w:type="pct"/>
                  <w:shd w:val="clear" w:color="auto" w:fill="auto"/>
                  <w:noWrap w:val="0"/>
                  <w:vAlign w:val="center"/>
                </w:tcPr>
                <w:p w14:paraId="1894AC56">
                  <w:pPr>
                    <w:pStyle w:val="39"/>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lang w:val="en-US" w:eastAsia="zh-CN"/>
                    </w:rPr>
                    <w:t>0.105</w:t>
                  </w:r>
                </w:p>
              </w:tc>
              <w:tc>
                <w:tcPr>
                  <w:tcW w:w="713" w:type="pct"/>
                  <w:tcBorders>
                    <w:right w:val="nil"/>
                  </w:tcBorders>
                  <w:shd w:val="clear" w:color="auto" w:fill="auto"/>
                  <w:noWrap w:val="0"/>
                  <w:vAlign w:val="center"/>
                </w:tcPr>
                <w:p w14:paraId="7A7C4C7D">
                  <w:pPr>
                    <w:pStyle w:val="39"/>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rPr>
                    <w:t>mg/m</w:t>
                  </w:r>
                  <w:r>
                    <w:rPr>
                      <w:rFonts w:hint="eastAsia"/>
                      <w:b w:val="0"/>
                      <w:color w:val="000000"/>
                      <w:szCs w:val="22"/>
                      <w:vertAlign w:val="superscript"/>
                    </w:rPr>
                    <w:t>3</w:t>
                  </w:r>
                </w:p>
              </w:tc>
            </w:tr>
            <w:tr w14:paraId="421D9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93" w:type="pct"/>
                  <w:vMerge w:val="continue"/>
                  <w:tcBorders>
                    <w:left w:val="nil"/>
                  </w:tcBorders>
                  <w:shd w:val="clear" w:color="auto" w:fill="auto"/>
                  <w:noWrap w:val="0"/>
                  <w:vAlign w:val="center"/>
                </w:tcPr>
                <w:p w14:paraId="495904DA">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992" w:type="pct"/>
                  <w:vMerge w:val="continue"/>
                  <w:shd w:val="clear" w:color="auto" w:fill="auto"/>
                  <w:noWrap w:val="0"/>
                  <w:vAlign w:val="center"/>
                </w:tcPr>
                <w:p w14:paraId="4D0565C0">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1606" w:type="pct"/>
                  <w:shd w:val="clear" w:color="auto" w:fill="auto"/>
                  <w:noWrap w:val="0"/>
                  <w:vAlign w:val="center"/>
                </w:tcPr>
                <w:p w14:paraId="542AF8F9">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eastAsia="zh-CN"/>
                    </w:rPr>
                    <w:t>2025年</w:t>
                  </w:r>
                  <w:r>
                    <w:rPr>
                      <w:rFonts w:hint="eastAsia"/>
                      <w:b w:val="0"/>
                      <w:color w:val="000000"/>
                      <w:szCs w:val="22"/>
                      <w:lang w:val="en-US" w:eastAsia="zh-CN"/>
                    </w:rPr>
                    <w:t>10月31</w:t>
                  </w:r>
                  <w:r>
                    <w:rPr>
                      <w:rFonts w:hint="eastAsia"/>
                      <w:b w:val="0"/>
                      <w:color w:val="000000"/>
                      <w:szCs w:val="22"/>
                    </w:rPr>
                    <w:t>日~</w:t>
                  </w:r>
                  <w:r>
                    <w:rPr>
                      <w:rFonts w:hint="eastAsia"/>
                      <w:b w:val="0"/>
                      <w:color w:val="000000"/>
                      <w:szCs w:val="22"/>
                      <w:lang w:val="en-US" w:eastAsia="zh-CN"/>
                    </w:rPr>
                    <w:t>11月01</w:t>
                  </w:r>
                  <w:r>
                    <w:rPr>
                      <w:rFonts w:hint="eastAsia"/>
                      <w:b w:val="0"/>
                      <w:color w:val="000000"/>
                      <w:szCs w:val="22"/>
                    </w:rPr>
                    <w:t>日</w:t>
                  </w:r>
                </w:p>
              </w:tc>
              <w:tc>
                <w:tcPr>
                  <w:tcW w:w="993" w:type="pct"/>
                  <w:shd w:val="clear" w:color="auto" w:fill="auto"/>
                  <w:noWrap w:val="0"/>
                  <w:vAlign w:val="center"/>
                </w:tcPr>
                <w:p w14:paraId="2F8FC4D0">
                  <w:pPr>
                    <w:pStyle w:val="39"/>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lang w:val="en-US" w:eastAsia="zh-CN"/>
                    </w:rPr>
                    <w:t>0.095</w:t>
                  </w:r>
                </w:p>
              </w:tc>
              <w:tc>
                <w:tcPr>
                  <w:tcW w:w="713" w:type="pct"/>
                  <w:tcBorders>
                    <w:right w:val="nil"/>
                  </w:tcBorders>
                  <w:shd w:val="clear" w:color="auto" w:fill="auto"/>
                  <w:noWrap w:val="0"/>
                  <w:vAlign w:val="center"/>
                </w:tcPr>
                <w:p w14:paraId="1AE0F713">
                  <w:pPr>
                    <w:pStyle w:val="39"/>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rPr>
                    <w:t>mg/m</w:t>
                  </w:r>
                  <w:r>
                    <w:rPr>
                      <w:rFonts w:hint="eastAsia"/>
                      <w:b w:val="0"/>
                      <w:color w:val="000000"/>
                      <w:szCs w:val="22"/>
                      <w:vertAlign w:val="superscript"/>
                    </w:rPr>
                    <w:t>3</w:t>
                  </w:r>
                </w:p>
              </w:tc>
            </w:tr>
            <w:tr w14:paraId="46C6F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693" w:type="pct"/>
                  <w:vMerge w:val="continue"/>
                  <w:tcBorders>
                    <w:left w:val="nil"/>
                    <w:bottom w:val="single" w:color="000000" w:sz="12" w:space="0"/>
                  </w:tcBorders>
                  <w:shd w:val="clear" w:color="auto" w:fill="auto"/>
                  <w:noWrap w:val="0"/>
                  <w:vAlign w:val="center"/>
                </w:tcPr>
                <w:p w14:paraId="06E05664">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992" w:type="pct"/>
                  <w:vMerge w:val="continue"/>
                  <w:tcBorders>
                    <w:bottom w:val="single" w:color="000000" w:sz="12" w:space="0"/>
                  </w:tcBorders>
                  <w:shd w:val="clear" w:color="auto" w:fill="auto"/>
                  <w:noWrap w:val="0"/>
                  <w:vAlign w:val="center"/>
                </w:tcPr>
                <w:p w14:paraId="4AB285A3">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1606" w:type="pct"/>
                  <w:tcBorders>
                    <w:bottom w:val="single" w:color="000000" w:sz="12" w:space="0"/>
                  </w:tcBorders>
                  <w:shd w:val="clear" w:color="auto" w:fill="auto"/>
                  <w:noWrap w:val="0"/>
                  <w:vAlign w:val="center"/>
                </w:tcPr>
                <w:p w14:paraId="7E0E3A14">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eastAsia="zh-CN"/>
                    </w:rPr>
                    <w:t>2025年</w:t>
                  </w:r>
                  <w:r>
                    <w:rPr>
                      <w:rFonts w:hint="eastAsia"/>
                      <w:b w:val="0"/>
                      <w:color w:val="000000"/>
                      <w:szCs w:val="22"/>
                      <w:lang w:val="en-US" w:eastAsia="zh-CN"/>
                    </w:rPr>
                    <w:t>11月01</w:t>
                  </w:r>
                  <w:r>
                    <w:rPr>
                      <w:rFonts w:hint="eastAsia"/>
                      <w:b w:val="0"/>
                      <w:color w:val="000000"/>
                      <w:szCs w:val="22"/>
                    </w:rPr>
                    <w:t>日~</w:t>
                  </w:r>
                  <w:r>
                    <w:rPr>
                      <w:rFonts w:hint="eastAsia"/>
                      <w:b w:val="0"/>
                      <w:color w:val="000000"/>
                      <w:szCs w:val="22"/>
                      <w:lang w:val="en-US" w:eastAsia="zh-CN"/>
                    </w:rPr>
                    <w:t>02</w:t>
                  </w:r>
                  <w:r>
                    <w:rPr>
                      <w:rFonts w:hint="eastAsia"/>
                      <w:b w:val="0"/>
                      <w:color w:val="000000"/>
                      <w:szCs w:val="22"/>
                    </w:rPr>
                    <w:t>日</w:t>
                  </w:r>
                </w:p>
              </w:tc>
              <w:tc>
                <w:tcPr>
                  <w:tcW w:w="993" w:type="pct"/>
                  <w:tcBorders>
                    <w:bottom w:val="single" w:color="000000" w:sz="12" w:space="0"/>
                  </w:tcBorders>
                  <w:shd w:val="clear" w:color="auto" w:fill="auto"/>
                  <w:noWrap w:val="0"/>
                  <w:vAlign w:val="center"/>
                </w:tcPr>
                <w:p w14:paraId="7D0C7926">
                  <w:pPr>
                    <w:pStyle w:val="39"/>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lang w:val="en-US" w:eastAsia="zh-CN"/>
                    </w:rPr>
                    <w:t>0.114</w:t>
                  </w:r>
                </w:p>
              </w:tc>
              <w:tc>
                <w:tcPr>
                  <w:tcW w:w="713" w:type="pct"/>
                  <w:tcBorders>
                    <w:bottom w:val="single" w:color="000000" w:sz="12" w:space="0"/>
                    <w:right w:val="nil"/>
                  </w:tcBorders>
                  <w:shd w:val="clear" w:color="auto" w:fill="auto"/>
                  <w:noWrap w:val="0"/>
                  <w:vAlign w:val="center"/>
                </w:tcPr>
                <w:p w14:paraId="58207CE6">
                  <w:pPr>
                    <w:pStyle w:val="39"/>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rPr>
                    <w:t>mg/m</w:t>
                  </w:r>
                  <w:r>
                    <w:rPr>
                      <w:rFonts w:hint="eastAsia"/>
                      <w:b w:val="0"/>
                      <w:color w:val="000000"/>
                      <w:szCs w:val="22"/>
                      <w:vertAlign w:val="superscript"/>
                    </w:rPr>
                    <w:t>3</w:t>
                  </w:r>
                </w:p>
              </w:tc>
            </w:tr>
          </w:tbl>
          <w:p w14:paraId="089261FB">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根据表3.1-2可知，项目所在区域内特征污染因子颗粒物现状监测点的浓度值可符合</w:t>
            </w:r>
            <w:r>
              <w:rPr>
                <w:rFonts w:hint="eastAsia"/>
                <w:lang w:eastAsia="zh-CN"/>
              </w:rPr>
              <w:t>《环境空气质量标准》（GB3095-2026）中的二级标准（过渡阶段浓度限值）</w:t>
            </w:r>
            <w:r>
              <w:rPr>
                <w:rFonts w:hint="eastAsia"/>
                <w:lang w:val="en-US" w:eastAsia="zh-CN"/>
              </w:rPr>
              <w:t>要求。</w:t>
            </w:r>
          </w:p>
          <w:p w14:paraId="1B35A964">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w:t>
            </w:r>
            <w:r>
              <w:rPr>
                <w:rFonts w:hint="default"/>
                <w:lang w:val="en-US" w:eastAsia="zh-CN"/>
              </w:rPr>
              <w:t>引用数据的有效性分析</w:t>
            </w:r>
          </w:p>
          <w:p w14:paraId="6BA67D0F">
            <w:pPr>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根据《环境影响评价技术导则 大气环境》</w:t>
            </w:r>
            <w:r>
              <w:rPr>
                <w:rFonts w:hint="eastAsia"/>
                <w:lang w:val="en-US" w:eastAsia="zh-CN"/>
              </w:rPr>
              <w:t>（</w:t>
            </w:r>
            <w:r>
              <w:rPr>
                <w:rFonts w:hint="default"/>
                <w:lang w:val="en-US" w:eastAsia="zh-CN"/>
              </w:rPr>
              <w:t>HJ2.2-2018</w:t>
            </w:r>
            <w:r>
              <w:rPr>
                <w:rFonts w:hint="eastAsia"/>
                <w:lang w:val="en-US" w:eastAsia="zh-CN"/>
              </w:rPr>
              <w:t>）</w:t>
            </w:r>
            <w:r>
              <w:rPr>
                <w:rFonts w:hint="default"/>
                <w:lang w:val="en-US" w:eastAsia="zh-CN"/>
              </w:rPr>
              <w:t>的6.2.1.1要求：</w:t>
            </w:r>
            <w:r>
              <w:rPr>
                <w:rFonts w:hint="eastAsia"/>
                <w:lang w:val="en-US" w:eastAsia="zh-CN"/>
              </w:rPr>
              <w:t>“</w:t>
            </w:r>
            <w:r>
              <w:rPr>
                <w:rFonts w:hint="default"/>
                <w:lang w:val="en-US" w:eastAsia="zh-CN"/>
              </w:rPr>
              <w:t>项目所在区域达标判定，优先采用国家或地方生态环境主管部门发布的评价基准年环境质量公告或环境质量报告中的数据或结论</w:t>
            </w:r>
            <w:r>
              <w:rPr>
                <w:rFonts w:hint="eastAsia"/>
                <w:lang w:val="en-US" w:eastAsia="zh-CN"/>
              </w:rPr>
              <w:t>”</w:t>
            </w:r>
            <w:r>
              <w:rPr>
                <w:rFonts w:hint="default"/>
                <w:lang w:val="en-US" w:eastAsia="zh-CN"/>
              </w:rPr>
              <w:t>，根据</w:t>
            </w:r>
            <w:r>
              <w:rPr>
                <w:rFonts w:hint="eastAsia"/>
                <w:lang w:val="en-US" w:eastAsia="zh-CN"/>
              </w:rPr>
              <w:t>《建设项目环境影响报告表编制技术指南（污染影响类）（试行）》（环办环评〔2020〕33号）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p>
          <w:p w14:paraId="5E6EB1F0">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本次评价选取福建省生态环境厅</w:t>
            </w:r>
            <w:r>
              <w:rPr>
                <w:rFonts w:hint="eastAsia"/>
                <w:lang w:val="en-US" w:eastAsia="zh-CN"/>
              </w:rPr>
              <w:t>发</w:t>
            </w:r>
            <w:r>
              <w:rPr>
                <w:rFonts w:hint="default"/>
                <w:lang w:val="en-US" w:eastAsia="zh-CN"/>
              </w:rPr>
              <w:t>布的环境空气质量</w:t>
            </w:r>
            <w:r>
              <w:rPr>
                <w:rFonts w:hint="eastAsia"/>
                <w:lang w:val="en-US" w:eastAsia="zh-CN"/>
              </w:rPr>
              <w:t>数据</w:t>
            </w:r>
            <w:r>
              <w:rPr>
                <w:rFonts w:hint="default"/>
                <w:lang w:val="en-US" w:eastAsia="zh-CN"/>
              </w:rPr>
              <w:t>，符合《环境影响评价技术导则 大气环境》</w:t>
            </w:r>
            <w:r>
              <w:rPr>
                <w:rFonts w:hint="eastAsia"/>
                <w:lang w:val="en-US" w:eastAsia="zh-CN"/>
              </w:rPr>
              <w:t>（</w:t>
            </w:r>
            <w:r>
              <w:rPr>
                <w:rFonts w:hint="default"/>
                <w:lang w:val="en-US" w:eastAsia="zh-CN"/>
              </w:rPr>
              <w:t>HJ2.2-2018</w:t>
            </w:r>
            <w:r>
              <w:rPr>
                <w:rFonts w:hint="eastAsia"/>
                <w:lang w:val="en-US" w:eastAsia="zh-CN"/>
              </w:rPr>
              <w:t>）</w:t>
            </w:r>
            <w:r>
              <w:rPr>
                <w:rFonts w:hint="default"/>
                <w:lang w:val="en-US" w:eastAsia="zh-CN"/>
              </w:rPr>
              <w:t>、《建设项目环境影响报告表编制技术指南（污染影响类）（试行）》的要求，环境现状监测数据可行。</w:t>
            </w:r>
          </w:p>
          <w:p w14:paraId="48BCC322">
            <w:pPr>
              <w:pStyle w:val="3"/>
              <w:keepNext w:val="0"/>
              <w:keepLines w:val="0"/>
              <w:suppressLineNumbers w:val="0"/>
              <w:bidi w:val="0"/>
              <w:spacing w:before="0" w:beforeAutospacing="0" w:after="0" w:afterAutospacing="0"/>
              <w:ind w:left="0" w:right="0"/>
              <w:rPr>
                <w:rFonts w:hint="default"/>
              </w:rPr>
            </w:pPr>
            <w:r>
              <w:rPr>
                <w:rFonts w:hint="eastAsia"/>
                <w:lang w:val="en-US" w:eastAsia="zh-CN"/>
              </w:rPr>
              <w:t>地表水环境质量现状</w:t>
            </w:r>
          </w:p>
          <w:p w14:paraId="029BB938">
            <w:pPr>
              <w:pStyle w:val="4"/>
              <w:suppressLineNumbers w:val="0"/>
              <w:bidi w:val="0"/>
              <w:spacing w:before="0" w:beforeAutospacing="0" w:after="0" w:afterAutospacing="0"/>
              <w:ind w:left="0" w:right="0"/>
              <w:rPr>
                <w:rFonts w:hint="eastAsia"/>
                <w:lang w:val="en-US" w:eastAsia="zh-CN"/>
              </w:rPr>
            </w:pPr>
            <w:r>
              <w:rPr>
                <w:rFonts w:hint="default"/>
                <w:lang w:val="en-US" w:eastAsia="zh-CN"/>
              </w:rPr>
              <w:t>地表水功能区划</w:t>
            </w:r>
          </w:p>
          <w:p w14:paraId="3F757D22">
            <w:pPr>
              <w:keepNext w:val="0"/>
              <w:keepLines w:val="0"/>
              <w:suppressLineNumbers w:val="0"/>
              <w:bidi w:val="0"/>
              <w:spacing w:before="0" w:beforeAutospacing="0" w:after="0" w:afterAutospacing="0"/>
              <w:ind w:left="0" w:right="0"/>
              <w:rPr>
                <w:rFonts w:hint="default"/>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水环境</w:t>
            </w:r>
          </w:p>
          <w:p w14:paraId="4FCAB070">
            <w:pPr>
              <w:keepNext w:val="0"/>
              <w:keepLines w:val="0"/>
              <w:suppressLineNumbers w:val="0"/>
              <w:bidi w:val="0"/>
              <w:spacing w:before="0" w:beforeAutospacing="0" w:after="0" w:afterAutospacing="0"/>
              <w:ind w:left="0" w:right="0"/>
              <w:rPr>
                <w:rFonts w:hint="eastAsia"/>
              </w:rPr>
            </w:pPr>
            <w:r>
              <w:rPr>
                <w:rFonts w:hint="eastAsia"/>
              </w:rPr>
              <w:t>本项目生活污水预处理后排入市政污水管网，送往福清市融元污水处理厂进行处理，</w:t>
            </w:r>
            <w:r>
              <w:rPr>
                <w:rFonts w:hint="eastAsia"/>
                <w:lang w:eastAsia="zh-CN"/>
              </w:rPr>
              <w:t>污水处理厂</w:t>
            </w:r>
            <w:r>
              <w:rPr>
                <w:rFonts w:hint="eastAsia"/>
              </w:rPr>
              <w:t>尾水排入龙江，所处龙江</w:t>
            </w:r>
            <w:r>
              <w:rPr>
                <w:rFonts w:hint="eastAsia"/>
                <w:lang w:eastAsia="zh-CN"/>
              </w:rPr>
              <w:t>“</w:t>
            </w:r>
            <w:r>
              <w:rPr>
                <w:rFonts w:hint="eastAsia"/>
              </w:rPr>
              <w:t>南门桥水闸至龙江入海口</w:t>
            </w:r>
            <w:r>
              <w:rPr>
                <w:rFonts w:hint="eastAsia"/>
                <w:lang w:eastAsia="zh-CN"/>
              </w:rPr>
              <w:t>”</w:t>
            </w:r>
            <w:r>
              <w:rPr>
                <w:rFonts w:hint="eastAsia"/>
              </w:rPr>
              <w:t>断面；根据福州市水功能区划批复（榕政综</w:t>
            </w:r>
            <w:r>
              <w:rPr>
                <w:rFonts w:hint="eastAsia"/>
                <w:lang w:eastAsia="zh-CN"/>
              </w:rPr>
              <w:t>〔2019〕316号</w:t>
            </w:r>
            <w:r>
              <w:rPr>
                <w:rFonts w:hint="eastAsia"/>
              </w:rPr>
              <w:t>）批准的《福州市水功能区划》，该断面水体主要功能为该断面水体主要功能为</w:t>
            </w:r>
            <w:r>
              <w:rPr>
                <w:rFonts w:hint="eastAsia"/>
                <w:highlight w:val="none"/>
              </w:rPr>
              <w:t>农业、工业、景观用水，环境功能类别为</w:t>
            </w:r>
            <w:r>
              <w:rPr>
                <w:rFonts w:hint="default" w:ascii="Times New Roman" w:hAnsi="Times New Roman" w:cs="Times New Roman"/>
                <w:highlight w:val="none"/>
              </w:rPr>
              <w:t>Ⅴ</w:t>
            </w:r>
            <w:r>
              <w:rPr>
                <w:rFonts w:hint="eastAsia"/>
                <w:highlight w:val="none"/>
              </w:rPr>
              <w:t>类，水质执行《地表水环境质量标准》</w:t>
            </w:r>
            <w:r>
              <w:rPr>
                <w:rFonts w:hint="eastAsia"/>
                <w:highlight w:val="none"/>
                <w:lang w:eastAsia="zh-CN"/>
              </w:rPr>
              <w:t>（</w:t>
            </w:r>
            <w:r>
              <w:rPr>
                <w:rFonts w:hint="eastAsia"/>
                <w:highlight w:val="none"/>
              </w:rPr>
              <w:t>GB3838-2002</w:t>
            </w:r>
            <w:r>
              <w:rPr>
                <w:rFonts w:hint="eastAsia"/>
                <w:highlight w:val="none"/>
                <w:lang w:eastAsia="zh-CN"/>
              </w:rPr>
              <w:t>）</w:t>
            </w:r>
            <w:r>
              <w:rPr>
                <w:rFonts w:hint="eastAsia"/>
                <w:highlight w:val="none"/>
              </w:rPr>
              <w:t>中</w:t>
            </w:r>
            <w:r>
              <w:rPr>
                <w:rFonts w:hint="default" w:ascii="Times New Roman" w:hAnsi="Times New Roman" w:cs="Times New Roman"/>
                <w:highlight w:val="none"/>
              </w:rPr>
              <w:t>Ⅴ</w:t>
            </w:r>
            <w:r>
              <w:rPr>
                <w:rFonts w:hint="eastAsia"/>
                <w:highlight w:val="none"/>
              </w:rPr>
              <w:t>类水质标准；项目周边水域大北溪所在</w:t>
            </w:r>
            <w:r>
              <w:rPr>
                <w:rFonts w:hint="eastAsia"/>
                <w:highlight w:val="none"/>
                <w:lang w:eastAsia="zh-CN"/>
              </w:rPr>
              <w:t>“</w:t>
            </w:r>
            <w:r>
              <w:rPr>
                <w:rFonts w:hint="eastAsia"/>
                <w:highlight w:val="none"/>
              </w:rPr>
              <w:t>铁路桥至大北溪口</w:t>
            </w:r>
            <w:r>
              <w:rPr>
                <w:rFonts w:hint="eastAsia"/>
                <w:highlight w:val="none"/>
                <w:lang w:eastAsia="zh-CN"/>
              </w:rPr>
              <w:t>”</w:t>
            </w:r>
            <w:r>
              <w:rPr>
                <w:rFonts w:hint="eastAsia"/>
                <w:highlight w:val="none"/>
              </w:rPr>
              <w:t>断面水体主要功能为景观、工业用水，环境功能类别为</w:t>
            </w:r>
            <w:r>
              <w:rPr>
                <w:rFonts w:hint="default" w:ascii="Times New Roman" w:hAnsi="Times New Roman" w:cs="Times New Roman"/>
                <w:highlight w:val="none"/>
              </w:rPr>
              <w:t>Ⅳ</w:t>
            </w:r>
            <w:r>
              <w:rPr>
                <w:rFonts w:hint="eastAsia"/>
                <w:highlight w:val="none"/>
              </w:rPr>
              <w:t>类，水质执行《地表水环境</w:t>
            </w:r>
            <w:r>
              <w:rPr>
                <w:rFonts w:hint="eastAsia"/>
              </w:rPr>
              <w:t>质量标准》</w:t>
            </w:r>
            <w:r>
              <w:rPr>
                <w:rFonts w:hint="eastAsia"/>
                <w:lang w:eastAsia="zh-CN"/>
              </w:rPr>
              <w:t>（</w:t>
            </w:r>
            <w:r>
              <w:rPr>
                <w:rFonts w:hint="eastAsia"/>
              </w:rPr>
              <w:t>GB3838-2002</w:t>
            </w:r>
            <w:r>
              <w:rPr>
                <w:rFonts w:hint="eastAsia"/>
                <w:lang w:eastAsia="zh-CN"/>
              </w:rPr>
              <w:t>）</w:t>
            </w:r>
            <w:r>
              <w:rPr>
                <w:rFonts w:hint="eastAsia"/>
              </w:rPr>
              <w:t>中Ⅳ类水质标准Ⅳ，具体详见表3.2-1。</w:t>
            </w:r>
          </w:p>
          <w:p w14:paraId="53D27683">
            <w:pPr>
              <w:pStyle w:val="40"/>
              <w:keepNext w:val="0"/>
              <w:keepLines w:val="0"/>
              <w:suppressLineNumbers w:val="0"/>
              <w:bidi w:val="0"/>
              <w:spacing w:before="0" w:beforeAutospacing="0" w:after="0" w:afterAutospacing="0"/>
              <w:ind w:left="0" w:right="0"/>
              <w:rPr>
                <w:rFonts w:hint="default"/>
              </w:rPr>
            </w:pPr>
            <w:r>
              <w:rPr>
                <w:rFonts w:hint="default"/>
              </w:rPr>
              <w:t>表</w:t>
            </w:r>
            <w:r>
              <w:rPr>
                <w:rFonts w:hint="eastAsia" w:cs="宋体"/>
                <w:b/>
                <w:bCs/>
                <w:color w:val="auto"/>
                <w:kern w:val="2"/>
                <w:sz w:val="24"/>
                <w:szCs w:val="21"/>
                <w:lang w:val="en-US" w:eastAsia="zh-CN" w:bidi="ar-SA"/>
              </w:rPr>
              <w:t>3.2-1</w:t>
            </w:r>
            <w:r>
              <w:rPr>
                <w:rFonts w:hint="default"/>
              </w:rPr>
              <w:t xml:space="preserve">  地表水环境质量标准</w:t>
            </w:r>
            <w:r>
              <w:rPr>
                <w:rFonts w:hint="eastAsia"/>
                <w:lang w:eastAsia="zh-CN"/>
              </w:rPr>
              <w:t>（</w:t>
            </w:r>
            <w:r>
              <w:rPr>
                <w:rFonts w:hint="default"/>
              </w:rPr>
              <w:t>GB3838-2002</w:t>
            </w:r>
            <w:r>
              <w:rPr>
                <w:rFonts w:hint="eastAsia"/>
                <w:lang w:eastAsia="zh-CN"/>
              </w:rPr>
              <w:t>）（</w:t>
            </w:r>
            <w:r>
              <w:rPr>
                <w:rFonts w:hint="default"/>
              </w:rPr>
              <w:t>摘录</w:t>
            </w:r>
            <w:r>
              <w:rPr>
                <w:rFonts w:hint="eastAsia"/>
                <w:lang w:eastAsia="zh-CN"/>
              </w:rPr>
              <w:t>）</w:t>
            </w:r>
            <w:r>
              <w:rPr>
                <w:rFonts w:hint="default"/>
              </w:rPr>
              <w:t xml:space="preserve">   单位：mg/L</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929"/>
              <w:gridCol w:w="3060"/>
              <w:gridCol w:w="1177"/>
              <w:gridCol w:w="936"/>
              <w:gridCol w:w="933"/>
              <w:gridCol w:w="939"/>
            </w:tblGrid>
            <w:tr w14:paraId="2FE1171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2" w:type="pct"/>
                  <w:shd w:val="clear" w:color="auto" w:fill="auto"/>
                  <w:noWrap w:val="0"/>
                  <w:vAlign w:val="center"/>
                </w:tcPr>
                <w:p w14:paraId="57695B58">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序号</w:t>
                  </w:r>
                </w:p>
              </w:tc>
              <w:tc>
                <w:tcPr>
                  <w:tcW w:w="1918" w:type="pct"/>
                  <w:shd w:val="clear" w:color="auto" w:fill="auto"/>
                  <w:noWrap w:val="0"/>
                  <w:vAlign w:val="center"/>
                </w:tcPr>
                <w:p w14:paraId="7B1DB5E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项目</w:t>
                  </w:r>
                </w:p>
              </w:tc>
              <w:tc>
                <w:tcPr>
                  <w:tcW w:w="738" w:type="pct"/>
                  <w:shd w:val="clear" w:color="auto" w:fill="auto"/>
                  <w:noWrap w:val="0"/>
                  <w:vAlign w:val="center"/>
                </w:tcPr>
                <w:p w14:paraId="08DB0BE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Ⅱ类</w:t>
                  </w:r>
                </w:p>
              </w:tc>
              <w:tc>
                <w:tcPr>
                  <w:tcW w:w="587" w:type="pct"/>
                  <w:shd w:val="clear" w:color="auto" w:fill="auto"/>
                  <w:noWrap w:val="0"/>
                  <w:vAlign w:val="center"/>
                </w:tcPr>
                <w:p w14:paraId="27B6287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Ⅲ类</w:t>
                  </w:r>
                </w:p>
              </w:tc>
              <w:tc>
                <w:tcPr>
                  <w:tcW w:w="585" w:type="pct"/>
                  <w:shd w:val="clear" w:color="auto" w:fill="EEECE1"/>
                  <w:noWrap w:val="0"/>
                  <w:vAlign w:val="center"/>
                </w:tcPr>
                <w:p w14:paraId="72E667E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Ⅳ类</w:t>
                  </w:r>
                </w:p>
              </w:tc>
              <w:tc>
                <w:tcPr>
                  <w:tcW w:w="587" w:type="pct"/>
                  <w:shd w:val="clear" w:color="auto" w:fill="EEECE1"/>
                  <w:noWrap w:val="0"/>
                  <w:vAlign w:val="center"/>
                </w:tcPr>
                <w:p w14:paraId="262F5A5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Ⅴ类</w:t>
                  </w:r>
                </w:p>
              </w:tc>
            </w:tr>
            <w:tr w14:paraId="1AEB83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2" w:type="pct"/>
                  <w:shd w:val="clear" w:color="auto" w:fill="auto"/>
                  <w:noWrap w:val="0"/>
                  <w:vAlign w:val="center"/>
                </w:tcPr>
                <w:p w14:paraId="18B279F0">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w:t>
                  </w:r>
                </w:p>
              </w:tc>
              <w:tc>
                <w:tcPr>
                  <w:tcW w:w="1918" w:type="pct"/>
                  <w:shd w:val="clear" w:color="auto" w:fill="auto"/>
                  <w:noWrap w:val="0"/>
                  <w:vAlign w:val="center"/>
                </w:tcPr>
                <w:p w14:paraId="4A73B893">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pH</w:t>
                  </w:r>
                  <w:r>
                    <w:rPr>
                      <w:rFonts w:hint="eastAsia"/>
                      <w:szCs w:val="22"/>
                      <w:lang w:eastAsia="zh-CN"/>
                    </w:rPr>
                    <w:t>（</w:t>
                  </w:r>
                  <w:r>
                    <w:rPr>
                      <w:rFonts w:hint="eastAsia"/>
                      <w:szCs w:val="22"/>
                    </w:rPr>
                    <w:t>无量纲</w:t>
                  </w:r>
                  <w:r>
                    <w:rPr>
                      <w:rFonts w:hint="eastAsia"/>
                      <w:szCs w:val="22"/>
                      <w:lang w:eastAsia="zh-CN"/>
                    </w:rPr>
                    <w:t>）</w:t>
                  </w:r>
                </w:p>
              </w:tc>
              <w:tc>
                <w:tcPr>
                  <w:tcW w:w="2498" w:type="pct"/>
                  <w:gridSpan w:val="4"/>
                  <w:shd w:val="clear" w:color="auto" w:fill="EEECE1"/>
                  <w:noWrap w:val="0"/>
                  <w:vAlign w:val="center"/>
                </w:tcPr>
                <w:p w14:paraId="2F8D68B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6～9</w:t>
                  </w:r>
                </w:p>
              </w:tc>
            </w:tr>
            <w:tr w14:paraId="7403C9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2" w:type="pct"/>
                  <w:shd w:val="clear" w:color="auto" w:fill="auto"/>
                  <w:noWrap w:val="0"/>
                  <w:vAlign w:val="center"/>
                </w:tcPr>
                <w:p w14:paraId="525A5C8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2</w:t>
                  </w:r>
                </w:p>
              </w:tc>
              <w:tc>
                <w:tcPr>
                  <w:tcW w:w="1918" w:type="pct"/>
                  <w:shd w:val="clear" w:color="auto" w:fill="auto"/>
                  <w:noWrap w:val="0"/>
                  <w:vAlign w:val="center"/>
                </w:tcPr>
                <w:p w14:paraId="27982AE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溶解氧≥</w:t>
                  </w:r>
                </w:p>
              </w:tc>
              <w:tc>
                <w:tcPr>
                  <w:tcW w:w="738" w:type="pct"/>
                  <w:shd w:val="clear" w:color="auto" w:fill="auto"/>
                  <w:noWrap w:val="0"/>
                  <w:vAlign w:val="center"/>
                </w:tcPr>
                <w:p w14:paraId="4505D60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6</w:t>
                  </w:r>
                </w:p>
              </w:tc>
              <w:tc>
                <w:tcPr>
                  <w:tcW w:w="587" w:type="pct"/>
                  <w:shd w:val="clear" w:color="auto" w:fill="auto"/>
                  <w:noWrap w:val="0"/>
                  <w:vAlign w:val="center"/>
                </w:tcPr>
                <w:p w14:paraId="79D4CA8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5</w:t>
                  </w:r>
                </w:p>
              </w:tc>
              <w:tc>
                <w:tcPr>
                  <w:tcW w:w="585" w:type="pct"/>
                  <w:shd w:val="clear" w:color="auto" w:fill="EEECE1"/>
                  <w:noWrap w:val="0"/>
                  <w:vAlign w:val="center"/>
                </w:tcPr>
                <w:p w14:paraId="3CA6A88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3</w:t>
                  </w:r>
                </w:p>
              </w:tc>
              <w:tc>
                <w:tcPr>
                  <w:tcW w:w="587" w:type="pct"/>
                  <w:shd w:val="clear" w:color="auto" w:fill="EEECE1"/>
                  <w:noWrap w:val="0"/>
                  <w:vAlign w:val="center"/>
                </w:tcPr>
                <w:p w14:paraId="257187D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2</w:t>
                  </w:r>
                </w:p>
              </w:tc>
            </w:tr>
            <w:tr w14:paraId="4859EC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2" w:type="pct"/>
                  <w:shd w:val="clear" w:color="auto" w:fill="auto"/>
                  <w:noWrap w:val="0"/>
                  <w:vAlign w:val="center"/>
                </w:tcPr>
                <w:p w14:paraId="0967776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3</w:t>
                  </w:r>
                </w:p>
              </w:tc>
              <w:tc>
                <w:tcPr>
                  <w:tcW w:w="1918" w:type="pct"/>
                  <w:shd w:val="clear" w:color="auto" w:fill="auto"/>
                  <w:noWrap w:val="0"/>
                  <w:vAlign w:val="center"/>
                </w:tcPr>
                <w:p w14:paraId="3064A18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高锰酸盐指数≤</w:t>
                  </w:r>
                </w:p>
              </w:tc>
              <w:tc>
                <w:tcPr>
                  <w:tcW w:w="738" w:type="pct"/>
                  <w:shd w:val="clear" w:color="auto" w:fill="auto"/>
                  <w:noWrap w:val="0"/>
                  <w:vAlign w:val="center"/>
                </w:tcPr>
                <w:p w14:paraId="6519F1E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4</w:t>
                  </w:r>
                </w:p>
              </w:tc>
              <w:tc>
                <w:tcPr>
                  <w:tcW w:w="587" w:type="pct"/>
                  <w:shd w:val="clear" w:color="auto" w:fill="auto"/>
                  <w:noWrap w:val="0"/>
                  <w:vAlign w:val="center"/>
                </w:tcPr>
                <w:p w14:paraId="6348F7D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6</w:t>
                  </w:r>
                </w:p>
              </w:tc>
              <w:tc>
                <w:tcPr>
                  <w:tcW w:w="585" w:type="pct"/>
                  <w:shd w:val="clear" w:color="auto" w:fill="EEECE1"/>
                  <w:noWrap w:val="0"/>
                  <w:vAlign w:val="center"/>
                </w:tcPr>
                <w:p w14:paraId="0E5E23C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10</w:t>
                  </w:r>
                </w:p>
              </w:tc>
              <w:tc>
                <w:tcPr>
                  <w:tcW w:w="587" w:type="pct"/>
                  <w:shd w:val="clear" w:color="auto" w:fill="EEECE1"/>
                  <w:noWrap w:val="0"/>
                  <w:vAlign w:val="center"/>
                </w:tcPr>
                <w:p w14:paraId="77E983C8">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15</w:t>
                  </w:r>
                </w:p>
              </w:tc>
            </w:tr>
            <w:tr w14:paraId="145135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2" w:type="pct"/>
                  <w:shd w:val="clear" w:color="auto" w:fill="auto"/>
                  <w:noWrap w:val="0"/>
                  <w:vAlign w:val="center"/>
                </w:tcPr>
                <w:p w14:paraId="3CC1EAA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4</w:t>
                  </w:r>
                </w:p>
              </w:tc>
              <w:tc>
                <w:tcPr>
                  <w:tcW w:w="1918" w:type="pct"/>
                  <w:shd w:val="clear" w:color="auto" w:fill="auto"/>
                  <w:noWrap w:val="0"/>
                  <w:vAlign w:val="center"/>
                </w:tcPr>
                <w:p w14:paraId="01945313">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化学需氧量</w:t>
                  </w:r>
                  <w:r>
                    <w:rPr>
                      <w:rFonts w:hint="eastAsia"/>
                      <w:szCs w:val="22"/>
                      <w:lang w:eastAsia="zh-CN"/>
                    </w:rPr>
                    <w:t>（</w:t>
                  </w:r>
                  <w:r>
                    <w:rPr>
                      <w:rFonts w:hint="eastAsia"/>
                      <w:szCs w:val="22"/>
                    </w:rPr>
                    <w:t>COD</w:t>
                  </w:r>
                  <w:r>
                    <w:rPr>
                      <w:rFonts w:hint="eastAsia"/>
                      <w:szCs w:val="22"/>
                      <w:lang w:eastAsia="zh-CN"/>
                    </w:rPr>
                    <w:t>）</w:t>
                  </w:r>
                  <w:r>
                    <w:rPr>
                      <w:rFonts w:hint="eastAsia"/>
                      <w:szCs w:val="22"/>
                    </w:rPr>
                    <w:t>≤</w:t>
                  </w:r>
                </w:p>
              </w:tc>
              <w:tc>
                <w:tcPr>
                  <w:tcW w:w="738" w:type="pct"/>
                  <w:shd w:val="clear" w:color="auto" w:fill="auto"/>
                  <w:noWrap w:val="0"/>
                  <w:vAlign w:val="center"/>
                </w:tcPr>
                <w:p w14:paraId="6E15224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15</w:t>
                  </w:r>
                </w:p>
              </w:tc>
              <w:tc>
                <w:tcPr>
                  <w:tcW w:w="587" w:type="pct"/>
                  <w:shd w:val="clear" w:color="auto" w:fill="auto"/>
                  <w:noWrap w:val="0"/>
                  <w:vAlign w:val="center"/>
                </w:tcPr>
                <w:p w14:paraId="5CFA0D2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20</w:t>
                  </w:r>
                </w:p>
              </w:tc>
              <w:tc>
                <w:tcPr>
                  <w:tcW w:w="585" w:type="pct"/>
                  <w:shd w:val="clear" w:color="auto" w:fill="EEECE1"/>
                  <w:noWrap w:val="0"/>
                  <w:vAlign w:val="center"/>
                </w:tcPr>
                <w:p w14:paraId="21A9B58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30</w:t>
                  </w:r>
                </w:p>
              </w:tc>
              <w:tc>
                <w:tcPr>
                  <w:tcW w:w="587" w:type="pct"/>
                  <w:shd w:val="clear" w:color="auto" w:fill="EEECE1"/>
                  <w:noWrap w:val="0"/>
                  <w:vAlign w:val="center"/>
                </w:tcPr>
                <w:p w14:paraId="348A41A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40</w:t>
                  </w:r>
                </w:p>
              </w:tc>
            </w:tr>
            <w:tr w14:paraId="085C18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2" w:type="pct"/>
                  <w:shd w:val="clear" w:color="auto" w:fill="auto"/>
                  <w:noWrap w:val="0"/>
                  <w:vAlign w:val="center"/>
                </w:tcPr>
                <w:p w14:paraId="206E00E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5</w:t>
                  </w:r>
                </w:p>
              </w:tc>
              <w:tc>
                <w:tcPr>
                  <w:tcW w:w="1918" w:type="pct"/>
                  <w:shd w:val="clear" w:color="auto" w:fill="auto"/>
                  <w:noWrap w:val="0"/>
                  <w:vAlign w:val="center"/>
                </w:tcPr>
                <w:p w14:paraId="350BA6B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氨氮</w:t>
                  </w:r>
                  <w:r>
                    <w:rPr>
                      <w:rFonts w:hint="eastAsia"/>
                      <w:szCs w:val="22"/>
                      <w:lang w:eastAsia="zh-CN"/>
                    </w:rPr>
                    <w:t>（</w:t>
                  </w:r>
                  <w:r>
                    <w:rPr>
                      <w:rFonts w:hint="eastAsia"/>
                      <w:szCs w:val="22"/>
                    </w:rPr>
                    <w:t>NH</w:t>
                  </w:r>
                  <w:r>
                    <w:rPr>
                      <w:rFonts w:hint="eastAsia"/>
                      <w:szCs w:val="22"/>
                      <w:vertAlign w:val="subscript"/>
                    </w:rPr>
                    <w:t>3</w:t>
                  </w:r>
                  <w:r>
                    <w:rPr>
                      <w:rFonts w:hint="eastAsia"/>
                      <w:szCs w:val="22"/>
                    </w:rPr>
                    <w:t>-N</w:t>
                  </w:r>
                  <w:r>
                    <w:rPr>
                      <w:rFonts w:hint="eastAsia"/>
                      <w:szCs w:val="22"/>
                      <w:lang w:eastAsia="zh-CN"/>
                    </w:rPr>
                    <w:t>）</w:t>
                  </w:r>
                  <w:r>
                    <w:rPr>
                      <w:rFonts w:hint="eastAsia"/>
                      <w:szCs w:val="22"/>
                    </w:rPr>
                    <w:t>≤</w:t>
                  </w:r>
                </w:p>
              </w:tc>
              <w:tc>
                <w:tcPr>
                  <w:tcW w:w="738" w:type="pct"/>
                  <w:shd w:val="clear" w:color="auto" w:fill="auto"/>
                  <w:noWrap w:val="0"/>
                  <w:vAlign w:val="center"/>
                </w:tcPr>
                <w:p w14:paraId="6402A48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0.5</w:t>
                  </w:r>
                </w:p>
              </w:tc>
              <w:tc>
                <w:tcPr>
                  <w:tcW w:w="587" w:type="pct"/>
                  <w:shd w:val="clear" w:color="auto" w:fill="auto"/>
                  <w:noWrap w:val="0"/>
                  <w:vAlign w:val="center"/>
                </w:tcPr>
                <w:p w14:paraId="4383378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1.0</w:t>
                  </w:r>
                </w:p>
              </w:tc>
              <w:tc>
                <w:tcPr>
                  <w:tcW w:w="585" w:type="pct"/>
                  <w:shd w:val="clear" w:color="auto" w:fill="EEECE1"/>
                  <w:noWrap w:val="0"/>
                  <w:vAlign w:val="center"/>
                </w:tcPr>
                <w:p w14:paraId="0E9349F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1.5</w:t>
                  </w:r>
                </w:p>
              </w:tc>
              <w:tc>
                <w:tcPr>
                  <w:tcW w:w="587" w:type="pct"/>
                  <w:shd w:val="clear" w:color="auto" w:fill="EEECE1"/>
                  <w:noWrap w:val="0"/>
                  <w:vAlign w:val="center"/>
                </w:tcPr>
                <w:p w14:paraId="3C9DDEE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2.0</w:t>
                  </w:r>
                </w:p>
              </w:tc>
            </w:tr>
            <w:tr w14:paraId="1D270F5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397" w:hRule="exact"/>
                <w:jc w:val="center"/>
              </w:trPr>
              <w:tc>
                <w:tcPr>
                  <w:tcW w:w="582" w:type="pct"/>
                  <w:shd w:val="clear" w:color="auto" w:fill="auto"/>
                  <w:noWrap w:val="0"/>
                  <w:vAlign w:val="center"/>
                </w:tcPr>
                <w:p w14:paraId="2FD80D7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6</w:t>
                  </w:r>
                </w:p>
              </w:tc>
              <w:tc>
                <w:tcPr>
                  <w:tcW w:w="1918" w:type="pct"/>
                  <w:shd w:val="clear" w:color="auto" w:fill="auto"/>
                  <w:noWrap w:val="0"/>
                  <w:vAlign w:val="center"/>
                </w:tcPr>
                <w:p w14:paraId="666DA4E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五日生化需氧量</w:t>
                  </w:r>
                  <w:r>
                    <w:rPr>
                      <w:rFonts w:hint="eastAsia"/>
                      <w:szCs w:val="22"/>
                      <w:lang w:eastAsia="zh-CN"/>
                    </w:rPr>
                    <w:t>（</w:t>
                  </w:r>
                  <w:r>
                    <w:rPr>
                      <w:rFonts w:hint="eastAsia"/>
                      <w:szCs w:val="22"/>
                    </w:rPr>
                    <w:t>BOD</w:t>
                  </w:r>
                  <w:r>
                    <w:rPr>
                      <w:rFonts w:hint="eastAsia"/>
                      <w:szCs w:val="22"/>
                      <w:vertAlign w:val="subscript"/>
                    </w:rPr>
                    <w:t>5</w:t>
                  </w:r>
                  <w:r>
                    <w:rPr>
                      <w:rFonts w:hint="eastAsia"/>
                      <w:szCs w:val="22"/>
                      <w:lang w:eastAsia="zh-CN"/>
                    </w:rPr>
                    <w:t>）</w:t>
                  </w:r>
                  <w:r>
                    <w:rPr>
                      <w:rFonts w:hint="eastAsia"/>
                      <w:szCs w:val="22"/>
                    </w:rPr>
                    <w:t>≤</w:t>
                  </w:r>
                </w:p>
              </w:tc>
              <w:tc>
                <w:tcPr>
                  <w:tcW w:w="738" w:type="pct"/>
                  <w:shd w:val="clear" w:color="auto" w:fill="auto"/>
                  <w:noWrap w:val="0"/>
                  <w:vAlign w:val="center"/>
                </w:tcPr>
                <w:p w14:paraId="025E33C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3</w:t>
                  </w:r>
                </w:p>
              </w:tc>
              <w:tc>
                <w:tcPr>
                  <w:tcW w:w="587" w:type="pct"/>
                  <w:shd w:val="clear" w:color="auto" w:fill="auto"/>
                  <w:noWrap w:val="0"/>
                  <w:vAlign w:val="center"/>
                </w:tcPr>
                <w:p w14:paraId="0F99B43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4</w:t>
                  </w:r>
                </w:p>
              </w:tc>
              <w:tc>
                <w:tcPr>
                  <w:tcW w:w="585" w:type="pct"/>
                  <w:shd w:val="clear" w:color="auto" w:fill="EEECE1"/>
                  <w:noWrap w:val="0"/>
                  <w:vAlign w:val="center"/>
                </w:tcPr>
                <w:p w14:paraId="452B7BC3">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6</w:t>
                  </w:r>
                </w:p>
              </w:tc>
              <w:tc>
                <w:tcPr>
                  <w:tcW w:w="587" w:type="pct"/>
                  <w:shd w:val="clear" w:color="auto" w:fill="EEECE1"/>
                  <w:noWrap w:val="0"/>
                  <w:vAlign w:val="center"/>
                </w:tcPr>
                <w:p w14:paraId="2AC698B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10</w:t>
                  </w:r>
                </w:p>
              </w:tc>
            </w:tr>
          </w:tbl>
          <w:p w14:paraId="3EAF5EFA">
            <w:pPr>
              <w:pStyle w:val="4"/>
              <w:suppressLineNumbers w:val="0"/>
              <w:bidi w:val="0"/>
              <w:spacing w:before="0" w:beforeAutospacing="0" w:after="0" w:afterAutospacing="0"/>
              <w:ind w:left="0" w:right="0"/>
              <w:rPr>
                <w:rFonts w:hint="eastAsia"/>
              </w:rPr>
            </w:pPr>
            <w:r>
              <w:rPr>
                <w:rFonts w:hint="eastAsia"/>
              </w:rPr>
              <w:t>地表水环境质量现状</w:t>
            </w:r>
          </w:p>
          <w:p w14:paraId="4386BAB6">
            <w:pPr>
              <w:keepNext w:val="0"/>
              <w:keepLines w:val="0"/>
              <w:suppressLineNumbers w:val="0"/>
              <w:bidi w:val="0"/>
              <w:spacing w:before="0" w:beforeAutospacing="0" w:after="0" w:afterAutospacing="0"/>
              <w:ind w:left="0" w:right="0"/>
              <w:rPr>
                <w:rFonts w:hint="eastAsia"/>
              </w:rPr>
            </w:pPr>
            <w:r>
              <w:rPr>
                <w:rFonts w:hint="eastAsia"/>
                <w:lang w:eastAsia="zh-CN"/>
              </w:rPr>
              <w:t>（</w:t>
            </w:r>
            <w:r>
              <w:rPr>
                <w:rFonts w:hint="eastAsia"/>
                <w:lang w:val="en-US" w:eastAsia="zh-CN"/>
              </w:rPr>
              <w:t>1</w:t>
            </w:r>
            <w:r>
              <w:rPr>
                <w:rFonts w:hint="eastAsia"/>
                <w:lang w:eastAsia="zh-CN"/>
              </w:rPr>
              <w:t>）</w:t>
            </w:r>
            <w:r>
              <w:rPr>
                <w:rFonts w:hint="eastAsia"/>
              </w:rPr>
              <w:t>地表水水质现状调查</w:t>
            </w:r>
          </w:p>
          <w:p w14:paraId="042A22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为了解项目地表水水质环境质量现状，根据福建省生态环境厅网站发布的福建省主要流域水环境质量状况</w:t>
            </w:r>
            <w:r>
              <w:rPr>
                <w:rFonts w:hint="eastAsia" w:cs="Times New Roman"/>
                <w:color w:val="auto"/>
                <w:kern w:val="2"/>
                <w:sz w:val="24"/>
                <w:szCs w:val="20"/>
                <w:highlight w:val="none"/>
                <w:lang w:val="en-US" w:eastAsia="zh-CN" w:bidi="ar-SA"/>
              </w:rPr>
              <w:t>（2025</w:t>
            </w:r>
            <w:r>
              <w:rPr>
                <w:rFonts w:hint="eastAsia" w:ascii="Times New Roman" w:hAnsi="Times New Roman" w:eastAsia="宋体" w:cs="Times New Roman"/>
                <w:color w:val="auto"/>
                <w:kern w:val="2"/>
                <w:sz w:val="24"/>
                <w:szCs w:val="20"/>
                <w:highlight w:val="none"/>
                <w:lang w:val="en-US" w:eastAsia="zh-CN" w:bidi="ar-SA"/>
              </w:rPr>
              <w:t>年</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2025年1-12月，全省主要流域总体水质为优，国控断面Ⅰ～Ⅲ类水质比例100％,Ⅰ～Ⅱ类水质比例84.8％；国控及省控断面Ⅰ～Ⅲ类水质比例100％，其中Ⅰ～Ⅱ类水质比例83.5％，各类水质比例如下：Ⅰ类占4.5％，Ⅱ类占78.9％，Ⅲ类占16.5％，无Ⅳ类、Ⅴ类和劣Ⅴ类水。</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详见图3.</w:t>
            </w:r>
            <w:r>
              <w:rPr>
                <w:rFonts w:hint="eastAsia" w:cs="Times New Roman"/>
                <w:color w:val="auto"/>
                <w:kern w:val="2"/>
                <w:sz w:val="24"/>
                <w:szCs w:val="20"/>
                <w:highlight w:val="none"/>
                <w:lang w:val="en-US" w:eastAsia="zh-CN" w:bidi="ar-SA"/>
              </w:rPr>
              <w:t>2-1</w:t>
            </w:r>
            <w:r>
              <w:rPr>
                <w:rFonts w:hint="eastAsia" w:ascii="Times New Roman" w:hAnsi="Times New Roman" w:eastAsia="宋体" w:cs="Times New Roman"/>
                <w:color w:val="auto"/>
                <w:kern w:val="2"/>
                <w:sz w:val="24"/>
                <w:szCs w:val="20"/>
                <w:highlight w:val="none"/>
                <w:lang w:val="en-US" w:eastAsia="zh-CN" w:bidi="ar-SA"/>
              </w:rPr>
              <w:t>）。</w:t>
            </w:r>
          </w:p>
          <w:p w14:paraId="685DF126">
            <w:pPr>
              <w:pStyle w:val="15"/>
              <w:keepNext w:val="0"/>
              <w:keepLines w:val="0"/>
              <w:suppressLineNumbers w:val="0"/>
              <w:bidi w:val="0"/>
              <w:spacing w:before="0" w:beforeAutospacing="0" w:after="0" w:afterAutospacing="0"/>
              <w:ind w:left="0" w:right="0"/>
              <w:jc w:val="center"/>
              <w:rPr>
                <w:rFonts w:hint="eastAsia"/>
                <w:lang w:val="en-US" w:eastAsia="zh-CN"/>
              </w:rPr>
            </w:pPr>
            <w:r>
              <w:drawing>
                <wp:inline distT="0" distB="0" distL="114300" distR="114300">
                  <wp:extent cx="4556125" cy="3500120"/>
                  <wp:effectExtent l="0" t="0" r="15875" b="508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22"/>
                          <a:stretch>
                            <a:fillRect/>
                          </a:stretch>
                        </pic:blipFill>
                        <pic:spPr>
                          <a:xfrm>
                            <a:off x="0" y="0"/>
                            <a:ext cx="4556125" cy="3500120"/>
                          </a:xfrm>
                          <a:prstGeom prst="rect">
                            <a:avLst/>
                          </a:prstGeom>
                          <a:noFill/>
                          <a:ln>
                            <a:noFill/>
                          </a:ln>
                        </pic:spPr>
                      </pic:pic>
                    </a:graphicData>
                  </a:graphic>
                </wp:inline>
              </w:drawing>
            </w:r>
          </w:p>
          <w:p w14:paraId="4B26C2E8">
            <w:pPr>
              <w:pStyle w:val="40"/>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图3.2-1 福建省流域水环境质量状况（2025年1-12月）</w:t>
            </w:r>
          </w:p>
          <w:p w14:paraId="626F0134">
            <w:pPr>
              <w:keepNext w:val="0"/>
              <w:keepLines w:val="0"/>
              <w:suppressLineNumbers w:val="0"/>
              <w:bidi w:val="0"/>
              <w:spacing w:before="0" w:beforeAutospacing="0" w:after="0" w:afterAutospacing="0"/>
              <w:ind w:left="0" w:right="0"/>
              <w:rPr>
                <w:rFonts w:hint="eastAsia"/>
              </w:rPr>
            </w:pPr>
            <w:r>
              <w:rPr>
                <w:rFonts w:hint="eastAsia"/>
                <w:lang w:val="en-US" w:eastAsia="zh-CN"/>
              </w:rPr>
              <w:t>（2</w:t>
            </w:r>
            <w:r>
              <w:rPr>
                <w:rFonts w:hint="eastAsia"/>
                <w:lang w:eastAsia="zh-CN"/>
              </w:rPr>
              <w:t>）</w:t>
            </w:r>
            <w:r>
              <w:rPr>
                <w:rFonts w:hint="eastAsia"/>
              </w:rPr>
              <w:t>引用资料的有效性分析</w:t>
            </w:r>
          </w:p>
          <w:p w14:paraId="48C1BABA">
            <w:pPr>
              <w:keepNext w:val="0"/>
              <w:keepLines w:val="0"/>
              <w:suppressLineNumbers w:val="0"/>
              <w:bidi w:val="0"/>
              <w:spacing w:before="0" w:beforeAutospacing="0" w:after="0" w:afterAutospacing="0"/>
              <w:ind w:left="0" w:right="0"/>
              <w:rPr>
                <w:rFonts w:hint="eastAsia"/>
              </w:rPr>
            </w:pPr>
            <w:r>
              <w:rPr>
                <w:rFonts w:hint="eastAsia"/>
              </w:rPr>
              <w:t>根据《建设项目环境影响报告表编制技术指南</w:t>
            </w:r>
            <w:r>
              <w:rPr>
                <w:rFonts w:hint="eastAsia"/>
                <w:lang w:eastAsia="zh-CN"/>
              </w:rPr>
              <w:t>（</w:t>
            </w:r>
            <w:r>
              <w:rPr>
                <w:rFonts w:hint="eastAsia"/>
              </w:rPr>
              <w:t>污染影响类</w:t>
            </w:r>
            <w:r>
              <w:rPr>
                <w:rFonts w:hint="eastAsia"/>
                <w:lang w:eastAsia="zh-CN"/>
              </w:rPr>
              <w:t>）（</w:t>
            </w:r>
            <w:r>
              <w:rPr>
                <w:rFonts w:hint="eastAsia"/>
              </w:rPr>
              <w:t>试行</w:t>
            </w:r>
            <w:r>
              <w:rPr>
                <w:rFonts w:hint="eastAsia"/>
                <w:lang w:eastAsia="zh-CN"/>
              </w:rPr>
              <w:t>）</w:t>
            </w:r>
            <w:r>
              <w:rPr>
                <w:rFonts w:hint="eastAsia"/>
              </w:rPr>
              <w:t>》</w:t>
            </w:r>
            <w:r>
              <w:rPr>
                <w:rFonts w:hint="eastAsia"/>
                <w:lang w:eastAsia="zh-CN"/>
              </w:rPr>
              <w:t>（</w:t>
            </w:r>
            <w:r>
              <w:rPr>
                <w:rFonts w:hint="eastAsia"/>
              </w:rPr>
              <w:t>环办环评〔2020〕33号</w:t>
            </w:r>
            <w:r>
              <w:rPr>
                <w:rFonts w:hint="eastAsia"/>
                <w:lang w:eastAsia="zh-CN"/>
              </w:rPr>
              <w:t>）</w:t>
            </w:r>
            <w:r>
              <w:rPr>
                <w:rFonts w:hint="eastAsia"/>
              </w:rPr>
              <w:t>的要求：</w:t>
            </w:r>
            <w:r>
              <w:rPr>
                <w:rFonts w:hint="eastAsia"/>
                <w:lang w:eastAsia="zh-CN"/>
              </w:rPr>
              <w:t>“</w:t>
            </w:r>
            <w:r>
              <w:rPr>
                <w:rFonts w:hint="eastAsia"/>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lang w:eastAsia="zh-CN"/>
              </w:rPr>
              <w:t>”，</w:t>
            </w:r>
            <w:r>
              <w:rPr>
                <w:rFonts w:hint="eastAsia"/>
              </w:rPr>
              <w:t>本</w:t>
            </w:r>
            <w:r>
              <w:rPr>
                <w:rFonts w:hint="eastAsia"/>
                <w:lang w:val="en-US" w:eastAsia="zh-CN"/>
              </w:rPr>
              <w:t>次</w:t>
            </w:r>
            <w:r>
              <w:rPr>
                <w:rFonts w:hint="eastAsia"/>
              </w:rPr>
              <w:t>评价选取福建省生态环境厅网站发布水环境状况信息，符合《建设项目环境影响报告表编制技术指南</w:t>
            </w:r>
            <w:r>
              <w:rPr>
                <w:rFonts w:hint="eastAsia"/>
                <w:lang w:eastAsia="zh-CN"/>
              </w:rPr>
              <w:t>（</w:t>
            </w:r>
            <w:r>
              <w:rPr>
                <w:rFonts w:hint="eastAsia"/>
              </w:rPr>
              <w:t>污染影响类</w:t>
            </w:r>
            <w:r>
              <w:rPr>
                <w:rFonts w:hint="eastAsia"/>
                <w:lang w:eastAsia="zh-CN"/>
              </w:rPr>
              <w:t>）（</w:t>
            </w:r>
            <w:r>
              <w:rPr>
                <w:rFonts w:hint="eastAsia"/>
              </w:rPr>
              <w:t>试行</w:t>
            </w:r>
            <w:r>
              <w:rPr>
                <w:rFonts w:hint="eastAsia"/>
                <w:lang w:eastAsia="zh-CN"/>
              </w:rPr>
              <w:t>）</w:t>
            </w:r>
            <w:r>
              <w:rPr>
                <w:rFonts w:hint="eastAsia"/>
              </w:rPr>
              <w:t>》</w:t>
            </w:r>
            <w:r>
              <w:rPr>
                <w:rFonts w:hint="eastAsia"/>
                <w:lang w:eastAsia="zh-CN"/>
              </w:rPr>
              <w:t>（</w:t>
            </w:r>
            <w:r>
              <w:rPr>
                <w:rFonts w:hint="eastAsia"/>
              </w:rPr>
              <w:t>环办环评〔2020〕33号</w:t>
            </w:r>
            <w:r>
              <w:rPr>
                <w:rFonts w:hint="eastAsia"/>
                <w:lang w:eastAsia="zh-CN"/>
              </w:rPr>
              <w:t>）</w:t>
            </w:r>
            <w:r>
              <w:rPr>
                <w:rFonts w:hint="eastAsia"/>
              </w:rPr>
              <w:t>的要求。</w:t>
            </w:r>
          </w:p>
          <w:p w14:paraId="082B375A">
            <w:pPr>
              <w:pStyle w:val="3"/>
              <w:keepNext w:val="0"/>
              <w:keepLines w:val="0"/>
              <w:suppressLineNumbers w:val="0"/>
              <w:bidi w:val="0"/>
              <w:spacing w:before="0" w:beforeAutospacing="0" w:after="0" w:afterAutospacing="0"/>
              <w:ind w:left="0" w:right="0"/>
              <w:rPr>
                <w:rFonts w:hint="default"/>
              </w:rPr>
            </w:pPr>
            <w:r>
              <w:rPr>
                <w:rFonts w:hint="default"/>
              </w:rPr>
              <w:t>声环境质量现状</w:t>
            </w:r>
          </w:p>
          <w:p w14:paraId="30721A29">
            <w:pPr>
              <w:pStyle w:val="4"/>
              <w:suppressLineNumbers w:val="0"/>
              <w:bidi w:val="0"/>
              <w:spacing w:before="0" w:beforeAutospacing="0" w:after="0" w:afterAutospacing="0"/>
              <w:ind w:left="0" w:right="0"/>
              <w:rPr>
                <w:rFonts w:hint="default"/>
              </w:rPr>
            </w:pPr>
            <w:r>
              <w:rPr>
                <w:rFonts w:hint="default"/>
              </w:rPr>
              <w:t>声环境功能区</w:t>
            </w:r>
          </w:p>
          <w:p w14:paraId="47581266">
            <w:pPr>
              <w:keepNext w:val="0"/>
              <w:keepLines w:val="0"/>
              <w:suppressLineNumbers w:val="0"/>
              <w:bidi w:val="0"/>
              <w:spacing w:before="0" w:beforeAutospacing="0" w:after="0" w:afterAutospacing="0"/>
              <w:ind w:left="0" w:right="0"/>
              <w:rPr>
                <w:rFonts w:hint="eastAsia"/>
              </w:rPr>
            </w:pPr>
            <w:r>
              <w:rPr>
                <w:rFonts w:hint="eastAsia"/>
              </w:rPr>
              <w:t>本项目位于福清融侨经济技术开发区（租赁福清洪添科技有限公司车间2第3层），项目周边以工业生产、仓储物流为主要功能的区域，</w:t>
            </w:r>
            <w:r>
              <w:rPr>
                <w:rFonts w:hint="eastAsia"/>
                <w:lang w:val="en-US" w:eastAsia="zh-CN"/>
              </w:rPr>
              <w:t>根据《</w:t>
            </w:r>
            <w:r>
              <w:rPr>
                <w:rFonts w:hint="eastAsia"/>
              </w:rPr>
              <w:t>福清市人民政府办公室关于印发福清市城市建成区声环境功能区划的通知</w:t>
            </w:r>
            <w:r>
              <w:rPr>
                <w:rFonts w:hint="eastAsia"/>
                <w:lang w:eastAsia="zh-CN"/>
              </w:rPr>
              <w:t>》（</w:t>
            </w:r>
            <w:r>
              <w:rPr>
                <w:rFonts w:hint="eastAsia"/>
              </w:rPr>
              <w:t>融政办〔2022〕48号</w:t>
            </w:r>
            <w:r>
              <w:rPr>
                <w:rFonts w:hint="eastAsia"/>
                <w:lang w:eastAsia="zh-CN"/>
              </w:rPr>
              <w:t>）</w:t>
            </w:r>
            <w:r>
              <w:rPr>
                <w:rFonts w:hint="eastAsia"/>
                <w:lang w:val="en-US" w:eastAsia="zh-CN"/>
              </w:rPr>
              <w:t>中的声环境功能区划（详见</w:t>
            </w:r>
            <w:r>
              <w:rPr>
                <w:rFonts w:hint="eastAsia"/>
                <w:lang w:val="en-US" w:eastAsia="zh-CN"/>
              </w:rPr>
              <w:fldChar w:fldCharType="begin"/>
            </w:r>
            <w:r>
              <w:rPr>
                <w:rFonts w:hint="eastAsia"/>
                <w:lang w:val="en-US" w:eastAsia="zh-CN"/>
              </w:rPr>
              <w:instrText xml:space="preserve"> REF _Ref22894 \h </w:instrText>
            </w:r>
            <w:r>
              <w:rPr>
                <w:rFonts w:hint="eastAsia"/>
                <w:lang w:val="en-US" w:eastAsia="zh-CN"/>
              </w:rPr>
              <w:fldChar w:fldCharType="separate"/>
            </w:r>
            <w:r>
              <w:rPr>
                <w:rStyle w:val="46"/>
                <w:rFonts w:hint="eastAsia"/>
                <w:b/>
              </w:rPr>
              <w:t>附图 7</w:t>
            </w:r>
            <w:r>
              <w:rPr>
                <w:rFonts w:hint="eastAsia"/>
                <w:lang w:val="en-US" w:eastAsia="zh-CN"/>
              </w:rPr>
              <w:fldChar w:fldCharType="end"/>
            </w:r>
            <w:r>
              <w:rPr>
                <w:rFonts w:hint="eastAsia"/>
                <w:lang w:val="en-US" w:eastAsia="zh-CN"/>
              </w:rPr>
              <w:t>），洪宽工业村片区属于</w:t>
            </w:r>
            <w:r>
              <w:rPr>
                <w:rFonts w:hint="eastAsia"/>
              </w:rPr>
              <w:t>3类功能区</w:t>
            </w:r>
            <w:r>
              <w:rPr>
                <w:rFonts w:hint="eastAsia"/>
                <w:lang w:eastAsia="zh-CN"/>
              </w:rPr>
              <w:t>，</w:t>
            </w:r>
            <w:r>
              <w:rPr>
                <w:rFonts w:hint="eastAsia"/>
                <w:lang w:val="en-US" w:eastAsia="zh-CN"/>
              </w:rPr>
              <w:t>本项目位于洪宽工业村片区内，故本项目</w:t>
            </w:r>
            <w:r>
              <w:rPr>
                <w:rFonts w:hint="eastAsia"/>
              </w:rPr>
              <w:t>声环境功能执行《声环境质量标准》</w:t>
            </w:r>
            <w:r>
              <w:rPr>
                <w:rFonts w:hint="eastAsia"/>
                <w:lang w:eastAsia="zh-CN"/>
              </w:rPr>
              <w:t>（</w:t>
            </w:r>
            <w:r>
              <w:rPr>
                <w:rFonts w:hint="eastAsia"/>
              </w:rPr>
              <w:t>GB3096-2008</w:t>
            </w:r>
            <w:r>
              <w:rPr>
                <w:rFonts w:hint="eastAsia"/>
                <w:lang w:eastAsia="zh-CN"/>
              </w:rPr>
              <w:t>）</w:t>
            </w:r>
            <w:r>
              <w:rPr>
                <w:rFonts w:hint="eastAsia"/>
              </w:rPr>
              <w:t>表1中3类标准。</w:t>
            </w:r>
          </w:p>
          <w:p w14:paraId="2CDE5D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bCs/>
                <w:color w:val="auto"/>
                <w:sz w:val="24"/>
                <w:lang w:eastAsia="zh-CN"/>
              </w:rPr>
            </w:pPr>
            <w:r>
              <w:rPr>
                <w:rStyle w:val="44"/>
                <w:rFonts w:hint="default"/>
              </w:rPr>
              <w:t>表</w:t>
            </w:r>
            <w:r>
              <w:rPr>
                <w:rStyle w:val="44"/>
                <w:rFonts w:hint="eastAsia"/>
                <w:lang w:val="en-US" w:eastAsia="zh-CN"/>
              </w:rPr>
              <w:t>3.3-1</w:t>
            </w:r>
            <w:r>
              <w:rPr>
                <w:rStyle w:val="44"/>
                <w:rFonts w:hint="default"/>
              </w:rPr>
              <w:t xml:space="preserve">  《声环境质量标准》</w:t>
            </w:r>
            <w:r>
              <w:rPr>
                <w:rStyle w:val="44"/>
                <w:rFonts w:hint="eastAsia"/>
                <w:lang w:eastAsia="zh-CN"/>
              </w:rPr>
              <w:t>（</w:t>
            </w:r>
            <w:r>
              <w:rPr>
                <w:rStyle w:val="44"/>
                <w:rFonts w:hint="default"/>
              </w:rPr>
              <w:t>GB3096-2008</w:t>
            </w:r>
            <w:r>
              <w:rPr>
                <w:rStyle w:val="44"/>
                <w:rFonts w:hint="eastAsia"/>
                <w:lang w:eastAsia="zh-CN"/>
              </w:rPr>
              <w:t>）（</w:t>
            </w:r>
            <w:r>
              <w:rPr>
                <w:rStyle w:val="44"/>
                <w:rFonts w:hint="default"/>
              </w:rPr>
              <w:t>摘录</w:t>
            </w:r>
            <w:r>
              <w:rPr>
                <w:rFonts w:hint="eastAsia" w:cs="Times New Roman"/>
                <w:b/>
                <w:bCs/>
                <w:color w:val="auto"/>
                <w:sz w:val="24"/>
                <w:lang w:eastAsia="zh-CN"/>
              </w:rPr>
              <w:t>）</w:t>
            </w:r>
          </w:p>
          <w:tbl>
            <w:tblPr>
              <w:tblStyle w:val="30"/>
              <w:tblW w:w="5000"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25"/>
              <w:gridCol w:w="3794"/>
              <w:gridCol w:w="1776"/>
              <w:gridCol w:w="1779"/>
            </w:tblGrid>
            <w:tr w14:paraId="003B0AC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92" w:type="pct"/>
                  <w:vMerge w:val="restart"/>
                  <w:tcBorders>
                    <w:top w:val="single" w:color="000000" w:sz="12" w:space="0"/>
                    <w:left w:val="nil"/>
                    <w:bottom w:val="single" w:color="000000" w:sz="6" w:space="0"/>
                    <w:right w:val="single" w:color="000000" w:sz="4" w:space="0"/>
                  </w:tcBorders>
                  <w:noWrap w:val="0"/>
                  <w:vAlign w:val="center"/>
                </w:tcPr>
                <w:p w14:paraId="2C5E86AA">
                  <w:pPr>
                    <w:pStyle w:val="39"/>
                    <w:keepNext w:val="0"/>
                    <w:keepLines w:val="0"/>
                    <w:widowControl/>
                    <w:suppressLineNumbers w:val="0"/>
                    <w:bidi w:val="0"/>
                    <w:spacing w:before="0" w:beforeAutospacing="0" w:after="0" w:afterAutospacing="0"/>
                    <w:ind w:left="0" w:right="0"/>
                    <w:rPr>
                      <w:rFonts w:hint="eastAsia"/>
                      <w:snapToGrid w:val="0"/>
                      <w:color w:val="auto"/>
                      <w:kern w:val="18"/>
                      <w:szCs w:val="22"/>
                    </w:rPr>
                  </w:pPr>
                  <w:r>
                    <w:rPr>
                      <w:rFonts w:hint="eastAsia"/>
                      <w:szCs w:val="22"/>
                    </w:rPr>
                    <w:t>标准类别</w:t>
                  </w:r>
                </w:p>
              </w:tc>
              <w:tc>
                <w:tcPr>
                  <w:tcW w:w="2378" w:type="pct"/>
                  <w:vMerge w:val="restart"/>
                  <w:tcBorders>
                    <w:top w:val="single" w:color="000000" w:sz="12" w:space="0"/>
                    <w:left w:val="single" w:color="000000" w:sz="4" w:space="0"/>
                    <w:bottom w:val="single" w:color="000000" w:sz="6" w:space="0"/>
                    <w:right w:val="single" w:color="000000" w:sz="4" w:space="0"/>
                  </w:tcBorders>
                  <w:noWrap w:val="0"/>
                  <w:vAlign w:val="center"/>
                </w:tcPr>
                <w:p w14:paraId="26032BDF">
                  <w:pPr>
                    <w:pStyle w:val="39"/>
                    <w:keepNext w:val="0"/>
                    <w:keepLines w:val="0"/>
                    <w:widowControl/>
                    <w:suppressLineNumbers w:val="0"/>
                    <w:bidi w:val="0"/>
                    <w:spacing w:before="0" w:beforeAutospacing="0" w:after="0" w:afterAutospacing="0"/>
                    <w:ind w:left="0" w:right="0"/>
                    <w:rPr>
                      <w:rFonts w:hint="eastAsia"/>
                      <w:snapToGrid w:val="0"/>
                      <w:color w:val="auto"/>
                      <w:kern w:val="18"/>
                      <w:szCs w:val="22"/>
                    </w:rPr>
                  </w:pPr>
                  <w:r>
                    <w:rPr>
                      <w:rFonts w:hint="eastAsia"/>
                      <w:szCs w:val="22"/>
                    </w:rPr>
                    <w:t>适用区域</w:t>
                  </w:r>
                </w:p>
              </w:tc>
              <w:tc>
                <w:tcPr>
                  <w:tcW w:w="2228" w:type="pct"/>
                  <w:gridSpan w:val="2"/>
                  <w:tcBorders>
                    <w:top w:val="single" w:color="000000" w:sz="12" w:space="0"/>
                    <w:left w:val="single" w:color="000000" w:sz="4" w:space="0"/>
                    <w:bottom w:val="single" w:color="000000" w:sz="6" w:space="0"/>
                    <w:right w:val="nil"/>
                  </w:tcBorders>
                  <w:noWrap w:val="0"/>
                  <w:vAlign w:val="center"/>
                </w:tcPr>
                <w:p w14:paraId="309105D5">
                  <w:pPr>
                    <w:pStyle w:val="39"/>
                    <w:keepNext w:val="0"/>
                    <w:keepLines w:val="0"/>
                    <w:widowControl/>
                    <w:suppressLineNumbers w:val="0"/>
                    <w:bidi w:val="0"/>
                    <w:spacing w:before="0" w:beforeAutospacing="0" w:after="0" w:afterAutospacing="0"/>
                    <w:ind w:left="0" w:right="0"/>
                    <w:rPr>
                      <w:rFonts w:hint="eastAsia" w:eastAsia="宋体"/>
                      <w:snapToGrid w:val="0"/>
                      <w:color w:val="auto"/>
                      <w:kern w:val="18"/>
                      <w:szCs w:val="22"/>
                      <w:lang w:eastAsia="zh-CN"/>
                    </w:rPr>
                  </w:pPr>
                  <w:r>
                    <w:rPr>
                      <w:rFonts w:hint="eastAsia"/>
                      <w:szCs w:val="22"/>
                    </w:rPr>
                    <w:t>等效声级Leq</w:t>
                  </w:r>
                  <w:r>
                    <w:rPr>
                      <w:rFonts w:hint="eastAsia"/>
                      <w:szCs w:val="22"/>
                      <w:lang w:eastAsia="zh-CN"/>
                    </w:rPr>
                    <w:t>（</w:t>
                  </w:r>
                  <w:r>
                    <w:rPr>
                      <w:rFonts w:hint="eastAsia"/>
                      <w:szCs w:val="22"/>
                    </w:rPr>
                    <w:t>dB</w:t>
                  </w:r>
                  <w:r>
                    <w:rPr>
                      <w:rFonts w:hint="eastAsia"/>
                      <w:szCs w:val="22"/>
                      <w:lang w:eastAsia="zh-CN"/>
                    </w:rPr>
                    <w:t>（</w:t>
                  </w:r>
                  <w:r>
                    <w:rPr>
                      <w:rFonts w:hint="eastAsia"/>
                      <w:szCs w:val="22"/>
                    </w:rPr>
                    <w:t>A</w:t>
                  </w:r>
                  <w:r>
                    <w:rPr>
                      <w:rFonts w:hint="eastAsia"/>
                      <w:szCs w:val="22"/>
                      <w:lang w:eastAsia="zh-CN"/>
                    </w:rPr>
                    <w:t>））</w:t>
                  </w:r>
                </w:p>
              </w:tc>
            </w:tr>
            <w:tr w14:paraId="5886C79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92" w:type="pct"/>
                  <w:vMerge w:val="continue"/>
                  <w:tcBorders>
                    <w:top w:val="single" w:color="000000" w:sz="6" w:space="0"/>
                    <w:left w:val="nil"/>
                    <w:bottom w:val="single" w:color="000000" w:sz="6" w:space="0"/>
                    <w:right w:val="single" w:color="000000" w:sz="4" w:space="0"/>
                  </w:tcBorders>
                  <w:noWrap w:val="0"/>
                  <w:vAlign w:val="center"/>
                </w:tcPr>
                <w:p w14:paraId="5CC087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snapToGrid w:val="0"/>
                      <w:color w:val="auto"/>
                      <w:kern w:val="18"/>
                    </w:rPr>
                  </w:pPr>
                </w:p>
              </w:tc>
              <w:tc>
                <w:tcPr>
                  <w:tcW w:w="2378" w:type="pct"/>
                  <w:vMerge w:val="continue"/>
                  <w:tcBorders>
                    <w:top w:val="single" w:color="000000" w:sz="6" w:space="0"/>
                    <w:left w:val="single" w:color="000000" w:sz="4" w:space="0"/>
                    <w:bottom w:val="single" w:color="000000" w:sz="6" w:space="0"/>
                    <w:right w:val="single" w:color="000000" w:sz="4" w:space="0"/>
                  </w:tcBorders>
                  <w:noWrap w:val="0"/>
                  <w:vAlign w:val="center"/>
                </w:tcPr>
                <w:p w14:paraId="04FB7A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snapToGrid w:val="0"/>
                      <w:color w:val="auto"/>
                      <w:kern w:val="18"/>
                    </w:rPr>
                  </w:pPr>
                </w:p>
              </w:tc>
              <w:tc>
                <w:tcPr>
                  <w:tcW w:w="1113" w:type="pct"/>
                  <w:tcBorders>
                    <w:top w:val="single" w:color="000000" w:sz="6" w:space="0"/>
                    <w:left w:val="single" w:color="000000" w:sz="4" w:space="0"/>
                    <w:bottom w:val="single" w:color="000000" w:sz="6" w:space="0"/>
                    <w:right w:val="nil"/>
                  </w:tcBorders>
                  <w:noWrap w:val="0"/>
                  <w:vAlign w:val="center"/>
                </w:tcPr>
                <w:p w14:paraId="715CD05A">
                  <w:pPr>
                    <w:pStyle w:val="39"/>
                    <w:keepNext w:val="0"/>
                    <w:keepLines w:val="0"/>
                    <w:widowControl/>
                    <w:suppressLineNumbers w:val="0"/>
                    <w:bidi w:val="0"/>
                    <w:spacing w:before="0" w:beforeAutospacing="0" w:after="0" w:afterAutospacing="0"/>
                    <w:ind w:left="0" w:right="0"/>
                    <w:rPr>
                      <w:rFonts w:hint="eastAsia"/>
                      <w:snapToGrid w:val="0"/>
                      <w:color w:val="auto"/>
                      <w:kern w:val="18"/>
                      <w:szCs w:val="22"/>
                    </w:rPr>
                  </w:pPr>
                  <w:r>
                    <w:rPr>
                      <w:rFonts w:hint="eastAsia"/>
                      <w:szCs w:val="22"/>
                    </w:rPr>
                    <w:t>昼间</w:t>
                  </w:r>
                </w:p>
              </w:tc>
              <w:tc>
                <w:tcPr>
                  <w:tcW w:w="1115" w:type="pct"/>
                  <w:tcBorders>
                    <w:top w:val="single" w:color="000000" w:sz="6" w:space="0"/>
                    <w:left w:val="single" w:color="000000" w:sz="4" w:space="0"/>
                    <w:bottom w:val="single" w:color="000000" w:sz="6" w:space="0"/>
                    <w:right w:val="nil"/>
                  </w:tcBorders>
                  <w:noWrap w:val="0"/>
                  <w:vAlign w:val="center"/>
                </w:tcPr>
                <w:p w14:paraId="71843D7E">
                  <w:pPr>
                    <w:pStyle w:val="39"/>
                    <w:keepNext w:val="0"/>
                    <w:keepLines w:val="0"/>
                    <w:widowControl/>
                    <w:suppressLineNumbers w:val="0"/>
                    <w:bidi w:val="0"/>
                    <w:spacing w:before="0" w:beforeAutospacing="0" w:after="0" w:afterAutospacing="0"/>
                    <w:ind w:left="0" w:right="0"/>
                    <w:rPr>
                      <w:rFonts w:hint="eastAsia" w:eastAsia="宋体"/>
                      <w:snapToGrid w:val="0"/>
                      <w:color w:val="auto"/>
                      <w:kern w:val="18"/>
                      <w:szCs w:val="22"/>
                      <w:lang w:eastAsia="zh-CN"/>
                    </w:rPr>
                  </w:pPr>
                  <w:r>
                    <w:rPr>
                      <w:rFonts w:hint="eastAsia"/>
                      <w:szCs w:val="22"/>
                      <w:lang w:eastAsia="zh-CN"/>
                    </w:rPr>
                    <w:t>夜间</w:t>
                  </w:r>
                </w:p>
              </w:tc>
            </w:tr>
            <w:tr w14:paraId="311991E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92" w:type="pct"/>
                  <w:tcBorders>
                    <w:top w:val="single" w:color="000000" w:sz="6" w:space="0"/>
                    <w:left w:val="nil"/>
                    <w:bottom w:val="single" w:color="000000" w:sz="12" w:space="0"/>
                    <w:right w:val="single" w:color="000000" w:sz="4" w:space="0"/>
                  </w:tcBorders>
                  <w:noWrap w:val="0"/>
                  <w:vAlign w:val="center"/>
                </w:tcPr>
                <w:p w14:paraId="5C917683">
                  <w:pPr>
                    <w:pStyle w:val="39"/>
                    <w:keepNext w:val="0"/>
                    <w:keepLines w:val="0"/>
                    <w:widowControl/>
                    <w:suppressLineNumbers w:val="0"/>
                    <w:bidi w:val="0"/>
                    <w:spacing w:before="0" w:beforeAutospacing="0" w:after="0" w:afterAutospacing="0"/>
                    <w:ind w:left="0" w:right="0"/>
                    <w:rPr>
                      <w:rFonts w:hint="eastAsia"/>
                      <w:snapToGrid w:val="0"/>
                      <w:color w:val="auto"/>
                      <w:kern w:val="18"/>
                      <w:szCs w:val="22"/>
                    </w:rPr>
                  </w:pPr>
                  <w:r>
                    <w:rPr>
                      <w:rFonts w:hint="eastAsia"/>
                      <w:szCs w:val="22"/>
                    </w:rPr>
                    <w:t>3</w:t>
                  </w:r>
                </w:p>
              </w:tc>
              <w:tc>
                <w:tcPr>
                  <w:tcW w:w="2378" w:type="pct"/>
                  <w:tcBorders>
                    <w:top w:val="single" w:color="000000" w:sz="6" w:space="0"/>
                    <w:left w:val="single" w:color="000000" w:sz="4" w:space="0"/>
                    <w:bottom w:val="single" w:color="000000" w:sz="12" w:space="0"/>
                    <w:right w:val="single" w:color="000000" w:sz="4" w:space="0"/>
                  </w:tcBorders>
                  <w:noWrap w:val="0"/>
                  <w:vAlign w:val="center"/>
                </w:tcPr>
                <w:p w14:paraId="405ED55D">
                  <w:pPr>
                    <w:pStyle w:val="39"/>
                    <w:keepNext w:val="0"/>
                    <w:keepLines w:val="0"/>
                    <w:widowControl/>
                    <w:suppressLineNumbers w:val="0"/>
                    <w:bidi w:val="0"/>
                    <w:spacing w:before="0" w:beforeAutospacing="0" w:after="0" w:afterAutospacing="0"/>
                    <w:ind w:left="0" w:right="0"/>
                    <w:rPr>
                      <w:rFonts w:hint="eastAsia"/>
                      <w:snapToGrid w:val="0"/>
                      <w:color w:val="auto"/>
                      <w:kern w:val="18"/>
                      <w:szCs w:val="21"/>
                    </w:rPr>
                  </w:pPr>
                  <w:r>
                    <w:rPr>
                      <w:rFonts w:hint="eastAsia"/>
                      <w:szCs w:val="22"/>
                    </w:rPr>
                    <w:t>指以工业生产、仓储物流为主要功能，需要防止工业噪声对周围环境产生严重影响的区域。</w:t>
                  </w:r>
                </w:p>
              </w:tc>
              <w:tc>
                <w:tcPr>
                  <w:tcW w:w="1113" w:type="pct"/>
                  <w:tcBorders>
                    <w:top w:val="single" w:color="000000" w:sz="6" w:space="0"/>
                    <w:left w:val="single" w:color="000000" w:sz="4" w:space="0"/>
                    <w:bottom w:val="single" w:color="000000" w:sz="12" w:space="0"/>
                    <w:right w:val="nil"/>
                  </w:tcBorders>
                  <w:noWrap w:val="0"/>
                  <w:vAlign w:val="center"/>
                </w:tcPr>
                <w:p w14:paraId="7E61A429">
                  <w:pPr>
                    <w:pStyle w:val="39"/>
                    <w:keepNext w:val="0"/>
                    <w:keepLines w:val="0"/>
                    <w:widowControl/>
                    <w:suppressLineNumbers w:val="0"/>
                    <w:bidi w:val="0"/>
                    <w:spacing w:before="0" w:beforeAutospacing="0" w:after="0" w:afterAutospacing="0"/>
                    <w:ind w:left="0" w:right="0"/>
                    <w:rPr>
                      <w:rFonts w:hint="eastAsia"/>
                      <w:snapToGrid w:val="0"/>
                      <w:color w:val="auto"/>
                      <w:kern w:val="18"/>
                      <w:szCs w:val="21"/>
                    </w:rPr>
                  </w:pPr>
                  <w:r>
                    <w:rPr>
                      <w:rFonts w:hint="eastAsia"/>
                      <w:szCs w:val="22"/>
                    </w:rPr>
                    <w:t>≤65</w:t>
                  </w:r>
                </w:p>
              </w:tc>
              <w:tc>
                <w:tcPr>
                  <w:tcW w:w="1115" w:type="pct"/>
                  <w:tcBorders>
                    <w:top w:val="single" w:color="000000" w:sz="6" w:space="0"/>
                    <w:left w:val="single" w:color="000000" w:sz="4" w:space="0"/>
                    <w:bottom w:val="single" w:color="000000" w:sz="12" w:space="0"/>
                    <w:right w:val="nil"/>
                  </w:tcBorders>
                  <w:noWrap w:val="0"/>
                  <w:vAlign w:val="center"/>
                </w:tcPr>
                <w:p w14:paraId="7B9DE686">
                  <w:pPr>
                    <w:pStyle w:val="39"/>
                    <w:keepNext w:val="0"/>
                    <w:keepLines w:val="0"/>
                    <w:widowControl/>
                    <w:suppressLineNumbers w:val="0"/>
                    <w:bidi w:val="0"/>
                    <w:spacing w:before="0" w:beforeAutospacing="0" w:after="0" w:afterAutospacing="0"/>
                    <w:ind w:left="0" w:right="0"/>
                    <w:rPr>
                      <w:rFonts w:hint="default" w:eastAsia="宋体"/>
                      <w:snapToGrid w:val="0"/>
                      <w:color w:val="auto"/>
                      <w:kern w:val="18"/>
                      <w:szCs w:val="21"/>
                      <w:lang w:val="en-US" w:eastAsia="zh-CN"/>
                    </w:rPr>
                  </w:pPr>
                  <w:r>
                    <w:rPr>
                      <w:rFonts w:hint="eastAsia"/>
                      <w:szCs w:val="22"/>
                    </w:rPr>
                    <w:t>≤</w:t>
                  </w:r>
                  <w:r>
                    <w:rPr>
                      <w:rFonts w:hint="eastAsia"/>
                      <w:szCs w:val="22"/>
                      <w:lang w:val="en-US" w:eastAsia="zh-CN"/>
                    </w:rPr>
                    <w:t>55</w:t>
                  </w:r>
                </w:p>
              </w:tc>
            </w:tr>
          </w:tbl>
          <w:p w14:paraId="15F7C195">
            <w:pPr>
              <w:pStyle w:val="4"/>
              <w:suppressLineNumbers w:val="0"/>
              <w:bidi w:val="0"/>
              <w:spacing w:before="0" w:beforeAutospacing="0" w:after="0" w:afterAutospacing="0"/>
              <w:ind w:left="0" w:right="0"/>
              <w:rPr>
                <w:rFonts w:hint="eastAsia"/>
              </w:rPr>
            </w:pPr>
            <w:r>
              <w:rPr>
                <w:rFonts w:hint="eastAsia"/>
              </w:rPr>
              <w:t>声环境质量现状</w:t>
            </w:r>
          </w:p>
          <w:p w14:paraId="15AF59CC">
            <w:pPr>
              <w:keepNext w:val="0"/>
              <w:keepLines w:val="0"/>
              <w:suppressLineNumbers w:val="0"/>
              <w:bidi w:val="0"/>
              <w:spacing w:before="0" w:beforeAutospacing="0" w:after="0" w:afterAutospacing="0"/>
              <w:ind w:left="0" w:right="0"/>
              <w:rPr>
                <w:rFonts w:hint="eastAsia"/>
              </w:rPr>
            </w:pPr>
            <w:r>
              <w:rPr>
                <w:rFonts w:hint="default"/>
                <w:lang w:val="en-US" w:eastAsia="zh-CN"/>
              </w:rPr>
              <w:t>根据生态环境部办公</w:t>
            </w:r>
            <w:r>
              <w:rPr>
                <w:rFonts w:hint="eastAsia"/>
                <w:lang w:val="en-US" w:eastAsia="zh-CN"/>
              </w:rPr>
              <w:t>厅</w:t>
            </w:r>
            <w:r>
              <w:rPr>
                <w:rFonts w:hint="default"/>
                <w:lang w:val="en-US" w:eastAsia="zh-CN"/>
              </w:rPr>
              <w:t>2020年12月24日印发</w:t>
            </w:r>
            <w:r>
              <w:rPr>
                <w:rFonts w:hint="eastAsia"/>
                <w:lang w:val="en-US" w:eastAsia="zh-CN"/>
              </w:rPr>
              <w:t>《</w:t>
            </w:r>
            <w:r>
              <w:rPr>
                <w:rFonts w:hint="default"/>
                <w:lang w:val="en-US" w:eastAsia="zh-CN"/>
              </w:rPr>
              <w:t>建设项目环境影响报告表编制技术指南</w:t>
            </w:r>
            <w:r>
              <w:rPr>
                <w:rFonts w:hint="eastAsia"/>
                <w:lang w:val="en-US" w:eastAsia="zh-CN"/>
              </w:rPr>
              <w:t>（</w:t>
            </w:r>
            <w:r>
              <w:rPr>
                <w:rFonts w:hint="default"/>
                <w:lang w:val="en-US" w:eastAsia="zh-CN"/>
              </w:rPr>
              <w:t>污染影响类</w:t>
            </w:r>
            <w:r>
              <w:rPr>
                <w:rFonts w:hint="eastAsia"/>
                <w:lang w:val="en-US" w:eastAsia="zh-CN"/>
              </w:rPr>
              <w:t>）（</w:t>
            </w:r>
            <w:r>
              <w:rPr>
                <w:rFonts w:hint="default"/>
                <w:lang w:val="en-US" w:eastAsia="zh-CN"/>
              </w:rPr>
              <w:t>试行</w:t>
            </w:r>
            <w:r>
              <w:rPr>
                <w:rFonts w:hint="eastAsia"/>
                <w:lang w:val="en-US" w:eastAsia="zh-CN"/>
              </w:rPr>
              <w:t>）</w:t>
            </w:r>
            <w:r>
              <w:rPr>
                <w:rFonts w:hint="default"/>
                <w:lang w:val="en-US" w:eastAsia="zh-CN"/>
              </w:rPr>
              <w:t>》，当厂界外周边50米范围内存在声环境保护目标的建设项目，应监测保护目标声环境质量现状并评价达标情况。</w:t>
            </w:r>
          </w:p>
          <w:p w14:paraId="355D1BB6">
            <w:pPr>
              <w:keepNext w:val="0"/>
              <w:keepLines w:val="0"/>
              <w:suppressLineNumbers w:val="0"/>
              <w:bidi w:val="0"/>
              <w:spacing w:before="0" w:beforeAutospacing="0" w:after="0" w:afterAutospacing="0"/>
              <w:ind w:left="0" w:right="0"/>
              <w:rPr>
                <w:rFonts w:hint="eastAsia"/>
              </w:rPr>
            </w:pPr>
            <w:r>
              <w:rPr>
                <w:rFonts w:hint="eastAsia"/>
              </w:rPr>
              <w:t>根据现场踏勘可知，项目周边50米范围内无声环境保护目标，可不进行声环境质量现状的监测。</w:t>
            </w:r>
          </w:p>
          <w:p w14:paraId="4EEC7E9C">
            <w:pPr>
              <w:pStyle w:val="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生态环境现状调查</w:t>
            </w:r>
          </w:p>
          <w:p w14:paraId="67E092B9">
            <w:pPr>
              <w:keepNext w:val="0"/>
              <w:keepLines w:val="0"/>
              <w:suppressLineNumbers w:val="0"/>
              <w:spacing w:before="0" w:beforeAutospacing="0" w:after="0" w:afterAutospacing="0"/>
              <w:ind w:left="0" w:leftChars="0" w:right="0" w:firstLine="480" w:firstLineChars="200"/>
              <w:rPr>
                <w:rFonts w:hint="eastAsia"/>
                <w:color w:val="auto"/>
                <w:lang w:val="zh-CN"/>
              </w:rPr>
            </w:pPr>
            <w:r>
              <w:rPr>
                <w:rFonts w:hint="eastAsia"/>
                <w:color w:val="auto"/>
                <w:sz w:val="24"/>
              </w:rPr>
              <w:t>根据现场勘查，</w:t>
            </w:r>
            <w:r>
              <w:rPr>
                <w:rFonts w:hint="eastAsia"/>
                <w:color w:val="auto"/>
                <w:kern w:val="0"/>
                <w:sz w:val="24"/>
              </w:rPr>
              <w:t>目前厂房已经建设完成，</w:t>
            </w:r>
            <w:r>
              <w:rPr>
                <w:rFonts w:hint="eastAsia"/>
                <w:color w:val="auto"/>
                <w:sz w:val="24"/>
                <w:lang w:val="zh-CN"/>
              </w:rPr>
              <w:t>项目用地</w:t>
            </w:r>
            <w:r>
              <w:rPr>
                <w:rFonts w:hint="eastAsia"/>
                <w:color w:val="auto"/>
                <w:sz w:val="24"/>
                <w:szCs w:val="22"/>
                <w:lang w:val="zh-CN"/>
              </w:rPr>
              <w:t>周边为城市道路、其他企业及居住用地等，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r>
              <w:rPr>
                <w:rFonts w:hint="eastAsia"/>
                <w:color w:val="auto"/>
                <w:lang w:val="zh-CN"/>
              </w:rPr>
              <w:t>。</w:t>
            </w:r>
          </w:p>
          <w:p w14:paraId="17ADDBF7">
            <w:pPr>
              <w:pStyle w:val="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地下水、土壤环境质量现状</w:t>
            </w:r>
          </w:p>
          <w:p w14:paraId="578ED2E8">
            <w:pPr>
              <w:keepNext w:val="0"/>
              <w:keepLines w:val="0"/>
              <w:suppressLineNumbers w:val="0"/>
              <w:spacing w:before="0" w:beforeAutospacing="0" w:after="0" w:afterAutospacing="0"/>
              <w:ind w:left="0" w:leftChars="0" w:right="0" w:firstLine="480" w:firstLineChars="200"/>
              <w:rPr>
                <w:rFonts w:hint="eastAsia" w:eastAsia="宋体"/>
                <w:color w:val="auto"/>
                <w:lang w:eastAsia="zh-CN"/>
              </w:rPr>
            </w:pPr>
            <w:r>
              <w:rPr>
                <w:rFonts w:hint="eastAsia"/>
                <w:color w:val="auto"/>
              </w:rPr>
              <w:t>根据《建设项目环境影响报告表编制技术指南</w:t>
            </w:r>
            <w:r>
              <w:rPr>
                <w:rFonts w:hint="eastAsia"/>
                <w:color w:val="auto"/>
                <w:lang w:eastAsia="zh-CN"/>
              </w:rPr>
              <w:t>（</w:t>
            </w:r>
            <w:r>
              <w:rPr>
                <w:rFonts w:hint="eastAsia"/>
                <w:color w:val="auto"/>
              </w:rPr>
              <w:t>污染影响类</w:t>
            </w:r>
            <w:r>
              <w:rPr>
                <w:rFonts w:hint="eastAsia"/>
                <w:color w:val="auto"/>
                <w:lang w:eastAsia="zh-CN"/>
              </w:rPr>
              <w:t>）</w:t>
            </w:r>
            <w:r>
              <w:rPr>
                <w:rFonts w:hint="eastAsia"/>
                <w:color w:val="auto"/>
              </w:rPr>
              <w:t>（试行</w:t>
            </w:r>
            <w:r>
              <w:rPr>
                <w:rFonts w:hint="eastAsia"/>
                <w:color w:val="auto"/>
                <w:lang w:eastAsia="zh-CN"/>
              </w:rPr>
              <w:t>）</w:t>
            </w:r>
            <w:r>
              <w:rPr>
                <w:rFonts w:hint="eastAsia"/>
                <w:color w:val="auto"/>
              </w:rPr>
              <w:t>》</w:t>
            </w:r>
            <w:r>
              <w:rPr>
                <w:rFonts w:hint="eastAsia"/>
                <w:color w:val="auto"/>
                <w:lang w:eastAsia="zh-CN"/>
              </w:rPr>
              <w:t>（</w:t>
            </w:r>
            <w:r>
              <w:rPr>
                <w:rFonts w:hint="eastAsia"/>
                <w:color w:val="auto"/>
              </w:rPr>
              <w:t>环办环评〔2020〕33号</w:t>
            </w:r>
            <w:r>
              <w:rPr>
                <w:rFonts w:hint="eastAsia"/>
                <w:color w:val="auto"/>
                <w:lang w:eastAsia="zh-CN"/>
              </w:rPr>
              <w:t>）</w:t>
            </w:r>
            <w:r>
              <w:rPr>
                <w:rFonts w:hint="eastAsia"/>
                <w:color w:val="auto"/>
              </w:rPr>
              <w:t>规定，</w:t>
            </w:r>
            <w:r>
              <w:rPr>
                <w:rFonts w:hint="eastAsia"/>
                <w:color w:val="auto"/>
                <w:lang w:eastAsia="zh-CN"/>
              </w:rPr>
              <w:t>“</w:t>
            </w:r>
            <w:r>
              <w:rPr>
                <w:rFonts w:hint="eastAsia"/>
                <w:color w:val="auto"/>
              </w:rPr>
              <w:t>原则上不开展环境质量现状调查。建设项目存在土壤、地下水环境污染途径的，应结合污染源、保护目标分布情况开展现状调查以留作背景值</w:t>
            </w:r>
            <w:r>
              <w:rPr>
                <w:rFonts w:hint="eastAsia"/>
                <w:color w:val="auto"/>
                <w:lang w:eastAsia="zh-CN"/>
              </w:rPr>
              <w:t>”</w:t>
            </w:r>
            <w:r>
              <w:rPr>
                <w:rFonts w:hint="eastAsia"/>
                <w:color w:val="auto"/>
              </w:rPr>
              <w:t>。</w:t>
            </w:r>
          </w:p>
          <w:p w14:paraId="518E7129">
            <w:pPr>
              <w:keepNext w:val="0"/>
              <w:keepLines w:val="0"/>
              <w:suppressLineNumbers w:val="0"/>
              <w:spacing w:before="0" w:beforeAutospacing="0" w:after="0" w:afterAutospacing="0"/>
              <w:ind w:left="0" w:leftChars="0" w:right="0" w:firstLine="480" w:firstLineChars="200"/>
              <w:rPr>
                <w:rFonts w:hint="eastAsia"/>
                <w:color w:val="auto"/>
              </w:rPr>
            </w:pPr>
            <w:r>
              <w:rPr>
                <w:rFonts w:hint="eastAsia"/>
                <w:color w:val="auto"/>
              </w:rPr>
              <w:t>项目位于</w:t>
            </w:r>
            <w:r>
              <w:rPr>
                <w:rFonts w:hint="eastAsia"/>
                <w:lang w:val="en-US" w:eastAsia="zh-CN"/>
              </w:rPr>
              <w:t>福清融侨经济技术开发区（租赁福清洪添科技有限公司车间2第3层）</w:t>
            </w:r>
            <w:r>
              <w:rPr>
                <w:rFonts w:hint="eastAsia"/>
                <w:color w:val="auto"/>
              </w:rPr>
              <w:t>，根据现场勘查，周边以工业企业为主；项目周边地下水、土壤环境相对不敏感，采取有效的防渗措施后，项目对地下水、土壤环境影响很小，基本不存在土壤、地下水环境污染途径，因此，本评价不对项目地下水、土壤环境质量进行补充监测。</w:t>
            </w:r>
          </w:p>
        </w:tc>
      </w:tr>
      <w:tr w14:paraId="1E93F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800" w:type="dxa"/>
            <w:noWrap w:val="0"/>
            <w:vAlign w:val="center"/>
          </w:tcPr>
          <w:p w14:paraId="2084F816">
            <w:pPr>
              <w:pStyle w:val="41"/>
              <w:keepNext w:val="0"/>
              <w:keepLines w:val="0"/>
              <w:suppressLineNumbers w:val="0"/>
              <w:bidi w:val="0"/>
              <w:spacing w:before="0" w:beforeAutospacing="0" w:after="0" w:afterAutospacing="0"/>
              <w:ind w:left="0" w:right="0"/>
              <w:rPr>
                <w:rFonts w:hint="eastAsia"/>
              </w:rPr>
            </w:pPr>
            <w:r>
              <w:rPr>
                <w:rFonts w:hint="eastAsia"/>
              </w:rPr>
              <w:t>环境</w:t>
            </w:r>
          </w:p>
          <w:p w14:paraId="5E8FE6C5">
            <w:pPr>
              <w:pStyle w:val="41"/>
              <w:keepNext w:val="0"/>
              <w:keepLines w:val="0"/>
              <w:suppressLineNumbers w:val="0"/>
              <w:bidi w:val="0"/>
              <w:spacing w:before="0" w:beforeAutospacing="0" w:after="0" w:afterAutospacing="0"/>
              <w:ind w:left="0" w:right="0"/>
              <w:rPr>
                <w:rFonts w:hint="eastAsia"/>
              </w:rPr>
            </w:pPr>
            <w:r>
              <w:rPr>
                <w:rFonts w:hint="eastAsia"/>
              </w:rPr>
              <w:t>保护</w:t>
            </w:r>
          </w:p>
          <w:p w14:paraId="5B0CF49D">
            <w:pPr>
              <w:pStyle w:val="41"/>
              <w:keepNext w:val="0"/>
              <w:keepLines w:val="0"/>
              <w:suppressLineNumbers w:val="0"/>
              <w:bidi w:val="0"/>
              <w:spacing w:before="0" w:beforeAutospacing="0" w:after="0" w:afterAutospacing="0"/>
              <w:ind w:left="0" w:right="0"/>
              <w:rPr>
                <w:rFonts w:hint="eastAsia"/>
              </w:rPr>
            </w:pPr>
            <w:r>
              <w:rPr>
                <w:rFonts w:hint="eastAsia"/>
              </w:rPr>
              <w:t>目标</w:t>
            </w:r>
          </w:p>
        </w:tc>
        <w:tc>
          <w:tcPr>
            <w:tcW w:w="8190" w:type="dxa"/>
            <w:noWrap w:val="0"/>
            <w:vAlign w:val="center"/>
          </w:tcPr>
          <w:p w14:paraId="4EAC7A98">
            <w:pPr>
              <w:pStyle w:val="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环境保护目标</w:t>
            </w:r>
          </w:p>
          <w:p w14:paraId="16E6BBC1">
            <w:pPr>
              <w:pStyle w:val="4"/>
              <w:suppressLineNumbers w:val="0"/>
              <w:bidi w:val="0"/>
              <w:spacing w:before="0" w:beforeAutospacing="0" w:after="0" w:afterAutospacing="0"/>
              <w:ind w:left="0" w:right="0"/>
              <w:rPr>
                <w:rFonts w:hint="eastAsia"/>
              </w:rPr>
            </w:pPr>
            <w:r>
              <w:rPr>
                <w:rFonts w:hint="eastAsia"/>
              </w:rPr>
              <w:t>大气环境、地表水环境、声环境</w:t>
            </w:r>
          </w:p>
          <w:p w14:paraId="4EA0CC8F">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根据《建设项目环境影响报告表编制技术指南</w:t>
            </w:r>
            <w:r>
              <w:rPr>
                <w:rFonts w:hint="eastAsia"/>
                <w:color w:val="auto"/>
                <w:kern w:val="0"/>
                <w:sz w:val="24"/>
                <w:lang w:eastAsia="zh-CN"/>
              </w:rPr>
              <w:t>（</w:t>
            </w:r>
            <w:r>
              <w:rPr>
                <w:rFonts w:hint="eastAsia"/>
                <w:color w:val="auto"/>
                <w:kern w:val="0"/>
                <w:sz w:val="24"/>
              </w:rPr>
              <w:t>污染影响类</w:t>
            </w:r>
            <w:r>
              <w:rPr>
                <w:rFonts w:hint="eastAsia"/>
                <w:color w:val="auto"/>
                <w:kern w:val="0"/>
                <w:sz w:val="24"/>
                <w:lang w:eastAsia="zh-CN"/>
              </w:rPr>
              <w:t>）（</w:t>
            </w:r>
            <w:r>
              <w:rPr>
                <w:rFonts w:hint="eastAsia"/>
                <w:color w:val="auto"/>
                <w:kern w:val="0"/>
                <w:sz w:val="24"/>
              </w:rPr>
              <w:t>试行</w:t>
            </w:r>
            <w:r>
              <w:rPr>
                <w:rFonts w:hint="eastAsia"/>
                <w:color w:val="auto"/>
                <w:kern w:val="0"/>
                <w:sz w:val="24"/>
                <w:lang w:eastAsia="zh-CN"/>
              </w:rPr>
              <w:t>）</w:t>
            </w:r>
            <w:r>
              <w:rPr>
                <w:rFonts w:hint="eastAsia"/>
                <w:color w:val="auto"/>
                <w:kern w:val="0"/>
                <w:sz w:val="24"/>
              </w:rPr>
              <w:t>》</w:t>
            </w:r>
            <w:r>
              <w:rPr>
                <w:rFonts w:hint="eastAsia"/>
                <w:color w:val="auto"/>
                <w:kern w:val="0"/>
                <w:sz w:val="24"/>
                <w:lang w:eastAsia="zh-CN"/>
              </w:rPr>
              <w:t>（</w:t>
            </w:r>
            <w:r>
              <w:rPr>
                <w:rFonts w:hint="eastAsia"/>
                <w:color w:val="auto"/>
                <w:kern w:val="0"/>
                <w:sz w:val="24"/>
              </w:rPr>
              <w:t>环办环评〔2020〕33号</w:t>
            </w:r>
            <w:r>
              <w:rPr>
                <w:rFonts w:hint="eastAsia"/>
                <w:color w:val="auto"/>
                <w:kern w:val="0"/>
                <w:sz w:val="24"/>
                <w:lang w:eastAsia="zh-CN"/>
              </w:rPr>
              <w:t>）</w:t>
            </w:r>
            <w:r>
              <w:rPr>
                <w:rFonts w:hint="eastAsia"/>
                <w:color w:val="auto"/>
                <w:kern w:val="0"/>
                <w:sz w:val="24"/>
              </w:rPr>
              <w:t>要求以及对项目周边环境的调查，本项目大气环境</w:t>
            </w:r>
            <w:r>
              <w:rPr>
                <w:rFonts w:hint="eastAsia"/>
                <w:color w:val="auto"/>
                <w:kern w:val="0"/>
                <w:sz w:val="24"/>
                <w:lang w:eastAsia="zh-CN"/>
              </w:rPr>
              <w:t>（</w:t>
            </w:r>
            <w:r>
              <w:rPr>
                <w:rFonts w:hint="eastAsia"/>
                <w:color w:val="auto"/>
                <w:kern w:val="0"/>
                <w:sz w:val="24"/>
              </w:rPr>
              <w:t>厂界外500m</w:t>
            </w:r>
            <w:r>
              <w:rPr>
                <w:rFonts w:hint="eastAsia"/>
                <w:color w:val="auto"/>
                <w:kern w:val="0"/>
                <w:sz w:val="24"/>
                <w:highlight w:val="none"/>
              </w:rPr>
              <w:t>范围内</w:t>
            </w:r>
            <w:r>
              <w:rPr>
                <w:rFonts w:hint="eastAsia"/>
                <w:color w:val="auto"/>
                <w:kern w:val="0"/>
                <w:sz w:val="24"/>
                <w:highlight w:val="none"/>
                <w:lang w:eastAsia="zh-CN"/>
              </w:rPr>
              <w:t>）</w:t>
            </w:r>
            <w:r>
              <w:rPr>
                <w:rFonts w:hint="eastAsia"/>
                <w:color w:val="auto"/>
                <w:kern w:val="0"/>
                <w:sz w:val="24"/>
                <w:highlight w:val="none"/>
              </w:rPr>
              <w:t>、地表水环境、声环境</w:t>
            </w:r>
            <w:r>
              <w:rPr>
                <w:rFonts w:hint="eastAsia"/>
                <w:color w:val="auto"/>
                <w:kern w:val="0"/>
                <w:sz w:val="24"/>
                <w:highlight w:val="none"/>
                <w:lang w:eastAsia="zh-CN"/>
              </w:rPr>
              <w:t>（</w:t>
            </w:r>
            <w:r>
              <w:rPr>
                <w:rFonts w:hint="eastAsia"/>
                <w:color w:val="auto"/>
                <w:kern w:val="0"/>
                <w:sz w:val="24"/>
                <w:highlight w:val="none"/>
              </w:rPr>
              <w:t>厂界外50m范围内</w:t>
            </w:r>
            <w:r>
              <w:rPr>
                <w:rFonts w:hint="eastAsia"/>
                <w:color w:val="auto"/>
                <w:kern w:val="0"/>
                <w:sz w:val="24"/>
                <w:highlight w:val="none"/>
                <w:lang w:eastAsia="zh-CN"/>
              </w:rPr>
              <w:t>）</w:t>
            </w:r>
            <w:r>
              <w:rPr>
                <w:rFonts w:hint="eastAsia"/>
                <w:color w:val="auto"/>
                <w:kern w:val="0"/>
                <w:sz w:val="24"/>
                <w:highlight w:val="none"/>
              </w:rPr>
              <w:t>保护目标见表</w:t>
            </w:r>
            <w:r>
              <w:rPr>
                <w:rFonts w:hint="eastAsia"/>
                <w:lang w:val="en-US" w:eastAsia="zh-CN"/>
              </w:rPr>
              <w:t>3.6-1</w:t>
            </w:r>
            <w:r>
              <w:rPr>
                <w:rFonts w:hint="eastAsia"/>
                <w:color w:val="auto"/>
                <w:kern w:val="0"/>
                <w:sz w:val="24"/>
                <w:highlight w:val="none"/>
              </w:rPr>
              <w:t>和</w:t>
            </w:r>
            <w:r>
              <w:rPr>
                <w:rStyle w:val="46"/>
                <w:rFonts w:hint="eastAsia"/>
                <w:lang w:eastAsia="zh-CN"/>
              </w:rPr>
              <w:fldChar w:fldCharType="begin"/>
            </w:r>
            <w:r>
              <w:rPr>
                <w:rStyle w:val="46"/>
                <w:rFonts w:hint="eastAsia"/>
                <w:lang w:eastAsia="zh-CN"/>
              </w:rPr>
              <w:instrText xml:space="preserve"> REF _Ref22753 \h </w:instrText>
            </w:r>
            <w:r>
              <w:rPr>
                <w:rStyle w:val="46"/>
                <w:rFonts w:hint="eastAsia"/>
                <w:lang w:eastAsia="zh-CN"/>
              </w:rPr>
              <w:fldChar w:fldCharType="separate"/>
            </w:r>
            <w:r>
              <w:rPr>
                <w:rStyle w:val="46"/>
                <w:rFonts w:hint="eastAsia"/>
              </w:rPr>
              <w:t>附图 2</w:t>
            </w:r>
            <w:r>
              <w:rPr>
                <w:rStyle w:val="46"/>
                <w:rFonts w:hint="eastAsia"/>
                <w:lang w:eastAsia="zh-CN"/>
              </w:rPr>
              <w:fldChar w:fldCharType="end"/>
            </w:r>
            <w:r>
              <w:rPr>
                <w:rFonts w:hint="eastAsia"/>
                <w:color w:val="auto"/>
                <w:kern w:val="0"/>
                <w:sz w:val="24"/>
                <w:highlight w:val="none"/>
              </w:rPr>
              <w:t>。</w:t>
            </w:r>
          </w:p>
          <w:p w14:paraId="292CB37F">
            <w:pPr>
              <w:pStyle w:val="40"/>
              <w:keepNext w:val="0"/>
              <w:keepLines w:val="0"/>
              <w:suppressLineNumbers w:val="0"/>
              <w:bidi w:val="0"/>
              <w:spacing w:before="0" w:beforeAutospacing="0" w:after="0" w:afterAutospacing="0"/>
              <w:ind w:left="0" w:right="0"/>
              <w:rPr>
                <w:rFonts w:hint="default"/>
              </w:rPr>
            </w:pPr>
            <w:r>
              <w:rPr>
                <w:rFonts w:hint="default"/>
              </w:rPr>
              <w:t>表</w:t>
            </w:r>
            <w:r>
              <w:rPr>
                <w:rFonts w:hint="eastAsia"/>
                <w:lang w:val="en-US" w:eastAsia="zh-CN"/>
              </w:rPr>
              <w:t>3.6-1</w:t>
            </w:r>
            <w:r>
              <w:rPr>
                <w:rFonts w:hint="default"/>
              </w:rPr>
              <w:t xml:space="preserve">  环境保护目标一览表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1"/>
              <w:gridCol w:w="1359"/>
              <w:gridCol w:w="1715"/>
              <w:gridCol w:w="1409"/>
              <w:gridCol w:w="2630"/>
            </w:tblGrid>
            <w:tr w14:paraId="53E82F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0" w:type="pct"/>
                  <w:noWrap w:val="0"/>
                  <w:vAlign w:val="center"/>
                </w:tcPr>
                <w:p w14:paraId="4A8D84B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环境</w:t>
                  </w:r>
                </w:p>
                <w:p w14:paraId="40698948">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要素</w:t>
                  </w:r>
                </w:p>
              </w:tc>
              <w:tc>
                <w:tcPr>
                  <w:tcW w:w="852" w:type="pct"/>
                  <w:noWrap w:val="0"/>
                  <w:vAlign w:val="center"/>
                </w:tcPr>
                <w:p w14:paraId="53291908">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环境保护</w:t>
                  </w:r>
                </w:p>
                <w:p w14:paraId="7710255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对象名称</w:t>
                  </w:r>
                </w:p>
              </w:tc>
              <w:tc>
                <w:tcPr>
                  <w:tcW w:w="1075" w:type="pct"/>
                  <w:noWrap w:val="0"/>
                  <w:vAlign w:val="center"/>
                </w:tcPr>
                <w:p w14:paraId="43C91C6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与项目厂界的方位和最近距离</w:t>
                  </w:r>
                </w:p>
              </w:tc>
              <w:tc>
                <w:tcPr>
                  <w:tcW w:w="883" w:type="pct"/>
                  <w:noWrap w:val="0"/>
                  <w:vAlign w:val="center"/>
                </w:tcPr>
                <w:p w14:paraId="6FEE620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环境基本特征</w:t>
                  </w:r>
                </w:p>
              </w:tc>
              <w:tc>
                <w:tcPr>
                  <w:tcW w:w="1648" w:type="pct"/>
                  <w:noWrap w:val="0"/>
                  <w:vAlign w:val="center"/>
                </w:tcPr>
                <w:p w14:paraId="7BDE2A6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环境功能</w:t>
                  </w:r>
                </w:p>
              </w:tc>
            </w:tr>
            <w:tr w14:paraId="76DF6E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540" w:type="pct"/>
                  <w:vMerge w:val="restart"/>
                  <w:noWrap w:val="0"/>
                  <w:vAlign w:val="center"/>
                </w:tcPr>
                <w:p w14:paraId="735E454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环境</w:t>
                  </w:r>
                </w:p>
                <w:p w14:paraId="1F6E73F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空气</w:t>
                  </w:r>
                </w:p>
              </w:tc>
              <w:tc>
                <w:tcPr>
                  <w:tcW w:w="852" w:type="pct"/>
                  <w:noWrap w:val="0"/>
                  <w:vAlign w:val="center"/>
                </w:tcPr>
                <w:p w14:paraId="29E47E0E">
                  <w:pPr>
                    <w:pStyle w:val="39"/>
                    <w:keepNext w:val="0"/>
                    <w:keepLines w:val="0"/>
                    <w:widowControl/>
                    <w:suppressLineNumbers w:val="0"/>
                    <w:bidi w:val="0"/>
                    <w:spacing w:before="0" w:beforeAutospacing="0" w:after="0" w:afterAutospacing="0"/>
                    <w:ind w:left="0" w:right="0"/>
                    <w:rPr>
                      <w:rFonts w:hint="default" w:eastAsia="宋体"/>
                      <w:szCs w:val="22"/>
                      <w:lang w:val="en-US" w:eastAsia="zh-CN"/>
                    </w:rPr>
                  </w:pPr>
                  <w:r>
                    <w:rPr>
                      <w:rFonts w:hint="eastAsia"/>
                      <w:szCs w:val="22"/>
                    </w:rPr>
                    <w:t>玉岭村</w:t>
                  </w:r>
                  <w:r>
                    <w:rPr>
                      <w:rFonts w:hint="eastAsia"/>
                      <w:szCs w:val="22"/>
                      <w:lang w:val="en-US" w:eastAsia="zh-CN"/>
                    </w:rPr>
                    <w:t>最近居民点</w:t>
                  </w:r>
                </w:p>
              </w:tc>
              <w:tc>
                <w:tcPr>
                  <w:tcW w:w="1075" w:type="pct"/>
                  <w:noWrap w:val="0"/>
                  <w:vAlign w:val="center"/>
                </w:tcPr>
                <w:p w14:paraId="0B8572A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南侧204</w:t>
                  </w:r>
                  <w:r>
                    <w:rPr>
                      <w:rFonts w:hint="eastAsia"/>
                      <w:szCs w:val="22"/>
                    </w:rPr>
                    <w:t>m</w:t>
                  </w:r>
                </w:p>
              </w:tc>
              <w:tc>
                <w:tcPr>
                  <w:tcW w:w="883" w:type="pct"/>
                  <w:noWrap w:val="0"/>
                  <w:vAlign w:val="center"/>
                </w:tcPr>
                <w:p w14:paraId="138087E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5</w:t>
                  </w:r>
                  <w:r>
                    <w:rPr>
                      <w:rFonts w:hint="eastAsia"/>
                      <w:szCs w:val="22"/>
                    </w:rPr>
                    <w:t>人</w:t>
                  </w:r>
                </w:p>
              </w:tc>
              <w:tc>
                <w:tcPr>
                  <w:tcW w:w="1648" w:type="pct"/>
                  <w:vMerge w:val="restart"/>
                  <w:noWrap w:val="0"/>
                  <w:vAlign w:val="center"/>
                </w:tcPr>
                <w:p w14:paraId="7EACE8D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eastAsia="zh-CN"/>
                    </w:rPr>
                    <w:t>《环境空气质量标准》（GB 3095—2026）</w:t>
                  </w:r>
                  <w:r>
                    <w:rPr>
                      <w:rFonts w:hint="eastAsia"/>
                      <w:szCs w:val="22"/>
                    </w:rPr>
                    <w:t>二级标准</w:t>
                  </w:r>
                </w:p>
              </w:tc>
            </w:tr>
            <w:tr w14:paraId="0AB953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540" w:type="pct"/>
                  <w:vMerge w:val="continue"/>
                  <w:noWrap w:val="0"/>
                  <w:vAlign w:val="center"/>
                </w:tcPr>
                <w:p w14:paraId="306CA31B">
                  <w:pPr>
                    <w:pStyle w:val="39"/>
                    <w:keepNext w:val="0"/>
                    <w:keepLines w:val="0"/>
                    <w:widowControl/>
                    <w:suppressLineNumbers w:val="0"/>
                    <w:bidi w:val="0"/>
                    <w:spacing w:before="0" w:beforeAutospacing="0" w:after="0" w:afterAutospacing="0"/>
                    <w:ind w:left="0" w:right="0"/>
                    <w:rPr>
                      <w:rFonts w:hint="eastAsia"/>
                      <w:szCs w:val="22"/>
                    </w:rPr>
                  </w:pPr>
                </w:p>
              </w:tc>
              <w:tc>
                <w:tcPr>
                  <w:tcW w:w="852" w:type="pct"/>
                  <w:noWrap w:val="0"/>
                  <w:vAlign w:val="center"/>
                </w:tcPr>
                <w:p w14:paraId="38019418">
                  <w:pPr>
                    <w:pStyle w:val="39"/>
                    <w:keepNext w:val="0"/>
                    <w:keepLines w:val="0"/>
                    <w:widowControl/>
                    <w:suppressLineNumbers w:val="0"/>
                    <w:bidi w:val="0"/>
                    <w:spacing w:before="0" w:beforeAutospacing="0" w:after="0" w:afterAutospacing="0"/>
                    <w:ind w:left="0" w:right="0"/>
                    <w:rPr>
                      <w:rFonts w:hint="eastAsia" w:eastAsia="宋体"/>
                      <w:szCs w:val="22"/>
                      <w:lang w:val="en-US" w:eastAsia="zh-CN"/>
                    </w:rPr>
                  </w:pPr>
                  <w:r>
                    <w:rPr>
                      <w:rFonts w:hint="eastAsia"/>
                      <w:szCs w:val="22"/>
                      <w:lang w:val="en-US" w:eastAsia="zh-CN"/>
                    </w:rPr>
                    <w:t>洪宽工业村</w:t>
                  </w:r>
                </w:p>
              </w:tc>
              <w:tc>
                <w:tcPr>
                  <w:tcW w:w="1075" w:type="pct"/>
                  <w:noWrap w:val="0"/>
                  <w:vAlign w:val="center"/>
                </w:tcPr>
                <w:p w14:paraId="64457654">
                  <w:pPr>
                    <w:pStyle w:val="39"/>
                    <w:keepNext w:val="0"/>
                    <w:keepLines w:val="0"/>
                    <w:widowControl/>
                    <w:suppressLineNumbers w:val="0"/>
                    <w:bidi w:val="0"/>
                    <w:spacing w:before="0" w:beforeAutospacing="0" w:after="0" w:afterAutospacing="0"/>
                    <w:ind w:left="0" w:right="0"/>
                    <w:rPr>
                      <w:rFonts w:hint="default" w:eastAsia="宋体"/>
                      <w:szCs w:val="22"/>
                      <w:lang w:val="en-US" w:eastAsia="zh-CN"/>
                    </w:rPr>
                  </w:pPr>
                  <w:r>
                    <w:rPr>
                      <w:rFonts w:hint="eastAsia"/>
                      <w:szCs w:val="22"/>
                      <w:lang w:val="en-US" w:eastAsia="zh-CN"/>
                    </w:rPr>
                    <w:t>北侧146m</w:t>
                  </w:r>
                </w:p>
              </w:tc>
              <w:tc>
                <w:tcPr>
                  <w:tcW w:w="883" w:type="pct"/>
                  <w:noWrap w:val="0"/>
                  <w:vAlign w:val="center"/>
                </w:tcPr>
                <w:p w14:paraId="16989452">
                  <w:pPr>
                    <w:pStyle w:val="39"/>
                    <w:keepNext w:val="0"/>
                    <w:keepLines w:val="0"/>
                    <w:widowControl/>
                    <w:suppressLineNumbers w:val="0"/>
                    <w:bidi w:val="0"/>
                    <w:spacing w:before="0" w:beforeAutospacing="0" w:after="0" w:afterAutospacing="0"/>
                    <w:ind w:left="0" w:right="0"/>
                    <w:rPr>
                      <w:rFonts w:hint="eastAsia" w:eastAsiaTheme="minorEastAsia"/>
                      <w:szCs w:val="22"/>
                      <w:lang w:val="en-US" w:eastAsia="zh-CN"/>
                    </w:rPr>
                  </w:pPr>
                  <w:r>
                    <w:rPr>
                      <w:rFonts w:hint="default" w:ascii="Times New Roman" w:hAnsi="Times New Roman" w:cs="Times New Roman" w:eastAsiaTheme="minorEastAsia"/>
                      <w:color w:val="000000" w:themeColor="text1"/>
                      <w:szCs w:val="22"/>
                      <w:highlight w:val="none"/>
                      <w:lang w:val="en-US" w:eastAsia="zh-CN"/>
                      <w14:textFill>
                        <w14:solidFill>
                          <w14:schemeClr w14:val="tx1"/>
                        </w14:solidFill>
                      </w14:textFill>
                    </w:rPr>
                    <w:t>50</w:t>
                  </w:r>
                  <w:r>
                    <w:rPr>
                      <w:rFonts w:hint="default" w:ascii="Times New Roman" w:hAnsi="Times New Roman" w:cs="Times New Roman" w:eastAsiaTheme="minorEastAsia"/>
                      <w:color w:val="000000" w:themeColor="text1"/>
                      <w:szCs w:val="22"/>
                      <w:highlight w:val="none"/>
                      <w14:textFill>
                        <w14:solidFill>
                          <w14:schemeClr w14:val="tx1"/>
                        </w14:solidFill>
                      </w14:textFill>
                    </w:rPr>
                    <w:t>0</w:t>
                  </w:r>
                  <w:r>
                    <w:rPr>
                      <w:rFonts w:hint="eastAsia" w:ascii="Times New Roman" w:hAnsi="Times New Roman" w:cs="Times New Roman" w:eastAsiaTheme="minorEastAsia"/>
                      <w:color w:val="000000" w:themeColor="text1"/>
                      <w:szCs w:val="22"/>
                      <w:highlight w:val="none"/>
                      <w:lang w:val="en-US" w:eastAsia="zh-CN"/>
                      <w14:textFill>
                        <w14:solidFill>
                          <w14:schemeClr w14:val="tx1"/>
                        </w14:solidFill>
                      </w14:textFill>
                    </w:rPr>
                    <w:t>人</w:t>
                  </w:r>
                </w:p>
              </w:tc>
              <w:tc>
                <w:tcPr>
                  <w:tcW w:w="1648" w:type="pct"/>
                  <w:vMerge w:val="continue"/>
                  <w:noWrap w:val="0"/>
                  <w:vAlign w:val="center"/>
                </w:tcPr>
                <w:p w14:paraId="20192EE7">
                  <w:pPr>
                    <w:pStyle w:val="39"/>
                    <w:keepNext w:val="0"/>
                    <w:keepLines w:val="0"/>
                    <w:widowControl/>
                    <w:suppressLineNumbers w:val="0"/>
                    <w:bidi w:val="0"/>
                    <w:spacing w:before="0" w:beforeAutospacing="0" w:after="0" w:afterAutospacing="0"/>
                    <w:ind w:left="0" w:right="0"/>
                    <w:rPr>
                      <w:rFonts w:hint="eastAsia"/>
                      <w:szCs w:val="22"/>
                    </w:rPr>
                  </w:pPr>
                </w:p>
              </w:tc>
            </w:tr>
            <w:tr w14:paraId="542115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540" w:type="pct"/>
                  <w:vMerge w:val="continue"/>
                  <w:noWrap w:val="0"/>
                  <w:vAlign w:val="center"/>
                </w:tcPr>
                <w:p w14:paraId="6CDDC6CD">
                  <w:pPr>
                    <w:pStyle w:val="39"/>
                    <w:keepNext w:val="0"/>
                    <w:keepLines w:val="0"/>
                    <w:widowControl/>
                    <w:suppressLineNumbers w:val="0"/>
                    <w:bidi w:val="0"/>
                    <w:spacing w:before="0" w:beforeAutospacing="0" w:after="0" w:afterAutospacing="0"/>
                    <w:ind w:left="0" w:right="0"/>
                    <w:rPr>
                      <w:rFonts w:hint="eastAsia"/>
                      <w:szCs w:val="22"/>
                    </w:rPr>
                  </w:pPr>
                </w:p>
              </w:tc>
              <w:tc>
                <w:tcPr>
                  <w:tcW w:w="852" w:type="pct"/>
                  <w:noWrap w:val="0"/>
                  <w:vAlign w:val="center"/>
                </w:tcPr>
                <w:p w14:paraId="1360CC63">
                  <w:pPr>
                    <w:pStyle w:val="39"/>
                    <w:keepNext w:val="0"/>
                    <w:keepLines w:val="0"/>
                    <w:widowControl/>
                    <w:suppressLineNumbers w:val="0"/>
                    <w:bidi w:val="0"/>
                    <w:spacing w:before="0" w:beforeAutospacing="0" w:after="0" w:afterAutospacing="0"/>
                    <w:ind w:left="0" w:right="0"/>
                    <w:rPr>
                      <w:rFonts w:hint="eastAsia"/>
                      <w:szCs w:val="22"/>
                    </w:rPr>
                  </w:pPr>
                  <w:r>
                    <w:rPr>
                      <w:rFonts w:hint="default" w:ascii="Times New Roman" w:hAnsi="Times New Roman" w:cs="Times New Roman" w:eastAsiaTheme="minorEastAsia"/>
                      <w:color w:val="000000" w:themeColor="text1"/>
                      <w:szCs w:val="22"/>
                      <w:lang w:val="en-US" w:eastAsia="zh-CN"/>
                      <w14:textFill>
                        <w14:solidFill>
                          <w14:schemeClr w14:val="tx1"/>
                        </w14:solidFill>
                      </w14:textFill>
                    </w:rPr>
                    <w:t>潘厝后村</w:t>
                  </w:r>
                </w:p>
              </w:tc>
              <w:tc>
                <w:tcPr>
                  <w:tcW w:w="1075" w:type="pct"/>
                  <w:noWrap w:val="0"/>
                  <w:vAlign w:val="center"/>
                </w:tcPr>
                <w:p w14:paraId="3DED9598">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东</w:t>
                  </w:r>
                  <w:r>
                    <w:rPr>
                      <w:rFonts w:hint="default"/>
                      <w:szCs w:val="22"/>
                      <w:lang w:eastAsia="zh-CN"/>
                    </w:rPr>
                    <w:t>侧</w:t>
                  </w:r>
                  <w:r>
                    <w:rPr>
                      <w:rFonts w:hint="eastAsia"/>
                      <w:szCs w:val="22"/>
                      <w:lang w:val="en-US" w:eastAsia="zh-CN"/>
                    </w:rPr>
                    <w:t>147</w:t>
                  </w:r>
                  <w:r>
                    <w:rPr>
                      <w:rFonts w:hint="default"/>
                      <w:szCs w:val="22"/>
                      <w:lang w:val="en-US" w:eastAsia="zh-CN"/>
                    </w:rPr>
                    <w:t>m</w:t>
                  </w:r>
                </w:p>
              </w:tc>
              <w:tc>
                <w:tcPr>
                  <w:tcW w:w="883" w:type="pct"/>
                  <w:noWrap w:val="0"/>
                  <w:vAlign w:val="center"/>
                </w:tcPr>
                <w:p w14:paraId="2BB0FB8A">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约300</w:t>
                  </w:r>
                  <w:r>
                    <w:rPr>
                      <w:rFonts w:hint="default"/>
                      <w:szCs w:val="22"/>
                    </w:rPr>
                    <w:t>人</w:t>
                  </w:r>
                </w:p>
              </w:tc>
              <w:tc>
                <w:tcPr>
                  <w:tcW w:w="1648" w:type="pct"/>
                  <w:vMerge w:val="continue"/>
                  <w:noWrap w:val="0"/>
                  <w:vAlign w:val="center"/>
                </w:tcPr>
                <w:p w14:paraId="347B1F39">
                  <w:pPr>
                    <w:pStyle w:val="39"/>
                    <w:keepNext w:val="0"/>
                    <w:keepLines w:val="0"/>
                    <w:widowControl/>
                    <w:suppressLineNumbers w:val="0"/>
                    <w:bidi w:val="0"/>
                    <w:spacing w:before="0" w:beforeAutospacing="0" w:after="0" w:afterAutospacing="0"/>
                    <w:ind w:left="0" w:right="0"/>
                    <w:rPr>
                      <w:rFonts w:hint="eastAsia"/>
                      <w:szCs w:val="22"/>
                    </w:rPr>
                  </w:pPr>
                </w:p>
              </w:tc>
            </w:tr>
            <w:tr w14:paraId="5ABD8B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40" w:type="pct"/>
                  <w:noWrap w:val="0"/>
                  <w:vAlign w:val="center"/>
                </w:tcPr>
                <w:p w14:paraId="301570D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地表水</w:t>
                  </w:r>
                </w:p>
              </w:tc>
              <w:tc>
                <w:tcPr>
                  <w:tcW w:w="852" w:type="pct"/>
                  <w:tcBorders>
                    <w:bottom w:val="single" w:color="auto" w:sz="4" w:space="0"/>
                  </w:tcBorders>
                  <w:noWrap w:val="0"/>
                  <w:vAlign w:val="center"/>
                </w:tcPr>
                <w:p w14:paraId="01659FE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大北溪</w:t>
                  </w:r>
                  <w:r>
                    <w:rPr>
                      <w:rFonts w:hint="eastAsia"/>
                      <w:szCs w:val="22"/>
                      <w:lang w:eastAsia="zh-CN"/>
                    </w:rPr>
                    <w:t>“</w:t>
                  </w:r>
                  <w:r>
                    <w:rPr>
                      <w:rFonts w:hint="eastAsia"/>
                      <w:szCs w:val="22"/>
                    </w:rPr>
                    <w:t>铁路桥至大北溪口</w:t>
                  </w:r>
                  <w:r>
                    <w:rPr>
                      <w:rFonts w:hint="eastAsia"/>
                      <w:szCs w:val="22"/>
                      <w:lang w:eastAsia="zh-CN"/>
                    </w:rPr>
                    <w:t>”</w:t>
                  </w:r>
                  <w:r>
                    <w:rPr>
                      <w:rFonts w:hint="eastAsia"/>
                      <w:szCs w:val="22"/>
                    </w:rPr>
                    <w:t>断面</w:t>
                  </w:r>
                </w:p>
              </w:tc>
              <w:tc>
                <w:tcPr>
                  <w:tcW w:w="1075" w:type="pct"/>
                  <w:tcBorders>
                    <w:bottom w:val="single" w:color="auto" w:sz="4" w:space="0"/>
                    <w:right w:val="single" w:color="auto" w:sz="4" w:space="0"/>
                  </w:tcBorders>
                  <w:noWrap w:val="0"/>
                  <w:vAlign w:val="center"/>
                </w:tcPr>
                <w:p w14:paraId="63B3F70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北侧</w:t>
                  </w:r>
                  <w:r>
                    <w:rPr>
                      <w:rFonts w:hint="eastAsia"/>
                      <w:szCs w:val="22"/>
                      <w:lang w:val="en-US" w:eastAsia="zh-CN"/>
                    </w:rPr>
                    <w:t>203</w:t>
                  </w:r>
                  <w:r>
                    <w:rPr>
                      <w:rFonts w:hint="eastAsia"/>
                      <w:szCs w:val="22"/>
                    </w:rPr>
                    <w:t>m</w:t>
                  </w:r>
                </w:p>
              </w:tc>
              <w:tc>
                <w:tcPr>
                  <w:tcW w:w="883" w:type="pct"/>
                  <w:tcBorders>
                    <w:left w:val="single" w:color="auto" w:sz="4" w:space="0"/>
                    <w:bottom w:val="single" w:color="auto" w:sz="4" w:space="0"/>
                    <w:right w:val="single" w:color="auto" w:sz="4" w:space="0"/>
                  </w:tcBorders>
                  <w:noWrap w:val="0"/>
                  <w:vAlign w:val="center"/>
                </w:tcPr>
                <w:p w14:paraId="421E68C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景观、工业用水</w:t>
                  </w:r>
                </w:p>
              </w:tc>
              <w:tc>
                <w:tcPr>
                  <w:tcW w:w="1648" w:type="pct"/>
                  <w:tcBorders>
                    <w:left w:val="single" w:color="auto" w:sz="4" w:space="0"/>
                    <w:bottom w:val="single" w:color="auto" w:sz="4" w:space="0"/>
                  </w:tcBorders>
                  <w:noWrap w:val="0"/>
                  <w:vAlign w:val="center"/>
                </w:tcPr>
                <w:p w14:paraId="4D9F395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《地表水环境质量标准》</w:t>
                  </w:r>
                  <w:r>
                    <w:rPr>
                      <w:rFonts w:hint="eastAsia"/>
                      <w:szCs w:val="22"/>
                      <w:lang w:eastAsia="zh-CN"/>
                    </w:rPr>
                    <w:t>（</w:t>
                  </w:r>
                  <w:r>
                    <w:rPr>
                      <w:rFonts w:hint="eastAsia"/>
                      <w:szCs w:val="22"/>
                    </w:rPr>
                    <w:t>GB3838-2002</w:t>
                  </w:r>
                  <w:r>
                    <w:rPr>
                      <w:rFonts w:hint="eastAsia"/>
                      <w:szCs w:val="22"/>
                      <w:lang w:eastAsia="zh-CN"/>
                    </w:rPr>
                    <w:t>）</w:t>
                  </w:r>
                  <w:r>
                    <w:rPr>
                      <w:rFonts w:hint="eastAsia"/>
                      <w:szCs w:val="22"/>
                    </w:rPr>
                    <w:t>Ⅳ类标准</w:t>
                  </w:r>
                </w:p>
              </w:tc>
            </w:tr>
            <w:tr w14:paraId="6B99F2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0" w:type="pct"/>
                  <w:noWrap w:val="0"/>
                  <w:vAlign w:val="center"/>
                </w:tcPr>
                <w:p w14:paraId="48ECA8E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声环境</w:t>
                  </w:r>
                </w:p>
              </w:tc>
              <w:tc>
                <w:tcPr>
                  <w:tcW w:w="4459" w:type="pct"/>
                  <w:gridSpan w:val="4"/>
                  <w:noWrap w:val="0"/>
                  <w:vAlign w:val="center"/>
                </w:tcPr>
                <w:p w14:paraId="432270E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项目厂界50m范围内无声环境保护目标</w:t>
                  </w:r>
                </w:p>
              </w:tc>
            </w:tr>
            <w:tr w14:paraId="0BF636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0" w:type="pct"/>
                  <w:noWrap w:val="0"/>
                  <w:vAlign w:val="center"/>
                </w:tcPr>
                <w:p w14:paraId="504D065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地下水</w:t>
                  </w:r>
                </w:p>
              </w:tc>
              <w:tc>
                <w:tcPr>
                  <w:tcW w:w="4459" w:type="pct"/>
                  <w:gridSpan w:val="4"/>
                  <w:noWrap w:val="0"/>
                  <w:vAlign w:val="center"/>
                </w:tcPr>
                <w:p w14:paraId="4F91C17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项目厂界外500米范围内的地下水集中式饮用水水源和热水、矿泉水、温泉等特殊地下水资源</w:t>
                  </w:r>
                </w:p>
              </w:tc>
            </w:tr>
          </w:tbl>
          <w:p w14:paraId="724B0004">
            <w:pPr>
              <w:pStyle w:val="4"/>
              <w:suppressLineNumbers w:val="0"/>
              <w:bidi w:val="0"/>
              <w:spacing w:before="0" w:beforeAutospacing="0" w:after="0" w:afterAutospacing="0"/>
              <w:ind w:left="0" w:right="0"/>
              <w:rPr>
                <w:rFonts w:hint="eastAsia"/>
              </w:rPr>
            </w:pPr>
            <w:r>
              <w:rPr>
                <w:rFonts w:hint="eastAsia"/>
              </w:rPr>
              <w:t>生态环境保护目标</w:t>
            </w:r>
          </w:p>
          <w:p w14:paraId="7DA284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textAlignment w:val="auto"/>
              <w:rPr>
                <w:rFonts w:hint="eastAsia"/>
                <w:color w:val="auto"/>
                <w:kern w:val="0"/>
                <w:szCs w:val="21"/>
              </w:rPr>
            </w:pPr>
            <w:r>
              <w:rPr>
                <w:rFonts w:hint="eastAsia"/>
                <w:color w:val="auto"/>
                <w:sz w:val="24"/>
                <w:szCs w:val="20"/>
              </w:rPr>
              <w:t>根据《建设项目环境影响报告表编制技术指南</w:t>
            </w:r>
            <w:r>
              <w:rPr>
                <w:rFonts w:hint="eastAsia"/>
                <w:color w:val="auto"/>
                <w:sz w:val="24"/>
                <w:szCs w:val="20"/>
                <w:lang w:eastAsia="zh-CN"/>
              </w:rPr>
              <w:t>（</w:t>
            </w:r>
            <w:r>
              <w:rPr>
                <w:rFonts w:hint="eastAsia"/>
                <w:color w:val="auto"/>
                <w:sz w:val="24"/>
                <w:szCs w:val="20"/>
              </w:rPr>
              <w:t>污染影响类</w:t>
            </w:r>
            <w:r>
              <w:rPr>
                <w:rFonts w:hint="eastAsia"/>
                <w:color w:val="auto"/>
                <w:sz w:val="24"/>
                <w:szCs w:val="20"/>
                <w:lang w:eastAsia="zh-CN"/>
              </w:rPr>
              <w:t>）（</w:t>
            </w:r>
            <w:r>
              <w:rPr>
                <w:rFonts w:hint="eastAsia"/>
                <w:color w:val="auto"/>
                <w:sz w:val="24"/>
                <w:szCs w:val="20"/>
              </w:rPr>
              <w:t>试行</w:t>
            </w:r>
            <w:r>
              <w:rPr>
                <w:rFonts w:hint="eastAsia"/>
                <w:color w:val="auto"/>
                <w:sz w:val="24"/>
                <w:szCs w:val="20"/>
                <w:lang w:eastAsia="zh-CN"/>
              </w:rPr>
              <w:t>）</w:t>
            </w:r>
            <w:r>
              <w:rPr>
                <w:rFonts w:hint="eastAsia"/>
                <w:color w:val="auto"/>
                <w:sz w:val="24"/>
                <w:szCs w:val="20"/>
              </w:rPr>
              <w:t>》</w:t>
            </w:r>
            <w:r>
              <w:rPr>
                <w:rFonts w:hint="eastAsia"/>
                <w:color w:val="auto"/>
                <w:sz w:val="24"/>
                <w:szCs w:val="20"/>
                <w:lang w:eastAsia="zh-CN"/>
              </w:rPr>
              <w:t>（</w:t>
            </w:r>
            <w:r>
              <w:rPr>
                <w:rFonts w:hint="eastAsia"/>
                <w:color w:val="auto"/>
                <w:sz w:val="24"/>
                <w:szCs w:val="20"/>
              </w:rPr>
              <w:t>环办环评〔2020〕33号</w:t>
            </w:r>
            <w:r>
              <w:rPr>
                <w:rFonts w:hint="eastAsia"/>
                <w:color w:val="auto"/>
                <w:sz w:val="24"/>
                <w:szCs w:val="20"/>
                <w:lang w:eastAsia="zh-CN"/>
              </w:rPr>
              <w:t>）“</w:t>
            </w:r>
            <w:r>
              <w:rPr>
                <w:rFonts w:hint="eastAsia"/>
                <w:color w:val="auto"/>
                <w:sz w:val="24"/>
                <w:szCs w:val="20"/>
              </w:rPr>
              <w:t>产业园区外建设项目新增用地的，应明确新增用地范围内生态环境保护目标</w:t>
            </w:r>
            <w:r>
              <w:rPr>
                <w:rFonts w:hint="eastAsia"/>
                <w:color w:val="auto"/>
                <w:sz w:val="24"/>
                <w:szCs w:val="20"/>
                <w:lang w:eastAsia="zh-CN"/>
              </w:rPr>
              <w:t>”</w:t>
            </w:r>
            <w:r>
              <w:rPr>
                <w:rFonts w:hint="eastAsia"/>
                <w:color w:val="auto"/>
                <w:sz w:val="24"/>
                <w:szCs w:val="20"/>
              </w:rPr>
              <w:t>。本项目租赁</w:t>
            </w:r>
            <w:r>
              <w:rPr>
                <w:rFonts w:hint="eastAsia"/>
                <w:color w:val="auto"/>
                <w:sz w:val="24"/>
                <w:szCs w:val="20"/>
                <w:lang w:eastAsia="zh-CN"/>
              </w:rPr>
              <w:t>福清洪添科技有限公司</w:t>
            </w:r>
            <w:r>
              <w:rPr>
                <w:rFonts w:hint="eastAsia"/>
                <w:color w:val="auto"/>
                <w:sz w:val="24"/>
                <w:szCs w:val="20"/>
              </w:rPr>
              <w:t>现有厂房进行生产，无新增用地，因此无需进行新增用地范围内生态环境保护目标调查。</w:t>
            </w:r>
          </w:p>
        </w:tc>
      </w:tr>
      <w:tr w14:paraId="20AB33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800" w:type="dxa"/>
            <w:noWrap w:val="0"/>
            <w:tcMar>
              <w:left w:w="28" w:type="dxa"/>
              <w:right w:w="28" w:type="dxa"/>
            </w:tcMar>
            <w:vAlign w:val="center"/>
          </w:tcPr>
          <w:p w14:paraId="276FE27E">
            <w:pPr>
              <w:pStyle w:val="41"/>
              <w:keepNext w:val="0"/>
              <w:keepLines w:val="0"/>
              <w:suppressLineNumbers w:val="0"/>
              <w:bidi w:val="0"/>
              <w:spacing w:before="0" w:beforeAutospacing="0" w:after="0" w:afterAutospacing="0"/>
              <w:ind w:left="0" w:right="0"/>
              <w:rPr>
                <w:rFonts w:hint="eastAsia"/>
              </w:rPr>
            </w:pPr>
            <w:r>
              <w:rPr>
                <w:rFonts w:hint="eastAsia"/>
              </w:rPr>
              <w:t>污染</w:t>
            </w:r>
          </w:p>
          <w:p w14:paraId="602FC505">
            <w:pPr>
              <w:pStyle w:val="41"/>
              <w:keepNext w:val="0"/>
              <w:keepLines w:val="0"/>
              <w:suppressLineNumbers w:val="0"/>
              <w:bidi w:val="0"/>
              <w:spacing w:before="0" w:beforeAutospacing="0" w:after="0" w:afterAutospacing="0"/>
              <w:ind w:left="0" w:right="0"/>
              <w:rPr>
                <w:rFonts w:hint="eastAsia"/>
              </w:rPr>
            </w:pPr>
            <w:r>
              <w:rPr>
                <w:rFonts w:hint="eastAsia"/>
              </w:rPr>
              <w:t>物排</w:t>
            </w:r>
          </w:p>
          <w:p w14:paraId="07C68A9B">
            <w:pPr>
              <w:pStyle w:val="41"/>
              <w:keepNext w:val="0"/>
              <w:keepLines w:val="0"/>
              <w:suppressLineNumbers w:val="0"/>
              <w:bidi w:val="0"/>
              <w:spacing w:before="0" w:beforeAutospacing="0" w:after="0" w:afterAutospacing="0"/>
              <w:ind w:left="0" w:right="0"/>
              <w:rPr>
                <w:rFonts w:hint="eastAsia"/>
              </w:rPr>
            </w:pPr>
            <w:r>
              <w:rPr>
                <w:rFonts w:hint="eastAsia"/>
              </w:rPr>
              <w:t>放控</w:t>
            </w:r>
          </w:p>
          <w:p w14:paraId="391A640B">
            <w:pPr>
              <w:pStyle w:val="41"/>
              <w:keepNext w:val="0"/>
              <w:keepLines w:val="0"/>
              <w:suppressLineNumbers w:val="0"/>
              <w:bidi w:val="0"/>
              <w:spacing w:before="0" w:beforeAutospacing="0" w:after="0" w:afterAutospacing="0"/>
              <w:ind w:left="0" w:right="0"/>
              <w:rPr>
                <w:rFonts w:hint="eastAsia"/>
              </w:rPr>
            </w:pPr>
            <w:r>
              <w:rPr>
                <w:rFonts w:hint="eastAsia"/>
              </w:rPr>
              <w:t>制标</w:t>
            </w:r>
          </w:p>
          <w:p w14:paraId="3921158B">
            <w:pPr>
              <w:pStyle w:val="41"/>
              <w:keepNext w:val="0"/>
              <w:keepLines w:val="0"/>
              <w:suppressLineNumbers w:val="0"/>
              <w:bidi w:val="0"/>
              <w:spacing w:before="0" w:beforeAutospacing="0" w:after="0" w:afterAutospacing="0"/>
              <w:ind w:left="0" w:right="0"/>
              <w:rPr>
                <w:rFonts w:hint="eastAsia"/>
              </w:rPr>
            </w:pPr>
            <w:r>
              <w:rPr>
                <w:rFonts w:hint="eastAsia"/>
              </w:rPr>
              <w:t>准</w:t>
            </w:r>
          </w:p>
        </w:tc>
        <w:tc>
          <w:tcPr>
            <w:tcW w:w="8190" w:type="dxa"/>
            <w:noWrap w:val="0"/>
            <w:vAlign w:val="center"/>
          </w:tcPr>
          <w:p w14:paraId="1AA75EDC">
            <w:pPr>
              <w:pStyle w:val="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污染物排放标准</w:t>
            </w:r>
          </w:p>
          <w:p w14:paraId="60BEDB74">
            <w:pPr>
              <w:pStyle w:val="4"/>
              <w:suppressLineNumbers w:val="0"/>
              <w:bidi w:val="0"/>
              <w:spacing w:before="0" w:beforeAutospacing="0" w:after="0" w:afterAutospacing="0"/>
              <w:ind w:left="0" w:right="0"/>
              <w:rPr>
                <w:rFonts w:hint="eastAsia"/>
                <w:lang w:val="en-US" w:eastAsia="zh-CN"/>
              </w:rPr>
            </w:pPr>
            <w:r>
              <w:rPr>
                <w:rFonts w:hint="eastAsia"/>
                <w:lang w:val="en-US" w:eastAsia="zh-CN"/>
              </w:rPr>
              <w:t>水污染物排放标准</w:t>
            </w:r>
          </w:p>
          <w:p w14:paraId="08A4D825">
            <w:pPr>
              <w:keepNext w:val="0"/>
              <w:keepLines w:val="0"/>
              <w:suppressLineNumbers w:val="0"/>
              <w:bidi w:val="0"/>
              <w:spacing w:before="0" w:beforeAutospacing="0" w:after="0" w:afterAutospacing="0"/>
              <w:ind w:left="0" w:right="0"/>
              <w:rPr>
                <w:rFonts w:hint="default"/>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项目水污染物排放标准</w:t>
            </w:r>
          </w:p>
          <w:p w14:paraId="0C9542F0">
            <w:pPr>
              <w:keepNext w:val="0"/>
              <w:keepLines w:val="0"/>
              <w:suppressLineNumbers w:val="0"/>
              <w:bidi w:val="0"/>
              <w:spacing w:before="0" w:beforeAutospacing="0" w:after="0" w:afterAutospacing="0"/>
              <w:ind w:left="0" w:right="0"/>
              <w:rPr>
                <w:rFonts w:hint="eastAsia"/>
                <w:color w:val="auto"/>
              </w:rPr>
            </w:pPr>
            <w:r>
              <w:rPr>
                <w:rFonts w:hint="eastAsia"/>
              </w:rPr>
              <w:t>项目外排废水为职工生活污水，生活污水经厂内</w:t>
            </w:r>
            <w:r>
              <w:rPr>
                <w:rFonts w:hint="eastAsia"/>
                <w:lang w:val="en-US" w:eastAsia="zh-CN"/>
              </w:rPr>
              <w:t>化粪池</w:t>
            </w:r>
            <w:r>
              <w:rPr>
                <w:rFonts w:hint="eastAsia"/>
              </w:rPr>
              <w:t>处理后</w:t>
            </w:r>
            <w:r>
              <w:rPr>
                <w:rFonts w:hint="default"/>
                <w:lang w:val="en-US" w:eastAsia="zh-CN"/>
              </w:rPr>
              <w:t>排入市政污水管网</w:t>
            </w:r>
            <w:r>
              <w:rPr>
                <w:rFonts w:hint="eastAsia"/>
              </w:rPr>
              <w:t>接</w:t>
            </w:r>
            <w:r>
              <w:rPr>
                <w:rFonts w:hint="eastAsia"/>
                <w:lang w:val="en-US" w:eastAsia="zh-CN"/>
              </w:rPr>
              <w:t>福清市</w:t>
            </w:r>
            <w:r>
              <w:rPr>
                <w:rFonts w:hint="eastAsia"/>
              </w:rPr>
              <w:t>融元污水处理厂统一处理</w:t>
            </w:r>
            <w:r>
              <w:rPr>
                <w:rFonts w:hint="eastAsia"/>
                <w:lang w:val="en-US" w:eastAsia="zh-CN"/>
              </w:rPr>
              <w:t>，引至融元污水处理厂集中处理后，污水处理厂尾水最终排入龙江。生活</w:t>
            </w:r>
            <w:r>
              <w:rPr>
                <w:rFonts w:hint="eastAsia"/>
              </w:rPr>
              <w:t>污水污染物排放均执行《污水综合排放标准》</w:t>
            </w:r>
            <w:r>
              <w:rPr>
                <w:rFonts w:hint="eastAsia"/>
                <w:lang w:eastAsia="zh-CN"/>
              </w:rPr>
              <w:t>（</w:t>
            </w:r>
            <w:r>
              <w:rPr>
                <w:rFonts w:hint="eastAsia"/>
              </w:rPr>
              <w:t>GB8978-1996</w:t>
            </w:r>
            <w:r>
              <w:rPr>
                <w:rFonts w:hint="eastAsia"/>
                <w:lang w:eastAsia="zh-CN"/>
              </w:rPr>
              <w:t>）</w:t>
            </w:r>
            <w:r>
              <w:rPr>
                <w:rFonts w:hint="eastAsia"/>
              </w:rPr>
              <w:t>表4中三级排放标准</w:t>
            </w:r>
            <w:r>
              <w:rPr>
                <w:rFonts w:hint="eastAsia"/>
                <w:lang w:eastAsia="zh-CN"/>
              </w:rPr>
              <w:t>（</w:t>
            </w:r>
            <w:r>
              <w:rPr>
                <w:rFonts w:hint="eastAsia"/>
              </w:rPr>
              <w:t>其中氨氮</w:t>
            </w:r>
            <w:r>
              <w:rPr>
                <w:rFonts w:hint="eastAsia"/>
                <w:lang w:eastAsia="zh-CN"/>
              </w:rPr>
              <w:t>参照</w:t>
            </w:r>
            <w:r>
              <w:rPr>
                <w:rFonts w:hint="eastAsia"/>
              </w:rPr>
              <w:t>执行《污水排入城镇下水道水质标准》</w:t>
            </w:r>
            <w:r>
              <w:rPr>
                <w:rFonts w:hint="eastAsia"/>
                <w:lang w:eastAsia="zh-CN"/>
              </w:rPr>
              <w:t>（</w:t>
            </w:r>
            <w:r>
              <w:rPr>
                <w:rFonts w:hint="eastAsia"/>
              </w:rPr>
              <w:t>GB/T31962-2015</w:t>
            </w:r>
            <w:r>
              <w:rPr>
                <w:rFonts w:hint="eastAsia"/>
                <w:lang w:eastAsia="zh-CN"/>
              </w:rPr>
              <w:t>）</w:t>
            </w:r>
            <w:r>
              <w:rPr>
                <w:rFonts w:hint="eastAsia"/>
              </w:rPr>
              <w:t>表1中B级标准</w:t>
            </w:r>
            <w:r>
              <w:rPr>
                <w:rFonts w:hint="eastAsia"/>
                <w:lang w:eastAsia="zh-CN"/>
              </w:rPr>
              <w:t>）</w:t>
            </w:r>
            <w:r>
              <w:rPr>
                <w:rFonts w:hint="eastAsia"/>
              </w:rPr>
              <w:t>，标准值见表</w:t>
            </w:r>
            <w:r>
              <w:rPr>
                <w:rFonts w:hint="eastAsia"/>
                <w:lang w:val="en-US" w:eastAsia="zh-CN"/>
              </w:rPr>
              <w:t>3.7-1</w:t>
            </w:r>
            <w:r>
              <w:rPr>
                <w:rFonts w:hint="eastAsia"/>
              </w:rPr>
              <w:t>。</w:t>
            </w:r>
          </w:p>
          <w:p w14:paraId="325494D4">
            <w:pPr>
              <w:pStyle w:val="40"/>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表3.7-1  项目水污染物排放标准</w:t>
            </w:r>
          </w:p>
          <w:tbl>
            <w:tblPr>
              <w:tblStyle w:val="30"/>
              <w:tblW w:w="487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1970"/>
              <w:gridCol w:w="4009"/>
            </w:tblGrid>
            <w:tr w14:paraId="22B09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6" w:type="pct"/>
                  <w:noWrap w:val="0"/>
                  <w:vAlign w:val="center"/>
                </w:tcPr>
                <w:p w14:paraId="044336D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污染物名称</w:t>
                  </w:r>
                </w:p>
              </w:tc>
              <w:tc>
                <w:tcPr>
                  <w:tcW w:w="1266" w:type="pct"/>
                  <w:noWrap w:val="0"/>
                  <w:vAlign w:val="center"/>
                </w:tcPr>
                <w:p w14:paraId="3E5A044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标准值</w:t>
                  </w:r>
                </w:p>
              </w:tc>
              <w:tc>
                <w:tcPr>
                  <w:tcW w:w="2576" w:type="pct"/>
                  <w:noWrap w:val="0"/>
                  <w:vAlign w:val="center"/>
                </w:tcPr>
                <w:p w14:paraId="1FC82A7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标准来源</w:t>
                  </w:r>
                </w:p>
              </w:tc>
            </w:tr>
            <w:tr w14:paraId="5C851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56" w:type="pct"/>
                  <w:noWrap w:val="0"/>
                  <w:vAlign w:val="center"/>
                </w:tcPr>
                <w:p w14:paraId="03FA4850">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pH</w:t>
                  </w:r>
                </w:p>
              </w:tc>
              <w:tc>
                <w:tcPr>
                  <w:tcW w:w="1266" w:type="pct"/>
                  <w:noWrap w:val="0"/>
                  <w:vAlign w:val="center"/>
                </w:tcPr>
                <w:p w14:paraId="3AB36CC4">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 xml:space="preserve">6～9 </w:t>
                  </w:r>
                  <w:r>
                    <w:rPr>
                      <w:rFonts w:hint="eastAsia"/>
                      <w:szCs w:val="22"/>
                      <w:lang w:eastAsia="zh-CN"/>
                    </w:rPr>
                    <w:t>（</w:t>
                  </w:r>
                  <w:r>
                    <w:rPr>
                      <w:rFonts w:hint="eastAsia"/>
                      <w:szCs w:val="22"/>
                    </w:rPr>
                    <w:t>无量纲</w:t>
                  </w:r>
                  <w:r>
                    <w:rPr>
                      <w:rFonts w:hint="eastAsia"/>
                      <w:szCs w:val="22"/>
                      <w:lang w:eastAsia="zh-CN"/>
                    </w:rPr>
                    <w:t>）</w:t>
                  </w:r>
                </w:p>
              </w:tc>
              <w:tc>
                <w:tcPr>
                  <w:tcW w:w="2576" w:type="pct"/>
                  <w:vMerge w:val="restart"/>
                  <w:noWrap w:val="0"/>
                  <w:vAlign w:val="center"/>
                </w:tcPr>
                <w:p w14:paraId="2F47AA54">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《污水综合排放标准》</w:t>
                  </w:r>
                  <w:r>
                    <w:rPr>
                      <w:rFonts w:hint="eastAsia"/>
                      <w:szCs w:val="22"/>
                      <w:lang w:eastAsia="zh-CN"/>
                    </w:rPr>
                    <w:t>（</w:t>
                  </w:r>
                  <w:r>
                    <w:rPr>
                      <w:rFonts w:hint="eastAsia"/>
                      <w:szCs w:val="22"/>
                    </w:rPr>
                    <w:t>GB8978-1996</w:t>
                  </w:r>
                  <w:r>
                    <w:rPr>
                      <w:rFonts w:hint="eastAsia"/>
                      <w:szCs w:val="22"/>
                      <w:lang w:eastAsia="zh-CN"/>
                    </w:rPr>
                    <w:t>）</w:t>
                  </w:r>
                </w:p>
                <w:p w14:paraId="6D6A313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中表4三级标准</w:t>
                  </w:r>
                </w:p>
              </w:tc>
            </w:tr>
            <w:tr w14:paraId="04A8D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6" w:type="pct"/>
                  <w:noWrap w:val="0"/>
                  <w:vAlign w:val="center"/>
                </w:tcPr>
                <w:p w14:paraId="68FB7478">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COD</w:t>
                  </w:r>
                </w:p>
              </w:tc>
              <w:tc>
                <w:tcPr>
                  <w:tcW w:w="1266" w:type="pct"/>
                  <w:noWrap w:val="0"/>
                  <w:vAlign w:val="center"/>
                </w:tcPr>
                <w:p w14:paraId="69F5C26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500mg/L</w:t>
                  </w:r>
                </w:p>
              </w:tc>
              <w:tc>
                <w:tcPr>
                  <w:tcW w:w="2576" w:type="pct"/>
                  <w:vMerge w:val="continue"/>
                  <w:noWrap w:val="0"/>
                  <w:vAlign w:val="center"/>
                </w:tcPr>
                <w:p w14:paraId="4E58BB42">
                  <w:pPr>
                    <w:pStyle w:val="39"/>
                    <w:keepNext w:val="0"/>
                    <w:keepLines w:val="0"/>
                    <w:widowControl/>
                    <w:suppressLineNumbers w:val="0"/>
                    <w:bidi w:val="0"/>
                    <w:spacing w:before="0" w:beforeAutospacing="0" w:after="0" w:afterAutospacing="0"/>
                    <w:ind w:left="0" w:right="0"/>
                    <w:rPr>
                      <w:rFonts w:hint="eastAsia"/>
                      <w:szCs w:val="22"/>
                    </w:rPr>
                  </w:pPr>
                </w:p>
              </w:tc>
            </w:tr>
            <w:tr w14:paraId="6FAB3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6" w:type="pct"/>
                  <w:noWrap w:val="0"/>
                  <w:vAlign w:val="center"/>
                </w:tcPr>
                <w:p w14:paraId="0F582BC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BOD</w:t>
                  </w:r>
                  <w:r>
                    <w:rPr>
                      <w:rFonts w:hint="eastAsia"/>
                      <w:szCs w:val="22"/>
                      <w:vertAlign w:val="subscript"/>
                    </w:rPr>
                    <w:t>5</w:t>
                  </w:r>
                </w:p>
              </w:tc>
              <w:tc>
                <w:tcPr>
                  <w:tcW w:w="1266" w:type="pct"/>
                  <w:noWrap w:val="0"/>
                  <w:vAlign w:val="center"/>
                </w:tcPr>
                <w:p w14:paraId="3340596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300mg/L</w:t>
                  </w:r>
                </w:p>
              </w:tc>
              <w:tc>
                <w:tcPr>
                  <w:tcW w:w="2576" w:type="pct"/>
                  <w:vMerge w:val="continue"/>
                  <w:noWrap w:val="0"/>
                  <w:vAlign w:val="center"/>
                </w:tcPr>
                <w:p w14:paraId="1AC46D03">
                  <w:pPr>
                    <w:pStyle w:val="39"/>
                    <w:keepNext w:val="0"/>
                    <w:keepLines w:val="0"/>
                    <w:widowControl/>
                    <w:suppressLineNumbers w:val="0"/>
                    <w:bidi w:val="0"/>
                    <w:spacing w:before="0" w:beforeAutospacing="0" w:after="0" w:afterAutospacing="0"/>
                    <w:ind w:left="0" w:right="0"/>
                    <w:rPr>
                      <w:rFonts w:hint="eastAsia"/>
                      <w:szCs w:val="22"/>
                    </w:rPr>
                  </w:pPr>
                </w:p>
              </w:tc>
            </w:tr>
            <w:tr w14:paraId="6C0D3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156" w:type="pct"/>
                  <w:noWrap w:val="0"/>
                  <w:vAlign w:val="center"/>
                </w:tcPr>
                <w:p w14:paraId="7E3206B0">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SS</w:t>
                  </w:r>
                </w:p>
              </w:tc>
              <w:tc>
                <w:tcPr>
                  <w:tcW w:w="1266" w:type="pct"/>
                  <w:noWrap w:val="0"/>
                  <w:vAlign w:val="center"/>
                </w:tcPr>
                <w:p w14:paraId="2F646AD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400mg/L</w:t>
                  </w:r>
                </w:p>
              </w:tc>
              <w:tc>
                <w:tcPr>
                  <w:tcW w:w="2576" w:type="pct"/>
                  <w:vMerge w:val="continue"/>
                  <w:noWrap w:val="0"/>
                  <w:vAlign w:val="center"/>
                </w:tcPr>
                <w:p w14:paraId="790DD439">
                  <w:pPr>
                    <w:pStyle w:val="39"/>
                    <w:keepNext w:val="0"/>
                    <w:keepLines w:val="0"/>
                    <w:widowControl/>
                    <w:suppressLineNumbers w:val="0"/>
                    <w:bidi w:val="0"/>
                    <w:spacing w:before="0" w:beforeAutospacing="0" w:after="0" w:afterAutospacing="0"/>
                    <w:ind w:left="0" w:right="0"/>
                    <w:rPr>
                      <w:rFonts w:hint="eastAsia"/>
                      <w:szCs w:val="22"/>
                    </w:rPr>
                  </w:pPr>
                </w:p>
              </w:tc>
            </w:tr>
            <w:tr w14:paraId="1F699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6" w:type="pct"/>
                  <w:noWrap w:val="0"/>
                  <w:vAlign w:val="center"/>
                </w:tcPr>
                <w:p w14:paraId="7D46528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NH</w:t>
                  </w:r>
                  <w:r>
                    <w:rPr>
                      <w:rFonts w:hint="eastAsia"/>
                      <w:szCs w:val="22"/>
                      <w:vertAlign w:val="subscript"/>
                    </w:rPr>
                    <w:t>3</w:t>
                  </w:r>
                  <w:r>
                    <w:rPr>
                      <w:rFonts w:hint="eastAsia"/>
                      <w:szCs w:val="22"/>
                    </w:rPr>
                    <w:t>-N</w:t>
                  </w:r>
                </w:p>
              </w:tc>
              <w:tc>
                <w:tcPr>
                  <w:tcW w:w="1266" w:type="pct"/>
                  <w:noWrap w:val="0"/>
                  <w:vAlign w:val="center"/>
                </w:tcPr>
                <w:p w14:paraId="340E03A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45mg/L</w:t>
                  </w:r>
                </w:p>
              </w:tc>
              <w:tc>
                <w:tcPr>
                  <w:tcW w:w="2576" w:type="pct"/>
                  <w:noWrap w:val="0"/>
                  <w:vAlign w:val="center"/>
                </w:tcPr>
                <w:p w14:paraId="73FF12C3">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参照执行《污水排入城镇下水道水质标准》</w:t>
                  </w:r>
                  <w:r>
                    <w:rPr>
                      <w:rFonts w:hint="eastAsia"/>
                      <w:szCs w:val="22"/>
                      <w:lang w:eastAsia="zh-CN"/>
                    </w:rPr>
                    <w:t>（</w:t>
                  </w:r>
                  <w:r>
                    <w:rPr>
                      <w:rFonts w:hint="eastAsia"/>
                      <w:szCs w:val="22"/>
                    </w:rPr>
                    <w:t>GB/T 31962-2015</w:t>
                  </w:r>
                  <w:r>
                    <w:rPr>
                      <w:rFonts w:hint="eastAsia"/>
                      <w:szCs w:val="22"/>
                      <w:lang w:eastAsia="zh-CN"/>
                    </w:rPr>
                    <w:t>）</w:t>
                  </w:r>
                  <w:r>
                    <w:rPr>
                      <w:rFonts w:hint="eastAsia"/>
                      <w:szCs w:val="22"/>
                    </w:rPr>
                    <w:t>表1中B级标准</w:t>
                  </w:r>
                </w:p>
              </w:tc>
            </w:tr>
          </w:tbl>
          <w:p w14:paraId="596B3B1F">
            <w:pPr>
              <w:keepNext w:val="0"/>
              <w:keepLines w:val="0"/>
              <w:suppressLineNumbers w:val="0"/>
              <w:bidi w:val="0"/>
              <w:spacing w:before="0" w:beforeAutospacing="0" w:after="0" w:afterAutospacing="0"/>
              <w:ind w:left="0" w:right="0"/>
              <w:rPr>
                <w:rFonts w:hint="eastAsia"/>
              </w:rPr>
            </w:pPr>
            <w:bookmarkStart w:id="23" w:name="_Toc492278611"/>
            <w:bookmarkStart w:id="24" w:name="_Toc490031198"/>
            <w:bookmarkStart w:id="25" w:name="_Toc7698"/>
            <w:bookmarkStart w:id="26" w:name="_Toc461002554"/>
            <w:r>
              <w:rPr>
                <w:rFonts w:hint="eastAsia"/>
                <w:lang w:eastAsia="zh-CN"/>
              </w:rPr>
              <w:t>（</w:t>
            </w:r>
            <w:r>
              <w:rPr>
                <w:rFonts w:hint="eastAsia"/>
                <w:lang w:val="en-US" w:eastAsia="zh-CN"/>
              </w:rPr>
              <w:t>2</w:t>
            </w:r>
            <w:r>
              <w:rPr>
                <w:rFonts w:hint="eastAsia"/>
                <w:lang w:eastAsia="zh-CN"/>
              </w:rPr>
              <w:t>）污水处理厂</w:t>
            </w:r>
            <w:r>
              <w:rPr>
                <w:rFonts w:hint="eastAsia"/>
              </w:rPr>
              <w:t>排放标准</w:t>
            </w:r>
          </w:p>
          <w:bookmarkEnd w:id="23"/>
          <w:bookmarkEnd w:id="24"/>
          <w:bookmarkEnd w:id="25"/>
          <w:bookmarkEnd w:id="26"/>
          <w:p w14:paraId="63A6CF28">
            <w:pPr>
              <w:keepNext w:val="0"/>
              <w:keepLines w:val="0"/>
              <w:suppressLineNumbers w:val="0"/>
              <w:bidi w:val="0"/>
              <w:spacing w:before="0" w:beforeAutospacing="0" w:after="0" w:afterAutospacing="0"/>
              <w:ind w:left="0" w:right="0"/>
              <w:rPr>
                <w:rFonts w:hint="eastAsia"/>
              </w:rPr>
            </w:pPr>
            <w:r>
              <w:rPr>
                <w:rFonts w:hint="eastAsia"/>
              </w:rPr>
              <w:t>根据调查，福清市融元污水处理厂尾水排放执行《城镇污水处理厂污染物排放标准》</w:t>
            </w:r>
            <w:r>
              <w:rPr>
                <w:rFonts w:hint="eastAsia"/>
                <w:lang w:eastAsia="zh-CN"/>
              </w:rPr>
              <w:t>（</w:t>
            </w:r>
            <w:r>
              <w:rPr>
                <w:rFonts w:hint="eastAsia"/>
              </w:rPr>
              <w:t>GB18918-2002</w:t>
            </w:r>
            <w:r>
              <w:rPr>
                <w:rFonts w:hint="eastAsia"/>
                <w:lang w:eastAsia="zh-CN"/>
              </w:rPr>
              <w:t>）</w:t>
            </w:r>
            <w:r>
              <w:rPr>
                <w:rFonts w:hint="eastAsia"/>
              </w:rPr>
              <w:t>及其修改单表1的一级标准A标准，具体详见表</w:t>
            </w:r>
            <w:r>
              <w:rPr>
                <w:rFonts w:hint="eastAsia"/>
                <w:lang w:val="en-US" w:eastAsia="zh-CN"/>
              </w:rPr>
              <w:t>3.7-2</w:t>
            </w:r>
            <w:r>
              <w:rPr>
                <w:rFonts w:hint="eastAsia"/>
              </w:rPr>
              <w:t>。</w:t>
            </w:r>
          </w:p>
          <w:p w14:paraId="6A0C10D7">
            <w:pPr>
              <w:pStyle w:val="40"/>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表3.7-2  污水处理厂污水排放标准</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2596"/>
              <w:gridCol w:w="3816"/>
            </w:tblGrid>
            <w:tr w14:paraId="3C948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noWrap w:val="0"/>
                  <w:vAlign w:val="center"/>
                </w:tcPr>
                <w:p w14:paraId="57559833">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污染物名称</w:t>
                  </w:r>
                </w:p>
              </w:tc>
              <w:tc>
                <w:tcPr>
                  <w:tcW w:w="2596" w:type="dxa"/>
                  <w:noWrap w:val="0"/>
                  <w:vAlign w:val="center"/>
                </w:tcPr>
                <w:p w14:paraId="62BCA20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一级标准A标准限值</w:t>
                  </w:r>
                </w:p>
              </w:tc>
              <w:tc>
                <w:tcPr>
                  <w:tcW w:w="3816" w:type="dxa"/>
                  <w:noWrap w:val="0"/>
                  <w:vAlign w:val="center"/>
                </w:tcPr>
                <w:p w14:paraId="4E07AA73">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标准来源</w:t>
                  </w:r>
                </w:p>
              </w:tc>
            </w:tr>
            <w:tr w14:paraId="2B76B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noWrap w:val="0"/>
                  <w:vAlign w:val="center"/>
                </w:tcPr>
                <w:p w14:paraId="0737DDE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pH</w:t>
                  </w:r>
                </w:p>
              </w:tc>
              <w:tc>
                <w:tcPr>
                  <w:tcW w:w="2596" w:type="dxa"/>
                  <w:noWrap w:val="0"/>
                  <w:vAlign w:val="center"/>
                </w:tcPr>
                <w:p w14:paraId="06CB8004">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 xml:space="preserve">6～9 </w:t>
                  </w:r>
                  <w:r>
                    <w:rPr>
                      <w:rFonts w:hint="eastAsia"/>
                      <w:szCs w:val="22"/>
                      <w:lang w:eastAsia="zh-CN"/>
                    </w:rPr>
                    <w:t>（</w:t>
                  </w:r>
                  <w:r>
                    <w:rPr>
                      <w:rFonts w:hint="eastAsia"/>
                      <w:szCs w:val="22"/>
                    </w:rPr>
                    <w:t>无量纲</w:t>
                  </w:r>
                  <w:r>
                    <w:rPr>
                      <w:rFonts w:hint="eastAsia"/>
                      <w:szCs w:val="22"/>
                      <w:lang w:eastAsia="zh-CN"/>
                    </w:rPr>
                    <w:t>）</w:t>
                  </w:r>
                </w:p>
              </w:tc>
              <w:tc>
                <w:tcPr>
                  <w:tcW w:w="3816" w:type="dxa"/>
                  <w:vMerge w:val="restart"/>
                  <w:noWrap w:val="0"/>
                  <w:vAlign w:val="center"/>
                </w:tcPr>
                <w:p w14:paraId="3BBB7BA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《城镇污水处理厂污染物排放标准》</w:t>
                  </w:r>
                  <w:r>
                    <w:rPr>
                      <w:rFonts w:hint="eastAsia"/>
                      <w:szCs w:val="22"/>
                      <w:lang w:eastAsia="zh-CN"/>
                    </w:rPr>
                    <w:t>（</w:t>
                  </w:r>
                  <w:r>
                    <w:rPr>
                      <w:rFonts w:hint="eastAsia"/>
                      <w:szCs w:val="22"/>
                    </w:rPr>
                    <w:t>GB18918-2002</w:t>
                  </w:r>
                  <w:r>
                    <w:rPr>
                      <w:rFonts w:hint="eastAsia"/>
                      <w:szCs w:val="22"/>
                      <w:lang w:eastAsia="zh-CN"/>
                    </w:rPr>
                    <w:t>）</w:t>
                  </w:r>
                  <w:r>
                    <w:rPr>
                      <w:rFonts w:hint="eastAsia"/>
                      <w:szCs w:val="22"/>
                    </w:rPr>
                    <w:t>及其修改单表1的一级标准A标准</w:t>
                  </w:r>
                </w:p>
              </w:tc>
            </w:tr>
            <w:tr w14:paraId="1B5B9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noWrap w:val="0"/>
                  <w:vAlign w:val="center"/>
                </w:tcPr>
                <w:p w14:paraId="48FDABE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COD</w:t>
                  </w:r>
                </w:p>
              </w:tc>
              <w:tc>
                <w:tcPr>
                  <w:tcW w:w="2596" w:type="dxa"/>
                  <w:noWrap w:val="0"/>
                  <w:vAlign w:val="center"/>
                </w:tcPr>
                <w:p w14:paraId="43D1E31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50mg/L</w:t>
                  </w:r>
                </w:p>
              </w:tc>
              <w:tc>
                <w:tcPr>
                  <w:tcW w:w="3816" w:type="dxa"/>
                  <w:vMerge w:val="continue"/>
                  <w:noWrap w:val="0"/>
                  <w:vAlign w:val="center"/>
                </w:tcPr>
                <w:p w14:paraId="2E8EA10B">
                  <w:pPr>
                    <w:pStyle w:val="39"/>
                    <w:keepNext w:val="0"/>
                    <w:keepLines w:val="0"/>
                    <w:widowControl/>
                    <w:suppressLineNumbers w:val="0"/>
                    <w:bidi w:val="0"/>
                    <w:spacing w:before="0" w:beforeAutospacing="0" w:after="0" w:afterAutospacing="0"/>
                    <w:ind w:left="0" w:right="0"/>
                    <w:rPr>
                      <w:rFonts w:hint="eastAsia"/>
                      <w:szCs w:val="22"/>
                    </w:rPr>
                  </w:pPr>
                </w:p>
              </w:tc>
            </w:tr>
            <w:tr w14:paraId="2E7C0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noWrap w:val="0"/>
                  <w:vAlign w:val="center"/>
                </w:tcPr>
                <w:p w14:paraId="4781135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BOD</w:t>
                  </w:r>
                  <w:r>
                    <w:rPr>
                      <w:rFonts w:hint="eastAsia"/>
                      <w:szCs w:val="22"/>
                      <w:vertAlign w:val="subscript"/>
                    </w:rPr>
                    <w:t>5</w:t>
                  </w:r>
                </w:p>
              </w:tc>
              <w:tc>
                <w:tcPr>
                  <w:tcW w:w="2596" w:type="dxa"/>
                  <w:noWrap w:val="0"/>
                  <w:vAlign w:val="center"/>
                </w:tcPr>
                <w:p w14:paraId="0D5726B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10mg/L</w:t>
                  </w:r>
                </w:p>
              </w:tc>
              <w:tc>
                <w:tcPr>
                  <w:tcW w:w="3816" w:type="dxa"/>
                  <w:vMerge w:val="continue"/>
                  <w:noWrap w:val="0"/>
                  <w:vAlign w:val="center"/>
                </w:tcPr>
                <w:p w14:paraId="4D2E47E3">
                  <w:pPr>
                    <w:pStyle w:val="39"/>
                    <w:keepNext w:val="0"/>
                    <w:keepLines w:val="0"/>
                    <w:widowControl/>
                    <w:suppressLineNumbers w:val="0"/>
                    <w:bidi w:val="0"/>
                    <w:spacing w:before="0" w:beforeAutospacing="0" w:after="0" w:afterAutospacing="0"/>
                    <w:ind w:left="0" w:right="0"/>
                    <w:rPr>
                      <w:rFonts w:hint="eastAsia"/>
                      <w:szCs w:val="22"/>
                    </w:rPr>
                  </w:pPr>
                </w:p>
              </w:tc>
            </w:tr>
            <w:tr w14:paraId="684D4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noWrap w:val="0"/>
                  <w:vAlign w:val="center"/>
                </w:tcPr>
                <w:p w14:paraId="1AAF991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SS</w:t>
                  </w:r>
                </w:p>
              </w:tc>
              <w:tc>
                <w:tcPr>
                  <w:tcW w:w="2596" w:type="dxa"/>
                  <w:noWrap w:val="0"/>
                  <w:vAlign w:val="center"/>
                </w:tcPr>
                <w:p w14:paraId="68B299B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10mg/L</w:t>
                  </w:r>
                </w:p>
              </w:tc>
              <w:tc>
                <w:tcPr>
                  <w:tcW w:w="3816" w:type="dxa"/>
                  <w:vMerge w:val="continue"/>
                  <w:noWrap w:val="0"/>
                  <w:vAlign w:val="center"/>
                </w:tcPr>
                <w:p w14:paraId="32828268">
                  <w:pPr>
                    <w:pStyle w:val="39"/>
                    <w:keepNext w:val="0"/>
                    <w:keepLines w:val="0"/>
                    <w:widowControl/>
                    <w:suppressLineNumbers w:val="0"/>
                    <w:bidi w:val="0"/>
                    <w:spacing w:before="0" w:beforeAutospacing="0" w:after="0" w:afterAutospacing="0"/>
                    <w:ind w:left="0" w:right="0"/>
                    <w:rPr>
                      <w:rFonts w:hint="eastAsia"/>
                      <w:szCs w:val="22"/>
                    </w:rPr>
                  </w:pPr>
                </w:p>
              </w:tc>
            </w:tr>
            <w:tr w14:paraId="6D15E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noWrap w:val="0"/>
                  <w:vAlign w:val="center"/>
                </w:tcPr>
                <w:p w14:paraId="09634F6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NH</w:t>
                  </w:r>
                  <w:r>
                    <w:rPr>
                      <w:rFonts w:hint="eastAsia"/>
                      <w:szCs w:val="22"/>
                      <w:vertAlign w:val="subscript"/>
                    </w:rPr>
                    <w:t>3</w:t>
                  </w:r>
                  <w:r>
                    <w:rPr>
                      <w:rFonts w:hint="eastAsia"/>
                      <w:szCs w:val="22"/>
                    </w:rPr>
                    <w:t>-N</w:t>
                  </w:r>
                </w:p>
              </w:tc>
              <w:tc>
                <w:tcPr>
                  <w:tcW w:w="2596" w:type="dxa"/>
                  <w:noWrap w:val="0"/>
                  <w:vAlign w:val="center"/>
                </w:tcPr>
                <w:p w14:paraId="69AE3EB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5mg/L</w:t>
                  </w:r>
                </w:p>
              </w:tc>
              <w:tc>
                <w:tcPr>
                  <w:tcW w:w="3816" w:type="dxa"/>
                  <w:vMerge w:val="continue"/>
                  <w:noWrap w:val="0"/>
                  <w:vAlign w:val="center"/>
                </w:tcPr>
                <w:p w14:paraId="74BB9E49">
                  <w:pPr>
                    <w:pStyle w:val="39"/>
                    <w:keepNext w:val="0"/>
                    <w:keepLines w:val="0"/>
                    <w:widowControl/>
                    <w:suppressLineNumbers w:val="0"/>
                    <w:bidi w:val="0"/>
                    <w:spacing w:before="0" w:beforeAutospacing="0" w:after="0" w:afterAutospacing="0"/>
                    <w:ind w:left="0" w:right="0"/>
                    <w:rPr>
                      <w:rFonts w:hint="eastAsia"/>
                      <w:szCs w:val="22"/>
                    </w:rPr>
                  </w:pPr>
                </w:p>
              </w:tc>
            </w:tr>
          </w:tbl>
          <w:p w14:paraId="4AB999AE">
            <w:pPr>
              <w:pStyle w:val="4"/>
              <w:suppressLineNumbers w:val="0"/>
              <w:bidi w:val="0"/>
              <w:spacing w:before="0" w:beforeAutospacing="0" w:after="0" w:afterAutospacing="0"/>
              <w:ind w:left="0" w:right="0"/>
              <w:rPr>
                <w:rFonts w:hint="eastAsia"/>
                <w:lang w:val="en-US" w:eastAsia="zh-CN"/>
              </w:rPr>
            </w:pPr>
            <w:r>
              <w:rPr>
                <w:rFonts w:hint="eastAsia"/>
                <w:lang w:val="en-US" w:eastAsia="zh-CN"/>
              </w:rPr>
              <w:t>大气污染物排放标准</w:t>
            </w:r>
          </w:p>
          <w:p w14:paraId="3DD7373C">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本项目运营期产生的废气主要来自喷漆、烘干、加烤的非甲烷总烃及颗粒物。</w:t>
            </w:r>
          </w:p>
          <w:p w14:paraId="29093CB0">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（1）有组织排放</w:t>
            </w:r>
          </w:p>
          <w:p w14:paraId="55A53C58">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本项目产生的非甲烷总烃有组织排放执行</w:t>
            </w:r>
            <w:r>
              <w:rPr>
                <w:rFonts w:hint="default"/>
                <w:lang w:val="en-US" w:eastAsia="zh-CN"/>
              </w:rPr>
              <w:t>《工业涂装工序挥发性有机物排放标准》（DB35/1783-2018）中表1标准中的涉涂装工序的其它行业</w:t>
            </w:r>
            <w:r>
              <w:rPr>
                <w:rFonts w:hint="eastAsia"/>
                <w:lang w:val="en-US" w:eastAsia="zh-CN"/>
              </w:rPr>
              <w:t>标准限值，颗粒物有组织排放执行GB16297-1996《大气污染物综合排放标准》表2中二级标准限值</w:t>
            </w:r>
            <w:r>
              <w:rPr>
                <w:rFonts w:hint="default"/>
                <w:lang w:val="en-US" w:eastAsia="zh-CN"/>
              </w:rPr>
              <w:t>。</w:t>
            </w:r>
            <w:r>
              <w:rPr>
                <w:rFonts w:hint="eastAsia"/>
                <w:lang w:val="en-US" w:eastAsia="zh-CN"/>
              </w:rPr>
              <w:t>具体见表3.7-3。</w:t>
            </w:r>
          </w:p>
          <w:p w14:paraId="6D9D249E">
            <w:pPr>
              <w:keepNext w:val="0"/>
              <w:keepLines w:val="0"/>
              <w:suppressLineNumbers w:val="0"/>
              <w:bidi w:val="0"/>
              <w:spacing w:before="0" w:beforeAutospacing="0" w:after="0" w:afterAutospacing="0"/>
              <w:ind w:left="0" w:right="0"/>
              <w:rPr>
                <w:rFonts w:hint="default"/>
                <w:lang w:val="en-US" w:eastAsia="zh-CN"/>
              </w:rPr>
            </w:pPr>
            <w:r>
              <w:rPr>
                <w:rFonts w:hint="eastAsia" w:eastAsia="宋体"/>
                <w:szCs w:val="22"/>
                <w:lang w:eastAsia="zh-CN"/>
              </w:rPr>
              <w:t>三条生产线（1#、2#、3#）</w:t>
            </w:r>
            <w:r>
              <w:rPr>
                <w:rFonts w:hint="eastAsia"/>
                <w:lang w:val="en-US" w:eastAsia="zh-CN"/>
              </w:rPr>
              <w:t>产生的废气主要来自喷漆、烘干、加烤工序产生的非甲烷总烃及颗粒物，故三条生产线执行相同的排放标准，即非甲烷总烃有组织排放执行</w:t>
            </w:r>
            <w:r>
              <w:rPr>
                <w:rFonts w:hint="default"/>
                <w:lang w:val="en-US" w:eastAsia="zh-CN"/>
              </w:rPr>
              <w:t>《工业涂装工序挥发性有机物排放标准》（DB35/1783-2018）中表1标准中的涉涂装工序的其它行业</w:t>
            </w:r>
            <w:r>
              <w:rPr>
                <w:rFonts w:hint="eastAsia"/>
                <w:lang w:val="en-US" w:eastAsia="zh-CN"/>
              </w:rPr>
              <w:t>标准限值，颗粒物有组织排放执行《大气污染物综合排放标准》（GB16297-1996）表2中二级标准限值</w:t>
            </w:r>
            <w:r>
              <w:rPr>
                <w:rFonts w:hint="default"/>
                <w:lang w:val="en-US" w:eastAsia="zh-CN"/>
              </w:rPr>
              <w:t>。</w:t>
            </w:r>
          </w:p>
          <w:p w14:paraId="63A9EF76">
            <w:pPr>
              <w:pStyle w:val="40"/>
              <w:keepNext w:val="0"/>
              <w:keepLines w:val="0"/>
              <w:suppressLineNumbers w:val="0"/>
              <w:bidi w:val="0"/>
              <w:spacing w:before="0" w:beforeAutospacing="0" w:after="0" w:afterAutospacing="0"/>
              <w:ind w:left="0" w:right="0"/>
              <w:rPr>
                <w:rFonts w:hint="eastAsia"/>
              </w:rPr>
            </w:pPr>
            <w:r>
              <w:rPr>
                <w:rFonts w:hint="eastAsia"/>
              </w:rPr>
              <w:t>表</w:t>
            </w:r>
            <w:r>
              <w:rPr>
                <w:rFonts w:hint="eastAsia"/>
                <w:lang w:val="en-US" w:eastAsia="zh-CN"/>
              </w:rPr>
              <w:t>3.7-3</w:t>
            </w:r>
            <w:r>
              <w:rPr>
                <w:rFonts w:hint="eastAsia"/>
              </w:rPr>
              <w:t xml:space="preserve"> 有组织废气污染物排放标准</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901"/>
              <w:gridCol w:w="1139"/>
              <w:gridCol w:w="1160"/>
              <w:gridCol w:w="1034"/>
              <w:gridCol w:w="2712"/>
            </w:tblGrid>
            <w:tr w14:paraId="52703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noWrap w:val="0"/>
                  <w:vAlign w:val="center"/>
                </w:tcPr>
                <w:p w14:paraId="5D486752">
                  <w:pPr>
                    <w:pStyle w:val="39"/>
                    <w:keepNext w:val="0"/>
                    <w:keepLines w:val="0"/>
                    <w:widowControl/>
                    <w:suppressLineNumbers w:val="0"/>
                    <w:bidi w:val="0"/>
                    <w:spacing w:before="0" w:beforeAutospacing="0" w:after="0" w:afterAutospacing="0"/>
                    <w:ind w:left="0" w:right="0"/>
                    <w:rPr>
                      <w:rFonts w:hint="eastAsia" w:eastAsia="宋体"/>
                      <w:color w:val="auto"/>
                      <w:szCs w:val="22"/>
                      <w:lang w:val="en-US" w:eastAsia="zh-CN"/>
                    </w:rPr>
                  </w:pPr>
                  <w:r>
                    <w:rPr>
                      <w:rFonts w:hint="eastAsia"/>
                      <w:color w:val="auto"/>
                      <w:szCs w:val="22"/>
                      <w:lang w:val="en-US" w:eastAsia="zh-CN"/>
                    </w:rPr>
                    <w:t>对应产线</w:t>
                  </w:r>
                </w:p>
              </w:tc>
              <w:tc>
                <w:tcPr>
                  <w:tcW w:w="564" w:type="pct"/>
                  <w:shd w:val="clear" w:color="auto" w:fill="auto"/>
                  <w:noWrap w:val="0"/>
                  <w:vAlign w:val="center"/>
                </w:tcPr>
                <w:p w14:paraId="2EAD29C5">
                  <w:pPr>
                    <w:pStyle w:val="39"/>
                    <w:keepNext w:val="0"/>
                    <w:keepLines w:val="0"/>
                    <w:widowControl/>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2"/>
                      <w:lang w:val="en-US" w:eastAsia="zh-CN" w:bidi="ar-SA"/>
                    </w:rPr>
                  </w:pPr>
                  <w:r>
                    <w:rPr>
                      <w:rFonts w:hint="eastAsia"/>
                      <w:szCs w:val="22"/>
                    </w:rPr>
                    <w:t>污染物</w:t>
                  </w:r>
                </w:p>
              </w:tc>
              <w:tc>
                <w:tcPr>
                  <w:tcW w:w="714" w:type="pct"/>
                  <w:noWrap w:val="0"/>
                  <w:vAlign w:val="center"/>
                </w:tcPr>
                <w:p w14:paraId="23F2E3F7">
                  <w:pPr>
                    <w:pStyle w:val="39"/>
                    <w:keepNext w:val="0"/>
                    <w:keepLines w:val="0"/>
                    <w:widowControl/>
                    <w:suppressLineNumbers w:val="0"/>
                    <w:bidi w:val="0"/>
                    <w:spacing w:before="0" w:beforeAutospacing="0" w:after="0" w:afterAutospacing="0"/>
                    <w:ind w:left="0" w:right="0"/>
                    <w:rPr>
                      <w:rFonts w:hint="default" w:eastAsia="宋体"/>
                      <w:szCs w:val="22"/>
                      <w:lang w:val="en-US" w:eastAsia="zh-CN"/>
                    </w:rPr>
                  </w:pPr>
                  <w:r>
                    <w:rPr>
                      <w:rFonts w:hint="eastAsia"/>
                      <w:szCs w:val="22"/>
                      <w:lang w:val="en-US" w:eastAsia="zh-CN"/>
                    </w:rPr>
                    <w:t>排气筒编号</w:t>
                  </w:r>
                </w:p>
              </w:tc>
              <w:tc>
                <w:tcPr>
                  <w:tcW w:w="727" w:type="pct"/>
                  <w:noWrap w:val="0"/>
                  <w:vAlign w:val="center"/>
                </w:tcPr>
                <w:p w14:paraId="44A7DD3F">
                  <w:pPr>
                    <w:pStyle w:val="39"/>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排放浓度（mg/m</w:t>
                  </w:r>
                  <w:r>
                    <w:rPr>
                      <w:rFonts w:hint="eastAsia"/>
                      <w:szCs w:val="22"/>
                      <w:vertAlign w:val="superscript"/>
                    </w:rPr>
                    <w:t>3</w:t>
                  </w:r>
                  <w:r>
                    <w:rPr>
                      <w:rFonts w:hint="eastAsia"/>
                      <w:szCs w:val="22"/>
                    </w:rPr>
                    <w:t>）</w:t>
                  </w:r>
                </w:p>
              </w:tc>
              <w:tc>
                <w:tcPr>
                  <w:tcW w:w="648" w:type="pct"/>
                  <w:noWrap w:val="0"/>
                  <w:vAlign w:val="center"/>
                </w:tcPr>
                <w:p w14:paraId="1CFEA4BE">
                  <w:pPr>
                    <w:pStyle w:val="39"/>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排放速率（kg/h）</w:t>
                  </w:r>
                </w:p>
              </w:tc>
              <w:tc>
                <w:tcPr>
                  <w:tcW w:w="1700" w:type="pct"/>
                  <w:noWrap w:val="0"/>
                  <w:vAlign w:val="center"/>
                </w:tcPr>
                <w:p w14:paraId="2CD88EF0">
                  <w:pPr>
                    <w:pStyle w:val="39"/>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标准来源</w:t>
                  </w:r>
                </w:p>
              </w:tc>
            </w:tr>
            <w:tr w14:paraId="0162F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44" w:type="pct"/>
                  <w:vMerge w:val="restart"/>
                  <w:noWrap w:val="0"/>
                  <w:vAlign w:val="center"/>
                </w:tcPr>
                <w:p w14:paraId="5F140D38">
                  <w:pPr>
                    <w:pStyle w:val="39"/>
                    <w:keepNext w:val="0"/>
                    <w:keepLines w:val="0"/>
                    <w:widowControl/>
                    <w:suppressLineNumbers w:val="0"/>
                    <w:bidi w:val="0"/>
                    <w:spacing w:before="0" w:beforeAutospacing="0" w:after="0" w:afterAutospacing="0"/>
                    <w:ind w:left="0" w:right="0"/>
                    <w:rPr>
                      <w:rFonts w:hint="default"/>
                      <w:color w:val="auto"/>
                      <w:szCs w:val="22"/>
                      <w:lang w:val="en-US" w:eastAsia="zh-CN"/>
                    </w:rPr>
                  </w:pPr>
                  <w:r>
                    <w:rPr>
                      <w:rFonts w:hint="eastAsia"/>
                      <w:color w:val="auto"/>
                      <w:szCs w:val="22"/>
                      <w:lang w:val="en-US" w:eastAsia="zh-CN"/>
                    </w:rPr>
                    <w:t>生产线</w:t>
                  </w:r>
                  <w:r>
                    <w:rPr>
                      <w:rFonts w:hint="eastAsia" w:eastAsia="宋体"/>
                      <w:szCs w:val="22"/>
                      <w:lang w:eastAsia="zh-CN"/>
                    </w:rPr>
                    <w:t>1#、2#、3#</w:t>
                  </w:r>
                  <w:r>
                    <w:rPr>
                      <w:rFonts w:hint="eastAsia"/>
                      <w:color w:val="auto"/>
                      <w:szCs w:val="22"/>
                      <w:lang w:val="en-US" w:eastAsia="zh-CN"/>
                    </w:rPr>
                    <w:t>（</w:t>
                  </w:r>
                  <w:r>
                    <w:rPr>
                      <w:rFonts w:hint="eastAsia"/>
                      <w:szCs w:val="22"/>
                      <w:lang w:val="en-US" w:eastAsia="zh-CN"/>
                    </w:rPr>
                    <w:t>喷漆、烘干、加烤</w:t>
                  </w:r>
                  <w:r>
                    <w:rPr>
                      <w:rFonts w:hint="eastAsia"/>
                      <w:color w:val="auto"/>
                      <w:szCs w:val="22"/>
                      <w:lang w:val="en-US" w:eastAsia="zh-CN"/>
                    </w:rPr>
                    <w:t>）</w:t>
                  </w:r>
                </w:p>
              </w:tc>
              <w:tc>
                <w:tcPr>
                  <w:tcW w:w="564" w:type="pct"/>
                  <w:shd w:val="clear" w:color="auto" w:fill="auto"/>
                  <w:noWrap w:val="0"/>
                  <w:vAlign w:val="center"/>
                </w:tcPr>
                <w:p w14:paraId="5E463937">
                  <w:pPr>
                    <w:pStyle w:val="39"/>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2"/>
                      <w:lang w:val="en-US" w:eastAsia="zh-CN" w:bidi="ar-SA"/>
                    </w:rPr>
                  </w:pPr>
                  <w:r>
                    <w:rPr>
                      <w:rFonts w:hint="default"/>
                      <w:szCs w:val="22"/>
                    </w:rPr>
                    <w:t>非甲烷总烃</w:t>
                  </w:r>
                </w:p>
              </w:tc>
              <w:tc>
                <w:tcPr>
                  <w:tcW w:w="714" w:type="pct"/>
                  <w:vMerge w:val="restart"/>
                  <w:noWrap w:val="0"/>
                  <w:vAlign w:val="center"/>
                </w:tcPr>
                <w:p w14:paraId="47DBCCBD">
                  <w:pPr>
                    <w:pStyle w:val="39"/>
                    <w:keepNext w:val="0"/>
                    <w:keepLines w:val="0"/>
                    <w:widowControl/>
                    <w:suppressLineNumbers w:val="0"/>
                    <w:bidi w:val="0"/>
                    <w:spacing w:before="0" w:beforeAutospacing="0" w:after="0" w:afterAutospacing="0"/>
                    <w:ind w:left="0" w:right="0"/>
                    <w:rPr>
                      <w:rFonts w:hint="default" w:eastAsia="宋体"/>
                      <w:szCs w:val="22"/>
                      <w:lang w:val="en-US" w:eastAsia="zh-CN"/>
                    </w:rPr>
                  </w:pPr>
                  <w:r>
                    <w:rPr>
                      <w:rFonts w:hint="eastAsia"/>
                      <w:szCs w:val="22"/>
                      <w:lang w:val="en-US" w:eastAsia="zh-CN"/>
                    </w:rPr>
                    <w:t>15m高排气筒（DA001、DA002）</w:t>
                  </w:r>
                </w:p>
              </w:tc>
              <w:tc>
                <w:tcPr>
                  <w:tcW w:w="727" w:type="pct"/>
                  <w:noWrap w:val="0"/>
                  <w:vAlign w:val="center"/>
                </w:tcPr>
                <w:p w14:paraId="6ABC8395">
                  <w:pPr>
                    <w:pStyle w:val="39"/>
                    <w:keepNext w:val="0"/>
                    <w:keepLines w:val="0"/>
                    <w:widowControl/>
                    <w:suppressLineNumbers w:val="0"/>
                    <w:bidi w:val="0"/>
                    <w:spacing w:before="0" w:beforeAutospacing="0" w:after="0" w:afterAutospacing="0"/>
                    <w:ind w:left="0" w:right="0"/>
                    <w:rPr>
                      <w:rFonts w:hint="eastAsia"/>
                      <w:color w:val="auto"/>
                      <w:szCs w:val="22"/>
                    </w:rPr>
                  </w:pPr>
                  <w:r>
                    <w:rPr>
                      <w:rFonts w:hint="default"/>
                      <w:szCs w:val="22"/>
                    </w:rPr>
                    <w:t>60</w:t>
                  </w:r>
                </w:p>
              </w:tc>
              <w:tc>
                <w:tcPr>
                  <w:tcW w:w="648" w:type="pct"/>
                  <w:noWrap w:val="0"/>
                  <w:vAlign w:val="center"/>
                </w:tcPr>
                <w:p w14:paraId="612CD963">
                  <w:pPr>
                    <w:pStyle w:val="39"/>
                    <w:keepNext w:val="0"/>
                    <w:keepLines w:val="0"/>
                    <w:widowControl/>
                    <w:suppressLineNumbers w:val="0"/>
                    <w:bidi w:val="0"/>
                    <w:spacing w:before="0" w:beforeAutospacing="0" w:after="0" w:afterAutospacing="0"/>
                    <w:ind w:left="0" w:right="0"/>
                    <w:rPr>
                      <w:rFonts w:hint="eastAsia"/>
                      <w:color w:val="auto"/>
                      <w:szCs w:val="22"/>
                    </w:rPr>
                  </w:pPr>
                  <w:r>
                    <w:rPr>
                      <w:rFonts w:hint="default"/>
                      <w:szCs w:val="22"/>
                    </w:rPr>
                    <w:t>2.5</w:t>
                  </w:r>
                </w:p>
              </w:tc>
              <w:tc>
                <w:tcPr>
                  <w:tcW w:w="1700" w:type="pct"/>
                  <w:noWrap w:val="0"/>
                  <w:vAlign w:val="center"/>
                </w:tcPr>
                <w:p w14:paraId="7BCB98AE">
                  <w:pPr>
                    <w:pStyle w:val="39"/>
                    <w:keepNext w:val="0"/>
                    <w:keepLines w:val="0"/>
                    <w:widowControl/>
                    <w:suppressLineNumbers w:val="0"/>
                    <w:bidi w:val="0"/>
                    <w:spacing w:before="0" w:beforeAutospacing="0" w:after="0" w:afterAutospacing="0"/>
                    <w:ind w:left="0" w:right="0"/>
                    <w:rPr>
                      <w:rFonts w:hint="eastAsia"/>
                      <w:color w:val="auto"/>
                      <w:szCs w:val="22"/>
                    </w:rPr>
                  </w:pPr>
                  <w:r>
                    <w:rPr>
                      <w:rFonts w:hint="default"/>
                      <w:szCs w:val="22"/>
                    </w:rPr>
                    <w:t>《工业涂装工序挥发性有机物排放标准》（DB35/1783-2018）</w:t>
                  </w:r>
                  <w:r>
                    <w:rPr>
                      <w:rFonts w:hint="default"/>
                      <w:szCs w:val="22"/>
                      <w:lang w:eastAsia="zh-CN"/>
                    </w:rPr>
                    <w:t>表</w:t>
                  </w:r>
                  <w:r>
                    <w:rPr>
                      <w:rFonts w:hint="default"/>
                      <w:szCs w:val="22"/>
                      <w:lang w:val="en-US" w:eastAsia="zh-CN"/>
                    </w:rPr>
                    <w:t>1标准</w:t>
                  </w:r>
                </w:p>
              </w:tc>
            </w:tr>
            <w:tr w14:paraId="3837B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44" w:type="pct"/>
                  <w:vMerge w:val="continue"/>
                  <w:noWrap w:val="0"/>
                  <w:vAlign w:val="center"/>
                </w:tcPr>
                <w:p w14:paraId="23176B10">
                  <w:pPr>
                    <w:pStyle w:val="39"/>
                    <w:keepNext w:val="0"/>
                    <w:keepLines w:val="0"/>
                    <w:widowControl/>
                    <w:suppressLineNumbers w:val="0"/>
                    <w:bidi w:val="0"/>
                    <w:spacing w:before="0" w:beforeAutospacing="0" w:after="0" w:afterAutospacing="0"/>
                    <w:ind w:left="0" w:right="0"/>
                    <w:rPr>
                      <w:rFonts w:hint="default"/>
                      <w:color w:val="auto"/>
                      <w:szCs w:val="21"/>
                      <w:lang w:val="en-US" w:eastAsia="zh-CN"/>
                    </w:rPr>
                  </w:pPr>
                </w:p>
              </w:tc>
              <w:tc>
                <w:tcPr>
                  <w:tcW w:w="564" w:type="pct"/>
                  <w:shd w:val="clear" w:color="auto" w:fill="auto"/>
                  <w:noWrap w:val="0"/>
                  <w:vAlign w:val="center"/>
                </w:tcPr>
                <w:p w14:paraId="590F4ACD">
                  <w:pPr>
                    <w:pStyle w:val="39"/>
                    <w:keepNext w:val="0"/>
                    <w:keepLines w:val="0"/>
                    <w:widowControl/>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1"/>
                      <w:lang w:val="en-US" w:eastAsia="zh-CN" w:bidi="ar-SA"/>
                    </w:rPr>
                  </w:pPr>
                  <w:r>
                    <w:rPr>
                      <w:rFonts w:hint="eastAsia"/>
                      <w:szCs w:val="22"/>
                      <w:lang w:val="en-US" w:eastAsia="zh-CN"/>
                    </w:rPr>
                    <w:t>颗粒物</w:t>
                  </w:r>
                </w:p>
              </w:tc>
              <w:tc>
                <w:tcPr>
                  <w:tcW w:w="714" w:type="pct"/>
                  <w:vMerge w:val="continue"/>
                  <w:noWrap w:val="0"/>
                  <w:vAlign w:val="center"/>
                </w:tcPr>
                <w:p w14:paraId="53BB0210">
                  <w:pPr>
                    <w:pStyle w:val="39"/>
                    <w:keepNext w:val="0"/>
                    <w:keepLines w:val="0"/>
                    <w:widowControl/>
                    <w:suppressLineNumbers w:val="0"/>
                    <w:bidi w:val="0"/>
                    <w:spacing w:before="0" w:beforeAutospacing="0" w:after="0" w:afterAutospacing="0"/>
                    <w:ind w:left="0" w:right="0"/>
                    <w:rPr>
                      <w:rFonts w:hint="eastAsia"/>
                      <w:szCs w:val="22"/>
                      <w:lang w:val="en-US" w:eastAsia="zh-CN"/>
                    </w:rPr>
                  </w:pPr>
                </w:p>
              </w:tc>
              <w:tc>
                <w:tcPr>
                  <w:tcW w:w="727" w:type="pct"/>
                  <w:noWrap w:val="0"/>
                  <w:vAlign w:val="center"/>
                </w:tcPr>
                <w:p w14:paraId="4FFC22B6">
                  <w:pPr>
                    <w:pStyle w:val="39"/>
                    <w:keepNext w:val="0"/>
                    <w:keepLines w:val="0"/>
                    <w:widowControl/>
                    <w:suppressLineNumbers w:val="0"/>
                    <w:bidi w:val="0"/>
                    <w:spacing w:before="0" w:beforeAutospacing="0" w:after="0" w:afterAutospacing="0"/>
                    <w:ind w:left="0" w:right="0"/>
                    <w:rPr>
                      <w:rFonts w:hint="default"/>
                      <w:color w:val="auto"/>
                      <w:szCs w:val="21"/>
                      <w:lang w:val="en-US" w:eastAsia="zh-CN"/>
                    </w:rPr>
                  </w:pPr>
                  <w:r>
                    <w:rPr>
                      <w:rFonts w:hint="eastAsia"/>
                      <w:szCs w:val="22"/>
                      <w:lang w:val="en-US" w:eastAsia="zh-CN"/>
                    </w:rPr>
                    <w:t>120</w:t>
                  </w:r>
                </w:p>
              </w:tc>
              <w:tc>
                <w:tcPr>
                  <w:tcW w:w="648" w:type="pct"/>
                  <w:noWrap w:val="0"/>
                  <w:vAlign w:val="center"/>
                </w:tcPr>
                <w:p w14:paraId="03881DA8">
                  <w:pPr>
                    <w:pStyle w:val="39"/>
                    <w:keepNext w:val="0"/>
                    <w:keepLines w:val="0"/>
                    <w:widowControl/>
                    <w:suppressLineNumbers w:val="0"/>
                    <w:bidi w:val="0"/>
                    <w:spacing w:before="0" w:beforeAutospacing="0" w:after="0" w:afterAutospacing="0"/>
                    <w:ind w:left="0" w:right="0"/>
                    <w:rPr>
                      <w:rFonts w:hint="default"/>
                      <w:color w:val="auto"/>
                      <w:szCs w:val="21"/>
                      <w:lang w:val="en-US" w:eastAsia="zh-CN"/>
                    </w:rPr>
                  </w:pPr>
                  <w:r>
                    <w:rPr>
                      <w:rFonts w:hint="eastAsia"/>
                      <w:szCs w:val="22"/>
                      <w:lang w:val="en-US" w:eastAsia="zh-CN"/>
                    </w:rPr>
                    <w:t>3.5</w:t>
                  </w:r>
                </w:p>
              </w:tc>
              <w:tc>
                <w:tcPr>
                  <w:tcW w:w="1700" w:type="pct"/>
                  <w:noWrap w:val="0"/>
                  <w:vAlign w:val="center"/>
                </w:tcPr>
                <w:p w14:paraId="471450E1">
                  <w:pPr>
                    <w:pStyle w:val="39"/>
                    <w:keepNext w:val="0"/>
                    <w:keepLines w:val="0"/>
                    <w:widowControl/>
                    <w:suppressLineNumbers w:val="0"/>
                    <w:bidi w:val="0"/>
                    <w:spacing w:before="0" w:beforeAutospacing="0" w:after="0" w:afterAutospacing="0"/>
                    <w:ind w:left="0" w:right="0"/>
                    <w:rPr>
                      <w:rFonts w:hint="default"/>
                      <w:color w:val="auto"/>
                      <w:szCs w:val="21"/>
                      <w:lang w:val="en-US"/>
                    </w:rPr>
                  </w:pPr>
                  <w:r>
                    <w:rPr>
                      <w:rFonts w:hint="eastAsia"/>
                      <w:szCs w:val="22"/>
                      <w:lang w:val="en-US" w:eastAsia="zh-CN"/>
                    </w:rPr>
                    <w:t>《大气污染物综合排放标准》（GB16297-1996）表2</w:t>
                  </w:r>
                </w:p>
              </w:tc>
            </w:tr>
          </w:tbl>
          <w:p w14:paraId="7501D9BA">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（2）无组织排放</w:t>
            </w:r>
          </w:p>
          <w:p w14:paraId="3CFD0681">
            <w:pPr>
              <w:keepNext w:val="0"/>
              <w:keepLines w:val="0"/>
              <w:suppressLineNumbers w:val="0"/>
              <w:bidi w:val="0"/>
              <w:spacing w:before="0" w:beforeAutospacing="0" w:after="0" w:afterAutospacing="0"/>
              <w:ind w:left="0" w:right="0"/>
              <w:rPr>
                <w:rFonts w:hint="default"/>
                <w:lang w:val="en-US" w:eastAsia="zh-CN"/>
              </w:rPr>
            </w:pPr>
            <w:r>
              <w:rPr>
                <w:rFonts w:hint="eastAsia"/>
              </w:rPr>
              <w:t>本项目</w:t>
            </w:r>
            <w:r>
              <w:rPr>
                <w:rFonts w:hint="eastAsia"/>
                <w:lang w:val="en-US" w:eastAsia="zh-CN"/>
              </w:rPr>
              <w:t>喷漆、烘干、加烤</w:t>
            </w:r>
            <w:r>
              <w:rPr>
                <w:rFonts w:hint="eastAsia"/>
              </w:rPr>
              <w:t>工序</w:t>
            </w:r>
            <w:r>
              <w:rPr>
                <w:rFonts w:hint="eastAsia"/>
                <w:lang w:val="en-US" w:eastAsia="zh-CN"/>
              </w:rPr>
              <w:t>部分</w:t>
            </w:r>
            <w:r>
              <w:rPr>
                <w:rFonts w:hint="eastAsia"/>
              </w:rPr>
              <w:t>非甲烷总烃</w:t>
            </w:r>
            <w:r>
              <w:rPr>
                <w:rFonts w:hint="eastAsia"/>
                <w:lang w:val="en-US" w:eastAsia="zh-CN"/>
              </w:rPr>
              <w:t>会及颗粒物</w:t>
            </w:r>
            <w:r>
              <w:rPr>
                <w:rFonts w:hint="eastAsia"/>
              </w:rPr>
              <w:t>以无组织形式逸散，</w:t>
            </w:r>
            <w:r>
              <w:rPr>
                <w:rFonts w:hint="eastAsia"/>
                <w:lang w:val="en-US" w:eastAsia="zh-CN"/>
              </w:rPr>
              <w:t>打磨</w:t>
            </w:r>
            <w:r>
              <w:rPr>
                <w:rFonts w:hint="eastAsia"/>
              </w:rPr>
              <w:t>工序</w:t>
            </w:r>
            <w:r>
              <w:rPr>
                <w:rFonts w:hint="eastAsia"/>
                <w:lang w:val="en-US" w:eastAsia="zh-CN"/>
              </w:rPr>
              <w:t>颗粒物</w:t>
            </w:r>
            <w:r>
              <w:rPr>
                <w:rFonts w:hint="eastAsia"/>
              </w:rPr>
              <w:t>产生量极小，统一按无组织排放。</w:t>
            </w:r>
          </w:p>
          <w:p w14:paraId="7CD2FA60">
            <w:pPr>
              <w:keepNext w:val="0"/>
              <w:keepLines w:val="0"/>
              <w:suppressLineNumbers w:val="0"/>
              <w:wordWrap w:val="0"/>
              <w:spacing w:before="0" w:beforeAutospacing="0" w:after="0" w:afterAutospacing="0"/>
              <w:ind w:left="0" w:right="0" w:firstLine="480" w:firstLineChars="200"/>
              <w:rPr>
                <w:rFonts w:hint="default" w:ascii="Times New Roman" w:hAnsi="Times New Roman" w:eastAsia="宋体" w:cs="Times New Roman"/>
                <w:b w:val="0"/>
                <w:bCs w:val="0"/>
                <w:iCs w:val="0"/>
                <w:color w:val="auto"/>
                <w:sz w:val="24"/>
                <w:szCs w:val="24"/>
                <w:highlight w:val="none"/>
                <w:u w:val="none"/>
                <w:shd w:val="clear" w:color="auto" w:fill="FFFFFF"/>
                <w:lang w:val="en-US" w:eastAsia="zh-CN"/>
              </w:rPr>
            </w:pPr>
            <w:r>
              <w:rPr>
                <w:rFonts w:hint="eastAsia" w:ascii="Times New Roman" w:hAnsi="Times New Roman" w:eastAsia="宋体" w:cs="Times New Roman"/>
                <w:b w:val="0"/>
                <w:bCs w:val="0"/>
                <w:iCs w:val="0"/>
                <w:color w:val="auto"/>
                <w:sz w:val="24"/>
                <w:szCs w:val="24"/>
                <w:highlight w:val="none"/>
                <w:u w:val="none"/>
                <w:shd w:val="clear" w:color="auto" w:fill="FFFFFF"/>
                <w:lang w:val="en-US" w:eastAsia="zh-CN"/>
              </w:rPr>
              <w:t>无组织非甲烷总烃</w:t>
            </w:r>
            <w:r>
              <w:rPr>
                <w:rFonts w:hint="eastAsia" w:cs="Times New Roman"/>
                <w:b w:val="0"/>
                <w:bCs w:val="0"/>
                <w:iCs w:val="0"/>
                <w:color w:val="auto"/>
                <w:sz w:val="24"/>
                <w:szCs w:val="24"/>
                <w:highlight w:val="none"/>
                <w:u w:val="none"/>
                <w:shd w:val="clear" w:color="auto" w:fill="FFFFFF"/>
                <w:lang w:val="en-US" w:eastAsia="zh-CN"/>
              </w:rPr>
              <w:t>厂区内、厂界监控点浓度限值</w:t>
            </w:r>
            <w:r>
              <w:rPr>
                <w:rFonts w:hint="eastAsia" w:ascii="Times New Roman" w:hAnsi="Times New Roman" w:eastAsia="宋体" w:cs="Times New Roman"/>
                <w:b w:val="0"/>
                <w:bCs w:val="0"/>
                <w:iCs w:val="0"/>
                <w:color w:val="auto"/>
                <w:sz w:val="24"/>
                <w:szCs w:val="24"/>
                <w:highlight w:val="none"/>
                <w:u w:val="none"/>
                <w:shd w:val="clear" w:color="auto" w:fill="FFFFFF"/>
                <w:lang w:val="en-US" w:eastAsia="zh-CN"/>
              </w:rPr>
              <w:t>行</w:t>
            </w:r>
            <w:r>
              <w:rPr>
                <w:rFonts w:hint="eastAsia"/>
                <w:color w:val="auto"/>
              </w:rPr>
              <w:t>《工业涂装工序挥发性有机物排放标准》（DB35/1783-2018）表</w:t>
            </w:r>
            <w:r>
              <w:rPr>
                <w:rFonts w:hint="eastAsia"/>
                <w:color w:val="auto"/>
                <w:lang w:val="en-US" w:eastAsia="zh-CN"/>
              </w:rPr>
              <w:t>3、表4</w:t>
            </w:r>
            <w:r>
              <w:rPr>
                <w:rFonts w:hint="default" w:ascii="Times New Roman" w:hAnsi="Times New Roman" w:eastAsia="宋体" w:cs="Times New Roman"/>
                <w:color w:val="auto"/>
                <w:kern w:val="0"/>
                <w:sz w:val="24"/>
                <w:szCs w:val="22"/>
                <w:highlight w:val="none"/>
                <w:lang w:val="en-US" w:eastAsia="zh-CN" w:bidi="ar-SA"/>
              </w:rPr>
              <w:t>中</w:t>
            </w:r>
            <w:r>
              <w:rPr>
                <w:rFonts w:hint="eastAsia" w:cs="Times New Roman"/>
                <w:color w:val="auto"/>
                <w:kern w:val="0"/>
                <w:sz w:val="24"/>
                <w:szCs w:val="22"/>
                <w:highlight w:val="none"/>
                <w:lang w:val="en-US" w:eastAsia="zh-CN" w:bidi="ar-SA"/>
              </w:rPr>
              <w:t>“除船舶制造的船台涂装、飞机制造的整机涂装外的涂装工序”</w:t>
            </w:r>
            <w:r>
              <w:rPr>
                <w:rFonts w:hint="default" w:ascii="Times New Roman" w:hAnsi="Times New Roman" w:eastAsia="宋体" w:cs="Times New Roman"/>
                <w:color w:val="auto"/>
                <w:kern w:val="0"/>
                <w:sz w:val="24"/>
                <w:szCs w:val="22"/>
                <w:highlight w:val="none"/>
                <w:lang w:val="en-US" w:eastAsia="zh-CN" w:bidi="ar-SA"/>
              </w:rPr>
              <w:t>标准限值</w:t>
            </w:r>
            <w:r>
              <w:rPr>
                <w:rFonts w:hint="default" w:ascii="Times New Roman" w:hAnsi="Times New Roman" w:eastAsia="宋体" w:cs="Times New Roman"/>
                <w:b w:val="0"/>
                <w:bCs w:val="0"/>
                <w:iCs w:val="0"/>
                <w:color w:val="auto"/>
                <w:sz w:val="24"/>
                <w:szCs w:val="24"/>
                <w:highlight w:val="none"/>
                <w:u w:val="none"/>
                <w:shd w:val="clear" w:color="auto" w:fill="FFFFFF"/>
                <w:lang w:val="en-US" w:eastAsia="zh-CN"/>
              </w:rPr>
              <w:t>。</w:t>
            </w:r>
          </w:p>
          <w:p w14:paraId="151F5541">
            <w:pPr>
              <w:keepNext w:val="0"/>
              <w:keepLines w:val="0"/>
              <w:suppressLineNumbers w:val="0"/>
              <w:wordWrap w:val="0"/>
              <w:spacing w:before="0" w:beforeAutospacing="0" w:after="0" w:afterAutospacing="0"/>
              <w:ind w:left="0" w:right="0" w:firstLine="480" w:firstLineChars="200"/>
              <w:rPr>
                <w:rFonts w:hint="eastAsia" w:eastAsia="宋体" w:cs="Times New Roman"/>
                <w:b w:val="0"/>
                <w:bCs w:val="0"/>
                <w:iCs w:val="0"/>
                <w:color w:val="auto"/>
                <w:sz w:val="24"/>
                <w:szCs w:val="24"/>
                <w:highlight w:val="none"/>
                <w:u w:val="none"/>
                <w:shd w:val="clear" w:color="auto" w:fill="FFFFFF"/>
                <w:lang w:val="en-US" w:eastAsia="zh-CN"/>
              </w:rPr>
            </w:pPr>
            <w:r>
              <w:rPr>
                <w:rFonts w:hint="default" w:ascii="Times New Roman" w:hAnsi="Times New Roman" w:eastAsia="宋体" w:cs="Times New Roman"/>
                <w:b w:val="0"/>
                <w:bCs w:val="0"/>
                <w:iCs w:val="0"/>
                <w:color w:val="auto"/>
                <w:sz w:val="24"/>
                <w:szCs w:val="24"/>
                <w:highlight w:val="none"/>
                <w:u w:val="none"/>
                <w:shd w:val="clear" w:color="auto" w:fill="FFFFFF"/>
                <w:lang w:val="en-US" w:eastAsia="zh-CN"/>
              </w:rPr>
              <w:t>根据《福建省生态环境厅关于国家和地方相关大气污染物排放标准执行有关事项的通知》文中要求，非甲烷总烃厂区内监控点处</w:t>
            </w:r>
            <w:r>
              <w:rPr>
                <w:rFonts w:hint="eastAsia" w:cs="Times New Roman"/>
                <w:b w:val="0"/>
                <w:bCs w:val="0"/>
                <w:iCs w:val="0"/>
                <w:color w:val="auto"/>
                <w:sz w:val="24"/>
                <w:szCs w:val="24"/>
                <w:highlight w:val="none"/>
                <w:u w:val="none"/>
                <w:shd w:val="clear" w:color="auto" w:fill="FFFFFF"/>
                <w:lang w:val="en-US" w:eastAsia="zh-CN"/>
              </w:rPr>
              <w:t>任意一次浓度值</w:t>
            </w:r>
            <w:r>
              <w:rPr>
                <w:rFonts w:hint="default" w:ascii="Times New Roman" w:hAnsi="Times New Roman" w:eastAsia="宋体" w:cs="Times New Roman"/>
                <w:b w:val="0"/>
                <w:bCs w:val="0"/>
                <w:iCs w:val="0"/>
                <w:color w:val="auto"/>
                <w:sz w:val="24"/>
                <w:szCs w:val="24"/>
                <w:highlight w:val="none"/>
                <w:u w:val="none"/>
                <w:shd w:val="clear" w:color="auto" w:fill="FFFFFF"/>
                <w:lang w:val="en-US" w:eastAsia="zh-CN"/>
              </w:rPr>
              <w:t>应符合《挥发性有机物无组织排放控制标准》（GB37822-2019）中表A.1</w:t>
            </w:r>
            <w:r>
              <w:rPr>
                <w:rFonts w:hint="eastAsia" w:cs="Times New Roman"/>
                <w:b w:val="0"/>
                <w:bCs w:val="0"/>
                <w:iCs w:val="0"/>
                <w:color w:val="auto"/>
                <w:sz w:val="24"/>
                <w:szCs w:val="24"/>
                <w:highlight w:val="none"/>
                <w:u w:val="none"/>
                <w:shd w:val="clear" w:color="auto" w:fill="FFFFFF"/>
                <w:lang w:val="en-US" w:eastAsia="zh-CN"/>
              </w:rPr>
              <w:t>特别</w:t>
            </w:r>
            <w:r>
              <w:rPr>
                <w:rFonts w:hint="default" w:ascii="Times New Roman" w:hAnsi="Times New Roman" w:eastAsia="宋体" w:cs="Times New Roman"/>
                <w:b w:val="0"/>
                <w:bCs w:val="0"/>
                <w:iCs w:val="0"/>
                <w:color w:val="auto"/>
                <w:sz w:val="24"/>
                <w:szCs w:val="24"/>
                <w:highlight w:val="none"/>
                <w:u w:val="none"/>
                <w:shd w:val="clear" w:color="auto" w:fill="FFFFFF"/>
                <w:lang w:val="en-US" w:eastAsia="zh-CN"/>
              </w:rPr>
              <w:t>排放限值要求</w:t>
            </w:r>
            <w:r>
              <w:rPr>
                <w:rFonts w:hint="eastAsia" w:cs="Times New Roman"/>
                <w:b w:val="0"/>
                <w:bCs w:val="0"/>
                <w:iCs w:val="0"/>
                <w:color w:val="auto"/>
                <w:sz w:val="24"/>
                <w:szCs w:val="24"/>
                <w:highlight w:val="none"/>
                <w:u w:val="none"/>
                <w:shd w:val="clear" w:color="auto" w:fill="FFFFFF"/>
                <w:lang w:val="en-US" w:eastAsia="zh-CN"/>
              </w:rPr>
              <w:t>。</w:t>
            </w:r>
          </w:p>
          <w:p w14:paraId="229E18D8">
            <w:pPr>
              <w:keepNext w:val="0"/>
              <w:keepLines w:val="0"/>
              <w:suppressLineNumbers w:val="0"/>
              <w:bidi w:val="0"/>
              <w:spacing w:before="0" w:beforeAutospacing="0" w:after="0" w:afterAutospacing="0"/>
              <w:ind w:left="0" w:right="0"/>
              <w:rPr>
                <w:rFonts w:hint="default"/>
              </w:rPr>
            </w:pPr>
            <w:r>
              <w:rPr>
                <w:rFonts w:hint="eastAsia"/>
                <w:lang w:val="en-US" w:eastAsia="zh-CN"/>
              </w:rPr>
              <w:t>喷漆、烘干、加烤及打磨</w:t>
            </w:r>
            <w:r>
              <w:rPr>
                <w:rFonts w:hint="eastAsia"/>
              </w:rPr>
              <w:t>工序产生的少量颗粒物</w:t>
            </w:r>
            <w:r>
              <w:rPr>
                <w:rFonts w:hint="eastAsia"/>
                <w:lang w:val="en-US" w:eastAsia="zh-CN"/>
              </w:rPr>
              <w:t>厂界执行</w:t>
            </w:r>
            <w:r>
              <w:rPr>
                <w:rFonts w:hint="default"/>
              </w:rPr>
              <w:t>《大气污染物综合排放标准》</w:t>
            </w:r>
            <w:r>
              <w:rPr>
                <w:rFonts w:hint="eastAsia"/>
                <w:lang w:eastAsia="zh-CN"/>
              </w:rPr>
              <w:t>（</w:t>
            </w:r>
            <w:r>
              <w:rPr>
                <w:rFonts w:hint="default"/>
              </w:rPr>
              <w:t>GB 16297—1996</w:t>
            </w:r>
            <w:r>
              <w:rPr>
                <w:rFonts w:hint="eastAsia"/>
                <w:lang w:eastAsia="zh-CN"/>
              </w:rPr>
              <w:t>）</w:t>
            </w:r>
            <w:r>
              <w:rPr>
                <w:rFonts w:hint="eastAsia"/>
                <w:lang w:val="en-US" w:eastAsia="zh-CN"/>
              </w:rPr>
              <w:t>表2 “其他”，</w:t>
            </w:r>
            <w:r>
              <w:rPr>
                <w:rFonts w:hint="default"/>
                <w:lang w:val="en-US" w:eastAsia="zh-CN"/>
              </w:rPr>
              <w:t>具体见表</w:t>
            </w:r>
            <w:r>
              <w:rPr>
                <w:rFonts w:hint="eastAsia"/>
                <w:lang w:val="en-US" w:eastAsia="zh-CN"/>
              </w:rPr>
              <w:t>3.7-4</w:t>
            </w:r>
            <w:r>
              <w:rPr>
                <w:rFonts w:hint="default"/>
                <w:lang w:val="en-US" w:eastAsia="zh-CN"/>
              </w:rPr>
              <w:t>。</w:t>
            </w:r>
          </w:p>
          <w:p w14:paraId="2E6E631E">
            <w:pPr>
              <w:pStyle w:val="40"/>
              <w:keepNext w:val="0"/>
              <w:keepLines w:val="0"/>
              <w:suppressLineNumbers w:val="0"/>
              <w:bidi w:val="0"/>
              <w:spacing w:before="0" w:beforeAutospacing="0" w:after="0" w:afterAutospacing="0"/>
              <w:ind w:left="0" w:right="0"/>
              <w:rPr>
                <w:rFonts w:hint="default"/>
              </w:rPr>
            </w:pPr>
            <w:r>
              <w:rPr>
                <w:rFonts w:hint="default"/>
              </w:rPr>
              <w:t>表</w:t>
            </w:r>
            <w:r>
              <w:rPr>
                <w:rFonts w:hint="eastAsia"/>
                <w:lang w:val="en-US" w:eastAsia="zh-CN"/>
              </w:rPr>
              <w:t>3.7-4</w:t>
            </w:r>
            <w:r>
              <w:rPr>
                <w:rFonts w:hint="default"/>
              </w:rPr>
              <w:t xml:space="preserve"> 无组织废气污染物排放标准</w:t>
            </w:r>
          </w:p>
          <w:tbl>
            <w:tblPr>
              <w:tblStyle w:val="30"/>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120"/>
              <w:gridCol w:w="1874"/>
              <w:gridCol w:w="3932"/>
            </w:tblGrid>
            <w:tr w14:paraId="71FB4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52" w:type="dxa"/>
                  <w:vMerge w:val="restart"/>
                  <w:noWrap w:val="0"/>
                  <w:vAlign w:val="center"/>
                </w:tcPr>
                <w:p w14:paraId="34465C36">
                  <w:pPr>
                    <w:pStyle w:val="39"/>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污染物</w:t>
                  </w:r>
                </w:p>
              </w:tc>
              <w:tc>
                <w:tcPr>
                  <w:tcW w:w="2994" w:type="dxa"/>
                  <w:gridSpan w:val="2"/>
                  <w:noWrap w:val="0"/>
                  <w:vAlign w:val="center"/>
                </w:tcPr>
                <w:p w14:paraId="0078A6FE">
                  <w:pPr>
                    <w:pStyle w:val="39"/>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无组织排放浓度限值</w:t>
                  </w:r>
                </w:p>
              </w:tc>
              <w:tc>
                <w:tcPr>
                  <w:tcW w:w="3932" w:type="dxa"/>
                  <w:vMerge w:val="restart"/>
                  <w:noWrap w:val="0"/>
                  <w:vAlign w:val="center"/>
                </w:tcPr>
                <w:p w14:paraId="57CE3397">
                  <w:pPr>
                    <w:pStyle w:val="39"/>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标准来源</w:t>
                  </w:r>
                </w:p>
              </w:tc>
            </w:tr>
            <w:tr w14:paraId="07EB4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52" w:type="dxa"/>
                  <w:vMerge w:val="continue"/>
                  <w:noWrap w:val="0"/>
                  <w:vAlign w:val="center"/>
                </w:tcPr>
                <w:p w14:paraId="01FAE462">
                  <w:pPr>
                    <w:keepNext w:val="0"/>
                    <w:keepLines w:val="0"/>
                    <w:suppressLineNumbers w:val="0"/>
                    <w:bidi w:val="0"/>
                    <w:spacing w:before="0" w:beforeAutospacing="0" w:after="0" w:afterAutospacing="0"/>
                    <w:ind w:left="0" w:right="0"/>
                    <w:rPr>
                      <w:rFonts w:hint="eastAsia"/>
                      <w:color w:val="auto"/>
                    </w:rPr>
                  </w:pPr>
                </w:p>
              </w:tc>
              <w:tc>
                <w:tcPr>
                  <w:tcW w:w="1120" w:type="dxa"/>
                  <w:noWrap w:val="0"/>
                  <w:vAlign w:val="center"/>
                </w:tcPr>
                <w:p w14:paraId="1F480C03">
                  <w:pPr>
                    <w:pStyle w:val="39"/>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监控点</w:t>
                  </w:r>
                </w:p>
              </w:tc>
              <w:tc>
                <w:tcPr>
                  <w:tcW w:w="1874" w:type="dxa"/>
                  <w:noWrap w:val="0"/>
                  <w:vAlign w:val="center"/>
                </w:tcPr>
                <w:p w14:paraId="626431B1">
                  <w:pPr>
                    <w:pStyle w:val="39"/>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浓度（mg/m</w:t>
                  </w:r>
                  <w:r>
                    <w:rPr>
                      <w:rFonts w:hint="eastAsia"/>
                      <w:szCs w:val="22"/>
                      <w:vertAlign w:val="superscript"/>
                    </w:rPr>
                    <w:t>3</w:t>
                  </w:r>
                  <w:r>
                    <w:rPr>
                      <w:rFonts w:hint="eastAsia"/>
                      <w:szCs w:val="22"/>
                    </w:rPr>
                    <w:t>）</w:t>
                  </w:r>
                </w:p>
              </w:tc>
              <w:tc>
                <w:tcPr>
                  <w:tcW w:w="3932" w:type="dxa"/>
                  <w:vMerge w:val="continue"/>
                  <w:noWrap w:val="0"/>
                  <w:vAlign w:val="center"/>
                </w:tcPr>
                <w:p w14:paraId="542F5893">
                  <w:pPr>
                    <w:keepNext w:val="0"/>
                    <w:keepLines w:val="0"/>
                    <w:suppressLineNumbers w:val="0"/>
                    <w:bidi w:val="0"/>
                    <w:spacing w:before="0" w:beforeAutospacing="0" w:after="0" w:afterAutospacing="0"/>
                    <w:ind w:left="0" w:right="0"/>
                    <w:rPr>
                      <w:rFonts w:hint="eastAsia"/>
                      <w:color w:val="auto"/>
                    </w:rPr>
                  </w:pPr>
                </w:p>
              </w:tc>
            </w:tr>
            <w:tr w14:paraId="00760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052" w:type="dxa"/>
                  <w:vMerge w:val="restart"/>
                  <w:noWrap w:val="0"/>
                  <w:vAlign w:val="center"/>
                </w:tcPr>
                <w:p w14:paraId="0E9C3F41">
                  <w:pPr>
                    <w:pStyle w:val="39"/>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非甲烷总烃</w:t>
                  </w:r>
                </w:p>
              </w:tc>
              <w:tc>
                <w:tcPr>
                  <w:tcW w:w="1120" w:type="dxa"/>
                  <w:vMerge w:val="restart"/>
                  <w:noWrap w:val="0"/>
                  <w:vAlign w:val="center"/>
                </w:tcPr>
                <w:p w14:paraId="34CA2241">
                  <w:pPr>
                    <w:pStyle w:val="39"/>
                    <w:keepNext w:val="0"/>
                    <w:keepLines w:val="0"/>
                    <w:widowControl/>
                    <w:suppressLineNumbers w:val="0"/>
                    <w:bidi w:val="0"/>
                    <w:spacing w:before="0" w:beforeAutospacing="0" w:after="0" w:afterAutospacing="0"/>
                    <w:ind w:left="0" w:right="0"/>
                    <w:rPr>
                      <w:rFonts w:hint="eastAsia"/>
                      <w:color w:val="auto"/>
                      <w:szCs w:val="22"/>
                    </w:rPr>
                  </w:pPr>
                  <w:r>
                    <w:rPr>
                      <w:rFonts w:hint="default"/>
                      <w:szCs w:val="22"/>
                    </w:rPr>
                    <w:t>厂区内</w:t>
                  </w:r>
                </w:p>
              </w:tc>
              <w:tc>
                <w:tcPr>
                  <w:tcW w:w="1874" w:type="dxa"/>
                  <w:noWrap w:val="0"/>
                  <w:vAlign w:val="center"/>
                </w:tcPr>
                <w:p w14:paraId="15B74C69">
                  <w:pPr>
                    <w:pStyle w:val="39"/>
                    <w:keepNext w:val="0"/>
                    <w:keepLines w:val="0"/>
                    <w:widowControl/>
                    <w:suppressLineNumbers w:val="0"/>
                    <w:bidi w:val="0"/>
                    <w:spacing w:before="0" w:beforeAutospacing="0" w:after="0" w:afterAutospacing="0"/>
                    <w:ind w:left="0" w:right="0"/>
                    <w:rPr>
                      <w:rFonts w:hint="default"/>
                      <w:color w:val="auto"/>
                      <w:szCs w:val="22"/>
                      <w:lang w:val="en-US" w:eastAsia="zh-CN"/>
                    </w:rPr>
                  </w:pPr>
                  <w:r>
                    <w:rPr>
                      <w:rFonts w:hint="eastAsia"/>
                      <w:szCs w:val="22"/>
                      <w:lang w:val="en-US" w:eastAsia="zh-CN"/>
                    </w:rPr>
                    <w:t>20</w:t>
                  </w:r>
                  <w:r>
                    <w:rPr>
                      <w:rFonts w:hint="default"/>
                      <w:szCs w:val="22"/>
                      <w:lang w:val="en-US" w:eastAsia="zh-CN"/>
                    </w:rPr>
                    <w:t>（</w:t>
                  </w:r>
                  <w:r>
                    <w:rPr>
                      <w:rFonts w:hint="default"/>
                      <w:szCs w:val="22"/>
                    </w:rPr>
                    <w:t>监控点处任意一次浓度值</w:t>
                  </w:r>
                  <w:r>
                    <w:rPr>
                      <w:rFonts w:hint="default"/>
                      <w:szCs w:val="22"/>
                      <w:lang w:val="en-US" w:eastAsia="zh-CN"/>
                    </w:rPr>
                    <w:t>）</w:t>
                  </w:r>
                </w:p>
              </w:tc>
              <w:tc>
                <w:tcPr>
                  <w:tcW w:w="3932" w:type="dxa"/>
                  <w:vMerge w:val="restart"/>
                  <w:noWrap w:val="0"/>
                  <w:vAlign w:val="center"/>
                </w:tcPr>
                <w:p w14:paraId="6AE7B5E6">
                  <w:pPr>
                    <w:pStyle w:val="39"/>
                    <w:keepNext w:val="0"/>
                    <w:keepLines w:val="0"/>
                    <w:widowControl/>
                    <w:suppressLineNumbers w:val="0"/>
                    <w:bidi w:val="0"/>
                    <w:spacing w:before="0" w:beforeAutospacing="0" w:after="0" w:afterAutospacing="0"/>
                    <w:ind w:left="0" w:right="0"/>
                    <w:rPr>
                      <w:rFonts w:hint="eastAsia"/>
                      <w:color w:val="auto"/>
                      <w:szCs w:val="22"/>
                    </w:rPr>
                  </w:pPr>
                  <w:r>
                    <w:rPr>
                      <w:rFonts w:hint="default"/>
                      <w:szCs w:val="22"/>
                    </w:rPr>
                    <w:t>《挥发性有机物无组织排放控制标准》（GB37822-2019）附录A表A.1特别排放限值要求</w:t>
                  </w:r>
                </w:p>
              </w:tc>
            </w:tr>
            <w:tr w14:paraId="0D2ED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noWrap w:val="0"/>
                  <w:vAlign w:val="center"/>
                </w:tcPr>
                <w:p w14:paraId="44920AD3">
                  <w:pPr>
                    <w:keepNext w:val="0"/>
                    <w:keepLines w:val="0"/>
                    <w:suppressLineNumbers w:val="0"/>
                    <w:bidi w:val="0"/>
                    <w:spacing w:before="0" w:beforeAutospacing="0" w:after="0" w:afterAutospacing="0"/>
                    <w:ind w:left="0" w:right="0"/>
                    <w:rPr>
                      <w:rFonts w:hint="eastAsia"/>
                      <w:color w:val="auto"/>
                    </w:rPr>
                  </w:pPr>
                </w:p>
              </w:tc>
              <w:tc>
                <w:tcPr>
                  <w:tcW w:w="1120" w:type="dxa"/>
                  <w:vMerge w:val="continue"/>
                  <w:noWrap w:val="0"/>
                  <w:vAlign w:val="center"/>
                </w:tcPr>
                <w:p w14:paraId="0E131339">
                  <w:pPr>
                    <w:pStyle w:val="39"/>
                    <w:keepNext w:val="0"/>
                    <w:keepLines w:val="0"/>
                    <w:widowControl/>
                    <w:suppressLineNumbers w:val="0"/>
                    <w:bidi w:val="0"/>
                    <w:spacing w:before="0" w:beforeAutospacing="0" w:after="0" w:afterAutospacing="0"/>
                    <w:ind w:left="0" w:right="0"/>
                    <w:rPr>
                      <w:rFonts w:hint="eastAsia"/>
                      <w:color w:val="auto"/>
                      <w:szCs w:val="22"/>
                    </w:rPr>
                  </w:pPr>
                </w:p>
              </w:tc>
              <w:tc>
                <w:tcPr>
                  <w:tcW w:w="1874" w:type="dxa"/>
                  <w:noWrap w:val="0"/>
                  <w:vAlign w:val="center"/>
                </w:tcPr>
                <w:p w14:paraId="3A04393A">
                  <w:pPr>
                    <w:pStyle w:val="39"/>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lang w:val="en-US" w:eastAsia="zh-CN"/>
                    </w:rPr>
                    <w:t>6</w:t>
                  </w:r>
                  <w:r>
                    <w:rPr>
                      <w:rFonts w:hint="eastAsia"/>
                      <w:szCs w:val="22"/>
                      <w:lang w:eastAsia="zh-CN"/>
                    </w:rPr>
                    <w:t>（监控点处1h平均浓度值）</w:t>
                  </w:r>
                </w:p>
              </w:tc>
              <w:tc>
                <w:tcPr>
                  <w:tcW w:w="3932" w:type="dxa"/>
                  <w:vMerge w:val="continue"/>
                  <w:noWrap w:val="0"/>
                  <w:vAlign w:val="center"/>
                </w:tcPr>
                <w:p w14:paraId="78DDA40F">
                  <w:pPr>
                    <w:keepNext w:val="0"/>
                    <w:keepLines w:val="0"/>
                    <w:suppressLineNumbers w:val="0"/>
                    <w:bidi w:val="0"/>
                    <w:spacing w:before="0" w:beforeAutospacing="0" w:after="0" w:afterAutospacing="0"/>
                    <w:ind w:left="0" w:right="0" w:firstLine="480" w:firstLineChars="200"/>
                    <w:rPr>
                      <w:rFonts w:hint="eastAsia"/>
                      <w:color w:val="auto"/>
                    </w:rPr>
                  </w:pPr>
                </w:p>
              </w:tc>
            </w:tr>
            <w:tr w14:paraId="231E4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noWrap w:val="0"/>
                  <w:vAlign w:val="center"/>
                </w:tcPr>
                <w:p w14:paraId="29800C73">
                  <w:pPr>
                    <w:keepNext w:val="0"/>
                    <w:keepLines w:val="0"/>
                    <w:suppressLineNumbers w:val="0"/>
                    <w:bidi w:val="0"/>
                    <w:spacing w:before="0" w:beforeAutospacing="0" w:after="0" w:afterAutospacing="0"/>
                    <w:ind w:left="0" w:right="0"/>
                    <w:rPr>
                      <w:rFonts w:hint="eastAsia"/>
                      <w:color w:val="auto"/>
                    </w:rPr>
                  </w:pPr>
                </w:p>
              </w:tc>
              <w:tc>
                <w:tcPr>
                  <w:tcW w:w="1120" w:type="dxa"/>
                  <w:vMerge w:val="continue"/>
                  <w:noWrap w:val="0"/>
                  <w:vAlign w:val="center"/>
                </w:tcPr>
                <w:p w14:paraId="480BCC09">
                  <w:pPr>
                    <w:pStyle w:val="39"/>
                    <w:keepNext w:val="0"/>
                    <w:keepLines w:val="0"/>
                    <w:widowControl/>
                    <w:suppressLineNumbers w:val="0"/>
                    <w:bidi w:val="0"/>
                    <w:spacing w:before="0" w:beforeAutospacing="0" w:after="0" w:afterAutospacing="0"/>
                    <w:ind w:left="0" w:right="0"/>
                    <w:rPr>
                      <w:rFonts w:hint="eastAsia" w:eastAsia="宋体"/>
                      <w:szCs w:val="22"/>
                      <w:lang w:val="en-US" w:eastAsia="zh-CN"/>
                    </w:rPr>
                  </w:pPr>
                </w:p>
              </w:tc>
              <w:tc>
                <w:tcPr>
                  <w:tcW w:w="1874" w:type="dxa"/>
                  <w:noWrap w:val="0"/>
                  <w:vAlign w:val="center"/>
                </w:tcPr>
                <w:p w14:paraId="350F3027">
                  <w:pPr>
                    <w:pStyle w:val="39"/>
                    <w:keepNext w:val="0"/>
                    <w:keepLines w:val="0"/>
                    <w:widowControl/>
                    <w:suppressLineNumbers w:val="0"/>
                    <w:bidi w:val="0"/>
                    <w:spacing w:before="0" w:beforeAutospacing="0" w:after="0" w:afterAutospacing="0"/>
                    <w:ind w:left="0" w:right="0"/>
                    <w:rPr>
                      <w:rFonts w:hint="default" w:eastAsia="宋体"/>
                      <w:szCs w:val="22"/>
                      <w:lang w:val="en-US" w:eastAsia="zh-CN"/>
                    </w:rPr>
                  </w:pPr>
                  <w:r>
                    <w:rPr>
                      <w:rFonts w:hint="eastAsia"/>
                      <w:szCs w:val="22"/>
                      <w:lang w:val="en-US" w:eastAsia="zh-CN"/>
                    </w:rPr>
                    <w:t>8.0（监控点处浓度最大值）</w:t>
                  </w:r>
                </w:p>
              </w:tc>
              <w:tc>
                <w:tcPr>
                  <w:tcW w:w="3932" w:type="dxa"/>
                  <w:noWrap w:val="0"/>
                  <w:vAlign w:val="center"/>
                </w:tcPr>
                <w:p w14:paraId="68FAD2B6">
                  <w:pPr>
                    <w:pStyle w:val="39"/>
                    <w:keepNext w:val="0"/>
                    <w:keepLines w:val="0"/>
                    <w:widowControl/>
                    <w:suppressLineNumbers w:val="0"/>
                    <w:bidi w:val="0"/>
                    <w:spacing w:before="0" w:beforeAutospacing="0" w:after="0" w:afterAutospacing="0"/>
                    <w:ind w:left="0" w:right="0"/>
                    <w:rPr>
                      <w:rFonts w:hint="eastAsia"/>
                      <w:color w:val="auto"/>
                      <w:szCs w:val="22"/>
                    </w:rPr>
                  </w:pPr>
                  <w:r>
                    <w:rPr>
                      <w:rFonts w:hint="eastAsia"/>
                      <w:color w:val="auto"/>
                      <w:szCs w:val="22"/>
                    </w:rPr>
                    <w:t>《工业涂装工序挥发性有机物排放标准》（DB35/1783-2018）表</w:t>
                  </w:r>
                  <w:r>
                    <w:rPr>
                      <w:rFonts w:hint="eastAsia"/>
                      <w:color w:val="auto"/>
                      <w:szCs w:val="22"/>
                      <w:lang w:val="en-US" w:eastAsia="zh-CN"/>
                    </w:rPr>
                    <w:t>3</w:t>
                  </w:r>
                </w:p>
              </w:tc>
            </w:tr>
            <w:tr w14:paraId="657AC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noWrap w:val="0"/>
                  <w:vAlign w:val="center"/>
                </w:tcPr>
                <w:p w14:paraId="044F963F">
                  <w:pPr>
                    <w:keepNext w:val="0"/>
                    <w:keepLines w:val="0"/>
                    <w:suppressLineNumbers w:val="0"/>
                    <w:bidi w:val="0"/>
                    <w:spacing w:before="0" w:beforeAutospacing="0" w:after="0" w:afterAutospacing="0"/>
                    <w:ind w:left="0" w:right="0"/>
                    <w:rPr>
                      <w:rFonts w:hint="eastAsia"/>
                      <w:color w:val="auto"/>
                    </w:rPr>
                  </w:pPr>
                </w:p>
              </w:tc>
              <w:tc>
                <w:tcPr>
                  <w:tcW w:w="1120" w:type="dxa"/>
                  <w:noWrap w:val="0"/>
                  <w:vAlign w:val="center"/>
                </w:tcPr>
                <w:p w14:paraId="6E8C3B33">
                  <w:pPr>
                    <w:pStyle w:val="39"/>
                    <w:keepNext w:val="0"/>
                    <w:keepLines w:val="0"/>
                    <w:widowControl/>
                    <w:suppressLineNumbers w:val="0"/>
                    <w:bidi w:val="0"/>
                    <w:spacing w:before="0" w:beforeAutospacing="0" w:after="0" w:afterAutospacing="0"/>
                    <w:ind w:left="0" w:right="0"/>
                    <w:rPr>
                      <w:rFonts w:hint="eastAsia"/>
                      <w:color w:val="auto"/>
                      <w:szCs w:val="22"/>
                    </w:rPr>
                  </w:pPr>
                  <w:r>
                    <w:rPr>
                      <w:rFonts w:hint="default"/>
                      <w:szCs w:val="22"/>
                    </w:rPr>
                    <w:t>厂界</w:t>
                  </w:r>
                </w:p>
              </w:tc>
              <w:tc>
                <w:tcPr>
                  <w:tcW w:w="1874" w:type="dxa"/>
                  <w:noWrap w:val="0"/>
                  <w:vAlign w:val="center"/>
                </w:tcPr>
                <w:p w14:paraId="69415A13">
                  <w:pPr>
                    <w:pStyle w:val="39"/>
                    <w:keepNext w:val="0"/>
                    <w:keepLines w:val="0"/>
                    <w:widowControl/>
                    <w:suppressLineNumbers w:val="0"/>
                    <w:bidi w:val="0"/>
                    <w:spacing w:before="0" w:beforeAutospacing="0" w:after="0" w:afterAutospacing="0"/>
                    <w:ind w:left="0" w:right="0"/>
                    <w:rPr>
                      <w:rFonts w:hint="eastAsia"/>
                      <w:color w:val="auto"/>
                      <w:szCs w:val="22"/>
                    </w:rPr>
                  </w:pPr>
                  <w:r>
                    <w:rPr>
                      <w:rFonts w:hint="default"/>
                      <w:szCs w:val="22"/>
                    </w:rPr>
                    <w:t>2.0</w:t>
                  </w:r>
                </w:p>
              </w:tc>
              <w:tc>
                <w:tcPr>
                  <w:tcW w:w="3932" w:type="dxa"/>
                  <w:noWrap w:val="0"/>
                  <w:vAlign w:val="center"/>
                </w:tcPr>
                <w:p w14:paraId="41B61F99">
                  <w:pPr>
                    <w:pStyle w:val="39"/>
                    <w:keepNext w:val="0"/>
                    <w:keepLines w:val="0"/>
                    <w:widowControl/>
                    <w:suppressLineNumbers w:val="0"/>
                    <w:bidi w:val="0"/>
                    <w:spacing w:before="0" w:beforeAutospacing="0" w:after="0" w:afterAutospacing="0"/>
                    <w:ind w:left="0" w:right="0"/>
                    <w:rPr>
                      <w:rFonts w:hint="eastAsia" w:eastAsia="宋体"/>
                      <w:color w:val="auto"/>
                      <w:szCs w:val="22"/>
                      <w:lang w:val="en-US" w:eastAsia="zh-CN"/>
                    </w:rPr>
                  </w:pPr>
                  <w:r>
                    <w:rPr>
                      <w:rFonts w:hint="eastAsia"/>
                      <w:color w:val="auto"/>
                      <w:szCs w:val="22"/>
                    </w:rPr>
                    <w:t>《工业涂装工序挥发性有机物排放标准》（DB35/1783-2018）表</w:t>
                  </w:r>
                  <w:r>
                    <w:rPr>
                      <w:rFonts w:hint="eastAsia"/>
                      <w:color w:val="auto"/>
                      <w:szCs w:val="22"/>
                      <w:lang w:val="en-US" w:eastAsia="zh-CN"/>
                    </w:rPr>
                    <w:t>4</w:t>
                  </w:r>
                </w:p>
              </w:tc>
            </w:tr>
            <w:tr w14:paraId="00584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noWrap w:val="0"/>
                  <w:vAlign w:val="center"/>
                </w:tcPr>
                <w:p w14:paraId="3A22FF61">
                  <w:pPr>
                    <w:pStyle w:val="39"/>
                    <w:keepNext w:val="0"/>
                    <w:keepLines w:val="0"/>
                    <w:widowControl/>
                    <w:suppressLineNumbers w:val="0"/>
                    <w:bidi w:val="0"/>
                    <w:spacing w:before="0" w:beforeAutospacing="0" w:after="0" w:afterAutospacing="0"/>
                    <w:ind w:left="0" w:right="0"/>
                    <w:rPr>
                      <w:rFonts w:hint="eastAsia" w:eastAsia="宋体"/>
                      <w:color w:val="auto"/>
                      <w:szCs w:val="22"/>
                      <w:lang w:val="en-US" w:eastAsia="zh-CN"/>
                    </w:rPr>
                  </w:pPr>
                  <w:r>
                    <w:rPr>
                      <w:rFonts w:hint="eastAsia"/>
                      <w:szCs w:val="22"/>
                      <w:lang w:val="en-US" w:eastAsia="zh-CN"/>
                    </w:rPr>
                    <w:t>颗粒物</w:t>
                  </w:r>
                </w:p>
              </w:tc>
              <w:tc>
                <w:tcPr>
                  <w:tcW w:w="1120" w:type="dxa"/>
                  <w:noWrap w:val="0"/>
                  <w:vAlign w:val="center"/>
                </w:tcPr>
                <w:p w14:paraId="7E4EEFAA">
                  <w:pPr>
                    <w:pStyle w:val="39"/>
                    <w:keepNext w:val="0"/>
                    <w:keepLines w:val="0"/>
                    <w:widowControl/>
                    <w:suppressLineNumbers w:val="0"/>
                    <w:bidi w:val="0"/>
                    <w:spacing w:before="0" w:beforeAutospacing="0" w:after="0" w:afterAutospacing="0"/>
                    <w:ind w:left="0" w:right="0"/>
                    <w:rPr>
                      <w:rFonts w:hint="default" w:eastAsia="宋体"/>
                      <w:color w:val="auto"/>
                      <w:szCs w:val="22"/>
                      <w:lang w:val="en-US" w:eastAsia="zh-CN"/>
                    </w:rPr>
                  </w:pPr>
                  <w:r>
                    <w:rPr>
                      <w:rFonts w:hint="default"/>
                      <w:szCs w:val="22"/>
                    </w:rPr>
                    <w:t>厂界</w:t>
                  </w:r>
                </w:p>
              </w:tc>
              <w:tc>
                <w:tcPr>
                  <w:tcW w:w="1874" w:type="dxa"/>
                  <w:noWrap w:val="0"/>
                  <w:vAlign w:val="center"/>
                </w:tcPr>
                <w:p w14:paraId="3F1B9712">
                  <w:pPr>
                    <w:pStyle w:val="39"/>
                    <w:keepNext w:val="0"/>
                    <w:keepLines w:val="0"/>
                    <w:widowControl/>
                    <w:suppressLineNumbers w:val="0"/>
                    <w:bidi w:val="0"/>
                    <w:spacing w:before="0" w:beforeAutospacing="0" w:after="0" w:afterAutospacing="0"/>
                    <w:ind w:left="0" w:right="0"/>
                    <w:rPr>
                      <w:rFonts w:hint="default" w:eastAsia="宋体"/>
                      <w:color w:val="auto"/>
                      <w:szCs w:val="22"/>
                      <w:lang w:val="en-US" w:eastAsia="zh-CN"/>
                    </w:rPr>
                  </w:pPr>
                  <w:r>
                    <w:rPr>
                      <w:rFonts w:hint="eastAsia"/>
                      <w:szCs w:val="22"/>
                      <w:lang w:val="en-US" w:eastAsia="zh-CN"/>
                    </w:rPr>
                    <w:t>1.0（周界外浓度最高点）</w:t>
                  </w:r>
                </w:p>
              </w:tc>
              <w:tc>
                <w:tcPr>
                  <w:tcW w:w="3932" w:type="dxa"/>
                  <w:noWrap w:val="0"/>
                  <w:vAlign w:val="center"/>
                </w:tcPr>
                <w:p w14:paraId="69C9F769">
                  <w:pPr>
                    <w:pStyle w:val="39"/>
                    <w:keepNext w:val="0"/>
                    <w:keepLines w:val="0"/>
                    <w:widowControl/>
                    <w:suppressLineNumbers w:val="0"/>
                    <w:bidi w:val="0"/>
                    <w:spacing w:before="0" w:beforeAutospacing="0" w:after="0" w:afterAutospacing="0"/>
                    <w:ind w:left="0" w:right="0"/>
                    <w:rPr>
                      <w:rFonts w:hint="default" w:eastAsia="宋体"/>
                      <w:color w:val="auto"/>
                      <w:szCs w:val="22"/>
                      <w:lang w:val="en-US" w:eastAsia="zh-CN"/>
                    </w:rPr>
                  </w:pPr>
                  <w:r>
                    <w:rPr>
                      <w:rFonts w:hint="default"/>
                      <w:szCs w:val="22"/>
                    </w:rPr>
                    <w:t>《大气污染物综合排放标准》</w:t>
                  </w:r>
                  <w:r>
                    <w:rPr>
                      <w:rFonts w:hint="eastAsia"/>
                      <w:szCs w:val="22"/>
                      <w:lang w:eastAsia="zh-CN"/>
                    </w:rPr>
                    <w:t>（</w:t>
                  </w:r>
                  <w:r>
                    <w:rPr>
                      <w:rFonts w:hint="default"/>
                      <w:szCs w:val="22"/>
                    </w:rPr>
                    <w:t>GB 16297—1996</w:t>
                  </w:r>
                  <w:r>
                    <w:rPr>
                      <w:rFonts w:hint="eastAsia"/>
                      <w:szCs w:val="22"/>
                      <w:lang w:eastAsia="zh-CN"/>
                    </w:rPr>
                    <w:t>）</w:t>
                  </w:r>
                  <w:r>
                    <w:rPr>
                      <w:rFonts w:hint="eastAsia"/>
                      <w:szCs w:val="22"/>
                      <w:lang w:val="en-US" w:eastAsia="zh-CN"/>
                    </w:rPr>
                    <w:t>表2 “其他”</w:t>
                  </w:r>
                </w:p>
              </w:tc>
            </w:tr>
          </w:tbl>
          <w:p w14:paraId="56B2378A">
            <w:pPr>
              <w:pStyle w:val="4"/>
              <w:suppressLineNumbers w:val="0"/>
              <w:bidi w:val="0"/>
              <w:spacing w:before="0" w:beforeAutospacing="0" w:after="0" w:afterAutospacing="0"/>
              <w:ind w:left="0" w:right="0"/>
              <w:rPr>
                <w:rFonts w:hint="eastAsia"/>
                <w:lang w:val="en-US" w:eastAsia="zh-CN"/>
              </w:rPr>
            </w:pPr>
            <w:r>
              <w:rPr>
                <w:rFonts w:hint="eastAsia"/>
                <w:lang w:val="en-US" w:eastAsia="zh-CN"/>
              </w:rPr>
              <w:t>噪声污染物排放标准</w:t>
            </w:r>
          </w:p>
          <w:p w14:paraId="4491F5B6">
            <w:pPr>
              <w:keepNext w:val="0"/>
              <w:keepLines w:val="0"/>
              <w:suppressLineNumbers w:val="0"/>
              <w:bidi w:val="0"/>
              <w:spacing w:before="0" w:beforeAutospacing="0" w:after="0" w:afterAutospacing="0"/>
              <w:ind w:left="0" w:right="0"/>
              <w:rPr>
                <w:rFonts w:hint="eastAsia"/>
              </w:rPr>
            </w:pPr>
            <w:r>
              <w:rPr>
                <w:rFonts w:hint="eastAsia"/>
              </w:rPr>
              <w:t>运营期厂界噪声执行《工业企业厂界环境噪声排放标准》（GB12348-2008）中的3类标准，详见表3.7-</w:t>
            </w:r>
            <w:r>
              <w:rPr>
                <w:rFonts w:hint="eastAsia"/>
                <w:lang w:val="en-US" w:eastAsia="zh-CN"/>
              </w:rPr>
              <w:t>5</w:t>
            </w:r>
            <w:r>
              <w:rPr>
                <w:rFonts w:hint="eastAsia"/>
              </w:rPr>
              <w:t>。</w:t>
            </w:r>
          </w:p>
          <w:p w14:paraId="3EB6649D">
            <w:pPr>
              <w:pStyle w:val="40"/>
              <w:keepNext w:val="0"/>
              <w:keepLines w:val="0"/>
              <w:suppressLineNumbers w:val="0"/>
              <w:bidi w:val="0"/>
              <w:spacing w:before="0" w:beforeAutospacing="0" w:after="0" w:afterAutospacing="0"/>
              <w:ind w:left="0" w:right="0"/>
              <w:rPr>
                <w:rFonts w:hint="default"/>
              </w:rPr>
            </w:pPr>
            <w:r>
              <w:rPr>
                <w:rFonts w:hint="default"/>
              </w:rPr>
              <w:t>表</w:t>
            </w:r>
            <w:r>
              <w:rPr>
                <w:rFonts w:hint="eastAsia"/>
                <w:lang w:val="en-US" w:eastAsia="zh-CN"/>
              </w:rPr>
              <w:t>3.7-5</w:t>
            </w:r>
            <w:r>
              <w:rPr>
                <w:rFonts w:hint="default"/>
              </w:rPr>
              <w:t xml:space="preserve">  厂界噪声排放标准</w:t>
            </w:r>
          </w:p>
          <w:tbl>
            <w:tblPr>
              <w:tblStyle w:val="30"/>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3603"/>
              <w:gridCol w:w="1060"/>
              <w:gridCol w:w="1783"/>
            </w:tblGrid>
            <w:tr w14:paraId="5FB32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532" w:type="dxa"/>
                  <w:noWrap w:val="0"/>
                  <w:vAlign w:val="center"/>
                </w:tcPr>
                <w:p w14:paraId="0FB2CD2C">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类别</w:t>
                  </w:r>
                </w:p>
              </w:tc>
              <w:tc>
                <w:tcPr>
                  <w:tcW w:w="3603" w:type="dxa"/>
                  <w:noWrap w:val="0"/>
                  <w:vAlign w:val="center"/>
                </w:tcPr>
                <w:p w14:paraId="39A3CBFF">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标准名称</w:t>
                  </w:r>
                </w:p>
              </w:tc>
              <w:tc>
                <w:tcPr>
                  <w:tcW w:w="1060" w:type="dxa"/>
                  <w:noWrap w:val="0"/>
                  <w:vAlign w:val="center"/>
                </w:tcPr>
                <w:p w14:paraId="12CFB29F">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项目</w:t>
                  </w:r>
                </w:p>
              </w:tc>
              <w:tc>
                <w:tcPr>
                  <w:tcW w:w="1783" w:type="dxa"/>
                  <w:noWrap w:val="0"/>
                  <w:vAlign w:val="center"/>
                </w:tcPr>
                <w:p w14:paraId="2E1B988D">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标准限值</w:t>
                  </w:r>
                </w:p>
              </w:tc>
            </w:tr>
            <w:tr w14:paraId="5210F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532" w:type="dxa"/>
                  <w:vMerge w:val="restart"/>
                  <w:noWrap w:val="0"/>
                  <w:vAlign w:val="center"/>
                </w:tcPr>
                <w:p w14:paraId="3043DF42">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厂界噪声</w:t>
                  </w:r>
                </w:p>
              </w:tc>
              <w:tc>
                <w:tcPr>
                  <w:tcW w:w="3603" w:type="dxa"/>
                  <w:vMerge w:val="restart"/>
                  <w:noWrap w:val="0"/>
                  <w:vAlign w:val="center"/>
                </w:tcPr>
                <w:p w14:paraId="19834EA0">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《工业企业厂界环境噪声排放标准》（GB12348-2008）</w:t>
                  </w:r>
                  <w:r>
                    <w:rPr>
                      <w:rFonts w:hint="eastAsia"/>
                      <w:szCs w:val="22"/>
                      <w:lang w:val="en-US" w:eastAsia="zh-CN"/>
                    </w:rPr>
                    <w:t>3</w:t>
                  </w:r>
                  <w:r>
                    <w:rPr>
                      <w:rFonts w:hint="default"/>
                      <w:szCs w:val="22"/>
                    </w:rPr>
                    <w:t>类标准</w:t>
                  </w:r>
                </w:p>
              </w:tc>
              <w:tc>
                <w:tcPr>
                  <w:tcW w:w="1060" w:type="dxa"/>
                  <w:noWrap w:val="0"/>
                  <w:vAlign w:val="center"/>
                </w:tcPr>
                <w:p w14:paraId="4AB40FC5">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昼间</w:t>
                  </w:r>
                </w:p>
              </w:tc>
              <w:tc>
                <w:tcPr>
                  <w:tcW w:w="1783" w:type="dxa"/>
                  <w:noWrap w:val="0"/>
                  <w:vAlign w:val="center"/>
                </w:tcPr>
                <w:p w14:paraId="2B033019">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lang w:val="en-US" w:eastAsia="zh-CN"/>
                    </w:rPr>
                    <w:t>65</w:t>
                  </w:r>
                  <w:r>
                    <w:rPr>
                      <w:rFonts w:hint="default"/>
                      <w:szCs w:val="22"/>
                    </w:rPr>
                    <w:t>dB</w:t>
                  </w:r>
                  <w:r>
                    <w:rPr>
                      <w:rFonts w:hint="eastAsia"/>
                      <w:szCs w:val="22"/>
                      <w:lang w:eastAsia="zh-CN"/>
                    </w:rPr>
                    <w:t>（</w:t>
                  </w:r>
                  <w:r>
                    <w:rPr>
                      <w:rFonts w:hint="default"/>
                      <w:szCs w:val="22"/>
                    </w:rPr>
                    <w:t>A</w:t>
                  </w:r>
                  <w:r>
                    <w:rPr>
                      <w:rFonts w:hint="eastAsia"/>
                      <w:szCs w:val="22"/>
                      <w:lang w:eastAsia="zh-CN"/>
                    </w:rPr>
                    <w:t>）</w:t>
                  </w:r>
                </w:p>
              </w:tc>
            </w:tr>
            <w:tr w14:paraId="5E1BD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532" w:type="dxa"/>
                  <w:vMerge w:val="continue"/>
                  <w:noWrap w:val="0"/>
                  <w:vAlign w:val="center"/>
                </w:tcPr>
                <w:p w14:paraId="58F2C4CB">
                  <w:pPr>
                    <w:pStyle w:val="39"/>
                    <w:keepNext w:val="0"/>
                    <w:keepLines w:val="0"/>
                    <w:widowControl/>
                    <w:suppressLineNumbers w:val="0"/>
                    <w:bidi w:val="0"/>
                    <w:spacing w:before="0" w:beforeAutospacing="0" w:after="0" w:afterAutospacing="0"/>
                    <w:ind w:left="0" w:right="0"/>
                    <w:rPr>
                      <w:rFonts w:hint="default"/>
                      <w:szCs w:val="22"/>
                    </w:rPr>
                  </w:pPr>
                </w:p>
              </w:tc>
              <w:tc>
                <w:tcPr>
                  <w:tcW w:w="3603" w:type="dxa"/>
                  <w:vMerge w:val="continue"/>
                  <w:noWrap w:val="0"/>
                  <w:vAlign w:val="center"/>
                </w:tcPr>
                <w:p w14:paraId="224C847A">
                  <w:pPr>
                    <w:pStyle w:val="39"/>
                    <w:keepNext w:val="0"/>
                    <w:keepLines w:val="0"/>
                    <w:widowControl/>
                    <w:suppressLineNumbers w:val="0"/>
                    <w:bidi w:val="0"/>
                    <w:spacing w:before="0" w:beforeAutospacing="0" w:after="0" w:afterAutospacing="0"/>
                    <w:ind w:left="0" w:right="0"/>
                    <w:rPr>
                      <w:rFonts w:hint="default"/>
                      <w:szCs w:val="22"/>
                    </w:rPr>
                  </w:pPr>
                </w:p>
              </w:tc>
              <w:tc>
                <w:tcPr>
                  <w:tcW w:w="1060" w:type="dxa"/>
                  <w:noWrap w:val="0"/>
                  <w:vAlign w:val="center"/>
                </w:tcPr>
                <w:p w14:paraId="00D103ED">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夜间</w:t>
                  </w:r>
                </w:p>
              </w:tc>
              <w:tc>
                <w:tcPr>
                  <w:tcW w:w="1783" w:type="dxa"/>
                  <w:noWrap w:val="0"/>
                  <w:vAlign w:val="center"/>
                </w:tcPr>
                <w:p w14:paraId="78C8BDFF">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lang w:val="en-US" w:eastAsia="zh-CN"/>
                    </w:rPr>
                    <w:t>55</w:t>
                  </w:r>
                  <w:r>
                    <w:rPr>
                      <w:rFonts w:hint="default"/>
                      <w:szCs w:val="22"/>
                    </w:rPr>
                    <w:t>dB</w:t>
                  </w:r>
                  <w:r>
                    <w:rPr>
                      <w:rFonts w:hint="eastAsia"/>
                      <w:szCs w:val="22"/>
                      <w:lang w:eastAsia="zh-CN"/>
                    </w:rPr>
                    <w:t>（</w:t>
                  </w:r>
                  <w:r>
                    <w:rPr>
                      <w:rFonts w:hint="default"/>
                      <w:szCs w:val="22"/>
                    </w:rPr>
                    <w:t>A</w:t>
                  </w:r>
                  <w:r>
                    <w:rPr>
                      <w:rFonts w:hint="eastAsia"/>
                      <w:szCs w:val="22"/>
                      <w:lang w:eastAsia="zh-CN"/>
                    </w:rPr>
                    <w:t>）</w:t>
                  </w:r>
                </w:p>
              </w:tc>
            </w:tr>
          </w:tbl>
          <w:p w14:paraId="7DABC502">
            <w:pPr>
              <w:pStyle w:val="4"/>
              <w:suppressLineNumbers w:val="0"/>
              <w:bidi w:val="0"/>
              <w:spacing w:before="0" w:beforeAutospacing="0" w:after="0" w:afterAutospacing="0"/>
              <w:ind w:left="0" w:right="0"/>
              <w:rPr>
                <w:rFonts w:hint="eastAsia"/>
                <w:lang w:val="en-US" w:eastAsia="zh-CN"/>
              </w:rPr>
            </w:pPr>
            <w:r>
              <w:rPr>
                <w:rFonts w:hint="eastAsia"/>
                <w:lang w:val="en-US" w:eastAsia="zh-CN"/>
              </w:rPr>
              <w:t>固体废物污染物排放标准</w:t>
            </w:r>
          </w:p>
          <w:p w14:paraId="74FB7768">
            <w:pPr>
              <w:keepNext w:val="0"/>
              <w:keepLines w:val="0"/>
              <w:suppressLineNumbers w:val="0"/>
              <w:bidi w:val="0"/>
              <w:spacing w:before="0" w:beforeAutospacing="0" w:after="0" w:afterAutospacing="0"/>
              <w:ind w:left="0" w:right="0"/>
              <w:rPr>
                <w:rFonts w:hint="eastAsia"/>
                <w:color w:val="auto"/>
              </w:rPr>
            </w:pPr>
            <w:r>
              <w:rPr>
                <w:rFonts w:hint="default"/>
                <w:lang w:val="en-US" w:eastAsia="zh-CN"/>
              </w:rPr>
              <w:t>一般工业固废应按照《一般工业固体废物贮存和填埋污染控制标准》</w:t>
            </w:r>
            <w:r>
              <w:rPr>
                <w:rFonts w:hint="eastAsia"/>
                <w:lang w:val="en-US" w:eastAsia="zh-CN"/>
              </w:rPr>
              <w:t>（</w:t>
            </w:r>
            <w:r>
              <w:rPr>
                <w:rFonts w:hint="default"/>
                <w:lang w:val="en-US" w:eastAsia="zh-CN"/>
              </w:rPr>
              <w:t>GB 18599-2020</w:t>
            </w:r>
            <w:r>
              <w:rPr>
                <w:rFonts w:hint="eastAsia"/>
                <w:lang w:val="en-US" w:eastAsia="zh-CN"/>
              </w:rPr>
              <w:t>）</w:t>
            </w:r>
            <w:r>
              <w:rPr>
                <w:rFonts w:hint="default"/>
                <w:lang w:val="en-US" w:eastAsia="zh-CN"/>
              </w:rPr>
              <w:t>的要求进行</w:t>
            </w:r>
            <w:r>
              <w:rPr>
                <w:rFonts w:hint="eastAsia"/>
                <w:lang w:val="en-US" w:eastAsia="zh-CN"/>
              </w:rPr>
              <w:t>暂存管理</w:t>
            </w:r>
            <w:r>
              <w:rPr>
                <w:rFonts w:hint="default"/>
                <w:lang w:val="en-US" w:eastAsia="zh-CN"/>
              </w:rPr>
              <w:t>；危险废物处置执行《危险废物贮存污染控制标准》（GB18597-2023）中相关要求，危险废物外运处置执行《危险废物转移联单管理办法》</w:t>
            </w:r>
            <w:r>
              <w:rPr>
                <w:rFonts w:hint="eastAsia"/>
                <w:lang w:val="en-US" w:eastAsia="zh-CN"/>
              </w:rPr>
              <w:t>。</w:t>
            </w:r>
          </w:p>
        </w:tc>
      </w:tr>
      <w:tr w14:paraId="3056A0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00" w:type="dxa"/>
            <w:noWrap w:val="0"/>
            <w:vAlign w:val="center"/>
          </w:tcPr>
          <w:p w14:paraId="495436B0">
            <w:pPr>
              <w:pStyle w:val="41"/>
              <w:keepNext w:val="0"/>
              <w:keepLines w:val="0"/>
              <w:suppressLineNumbers w:val="0"/>
              <w:bidi w:val="0"/>
              <w:spacing w:before="0" w:beforeAutospacing="0" w:after="0" w:afterAutospacing="0"/>
              <w:ind w:left="0" w:right="0"/>
              <w:rPr>
                <w:rFonts w:hint="eastAsia"/>
              </w:rPr>
            </w:pPr>
            <w:r>
              <w:rPr>
                <w:rFonts w:hint="eastAsia"/>
              </w:rPr>
              <w:t>总量控制指标</w:t>
            </w:r>
          </w:p>
        </w:tc>
        <w:tc>
          <w:tcPr>
            <w:tcW w:w="8190" w:type="dxa"/>
            <w:noWrap w:val="0"/>
            <w:vAlign w:val="center"/>
          </w:tcPr>
          <w:p w14:paraId="026E5835">
            <w:pPr>
              <w:pStyle w:val="3"/>
              <w:keepNext w:val="0"/>
              <w:keepLines w:val="0"/>
              <w:suppressLineNumbers w:val="0"/>
              <w:bidi w:val="0"/>
              <w:spacing w:before="0" w:beforeAutospacing="0" w:after="0" w:afterAutospacing="0"/>
              <w:ind w:left="0" w:right="0"/>
              <w:rPr>
                <w:rFonts w:hint="eastAsia"/>
              </w:rPr>
            </w:pPr>
            <w:r>
              <w:rPr>
                <w:rFonts w:hint="eastAsia"/>
                <w:lang w:val="en-US" w:eastAsia="zh-CN"/>
              </w:rPr>
              <w:t>总量控制指标</w:t>
            </w:r>
          </w:p>
          <w:p w14:paraId="407143B0">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总量控制是我国环境保护管理工作的一项重要举措，而实行污染物排放总量是环境保护法律法规的要求，它不仅是促进经济结构战略性调整和经济增长方式根本性转变的有力措施，同时也是促进工业技术进步和管理水平的提高，做到环保与经济的相互促进。实施以环境容量为基础的排污总量控制制度是改善环境质量的根本手段。</w:t>
            </w:r>
          </w:p>
          <w:p w14:paraId="14236234">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国家</w:t>
            </w:r>
            <w:r>
              <w:rPr>
                <w:rFonts w:hint="eastAsia"/>
                <w:b w:val="0"/>
                <w:bCs w:val="0"/>
                <w:iCs w:val="0"/>
                <w:lang w:eastAsia="zh-CN"/>
              </w:rPr>
              <w:t>“</w:t>
            </w:r>
            <w:r>
              <w:rPr>
                <w:rFonts w:hint="eastAsia"/>
                <w:b w:val="0"/>
                <w:bCs w:val="0"/>
                <w:iCs w:val="0"/>
              </w:rPr>
              <w:t>十四五</w:t>
            </w:r>
            <w:r>
              <w:rPr>
                <w:rFonts w:hint="eastAsia"/>
                <w:b w:val="0"/>
                <w:bCs w:val="0"/>
                <w:iCs w:val="0"/>
                <w:lang w:eastAsia="zh-CN"/>
              </w:rPr>
              <w:t>”</w:t>
            </w:r>
            <w:r>
              <w:rPr>
                <w:rFonts w:hint="eastAsia"/>
                <w:b w:val="0"/>
                <w:bCs w:val="0"/>
                <w:iCs w:val="0"/>
              </w:rPr>
              <w:t>期间污染物总量控制要求、《福建省人民政府关于推进排污权有偿使用和交易工作的意见</w:t>
            </w:r>
            <w:r>
              <w:rPr>
                <w:rFonts w:hint="eastAsia"/>
                <w:b w:val="0"/>
                <w:bCs w:val="0"/>
                <w:iCs w:val="0"/>
                <w:lang w:eastAsia="zh-CN"/>
              </w:rPr>
              <w:t>（</w:t>
            </w:r>
            <w:r>
              <w:rPr>
                <w:rFonts w:hint="eastAsia"/>
                <w:b w:val="0"/>
                <w:bCs w:val="0"/>
                <w:iCs w:val="0"/>
              </w:rPr>
              <w:t>试行</w:t>
            </w:r>
            <w:r>
              <w:rPr>
                <w:rFonts w:hint="eastAsia"/>
                <w:b w:val="0"/>
                <w:bCs w:val="0"/>
                <w:iCs w:val="0"/>
                <w:lang w:eastAsia="zh-CN"/>
              </w:rPr>
              <w:t>）</w:t>
            </w:r>
            <w:r>
              <w:rPr>
                <w:rFonts w:hint="eastAsia"/>
                <w:b w:val="0"/>
                <w:bCs w:val="0"/>
                <w:iCs w:val="0"/>
              </w:rPr>
              <w:t>》</w:t>
            </w:r>
            <w:r>
              <w:rPr>
                <w:rFonts w:hint="eastAsia"/>
                <w:b w:val="0"/>
                <w:bCs w:val="0"/>
                <w:iCs w:val="0"/>
                <w:lang w:eastAsia="zh-CN"/>
              </w:rPr>
              <w:t>（</w:t>
            </w:r>
            <w:r>
              <w:rPr>
                <w:rFonts w:hint="eastAsia"/>
                <w:b w:val="0"/>
                <w:bCs w:val="0"/>
                <w:iCs w:val="0"/>
              </w:rPr>
              <w:t>闽政〔2014〕24号</w:t>
            </w:r>
            <w:r>
              <w:rPr>
                <w:rFonts w:hint="eastAsia"/>
                <w:b w:val="0"/>
                <w:bCs w:val="0"/>
                <w:iCs w:val="0"/>
                <w:lang w:eastAsia="zh-CN"/>
              </w:rPr>
              <w:t>）</w:t>
            </w:r>
            <w:r>
              <w:rPr>
                <w:rFonts w:hint="eastAsia"/>
                <w:b w:val="0"/>
                <w:bCs w:val="0"/>
                <w:iCs w:val="0"/>
              </w:rPr>
              <w:t>、《福建省环保厅关于贯彻落实〈推进排污权有偿使用和交易工作的意见</w:t>
            </w:r>
            <w:r>
              <w:rPr>
                <w:rFonts w:hint="eastAsia"/>
                <w:b w:val="0"/>
                <w:bCs w:val="0"/>
                <w:iCs w:val="0"/>
                <w:lang w:eastAsia="zh-CN"/>
              </w:rPr>
              <w:t>（</w:t>
            </w:r>
            <w:r>
              <w:rPr>
                <w:rFonts w:hint="eastAsia"/>
                <w:b w:val="0"/>
                <w:bCs w:val="0"/>
                <w:iCs w:val="0"/>
              </w:rPr>
              <w:t>试行</w:t>
            </w:r>
            <w:r>
              <w:rPr>
                <w:rFonts w:hint="eastAsia"/>
                <w:b w:val="0"/>
                <w:bCs w:val="0"/>
                <w:iCs w:val="0"/>
                <w:lang w:eastAsia="zh-CN"/>
              </w:rPr>
              <w:t>）</w:t>
            </w:r>
            <w:r>
              <w:rPr>
                <w:rFonts w:hint="eastAsia"/>
                <w:b w:val="0"/>
                <w:bCs w:val="0"/>
                <w:iCs w:val="0"/>
              </w:rPr>
              <w:t>〉的通知》</w:t>
            </w:r>
            <w:r>
              <w:rPr>
                <w:rFonts w:hint="eastAsia"/>
                <w:b w:val="0"/>
                <w:bCs w:val="0"/>
                <w:iCs w:val="0"/>
                <w:lang w:eastAsia="zh-CN"/>
              </w:rPr>
              <w:t>（</w:t>
            </w:r>
            <w:r>
              <w:rPr>
                <w:rFonts w:hint="eastAsia"/>
                <w:b w:val="0"/>
                <w:bCs w:val="0"/>
                <w:iCs w:val="0"/>
              </w:rPr>
              <w:t>闽环发〔2014〕9号</w:t>
            </w:r>
            <w:r>
              <w:rPr>
                <w:rFonts w:hint="eastAsia"/>
                <w:b w:val="0"/>
                <w:bCs w:val="0"/>
                <w:iCs w:val="0"/>
                <w:lang w:eastAsia="zh-CN"/>
              </w:rPr>
              <w:t>）</w:t>
            </w:r>
            <w:r>
              <w:rPr>
                <w:rFonts w:hint="eastAsia"/>
                <w:b w:val="0"/>
                <w:bCs w:val="0"/>
                <w:iCs w:val="0"/>
              </w:rPr>
              <w:t>、《福建省环保厅关于环评审批中落实排污权交易工作要求的通知》</w:t>
            </w:r>
            <w:r>
              <w:rPr>
                <w:rFonts w:hint="eastAsia"/>
                <w:b w:val="0"/>
                <w:bCs w:val="0"/>
                <w:iCs w:val="0"/>
                <w:lang w:eastAsia="zh-CN"/>
              </w:rPr>
              <w:t>（</w:t>
            </w:r>
            <w:r>
              <w:rPr>
                <w:rFonts w:hint="eastAsia"/>
                <w:b w:val="0"/>
                <w:bCs w:val="0"/>
                <w:iCs w:val="0"/>
              </w:rPr>
              <w:t>闽环保评〔2014〕43号</w:t>
            </w:r>
            <w:r>
              <w:rPr>
                <w:rFonts w:hint="eastAsia"/>
                <w:b w:val="0"/>
                <w:bCs w:val="0"/>
                <w:iCs w:val="0"/>
                <w:lang w:eastAsia="zh-CN"/>
              </w:rPr>
              <w:t>）</w:t>
            </w:r>
            <w:r>
              <w:rPr>
                <w:rFonts w:hint="eastAsia"/>
                <w:b w:val="0"/>
                <w:bCs w:val="0"/>
                <w:iCs w:val="0"/>
              </w:rPr>
              <w:t>等有关文件要求。</w:t>
            </w:r>
          </w:p>
          <w:p w14:paraId="247401CA">
            <w:pPr>
              <w:pStyle w:val="4"/>
              <w:suppressLineNumbers w:val="0"/>
              <w:tabs>
                <w:tab w:val="left" w:pos="420"/>
                <w:tab w:val="clear" w:pos="0"/>
              </w:tabs>
              <w:bidi w:val="0"/>
              <w:spacing w:before="0" w:beforeAutospacing="0" w:after="0" w:afterAutospacing="0"/>
              <w:ind w:left="0" w:right="0"/>
              <w:rPr>
                <w:rFonts w:hint="eastAsia"/>
              </w:rPr>
            </w:pPr>
            <w:r>
              <w:rPr>
                <w:rFonts w:hint="eastAsia"/>
                <w:lang w:eastAsia="zh-CN"/>
              </w:rPr>
              <w:t>水污染物排放</w:t>
            </w:r>
            <w:r>
              <w:rPr>
                <w:rFonts w:hint="eastAsia"/>
              </w:rPr>
              <w:t>总量控制</w:t>
            </w:r>
          </w:p>
          <w:p w14:paraId="228DDE11">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本项目职工生活污水依托园区内已建化粪池处理</w:t>
            </w:r>
            <w:r>
              <w:rPr>
                <w:rFonts w:hint="eastAsia"/>
                <w:b w:val="0"/>
                <w:bCs w:val="0"/>
                <w:iCs w:val="0"/>
                <w:lang w:eastAsia="zh-CN"/>
              </w:rPr>
              <w:t>达到</w:t>
            </w:r>
            <w:r>
              <w:rPr>
                <w:rFonts w:hint="eastAsia"/>
                <w:b w:val="0"/>
                <w:bCs w:val="0"/>
                <w:iCs w:val="0"/>
              </w:rPr>
              <w:t>《污水综合排放标准》（GB8978-1996）表4中三级标准（其中，氨氮参照执行《污水排入城市下水道水质标准》（GB/T31962-2015）表1的B级标准）后统一纳入市政污水管网，由</w:t>
            </w:r>
            <w:r>
              <w:rPr>
                <w:rFonts w:hint="eastAsia"/>
                <w:b w:val="0"/>
                <w:bCs w:val="0"/>
                <w:iCs w:val="0"/>
                <w:lang w:eastAsia="zh-CN"/>
              </w:rPr>
              <w:t>福清市融元污水处理厂</w:t>
            </w:r>
            <w:r>
              <w:rPr>
                <w:rFonts w:hint="eastAsia"/>
                <w:b w:val="0"/>
                <w:bCs w:val="0"/>
                <w:iCs w:val="0"/>
              </w:rPr>
              <w:t>集中处理，对周边环境影响较小。</w:t>
            </w:r>
            <w:r>
              <w:rPr>
                <w:rFonts w:hint="eastAsia"/>
                <w:b w:val="0"/>
                <w:bCs w:val="0"/>
                <w:iCs w:val="0"/>
                <w:lang w:val="en-US" w:eastAsia="zh-CN"/>
              </w:rPr>
              <w:t>生</w:t>
            </w:r>
            <w:r>
              <w:rPr>
                <w:rFonts w:hint="eastAsia"/>
                <w:b w:val="0"/>
                <w:bCs w:val="0"/>
                <w:iCs w:val="0"/>
              </w:rPr>
              <w:t>活污水排放暂不需要购买相应的排污权指标，因此，无需申请总量控制指标。</w:t>
            </w:r>
          </w:p>
          <w:p w14:paraId="73781B81">
            <w:pPr>
              <w:pStyle w:val="4"/>
              <w:suppressLineNumbers w:val="0"/>
              <w:tabs>
                <w:tab w:val="left" w:pos="420"/>
                <w:tab w:val="clear" w:pos="0"/>
              </w:tabs>
              <w:bidi w:val="0"/>
              <w:spacing w:before="0" w:beforeAutospacing="0" w:after="0" w:afterAutospacing="0"/>
              <w:ind w:left="0" w:right="0"/>
              <w:rPr>
                <w:rFonts w:hint="eastAsia"/>
              </w:rPr>
            </w:pPr>
            <w:r>
              <w:rPr>
                <w:rFonts w:hint="eastAsia"/>
              </w:rPr>
              <w:t>废气总量</w:t>
            </w:r>
          </w:p>
          <w:p w14:paraId="28722E85">
            <w:pPr>
              <w:keepNext w:val="0"/>
              <w:keepLines w:val="0"/>
              <w:suppressLineNumbers w:val="0"/>
              <w:bidi w:val="0"/>
              <w:spacing w:before="0" w:beforeAutospacing="0" w:after="0" w:afterAutospacing="0"/>
              <w:ind w:left="0" w:right="0"/>
              <w:rPr>
                <w:rFonts w:hint="eastAsia"/>
                <w:lang w:eastAsia="zh-CN"/>
              </w:rPr>
            </w:pPr>
            <w:r>
              <w:rPr>
                <w:rFonts w:hint="eastAsia" w:cs="Times New Roman"/>
                <w:color w:val="auto"/>
                <w:sz w:val="24"/>
                <w:lang w:val="en-US" w:eastAsia="zh-CN"/>
              </w:rPr>
              <w:t>本项目</w:t>
            </w:r>
            <w:r>
              <w:rPr>
                <w:rFonts w:hint="eastAsia" w:ascii="Times New Roman" w:hAnsi="Times New Roman" w:cs="Times New Roman"/>
                <w:color w:val="auto"/>
                <w:sz w:val="24"/>
                <w:lang w:val="en-US" w:eastAsia="zh-CN"/>
              </w:rPr>
              <w:t>设置</w:t>
            </w:r>
            <w:r>
              <w:rPr>
                <w:rFonts w:hint="eastAsia" w:cs="Times New Roman"/>
                <w:color w:val="auto"/>
                <w:sz w:val="24"/>
                <w:lang w:val="en-US" w:eastAsia="zh-CN"/>
              </w:rPr>
              <w:t>三条生产线，配套建设两套完全独立、互不连通的废气治理设施：其中，1#生产线的烘干、加烤及喷漆（经水帘柜预处理）废气合并进入其专用的“过滤棉+二级活性炭吸附装置”处理，最终通过15米高排气筒DA001达标排放；2#和3#生产线的烘烤、加烤及喷漆（分别经水帘柜预处理）废气合并共用一套“过滤棉+二级活性炭吸附装置”处理，最终通过15米高排气筒DA002达标排放</w:t>
            </w:r>
            <w:r>
              <w:rPr>
                <w:rFonts w:hint="default" w:ascii="Times New Roman" w:hAnsi="Times New Roman" w:cs="Times New Roman"/>
                <w:color w:val="auto"/>
                <w:sz w:val="24"/>
              </w:rPr>
              <w:t>，每根排气筒配置一台20000m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/h风量风机</w:t>
            </w:r>
            <w:r>
              <w:rPr>
                <w:rFonts w:hint="eastAsia"/>
              </w:rPr>
              <w:t>，</w:t>
            </w:r>
            <w:r>
              <w:rPr>
                <w:rFonts w:hint="eastAsia"/>
                <w:highlight w:val="none"/>
                <w:lang w:val="en-US" w:eastAsia="zh-CN"/>
              </w:rPr>
              <w:t>合计排放总量为0.4606t/a。</w:t>
            </w:r>
          </w:p>
          <w:p w14:paraId="21538151">
            <w:pPr>
              <w:pStyle w:val="40"/>
              <w:keepNext w:val="0"/>
              <w:keepLines w:val="0"/>
              <w:suppressLineNumbers w:val="0"/>
              <w:bidi w:val="0"/>
              <w:spacing w:before="0" w:beforeAutospacing="0" w:after="0" w:afterAutospacing="0"/>
              <w:ind w:left="0" w:right="0"/>
              <w:rPr>
                <w:rFonts w:hint="eastAsia"/>
              </w:rPr>
            </w:pPr>
            <w:r>
              <w:rPr>
                <w:rFonts w:hint="eastAsia"/>
              </w:rPr>
              <w:t>表3.</w:t>
            </w:r>
            <w:r>
              <w:rPr>
                <w:rFonts w:hint="eastAsia"/>
                <w:lang w:val="en-US" w:eastAsia="zh-CN"/>
              </w:rPr>
              <w:t>8</w:t>
            </w:r>
            <w:r>
              <w:rPr>
                <w:rFonts w:hint="eastAsia"/>
              </w:rPr>
              <w:t>-1 本项目废气污染物建议性控制指标总量一览表  单位：t/a</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139"/>
              <w:gridCol w:w="2024"/>
              <w:gridCol w:w="3798"/>
            </w:tblGrid>
            <w:tr w14:paraId="0E6E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1343" w:type="pct"/>
                  <w:tcBorders>
                    <w:top w:val="single" w:color="000000" w:sz="12" w:space="0"/>
                    <w:left w:val="nil"/>
                    <w:tl2br w:val="nil"/>
                  </w:tcBorders>
                  <w:shd w:val="clear" w:color="auto" w:fill="auto"/>
                  <w:vAlign w:val="center"/>
                </w:tcPr>
                <w:p w14:paraId="25121CA3">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总量控制项目</w:t>
                  </w:r>
                </w:p>
              </w:tc>
              <w:tc>
                <w:tcPr>
                  <w:tcW w:w="1271" w:type="pct"/>
                  <w:tcBorders>
                    <w:top w:val="single" w:color="000000" w:sz="12" w:space="0"/>
                  </w:tcBorders>
                  <w:shd w:val="clear" w:color="auto" w:fill="auto"/>
                  <w:vAlign w:val="center"/>
                </w:tcPr>
                <w:p w14:paraId="469EAB31">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本项目排放总量</w:t>
                  </w:r>
                </w:p>
              </w:tc>
              <w:tc>
                <w:tcPr>
                  <w:tcW w:w="2384" w:type="pct"/>
                  <w:tcBorders>
                    <w:top w:val="single" w:color="000000" w:sz="12" w:space="0"/>
                    <w:right w:val="nil"/>
                  </w:tcBorders>
                  <w:shd w:val="clear" w:color="auto" w:fill="auto"/>
                  <w:noWrap/>
                  <w:vAlign w:val="center"/>
                </w:tcPr>
                <w:p w14:paraId="1A5A9FF0">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评价建议总量控制指标（污染物</w:t>
                  </w:r>
                  <w:r>
                    <w:rPr>
                      <w:rFonts w:hint="default"/>
                      <w:b w:val="0"/>
                      <w:color w:val="000000"/>
                      <w:szCs w:val="22"/>
                      <w:lang w:val="en-US" w:eastAsia="zh-CN"/>
                    </w:rPr>
                    <w:t>*1.2</w:t>
                  </w:r>
                  <w:r>
                    <w:rPr>
                      <w:rFonts w:hint="eastAsia"/>
                      <w:b w:val="0"/>
                      <w:color w:val="000000"/>
                      <w:szCs w:val="22"/>
                      <w:lang w:val="en-US" w:eastAsia="zh-CN"/>
                    </w:rPr>
                    <w:t>倍）</w:t>
                  </w:r>
                </w:p>
              </w:tc>
            </w:tr>
            <w:tr w14:paraId="2F33D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1343" w:type="pct"/>
                  <w:tcBorders>
                    <w:left w:val="nil"/>
                  </w:tcBorders>
                  <w:shd w:val="clear" w:color="auto" w:fill="auto"/>
                  <w:vAlign w:val="center"/>
                </w:tcPr>
                <w:p w14:paraId="15738004">
                  <w:pPr>
                    <w:pStyle w:val="39"/>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非甲烷总烃</w:t>
                  </w:r>
                </w:p>
              </w:tc>
              <w:tc>
                <w:tcPr>
                  <w:tcW w:w="1271" w:type="pct"/>
                  <w:shd w:val="clear" w:color="auto" w:fill="auto"/>
                  <w:vAlign w:val="center"/>
                </w:tcPr>
                <w:p w14:paraId="271AC172">
                  <w:pPr>
                    <w:pStyle w:val="39"/>
                    <w:keepNext w:val="0"/>
                    <w:keepLines w:val="0"/>
                    <w:widowControl/>
                    <w:suppressLineNumbers w:val="0"/>
                    <w:bidi w:val="0"/>
                    <w:spacing w:before="0" w:beforeAutospacing="0" w:after="0" w:afterAutospacing="0"/>
                    <w:ind w:left="0" w:right="0"/>
                    <w:rPr>
                      <w:rFonts w:hint="default"/>
                      <w:b w:val="0"/>
                      <w:color w:val="000000"/>
                      <w:szCs w:val="22"/>
                      <w:lang w:val="en-US"/>
                    </w:rPr>
                  </w:pPr>
                  <w:r>
                    <w:rPr>
                      <w:rFonts w:hint="eastAsia"/>
                      <w:b w:val="0"/>
                      <w:color w:val="000000"/>
                      <w:szCs w:val="22"/>
                      <w:lang w:val="en-US" w:eastAsia="zh-CN"/>
                    </w:rPr>
                    <w:t>0.4606</w:t>
                  </w:r>
                </w:p>
              </w:tc>
              <w:tc>
                <w:tcPr>
                  <w:tcW w:w="2384" w:type="pct"/>
                  <w:tcBorders>
                    <w:right w:val="nil"/>
                  </w:tcBorders>
                  <w:shd w:val="clear" w:color="auto" w:fill="auto"/>
                  <w:noWrap/>
                  <w:vAlign w:val="center"/>
                </w:tcPr>
                <w:p w14:paraId="3FD7509F">
                  <w:pPr>
                    <w:pStyle w:val="39"/>
                    <w:keepNext w:val="0"/>
                    <w:keepLines w:val="0"/>
                    <w:widowControl/>
                    <w:suppressLineNumbers w:val="0"/>
                    <w:bidi w:val="0"/>
                    <w:spacing w:before="0" w:beforeAutospacing="0" w:after="0" w:afterAutospacing="0"/>
                    <w:ind w:left="0" w:right="0"/>
                    <w:rPr>
                      <w:rFonts w:hint="eastAsia" w:eastAsia="宋体"/>
                      <w:b w:val="0"/>
                      <w:color w:val="000000"/>
                      <w:szCs w:val="22"/>
                      <w:lang w:val="en-US" w:eastAsia="zh-CN"/>
                    </w:rPr>
                  </w:pPr>
                  <w:r>
                    <w:rPr>
                      <w:rFonts w:hint="eastAsia"/>
                      <w:b w:val="0"/>
                      <w:color w:val="000000"/>
                      <w:szCs w:val="22"/>
                      <w:lang w:val="en-US" w:eastAsia="zh-CN"/>
                    </w:rPr>
                    <w:t>0.55272</w:t>
                  </w:r>
                </w:p>
              </w:tc>
            </w:tr>
          </w:tbl>
          <w:p w14:paraId="6978A1C5">
            <w:pPr>
              <w:keepNext w:val="0"/>
              <w:keepLines w:val="0"/>
              <w:suppressLineNumbers w:val="0"/>
              <w:bidi w:val="0"/>
              <w:spacing w:before="0" w:beforeAutospacing="0" w:after="0" w:afterAutospacing="0"/>
              <w:ind w:left="0" w:right="0"/>
              <w:rPr>
                <w:rFonts w:hint="eastAsia"/>
                <w:color w:val="auto"/>
              </w:rPr>
            </w:pPr>
            <w:r>
              <w:rPr>
                <w:rFonts w:hint="eastAsia" w:ascii="Times New Roman" w:hAnsi="Times New Roman" w:eastAsia="宋体" w:cs="Times New Roman"/>
                <w:color w:val="auto"/>
                <w:kern w:val="2"/>
                <w:szCs w:val="24"/>
                <w:shd w:val="clear" w:color="auto" w:fill="FFFFFF"/>
                <w:lang w:val="en-US" w:eastAsia="zh-CN"/>
              </w:rPr>
              <w:t>根据</w:t>
            </w:r>
            <w:r>
              <w:rPr>
                <w:rFonts w:hint="default" w:ascii="Times New Roman" w:hAnsi="Times New Roman" w:eastAsia="宋体" w:cs="Times New Roman"/>
                <w:color w:val="auto"/>
                <w:kern w:val="2"/>
                <w:szCs w:val="24"/>
                <w:shd w:val="clear" w:color="auto" w:fill="FFFFFF"/>
                <w:lang w:val="en-US" w:eastAsia="zh-CN"/>
              </w:rPr>
              <w:t>福建省环保厅关于印发《福建省建设项目主要污染物排放总量指标管理办法（试行）》的通知</w:t>
            </w:r>
            <w:r>
              <w:rPr>
                <w:rFonts w:hint="eastAsia" w:ascii="Times New Roman" w:hAnsi="Times New Roman" w:eastAsia="宋体" w:cs="Times New Roman"/>
                <w:color w:val="auto"/>
                <w:kern w:val="2"/>
                <w:szCs w:val="24"/>
                <w:shd w:val="clear" w:color="auto" w:fill="FFFFFF"/>
                <w:lang w:val="en-US" w:eastAsia="zh-CN"/>
              </w:rPr>
              <w:t>（闽环发〔2014〕13号）：</w:t>
            </w:r>
            <w:r>
              <w:rPr>
                <w:rFonts w:hint="eastAsia"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第十条实行重点区域和行业总量倍量调剂，其倍量调剂比例为以下各单项比例的乘积：（四）工业园区外的工业企业的新增排放量，按不低于1.2倍调剂</w:t>
            </w:r>
            <w:r>
              <w:rPr>
                <w:rFonts w:hint="eastAsia" w:ascii="Times New Roman" w:hAnsi="Times New Roman" w:eastAsia="宋体" w:cs="Times New Roman"/>
                <w:color w:val="auto"/>
                <w:kern w:val="2"/>
                <w:szCs w:val="24"/>
                <w:shd w:val="clear" w:color="auto" w:fill="FFFFFF"/>
                <w:lang w:val="en-US" w:eastAsia="zh-CN"/>
              </w:rPr>
              <w:t>；</w:t>
            </w:r>
            <w:r>
              <w:rPr>
                <w:rFonts w:hint="eastAsia"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根据《福州市</w:t>
            </w:r>
            <w:r>
              <w:rPr>
                <w:rFonts w:hint="eastAsia" w:ascii="Times New Roman" w:hAnsi="Times New Roman" w:eastAsia="宋体" w:cs="Times New Roman"/>
                <w:color w:val="auto"/>
                <w:kern w:val="2"/>
                <w:szCs w:val="24"/>
                <w:shd w:val="clear" w:color="auto" w:fill="FFFFFF"/>
                <w:lang w:val="en-US" w:eastAsia="zh-CN"/>
              </w:rPr>
              <w:t>生态环境局</w:t>
            </w:r>
            <w:r>
              <w:rPr>
                <w:rFonts w:hint="default" w:ascii="Times New Roman" w:hAnsi="Times New Roman" w:eastAsia="宋体" w:cs="Times New Roman"/>
                <w:color w:val="auto"/>
                <w:kern w:val="2"/>
                <w:szCs w:val="24"/>
                <w:shd w:val="clear" w:color="auto" w:fill="FFFFFF"/>
                <w:lang w:val="en-US" w:eastAsia="zh-CN"/>
              </w:rPr>
              <w:t>关于印发福州市</w:t>
            </w:r>
            <w:r>
              <w:rPr>
                <w:rFonts w:hint="eastAsia" w:ascii="Times New Roman" w:hAnsi="Times New Roman" w:eastAsia="宋体" w:cs="Times New Roman"/>
                <w:color w:val="auto"/>
                <w:kern w:val="2"/>
                <w:szCs w:val="24"/>
                <w:shd w:val="clear" w:color="auto" w:fill="FFFFFF"/>
                <w:lang w:val="en-US" w:eastAsia="zh-CN"/>
              </w:rPr>
              <w:t>大气污染联防联控联治工作方案的通知</w:t>
            </w:r>
            <w:r>
              <w:rPr>
                <w:rFonts w:hint="default" w:ascii="Times New Roman" w:hAnsi="Times New Roman" w:eastAsia="宋体" w:cs="Times New Roman"/>
                <w:color w:val="auto"/>
                <w:kern w:val="2"/>
                <w:szCs w:val="24"/>
                <w:shd w:val="clear" w:color="auto" w:fill="FFFFFF"/>
                <w:lang w:val="en-US" w:eastAsia="zh-CN"/>
              </w:rPr>
              <w:t>》榕环保综</w:t>
            </w:r>
            <w:r>
              <w:rPr>
                <w:rFonts w:hint="eastAsia" w:ascii="Times New Roman" w:hAnsi="Times New Roman" w:eastAsia="宋体" w:cs="Times New Roman"/>
                <w:color w:val="auto"/>
                <w:kern w:val="2"/>
                <w:szCs w:val="24"/>
                <w:shd w:val="clear" w:color="auto" w:fill="FFFFFF"/>
                <w:lang w:val="en-US" w:eastAsia="zh-CN"/>
              </w:rPr>
              <w:t>〔2018〕386号</w:t>
            </w:r>
            <w:r>
              <w:rPr>
                <w:rFonts w:hint="default" w:ascii="Times New Roman" w:hAnsi="Times New Roman" w:eastAsia="宋体" w:cs="Times New Roman"/>
                <w:color w:val="auto"/>
                <w:kern w:val="2"/>
                <w:szCs w:val="24"/>
                <w:shd w:val="clear" w:color="auto" w:fill="FFFFFF"/>
                <w:lang w:val="en-US" w:eastAsia="zh-CN"/>
              </w:rPr>
              <w:t>：VOCs排放实行区域内倍量替代，新、改扩建涉VOCs排放项目，应从源头加强控制，使用低</w:t>
            </w:r>
            <w:r>
              <w:rPr>
                <w:rFonts w:hint="eastAsia" w:ascii="Times New Roman" w:hAnsi="Times New Roman"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无</w:t>
            </w:r>
            <w:r>
              <w:rPr>
                <w:rFonts w:hint="eastAsia" w:ascii="Times New Roman" w:hAnsi="Times New Roman"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VOCs含量的原辅材料，加强废气收集、安装高效治理设施</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根据《2022年度福州市蓝天碧水碧海净土保卫战行动计划》</w:t>
            </w:r>
            <w:r>
              <w:rPr>
                <w:rFonts w:hint="eastAsia" w:ascii="Times New Roman" w:hAnsi="Times New Roman"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榕环委办</w:t>
            </w:r>
            <w:r>
              <w:rPr>
                <w:rFonts w:hint="eastAsia" w:ascii="Times New Roman" w:hAnsi="Times New Roman" w:eastAsia="宋体" w:cs="Times New Roman"/>
                <w:color w:val="auto"/>
                <w:kern w:val="2"/>
                <w:szCs w:val="24"/>
                <w:shd w:val="clear" w:color="auto" w:fill="FFFFFF"/>
                <w:lang w:val="en-US" w:eastAsia="zh-CN"/>
              </w:rPr>
              <w:t>〔2022〕49号</w:t>
            </w:r>
            <w:r>
              <w:rPr>
                <w:rFonts w:hint="eastAsia" w:ascii="Times New Roman" w:hAnsi="Times New Roman" w:cs="Times New Roman"/>
                <w:color w:val="auto"/>
                <w:kern w:val="2"/>
                <w:szCs w:val="24"/>
                <w:shd w:val="clear" w:color="auto" w:fill="FFFFFF"/>
                <w:lang w:val="en-US" w:eastAsia="zh-CN"/>
              </w:rPr>
              <w:t>）</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实施新建项目VOC</w:t>
            </w:r>
            <w:r>
              <w:rPr>
                <w:rFonts w:hint="eastAsia" w:ascii="Times New Roman" w:hAnsi="Times New Roman" w:eastAsia="宋体" w:cs="Times New Roman"/>
                <w:color w:val="auto"/>
                <w:kern w:val="2"/>
                <w:szCs w:val="24"/>
                <w:shd w:val="clear" w:color="auto" w:fill="FFFFFF"/>
                <w:lang w:val="en-US" w:eastAsia="zh-CN"/>
              </w:rPr>
              <w:t>s</w:t>
            </w:r>
            <w:r>
              <w:rPr>
                <w:rFonts w:hint="default" w:ascii="Times New Roman" w:hAnsi="Times New Roman" w:eastAsia="宋体" w:cs="Times New Roman"/>
                <w:color w:val="auto"/>
                <w:kern w:val="2"/>
                <w:szCs w:val="24"/>
                <w:shd w:val="clear" w:color="auto" w:fill="FFFFFF"/>
                <w:lang w:val="en-US" w:eastAsia="zh-CN"/>
              </w:rPr>
              <w:t>排放区域内倍量替代。</w:t>
            </w:r>
            <w:r>
              <w:rPr>
                <w:rFonts w:hint="eastAsia" w:ascii="Times New Roman" w:hAnsi="Times New Roman" w:eastAsia="宋体" w:cs="Times New Roman"/>
                <w:color w:val="auto"/>
                <w:kern w:val="2"/>
                <w:szCs w:val="24"/>
                <w:shd w:val="clear" w:color="auto" w:fill="FFFFFF"/>
                <w:lang w:val="en-US" w:eastAsia="zh-CN"/>
              </w:rPr>
              <w:t>本项目VOCs（以非甲烷总烃计）的排放总量为</w:t>
            </w:r>
            <w:r>
              <w:rPr>
                <w:rFonts w:hint="eastAsia" w:ascii="Times New Roman" w:hAnsi="Times New Roman" w:eastAsia="宋体" w:cs="Times New Roman"/>
                <w:color w:val="auto"/>
                <w:kern w:val="2"/>
                <w:szCs w:val="24"/>
                <w:highlight w:val="none"/>
                <w:shd w:val="clear" w:color="auto" w:fill="FFFFFF"/>
                <w:lang w:val="en-US" w:eastAsia="zh-CN"/>
              </w:rPr>
              <w:t>：</w:t>
            </w:r>
            <w:r>
              <w:rPr>
                <w:rFonts w:hint="eastAsia" w:ascii="Times New Roman" w:hAnsi="Times New Roman" w:cs="Times New Roman"/>
                <w:color w:val="auto"/>
                <w:kern w:val="2"/>
                <w:szCs w:val="24"/>
                <w:highlight w:val="none"/>
                <w:shd w:val="clear" w:color="auto" w:fill="FFFFFF"/>
                <w:lang w:val="en-US" w:eastAsia="zh-CN"/>
              </w:rPr>
              <w:t>0.4606</w:t>
            </w:r>
            <w:r>
              <w:rPr>
                <w:rFonts w:hint="eastAsia" w:ascii="Times New Roman" w:hAnsi="Times New Roman" w:eastAsia="宋体" w:cs="Times New Roman"/>
                <w:color w:val="auto"/>
                <w:kern w:val="2"/>
                <w:szCs w:val="24"/>
                <w:highlight w:val="none"/>
                <w:shd w:val="clear" w:color="auto" w:fill="FFFFFF"/>
                <w:lang w:val="en-US" w:eastAsia="zh-CN"/>
              </w:rPr>
              <w:t>t/a</w:t>
            </w:r>
            <w:r>
              <w:rPr>
                <w:rFonts w:hint="eastAsia" w:ascii="Times New Roman" w:hAnsi="Times New Roman" w:eastAsia="宋体" w:cs="Times New Roman"/>
                <w:color w:val="auto"/>
                <w:kern w:val="2"/>
                <w:szCs w:val="24"/>
                <w:shd w:val="clear" w:color="auto" w:fill="FFFFFF"/>
                <w:lang w:val="en-US" w:eastAsia="zh-CN"/>
              </w:rPr>
              <w:t>。因此，本项目排放的VOCs总量</w:t>
            </w:r>
            <w:r>
              <w:rPr>
                <w:rFonts w:hint="default" w:ascii="Times New Roman" w:hAnsi="Times New Roman" w:eastAsia="宋体" w:cs="Times New Roman"/>
                <w:color w:val="auto"/>
                <w:kern w:val="2"/>
                <w:szCs w:val="24"/>
                <w:shd w:val="clear" w:color="auto" w:fill="FFFFFF"/>
                <w:lang w:val="en-US" w:eastAsia="zh-CN"/>
              </w:rPr>
              <w:t>由建设单位向</w:t>
            </w:r>
            <w:r>
              <w:rPr>
                <w:rFonts w:hint="eastAsia" w:ascii="Times New Roman" w:hAnsi="Times New Roman" w:eastAsia="宋体" w:cs="Times New Roman"/>
                <w:color w:val="auto"/>
                <w:kern w:val="2"/>
                <w:szCs w:val="24"/>
                <w:shd w:val="clear" w:color="auto" w:fill="FFFFFF"/>
                <w:lang w:val="en-US" w:eastAsia="zh-CN"/>
              </w:rPr>
              <w:t>福州市福清生态环境局</w:t>
            </w:r>
            <w:r>
              <w:rPr>
                <w:rFonts w:hint="default" w:ascii="Times New Roman" w:hAnsi="Times New Roman" w:eastAsia="宋体" w:cs="Times New Roman"/>
                <w:color w:val="auto"/>
                <w:kern w:val="2"/>
                <w:szCs w:val="24"/>
                <w:shd w:val="clear" w:color="auto" w:fill="FFFFFF"/>
                <w:lang w:val="en-US" w:eastAsia="zh-CN"/>
              </w:rPr>
              <w:t>申请区域</w:t>
            </w:r>
            <w:r>
              <w:rPr>
                <w:rFonts w:hint="eastAsia" w:ascii="Times New Roman" w:hAnsi="Times New Roman" w:eastAsia="宋体" w:cs="Times New Roman"/>
                <w:color w:val="auto"/>
                <w:kern w:val="2"/>
                <w:szCs w:val="24"/>
                <w:shd w:val="clear" w:color="auto" w:fill="FFFFFF"/>
                <w:lang w:val="en-US" w:eastAsia="zh-CN"/>
              </w:rPr>
              <w:t>倍量</w:t>
            </w:r>
            <w:r>
              <w:rPr>
                <w:rFonts w:hint="default" w:ascii="Times New Roman" w:hAnsi="Times New Roman" w:eastAsia="宋体" w:cs="Times New Roman"/>
                <w:color w:val="auto"/>
                <w:kern w:val="2"/>
                <w:szCs w:val="24"/>
                <w:shd w:val="clear" w:color="auto" w:fill="FFFFFF"/>
                <w:lang w:val="en-US" w:eastAsia="zh-CN"/>
              </w:rPr>
              <w:t>替代</w:t>
            </w:r>
            <w:r>
              <w:rPr>
                <w:rFonts w:hint="eastAsia" w:ascii="Times New Roman" w:hAnsi="Times New Roman" w:cs="Times New Roman"/>
                <w:color w:val="auto"/>
                <w:kern w:val="2"/>
                <w:szCs w:val="24"/>
                <w:shd w:val="clear" w:color="auto" w:fill="FFFFFF"/>
                <w:lang w:val="en-US" w:eastAsia="zh-CN"/>
              </w:rPr>
              <w:t>，调剂量为0.55272t/a</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建设单位承诺在项目投产前取得</w:t>
            </w:r>
            <w:r>
              <w:rPr>
                <w:rFonts w:hint="eastAsia" w:ascii="Times New Roman" w:hAnsi="Times New Roman" w:eastAsia="宋体" w:cs="Times New Roman"/>
                <w:color w:val="auto"/>
                <w:kern w:val="2"/>
                <w:szCs w:val="24"/>
                <w:shd w:val="clear" w:color="auto" w:fill="FFFFFF"/>
                <w:lang w:val="en-US" w:eastAsia="zh-CN"/>
              </w:rPr>
              <w:t>各污染</w:t>
            </w:r>
            <w:r>
              <w:rPr>
                <w:rFonts w:hint="default" w:ascii="Times New Roman" w:hAnsi="Times New Roman" w:eastAsia="宋体" w:cs="Times New Roman"/>
                <w:color w:val="auto"/>
                <w:kern w:val="2"/>
                <w:szCs w:val="24"/>
                <w:shd w:val="clear" w:color="auto" w:fill="FFFFFF"/>
                <w:lang w:val="en-US" w:eastAsia="zh-CN"/>
              </w:rPr>
              <w:t>VOCs</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以非甲烷总烃计</w:t>
            </w:r>
            <w:r>
              <w:rPr>
                <w:rFonts w:hint="eastAsia" w:ascii="Times New Roman" w:hAnsi="Times New Roman" w:eastAsia="宋体" w:cs="Times New Roman"/>
                <w:color w:val="auto"/>
                <w:kern w:val="2"/>
                <w:szCs w:val="24"/>
                <w:shd w:val="clear" w:color="auto" w:fill="FFFFFF"/>
                <w:lang w:val="en-US" w:eastAsia="zh-CN"/>
              </w:rPr>
              <w:t>）总量</w:t>
            </w:r>
            <w:r>
              <w:rPr>
                <w:rFonts w:hint="default" w:ascii="Times New Roman" w:hAnsi="Times New Roman" w:eastAsia="宋体" w:cs="Times New Roman"/>
                <w:color w:val="auto"/>
                <w:kern w:val="2"/>
                <w:szCs w:val="24"/>
                <w:shd w:val="clear" w:color="auto" w:fill="FFFFFF"/>
                <w:lang w:val="en-US" w:eastAsia="zh-CN"/>
              </w:rPr>
              <w:t>的</w:t>
            </w:r>
            <w:r>
              <w:rPr>
                <w:rFonts w:hint="eastAsia" w:ascii="Times New Roman" w:hAnsi="Times New Roman" w:eastAsia="宋体" w:cs="Times New Roman"/>
                <w:color w:val="auto"/>
                <w:kern w:val="2"/>
                <w:szCs w:val="24"/>
                <w:shd w:val="clear" w:color="auto" w:fill="FFFFFF"/>
                <w:lang w:val="en-US" w:eastAsia="zh-CN"/>
              </w:rPr>
              <w:t>倍量</w:t>
            </w:r>
            <w:r>
              <w:rPr>
                <w:rFonts w:hint="default" w:ascii="Times New Roman" w:hAnsi="Times New Roman" w:eastAsia="宋体" w:cs="Times New Roman"/>
                <w:color w:val="auto"/>
                <w:kern w:val="2"/>
                <w:szCs w:val="24"/>
                <w:shd w:val="clear" w:color="auto" w:fill="FFFFFF"/>
                <w:lang w:val="en-US" w:eastAsia="zh-CN"/>
              </w:rPr>
              <w:t>替代</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并依法</w:t>
            </w:r>
            <w:r>
              <w:rPr>
                <w:rFonts w:hint="eastAsia" w:ascii="Times New Roman" w:hAnsi="Times New Roman" w:eastAsia="宋体" w:cs="Times New Roman"/>
                <w:color w:val="auto"/>
                <w:kern w:val="2"/>
                <w:szCs w:val="24"/>
                <w:shd w:val="clear" w:color="auto" w:fill="FFFFFF"/>
                <w:lang w:val="en-US" w:eastAsia="zh-CN"/>
              </w:rPr>
              <w:t>办理</w:t>
            </w:r>
            <w:r>
              <w:rPr>
                <w:rFonts w:hint="default" w:ascii="Times New Roman" w:hAnsi="Times New Roman" w:eastAsia="宋体" w:cs="Times New Roman"/>
                <w:color w:val="auto"/>
                <w:kern w:val="2"/>
                <w:szCs w:val="24"/>
                <w:shd w:val="clear" w:color="auto" w:fill="FFFFFF"/>
                <w:lang w:val="en-US" w:eastAsia="zh-CN"/>
              </w:rPr>
              <w:t>排污许可</w:t>
            </w:r>
            <w:r>
              <w:rPr>
                <w:rFonts w:hint="eastAsia" w:ascii="Times New Roman" w:hAnsi="Times New Roman" w:eastAsia="宋体" w:cs="Times New Roman"/>
                <w:color w:val="auto"/>
                <w:kern w:val="2"/>
                <w:szCs w:val="24"/>
                <w:shd w:val="clear" w:color="auto" w:fill="FFFFFF"/>
                <w:lang w:val="en-US" w:eastAsia="zh-CN"/>
              </w:rPr>
              <w:t>手续。</w:t>
            </w:r>
          </w:p>
        </w:tc>
      </w:tr>
    </w:tbl>
    <w:p w14:paraId="1DA56BCC">
      <w:pPr>
        <w:pStyle w:val="2"/>
        <w:tabs>
          <w:tab w:val="left" w:pos="420"/>
          <w:tab w:val="clear" w:pos="715"/>
        </w:tabs>
        <w:bidi w:val="0"/>
        <w:rPr>
          <w:color w:val="auto"/>
        </w:rPr>
      </w:pPr>
      <w:r>
        <w:rPr>
          <w:color w:val="auto"/>
          <w:sz w:val="36"/>
          <w:szCs w:val="36"/>
        </w:rPr>
        <w:br w:type="page"/>
      </w:r>
      <w:bookmarkStart w:id="27" w:name="_Toc10069"/>
      <w:bookmarkStart w:id="28" w:name="_Toc5321"/>
      <w:r>
        <w:rPr>
          <w:color w:val="auto"/>
        </w:rPr>
        <w:t>主要环境影响和保护措施</w:t>
      </w:r>
      <w:bookmarkEnd w:id="27"/>
      <w:bookmarkEnd w:id="28"/>
    </w:p>
    <w:tbl>
      <w:tblPr>
        <w:tblStyle w:val="30"/>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7"/>
        <w:gridCol w:w="8583"/>
      </w:tblGrid>
      <w:tr w14:paraId="3D8E4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397" w:type="dxa"/>
            <w:noWrap w:val="0"/>
            <w:tcMar>
              <w:left w:w="28" w:type="dxa"/>
              <w:right w:w="28" w:type="dxa"/>
            </w:tcMar>
            <w:vAlign w:val="center"/>
          </w:tcPr>
          <w:p w14:paraId="17BADB6F">
            <w:pPr>
              <w:pStyle w:val="41"/>
              <w:keepNext w:val="0"/>
              <w:keepLines w:val="0"/>
              <w:suppressLineNumbers w:val="0"/>
              <w:bidi w:val="0"/>
              <w:spacing w:before="0" w:beforeAutospacing="0" w:after="0" w:afterAutospacing="0"/>
              <w:ind w:left="0" w:right="0"/>
              <w:rPr>
                <w:rFonts w:hint="eastAsia"/>
              </w:rPr>
            </w:pPr>
            <w:r>
              <w:rPr>
                <w:rFonts w:hint="eastAsia"/>
              </w:rPr>
              <w:t>施工期环境保护措施</w:t>
            </w:r>
          </w:p>
        </w:tc>
        <w:tc>
          <w:tcPr>
            <w:tcW w:w="8583" w:type="dxa"/>
            <w:noWrap w:val="0"/>
            <w:vAlign w:val="center"/>
          </w:tcPr>
          <w:p w14:paraId="098A41A6">
            <w:pPr>
              <w:keepNext w:val="0"/>
              <w:keepLines w:val="0"/>
              <w:suppressLineNumbers w:val="0"/>
              <w:bidi w:val="0"/>
              <w:spacing w:before="0" w:beforeAutospacing="0" w:after="0" w:afterAutospacing="0"/>
              <w:ind w:left="0" w:right="0"/>
              <w:rPr>
                <w:rFonts w:hint="eastAsia" w:eastAsia="宋体"/>
                <w:bCs/>
                <w:color w:val="auto"/>
                <w:spacing w:val="-10"/>
                <w:szCs w:val="21"/>
                <w:lang w:val="en-US" w:eastAsia="zh-CN"/>
              </w:rPr>
            </w:pPr>
            <w:r>
              <w:rPr>
                <w:rFonts w:hint="eastAsia"/>
              </w:rPr>
              <w:t>本项目位于</w:t>
            </w:r>
            <w:r>
              <w:rPr>
                <w:rFonts w:hint="eastAsia"/>
                <w:lang w:val="en-US" w:eastAsia="zh-CN"/>
              </w:rPr>
              <w:t>福清融侨经济技术开发区（租赁福清洪添科技有限公司车间2第3层）</w:t>
            </w:r>
            <w:r>
              <w:rPr>
                <w:rFonts w:hint="eastAsia"/>
              </w:rPr>
              <w:t>，根据现场勘查，该厂房主体结构已经建成，</w:t>
            </w:r>
            <w:r>
              <w:rPr>
                <w:rFonts w:hint="eastAsia"/>
                <w:b w:val="0"/>
                <w:bCs w:val="0"/>
                <w:iCs w:val="0"/>
              </w:rPr>
              <w:t>项目施工期主要为设备安装、调试阶段产生的环境问题，本项目设备安装、调试简单</w:t>
            </w:r>
            <w:r>
              <w:rPr>
                <w:rFonts w:hint="eastAsia"/>
                <w:b w:val="0"/>
                <w:bCs w:val="0"/>
                <w:iCs w:val="0"/>
                <w:lang w:eastAsia="zh-CN"/>
              </w:rPr>
              <w:t>且</w:t>
            </w:r>
            <w:r>
              <w:rPr>
                <w:rFonts w:hint="eastAsia"/>
                <w:b w:val="0"/>
                <w:bCs w:val="0"/>
                <w:iCs w:val="0"/>
              </w:rPr>
              <w:t>时间较短，因此，随着设备安装、调试完毕后，项目施工期也将结束，施工期环境影响也</w:t>
            </w:r>
            <w:r>
              <w:rPr>
                <w:rFonts w:hint="eastAsia"/>
                <w:b w:val="0"/>
                <w:bCs w:val="0"/>
                <w:iCs w:val="0"/>
                <w:lang w:eastAsia="zh-CN"/>
              </w:rPr>
              <w:t>随之</w:t>
            </w:r>
            <w:r>
              <w:rPr>
                <w:rFonts w:hint="eastAsia"/>
                <w:b w:val="0"/>
                <w:bCs w:val="0"/>
                <w:iCs w:val="0"/>
              </w:rPr>
              <w:t>消失，不会对周边环境噪声影响。</w:t>
            </w:r>
          </w:p>
        </w:tc>
      </w:tr>
      <w:tr w14:paraId="34E22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397" w:type="dxa"/>
            <w:noWrap w:val="0"/>
            <w:tcMar>
              <w:left w:w="28" w:type="dxa"/>
              <w:right w:w="28" w:type="dxa"/>
            </w:tcMar>
            <w:vAlign w:val="center"/>
          </w:tcPr>
          <w:p w14:paraId="150AE2CB">
            <w:pPr>
              <w:pStyle w:val="41"/>
              <w:keepNext w:val="0"/>
              <w:keepLines w:val="0"/>
              <w:suppressLineNumbers w:val="0"/>
              <w:bidi w:val="0"/>
              <w:spacing w:before="0" w:beforeAutospacing="0" w:after="0" w:afterAutospacing="0"/>
              <w:ind w:left="0" w:right="0"/>
              <w:rPr>
                <w:rFonts w:hint="eastAsia"/>
              </w:rPr>
            </w:pPr>
            <w:r>
              <w:rPr>
                <w:rFonts w:hint="eastAsia"/>
              </w:rPr>
              <w:t>运营期环境影响和保护措施</w:t>
            </w:r>
          </w:p>
        </w:tc>
        <w:tc>
          <w:tcPr>
            <w:tcW w:w="8583" w:type="dxa"/>
            <w:noWrap w:val="0"/>
            <w:vAlign w:val="center"/>
          </w:tcPr>
          <w:p w14:paraId="1379142E">
            <w:pPr>
              <w:pStyle w:val="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rPr>
            </w:pPr>
            <w:r>
              <w:rPr>
                <w:rFonts w:hint="eastAsia"/>
              </w:rPr>
              <w:t>运营期水环境影响分析和污染防治措施</w:t>
            </w:r>
          </w:p>
          <w:p w14:paraId="345DD508">
            <w:pPr>
              <w:pStyle w:val="4"/>
              <w:keepNext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rPr>
            </w:pPr>
            <w:bookmarkStart w:id="29" w:name="_Toc18741"/>
            <w:r>
              <w:rPr>
                <w:rFonts w:hint="eastAsia"/>
              </w:rPr>
              <w:t>运营期废水源强核算</w:t>
            </w:r>
            <w:bookmarkEnd w:id="29"/>
          </w:p>
          <w:p w14:paraId="2D4E59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lang w:val="en-US" w:eastAsia="zh-CN"/>
              </w:rPr>
            </w:pPr>
            <w:r>
              <w:rPr>
                <w:rFonts w:hint="eastAsia"/>
                <w:lang w:val="en-US" w:eastAsia="zh-CN"/>
              </w:rPr>
              <w:t>本项目无生产废水产生，水帘喷漆用水循环使用不外排</w:t>
            </w:r>
            <w:r>
              <w:rPr>
                <w:rFonts w:hint="default"/>
                <w:lang w:eastAsia="zh-CN"/>
              </w:rPr>
              <w:t>，</w:t>
            </w:r>
            <w:r>
              <w:rPr>
                <w:rFonts w:hint="eastAsia"/>
                <w:lang w:eastAsia="zh-CN"/>
              </w:rPr>
              <w:t>定期捞漆渣，喷漆废水不属于危险废物，但为了控制生产过程中可能发生的环境风险，</w:t>
            </w:r>
            <w:r>
              <w:rPr>
                <w:rFonts w:hint="default"/>
                <w:lang w:eastAsia="zh-CN"/>
              </w:rPr>
              <w:t>待浓度过高时按危废委托有资质的</w:t>
            </w:r>
            <w:r>
              <w:rPr>
                <w:rFonts w:hint="eastAsia"/>
                <w:lang w:eastAsia="zh-CN"/>
              </w:rPr>
              <w:t>危废处置</w:t>
            </w:r>
            <w:r>
              <w:rPr>
                <w:rFonts w:hint="default"/>
                <w:lang w:eastAsia="zh-CN"/>
              </w:rPr>
              <w:t>单位处置</w:t>
            </w:r>
            <w:r>
              <w:rPr>
                <w:rFonts w:hint="eastAsia"/>
                <w:lang w:eastAsia="zh-CN"/>
              </w:rPr>
              <w:t>，</w:t>
            </w:r>
            <w:r>
              <w:rPr>
                <w:rFonts w:hint="eastAsia"/>
                <w:lang w:val="en-US" w:eastAsia="zh-CN"/>
              </w:rPr>
              <w:t>因此</w:t>
            </w:r>
            <w:r>
              <w:rPr>
                <w:rFonts w:hint="eastAsia"/>
                <w:lang w:eastAsia="zh-CN"/>
              </w:rPr>
              <w:t>，</w:t>
            </w:r>
            <w:r>
              <w:rPr>
                <w:rFonts w:hint="eastAsia"/>
                <w:lang w:val="en-US" w:eastAsia="zh-CN"/>
              </w:rPr>
              <w:t>外排废水仅有生活污水。</w:t>
            </w:r>
          </w:p>
          <w:p w14:paraId="433224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rPr>
            </w:pPr>
            <w:r>
              <w:rPr>
                <w:rFonts w:hint="eastAsia"/>
              </w:rPr>
              <w:t>（</w:t>
            </w:r>
            <w:r>
              <w:rPr>
                <w:rFonts w:hint="eastAsia"/>
                <w:lang w:val="en-US" w:eastAsia="zh-CN"/>
              </w:rPr>
              <w:t>1</w:t>
            </w:r>
            <w:r>
              <w:rPr>
                <w:rFonts w:hint="eastAsia"/>
              </w:rPr>
              <w:t>）职工生活用水</w:t>
            </w:r>
          </w:p>
          <w:p w14:paraId="517812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rPr>
            </w:pPr>
            <w:r>
              <w:rPr>
                <w:rFonts w:hint="eastAsia"/>
              </w:rPr>
              <w:t>项目劳动定员</w:t>
            </w:r>
            <w:r>
              <w:rPr>
                <w:rFonts w:hint="eastAsia"/>
                <w:lang w:val="en-US" w:eastAsia="zh-CN"/>
              </w:rPr>
              <w:t>13</w:t>
            </w:r>
            <w:r>
              <w:rPr>
                <w:rFonts w:hint="eastAsia"/>
              </w:rPr>
              <w:t>人，</w:t>
            </w:r>
            <w:r>
              <w:rPr>
                <w:rFonts w:hint="eastAsia"/>
                <w:lang w:val="en-US" w:eastAsia="zh-CN"/>
              </w:rPr>
              <w:t>均</w:t>
            </w:r>
            <w:r>
              <w:rPr>
                <w:rFonts w:hint="eastAsia"/>
              </w:rPr>
              <w:t>不</w:t>
            </w:r>
            <w:r>
              <w:rPr>
                <w:rFonts w:hint="eastAsia"/>
                <w:lang w:val="en-US" w:eastAsia="zh-CN"/>
              </w:rPr>
              <w:t>在</w:t>
            </w:r>
            <w:r>
              <w:rPr>
                <w:rFonts w:hint="eastAsia"/>
              </w:rPr>
              <w:t>厂</w:t>
            </w:r>
            <w:r>
              <w:rPr>
                <w:rFonts w:hint="eastAsia"/>
                <w:lang w:val="en-US" w:eastAsia="zh-CN"/>
              </w:rPr>
              <w:t>食宿</w:t>
            </w:r>
            <w:r>
              <w:rPr>
                <w:rFonts w:hint="eastAsia"/>
              </w:rPr>
              <w:t>，根据《建筑给水排水设计规范》（GB</w:t>
            </w:r>
            <w:r>
              <w:rPr>
                <w:rFonts w:hint="eastAsia"/>
                <w:lang w:eastAsia="zh-CN"/>
              </w:rPr>
              <w:t>50</w:t>
            </w:r>
            <w:r>
              <w:rPr>
                <w:rFonts w:hint="eastAsia"/>
              </w:rPr>
              <w:t>015-2019），不住宿员工用水量按</w:t>
            </w:r>
            <w:r>
              <w:rPr>
                <w:rFonts w:hint="eastAsia"/>
                <w:lang w:val="en-US" w:eastAsia="zh-CN"/>
              </w:rPr>
              <w:t>50</w:t>
            </w:r>
            <w:r>
              <w:rPr>
                <w:rFonts w:hint="eastAsia"/>
              </w:rPr>
              <w:t>L/人·d计算，则职工生活用水量为</w:t>
            </w:r>
            <w:r>
              <w:rPr>
                <w:rFonts w:hint="eastAsia"/>
                <w:lang w:val="en-US" w:eastAsia="zh-CN"/>
              </w:rPr>
              <w:t>0.65</w:t>
            </w:r>
            <w:r>
              <w:rPr>
                <w:rFonts w:hint="eastAsia"/>
              </w:rPr>
              <w:t>t/d（</w:t>
            </w:r>
            <w:r>
              <w:rPr>
                <w:rFonts w:hint="eastAsia"/>
                <w:lang w:val="en-US" w:eastAsia="zh-CN"/>
              </w:rPr>
              <w:t>195</w:t>
            </w:r>
            <w:r>
              <w:rPr>
                <w:rFonts w:hint="eastAsia"/>
              </w:rPr>
              <w:t>t/a），排放系数按80%计，则项目职工生活污水产生量为</w:t>
            </w:r>
            <w:r>
              <w:rPr>
                <w:rFonts w:hint="eastAsia"/>
                <w:lang w:val="en-US" w:eastAsia="zh-CN"/>
              </w:rPr>
              <w:t>0.52</w:t>
            </w:r>
            <w:r>
              <w:rPr>
                <w:rFonts w:hint="eastAsia"/>
              </w:rPr>
              <w:t>t/d（</w:t>
            </w:r>
            <w:r>
              <w:rPr>
                <w:rFonts w:hint="eastAsia"/>
                <w:lang w:val="en-US" w:eastAsia="zh-CN"/>
              </w:rPr>
              <w:t>156t</w:t>
            </w:r>
            <w:r>
              <w:rPr>
                <w:rFonts w:hint="eastAsia"/>
              </w:rPr>
              <w:t>/a）。</w:t>
            </w:r>
          </w:p>
          <w:p w14:paraId="7EDBAC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rPr>
            </w:pPr>
            <w:r>
              <w:rPr>
                <w:rFonts w:hint="default"/>
                <w:lang w:val="en-US" w:eastAsia="zh-CN"/>
              </w:rPr>
              <w:t>根据</w:t>
            </w:r>
            <w:r>
              <w:rPr>
                <w:rFonts w:hint="eastAsia"/>
                <w:lang w:val="en-US" w:eastAsia="zh-CN"/>
              </w:rPr>
              <w:t>《</w:t>
            </w:r>
            <w:r>
              <w:rPr>
                <w:rFonts w:hint="default"/>
                <w:lang w:val="en-US" w:eastAsia="zh-CN"/>
              </w:rPr>
              <w:t>给水排水设计手册</w:t>
            </w:r>
            <w:r>
              <w:rPr>
                <w:rFonts w:hint="eastAsia"/>
                <w:lang w:val="en-US" w:eastAsia="zh-CN"/>
              </w:rPr>
              <w:t>》（</w:t>
            </w:r>
            <w:r>
              <w:rPr>
                <w:rFonts w:hint="default"/>
                <w:lang w:val="en-US" w:eastAsia="zh-CN"/>
              </w:rPr>
              <w:t>第5册</w:t>
            </w:r>
            <w:r>
              <w:rPr>
                <w:rFonts w:hint="eastAsia"/>
                <w:lang w:val="en-US" w:eastAsia="zh-CN"/>
              </w:rPr>
              <w:t>）</w:t>
            </w:r>
            <w:r>
              <w:rPr>
                <w:rFonts w:hint="default"/>
                <w:lang w:val="en-US" w:eastAsia="zh-CN"/>
              </w:rPr>
              <w:t>中城镇污水水质，生活污水中各主要污染物浓度COD：400mg/L，BOD</w:t>
            </w:r>
            <w:r>
              <w:rPr>
                <w:rFonts w:hint="default"/>
                <w:vertAlign w:val="subscript"/>
                <w:lang w:val="en-US" w:eastAsia="zh-CN"/>
              </w:rPr>
              <w:t>5</w:t>
            </w:r>
            <w:r>
              <w:rPr>
                <w:rFonts w:hint="eastAsia"/>
                <w:vertAlign w:val="subscript"/>
                <w:lang w:val="en-US" w:eastAsia="zh-CN"/>
              </w:rPr>
              <w:t>:</w:t>
            </w:r>
            <w:r>
              <w:rPr>
                <w:rFonts w:hint="default"/>
                <w:lang w:val="en-US" w:eastAsia="zh-CN"/>
              </w:rPr>
              <w:t>220mg/L，SS：200mg/L，NH</w:t>
            </w:r>
            <w:r>
              <w:rPr>
                <w:rFonts w:hint="eastAsia"/>
                <w:vertAlign w:val="subscript"/>
                <w:lang w:val="en-US" w:eastAsia="zh-CN"/>
              </w:rPr>
              <w:t>3</w:t>
            </w:r>
            <w:r>
              <w:rPr>
                <w:rFonts w:hint="default"/>
                <w:lang w:val="en-US" w:eastAsia="zh-CN"/>
              </w:rPr>
              <w:t>-N：35mg/L</w:t>
            </w:r>
            <w:r>
              <w:rPr>
                <w:rFonts w:hint="eastAsia"/>
              </w:rPr>
              <w:t>。项目属于福清融元污水处理厂服务范围，项目生活污水经出租方现有的化粪池处理</w:t>
            </w:r>
            <w:r>
              <w:rPr>
                <w:rFonts w:hint="eastAsia"/>
                <w:lang w:eastAsia="zh-CN"/>
              </w:rPr>
              <w:t>达到</w:t>
            </w:r>
            <w:r>
              <w:rPr>
                <w:rFonts w:hint="eastAsia"/>
              </w:rPr>
              <w:t>《污水综合排放标准》（GB8978-1996）三级标准</w:t>
            </w:r>
            <w:r>
              <w:rPr>
                <w:rFonts w:hint="eastAsia"/>
                <w:lang w:eastAsia="zh-CN"/>
              </w:rPr>
              <w:t>（</w:t>
            </w:r>
            <w:r>
              <w:rPr>
                <w:rFonts w:hint="eastAsia"/>
              </w:rPr>
              <w:t>氨氮达到《污水排入城镇下水道水质标准》（GB/T31962-2015）B级标准</w:t>
            </w:r>
            <w:r>
              <w:rPr>
                <w:rFonts w:hint="eastAsia"/>
                <w:lang w:eastAsia="zh-CN"/>
              </w:rPr>
              <w:t>）</w:t>
            </w:r>
            <w:r>
              <w:rPr>
                <w:rFonts w:hint="eastAsia"/>
              </w:rPr>
              <w:t>后，接入</w:t>
            </w:r>
            <w:r>
              <w:rPr>
                <w:rFonts w:hint="eastAsia"/>
                <w:lang w:val="en-US" w:eastAsia="zh-CN"/>
              </w:rPr>
              <w:t>市政</w:t>
            </w:r>
            <w:r>
              <w:rPr>
                <w:rFonts w:hint="eastAsia"/>
              </w:rPr>
              <w:t>污水管网</w:t>
            </w:r>
            <w:r>
              <w:rPr>
                <w:rFonts w:hint="eastAsia"/>
                <w:lang w:eastAsia="zh-CN"/>
              </w:rPr>
              <w:t>，</w:t>
            </w:r>
            <w:r>
              <w:rPr>
                <w:rFonts w:hint="eastAsia"/>
                <w:lang w:val="en-US" w:eastAsia="zh-CN"/>
              </w:rPr>
              <w:t>最终排入福清融元污水处理厂处理统一处理</w:t>
            </w:r>
            <w:r>
              <w:rPr>
                <w:rFonts w:hint="eastAsia"/>
              </w:rPr>
              <w:t>。各污染物产生排放情况见表4.</w:t>
            </w:r>
            <w:r>
              <w:rPr>
                <w:rFonts w:hint="eastAsia"/>
                <w:lang w:val="en-US" w:eastAsia="zh-CN"/>
              </w:rPr>
              <w:t>1</w:t>
            </w:r>
            <w:r>
              <w:rPr>
                <w:rFonts w:hint="eastAsia"/>
              </w:rPr>
              <w:t>-1。</w:t>
            </w:r>
          </w:p>
          <w:p w14:paraId="46723264">
            <w:pPr>
              <w:pStyle w:val="40"/>
              <w:keepNext/>
              <w:keepLines/>
              <w:pageBreakBefore w:val="0"/>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rPr>
            </w:pPr>
            <w:r>
              <w:rPr>
                <w:rFonts w:hint="default"/>
              </w:rPr>
              <w:t>表4.</w:t>
            </w:r>
            <w:r>
              <w:rPr>
                <w:rFonts w:hint="default"/>
                <w:lang w:val="en-US" w:eastAsia="zh-CN"/>
              </w:rPr>
              <w:t>1</w:t>
            </w:r>
            <w:r>
              <w:rPr>
                <w:rFonts w:hint="default"/>
              </w:rPr>
              <w:t>-1  项目污水污染源源强核算结果及相关参数一览表</w:t>
            </w:r>
          </w:p>
          <w:tbl>
            <w:tblPr>
              <w:tblStyle w:val="30"/>
              <w:tblW w:w="0" w:type="auto"/>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23"/>
              <w:gridCol w:w="2579"/>
              <w:gridCol w:w="864"/>
              <w:gridCol w:w="864"/>
              <w:gridCol w:w="864"/>
              <w:gridCol w:w="882"/>
            </w:tblGrid>
            <w:tr w14:paraId="4C3712F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7" w:hRule="atLeast"/>
                <w:jc w:val="center"/>
              </w:trPr>
              <w:tc>
                <w:tcPr>
                  <w:tcW w:w="2023" w:type="dxa"/>
                  <w:tcBorders>
                    <w:top w:val="single" w:color="000000" w:sz="12" w:space="0"/>
                    <w:left w:val="nil"/>
                    <w:tl2br w:val="nil"/>
                  </w:tcBorders>
                  <w:shd w:val="clear" w:color="auto" w:fill="auto"/>
                  <w:vAlign w:val="center"/>
                </w:tcPr>
                <w:p w14:paraId="378DAF0F">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废水量</w:t>
                  </w:r>
                </w:p>
              </w:tc>
              <w:tc>
                <w:tcPr>
                  <w:tcW w:w="2579" w:type="dxa"/>
                  <w:tcBorders>
                    <w:top w:val="single" w:color="000000" w:sz="12" w:space="0"/>
                  </w:tcBorders>
                  <w:shd w:val="clear" w:color="auto" w:fill="auto"/>
                  <w:vAlign w:val="center"/>
                </w:tcPr>
                <w:p w14:paraId="51294ADE">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项目</w:t>
                  </w:r>
                </w:p>
              </w:tc>
              <w:tc>
                <w:tcPr>
                  <w:tcW w:w="864" w:type="dxa"/>
                  <w:tcBorders>
                    <w:top w:val="single" w:color="000000" w:sz="12" w:space="0"/>
                  </w:tcBorders>
                  <w:shd w:val="clear" w:color="auto" w:fill="auto"/>
                  <w:vAlign w:val="center"/>
                </w:tcPr>
                <w:p w14:paraId="2CC43D29">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COD</w:t>
                  </w:r>
                </w:p>
              </w:tc>
              <w:tc>
                <w:tcPr>
                  <w:tcW w:w="864" w:type="dxa"/>
                  <w:tcBorders>
                    <w:top w:val="single" w:color="000000" w:sz="12" w:space="0"/>
                  </w:tcBorders>
                  <w:shd w:val="clear" w:color="auto" w:fill="auto"/>
                  <w:vAlign w:val="center"/>
                </w:tcPr>
                <w:p w14:paraId="30F9F8AF">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BOD</w:t>
                  </w:r>
                  <w:r>
                    <w:rPr>
                      <w:rFonts w:hint="eastAsia"/>
                      <w:b w:val="0"/>
                      <w:color w:val="000000"/>
                      <w:szCs w:val="22"/>
                      <w:vertAlign w:val="subscript"/>
                      <w:lang w:val="en-US" w:eastAsia="zh-CN"/>
                    </w:rPr>
                    <w:t>5</w:t>
                  </w:r>
                </w:p>
              </w:tc>
              <w:tc>
                <w:tcPr>
                  <w:tcW w:w="864" w:type="dxa"/>
                  <w:tcBorders>
                    <w:top w:val="single" w:color="000000" w:sz="12" w:space="0"/>
                  </w:tcBorders>
                  <w:shd w:val="clear" w:color="auto" w:fill="auto"/>
                  <w:vAlign w:val="center"/>
                </w:tcPr>
                <w:p w14:paraId="107C421D">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SS</w:t>
                  </w:r>
                </w:p>
              </w:tc>
              <w:tc>
                <w:tcPr>
                  <w:tcW w:w="882" w:type="dxa"/>
                  <w:tcBorders>
                    <w:top w:val="single" w:color="000000" w:sz="12" w:space="0"/>
                    <w:right w:val="nil"/>
                  </w:tcBorders>
                  <w:shd w:val="clear" w:color="auto" w:fill="auto"/>
                  <w:vAlign w:val="center"/>
                </w:tcPr>
                <w:p w14:paraId="4C066242">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NH</w:t>
                  </w:r>
                  <w:r>
                    <w:rPr>
                      <w:rFonts w:hint="eastAsia"/>
                      <w:b w:val="0"/>
                      <w:color w:val="000000"/>
                      <w:szCs w:val="22"/>
                      <w:vertAlign w:val="subscript"/>
                      <w:lang w:val="en-US" w:eastAsia="zh-CN"/>
                    </w:rPr>
                    <w:t>3</w:t>
                  </w:r>
                  <w:r>
                    <w:rPr>
                      <w:rFonts w:hint="eastAsia"/>
                      <w:b w:val="0"/>
                      <w:color w:val="000000"/>
                      <w:szCs w:val="22"/>
                      <w:lang w:val="en-US" w:eastAsia="zh-CN"/>
                    </w:rPr>
                    <w:t>-N</w:t>
                  </w:r>
                </w:p>
              </w:tc>
            </w:tr>
            <w:tr w14:paraId="7F3150A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3" w:type="dxa"/>
                  <w:vMerge w:val="restart"/>
                  <w:tcBorders>
                    <w:left w:val="nil"/>
                  </w:tcBorders>
                  <w:shd w:val="clear" w:color="auto" w:fill="auto"/>
                  <w:vAlign w:val="center"/>
                </w:tcPr>
                <w:p w14:paraId="2FFC6401">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生活用水（195t/a）</w:t>
                  </w:r>
                </w:p>
              </w:tc>
              <w:tc>
                <w:tcPr>
                  <w:tcW w:w="2579" w:type="dxa"/>
                  <w:shd w:val="clear" w:color="auto" w:fill="auto"/>
                  <w:vAlign w:val="center"/>
                </w:tcPr>
                <w:p w14:paraId="5E769F6F">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污染物产生浓度（mg/L）</w:t>
                  </w:r>
                </w:p>
              </w:tc>
              <w:tc>
                <w:tcPr>
                  <w:tcW w:w="864" w:type="dxa"/>
                  <w:shd w:val="clear" w:color="auto" w:fill="auto"/>
                  <w:vAlign w:val="center"/>
                </w:tcPr>
                <w:p w14:paraId="4B9A77F7">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400</w:t>
                  </w:r>
                </w:p>
              </w:tc>
              <w:tc>
                <w:tcPr>
                  <w:tcW w:w="864" w:type="dxa"/>
                  <w:shd w:val="clear" w:color="auto" w:fill="auto"/>
                  <w:vAlign w:val="center"/>
                </w:tcPr>
                <w:p w14:paraId="0F6B5E1F">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220</w:t>
                  </w:r>
                </w:p>
              </w:tc>
              <w:tc>
                <w:tcPr>
                  <w:tcW w:w="864" w:type="dxa"/>
                  <w:shd w:val="clear" w:color="auto" w:fill="auto"/>
                  <w:vAlign w:val="center"/>
                </w:tcPr>
                <w:p w14:paraId="50B76003">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200</w:t>
                  </w:r>
                </w:p>
              </w:tc>
              <w:tc>
                <w:tcPr>
                  <w:tcW w:w="882" w:type="dxa"/>
                  <w:tcBorders>
                    <w:right w:val="nil"/>
                  </w:tcBorders>
                  <w:shd w:val="clear" w:color="auto" w:fill="auto"/>
                  <w:vAlign w:val="center"/>
                </w:tcPr>
                <w:p w14:paraId="54215545">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35</w:t>
                  </w:r>
                </w:p>
              </w:tc>
            </w:tr>
            <w:tr w14:paraId="3D8B27F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023" w:type="dxa"/>
                  <w:vMerge w:val="continue"/>
                  <w:tcBorders>
                    <w:left w:val="nil"/>
                  </w:tcBorders>
                  <w:shd w:val="clear" w:color="auto" w:fill="auto"/>
                  <w:vAlign w:val="center"/>
                </w:tcPr>
                <w:p w14:paraId="3FB35361">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p>
              </w:tc>
              <w:tc>
                <w:tcPr>
                  <w:tcW w:w="2579" w:type="dxa"/>
                  <w:shd w:val="clear" w:color="auto" w:fill="auto"/>
                  <w:vAlign w:val="center"/>
                </w:tcPr>
                <w:p w14:paraId="13151B58">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污染物产生量（t/a）</w:t>
                  </w:r>
                </w:p>
              </w:tc>
              <w:tc>
                <w:tcPr>
                  <w:tcW w:w="864" w:type="dxa"/>
                  <w:shd w:val="clear" w:color="auto" w:fill="auto"/>
                  <w:vAlign w:val="center"/>
                </w:tcPr>
                <w:p w14:paraId="2AF8CFBF">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0.0624</w:t>
                  </w:r>
                </w:p>
              </w:tc>
              <w:tc>
                <w:tcPr>
                  <w:tcW w:w="864" w:type="dxa"/>
                  <w:shd w:val="clear" w:color="auto" w:fill="auto"/>
                  <w:vAlign w:val="center"/>
                </w:tcPr>
                <w:p w14:paraId="252CB3B6">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0.0343</w:t>
                  </w:r>
                </w:p>
              </w:tc>
              <w:tc>
                <w:tcPr>
                  <w:tcW w:w="864" w:type="dxa"/>
                  <w:shd w:val="clear" w:color="auto" w:fill="auto"/>
                  <w:vAlign w:val="center"/>
                </w:tcPr>
                <w:p w14:paraId="6911445C">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0.0312</w:t>
                  </w:r>
                </w:p>
              </w:tc>
              <w:tc>
                <w:tcPr>
                  <w:tcW w:w="882" w:type="dxa"/>
                  <w:tcBorders>
                    <w:right w:val="nil"/>
                  </w:tcBorders>
                  <w:shd w:val="clear" w:color="auto" w:fill="auto"/>
                  <w:vAlign w:val="center"/>
                </w:tcPr>
                <w:p w14:paraId="66EC35CD">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0.0055</w:t>
                  </w:r>
                </w:p>
              </w:tc>
            </w:tr>
            <w:tr w14:paraId="7FF6A66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9" w:hRule="atLeast"/>
                <w:jc w:val="center"/>
              </w:trPr>
              <w:tc>
                <w:tcPr>
                  <w:tcW w:w="2023" w:type="dxa"/>
                  <w:tcBorders>
                    <w:left w:val="nil"/>
                  </w:tcBorders>
                  <w:shd w:val="clear" w:color="auto" w:fill="auto"/>
                  <w:vAlign w:val="center"/>
                </w:tcPr>
                <w:p w14:paraId="50D86A24">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处理措施</w:t>
                  </w:r>
                </w:p>
              </w:tc>
              <w:tc>
                <w:tcPr>
                  <w:tcW w:w="6053" w:type="dxa"/>
                  <w:gridSpan w:val="5"/>
                  <w:tcBorders>
                    <w:right w:val="nil"/>
                  </w:tcBorders>
                  <w:shd w:val="clear" w:color="auto" w:fill="auto"/>
                  <w:vAlign w:val="center"/>
                </w:tcPr>
                <w:p w14:paraId="466516BB">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依托厂区现有的化粪池处理达标后排入市政污水管网，最终进入福清市融元污水处理厂进行处理</w:t>
                  </w:r>
                </w:p>
              </w:tc>
            </w:tr>
            <w:tr w14:paraId="386D9EB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 w:hRule="atLeast"/>
                <w:jc w:val="center"/>
              </w:trPr>
              <w:tc>
                <w:tcPr>
                  <w:tcW w:w="2023" w:type="dxa"/>
                  <w:vMerge w:val="restart"/>
                  <w:tcBorders>
                    <w:left w:val="nil"/>
                  </w:tcBorders>
                  <w:shd w:val="clear" w:color="auto" w:fill="auto"/>
                  <w:vAlign w:val="center"/>
                </w:tcPr>
                <w:p w14:paraId="08D84B69">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生活污水（156t/a）</w:t>
                  </w:r>
                </w:p>
              </w:tc>
              <w:tc>
                <w:tcPr>
                  <w:tcW w:w="2579" w:type="dxa"/>
                  <w:shd w:val="clear" w:color="auto" w:fill="auto"/>
                  <w:vAlign w:val="center"/>
                </w:tcPr>
                <w:p w14:paraId="7B920095">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化粪池处理效率</w:t>
                  </w:r>
                </w:p>
              </w:tc>
              <w:tc>
                <w:tcPr>
                  <w:tcW w:w="864" w:type="dxa"/>
                  <w:shd w:val="clear" w:color="auto" w:fill="auto"/>
                  <w:vAlign w:val="center"/>
                </w:tcPr>
                <w:p w14:paraId="6156946E">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20.3%</w:t>
                  </w:r>
                </w:p>
              </w:tc>
              <w:tc>
                <w:tcPr>
                  <w:tcW w:w="864" w:type="dxa"/>
                  <w:shd w:val="clear" w:color="auto" w:fill="auto"/>
                  <w:vAlign w:val="center"/>
                </w:tcPr>
                <w:p w14:paraId="02F763ED">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21.2%</w:t>
                  </w:r>
                </w:p>
              </w:tc>
              <w:tc>
                <w:tcPr>
                  <w:tcW w:w="864" w:type="dxa"/>
                  <w:shd w:val="clear" w:color="auto" w:fill="auto"/>
                  <w:vAlign w:val="center"/>
                </w:tcPr>
                <w:p w14:paraId="60093B70">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47.0%</w:t>
                  </w:r>
                </w:p>
              </w:tc>
              <w:tc>
                <w:tcPr>
                  <w:tcW w:w="882" w:type="dxa"/>
                  <w:tcBorders>
                    <w:right w:val="nil"/>
                  </w:tcBorders>
                  <w:shd w:val="clear" w:color="auto" w:fill="auto"/>
                  <w:vAlign w:val="center"/>
                </w:tcPr>
                <w:p w14:paraId="6CFA9E22">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3.1%</w:t>
                  </w:r>
                </w:p>
              </w:tc>
            </w:tr>
            <w:tr w14:paraId="356492E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23" w:type="dxa"/>
                  <w:vMerge w:val="continue"/>
                  <w:tcBorders>
                    <w:left w:val="nil"/>
                  </w:tcBorders>
                  <w:shd w:val="clear" w:color="auto" w:fill="auto"/>
                  <w:vAlign w:val="center"/>
                </w:tcPr>
                <w:p w14:paraId="67555309">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p>
              </w:tc>
              <w:tc>
                <w:tcPr>
                  <w:tcW w:w="2579" w:type="dxa"/>
                  <w:shd w:val="clear" w:color="auto" w:fill="auto"/>
                  <w:vAlign w:val="center"/>
                </w:tcPr>
                <w:p w14:paraId="5B392F7B">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经化粪池处理后废水排放浓度（mg/L）</w:t>
                  </w:r>
                </w:p>
              </w:tc>
              <w:tc>
                <w:tcPr>
                  <w:tcW w:w="864" w:type="dxa"/>
                  <w:shd w:val="clear" w:color="auto" w:fill="auto"/>
                  <w:vAlign w:val="center"/>
                </w:tcPr>
                <w:p w14:paraId="374FBEBB">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318.8</w:t>
                  </w:r>
                </w:p>
              </w:tc>
              <w:tc>
                <w:tcPr>
                  <w:tcW w:w="864" w:type="dxa"/>
                  <w:shd w:val="clear" w:color="auto" w:fill="auto"/>
                  <w:vAlign w:val="center"/>
                </w:tcPr>
                <w:p w14:paraId="42C2BE9F">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173.4</w:t>
                  </w:r>
                </w:p>
              </w:tc>
              <w:tc>
                <w:tcPr>
                  <w:tcW w:w="864" w:type="dxa"/>
                  <w:shd w:val="clear" w:color="auto" w:fill="auto"/>
                  <w:vAlign w:val="center"/>
                </w:tcPr>
                <w:p w14:paraId="6DE694A3">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106</w:t>
                  </w:r>
                </w:p>
              </w:tc>
              <w:tc>
                <w:tcPr>
                  <w:tcW w:w="882" w:type="dxa"/>
                  <w:tcBorders>
                    <w:right w:val="nil"/>
                  </w:tcBorders>
                  <w:shd w:val="clear" w:color="auto" w:fill="auto"/>
                  <w:vAlign w:val="center"/>
                </w:tcPr>
                <w:p w14:paraId="267F2C51">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33.9</w:t>
                  </w:r>
                </w:p>
              </w:tc>
            </w:tr>
            <w:tr w14:paraId="5CD5BE6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23" w:type="dxa"/>
                  <w:vMerge w:val="continue"/>
                  <w:tcBorders>
                    <w:left w:val="nil"/>
                  </w:tcBorders>
                  <w:shd w:val="clear" w:color="auto" w:fill="auto"/>
                  <w:vAlign w:val="center"/>
                </w:tcPr>
                <w:p w14:paraId="6E9301EE">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p>
              </w:tc>
              <w:tc>
                <w:tcPr>
                  <w:tcW w:w="2579" w:type="dxa"/>
                  <w:shd w:val="clear" w:color="auto" w:fill="auto"/>
                  <w:vAlign w:val="center"/>
                </w:tcPr>
                <w:p w14:paraId="1387DD82">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经化粪池处理后废水排放量（t/a）</w:t>
                  </w:r>
                </w:p>
              </w:tc>
              <w:tc>
                <w:tcPr>
                  <w:tcW w:w="864" w:type="dxa"/>
                  <w:shd w:val="clear" w:color="auto" w:fill="auto"/>
                  <w:vAlign w:val="center"/>
                </w:tcPr>
                <w:p w14:paraId="6FAF1D4C">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0.0497</w:t>
                  </w:r>
                </w:p>
              </w:tc>
              <w:tc>
                <w:tcPr>
                  <w:tcW w:w="864" w:type="dxa"/>
                  <w:shd w:val="clear" w:color="auto" w:fill="auto"/>
                  <w:vAlign w:val="center"/>
                </w:tcPr>
                <w:p w14:paraId="7BCD2126">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0.0271</w:t>
                  </w:r>
                </w:p>
              </w:tc>
              <w:tc>
                <w:tcPr>
                  <w:tcW w:w="864" w:type="dxa"/>
                  <w:shd w:val="clear" w:color="auto" w:fill="auto"/>
                  <w:vAlign w:val="center"/>
                </w:tcPr>
                <w:p w14:paraId="2B339AFB">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0.0165</w:t>
                  </w:r>
                </w:p>
              </w:tc>
              <w:tc>
                <w:tcPr>
                  <w:tcW w:w="882" w:type="dxa"/>
                  <w:tcBorders>
                    <w:right w:val="nil"/>
                  </w:tcBorders>
                  <w:shd w:val="clear" w:color="auto" w:fill="auto"/>
                  <w:vAlign w:val="center"/>
                </w:tcPr>
                <w:p w14:paraId="30C711BD">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0.0053</w:t>
                  </w:r>
                </w:p>
              </w:tc>
            </w:tr>
            <w:tr w14:paraId="35A9445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602" w:type="dxa"/>
                  <w:gridSpan w:val="2"/>
                  <w:tcBorders>
                    <w:left w:val="nil"/>
                  </w:tcBorders>
                  <w:shd w:val="clear" w:color="auto" w:fill="auto"/>
                  <w:vAlign w:val="center"/>
                </w:tcPr>
                <w:p w14:paraId="361FC5B5">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福清市融元污水处理厂纳污指标（mg/L）</w:t>
                  </w:r>
                </w:p>
              </w:tc>
              <w:tc>
                <w:tcPr>
                  <w:tcW w:w="864" w:type="dxa"/>
                  <w:shd w:val="clear" w:color="auto" w:fill="auto"/>
                  <w:vAlign w:val="center"/>
                </w:tcPr>
                <w:p w14:paraId="09D37360">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w:t>
                  </w:r>
                  <w:r>
                    <w:rPr>
                      <w:rFonts w:hint="eastAsia"/>
                      <w:b w:val="0"/>
                      <w:color w:val="000000"/>
                      <w:szCs w:val="22"/>
                      <w:lang w:val="en-US" w:eastAsia="zh-CN"/>
                    </w:rPr>
                    <w:t>400</w:t>
                  </w:r>
                </w:p>
              </w:tc>
              <w:tc>
                <w:tcPr>
                  <w:tcW w:w="864" w:type="dxa"/>
                  <w:shd w:val="clear" w:color="auto" w:fill="auto"/>
                  <w:vAlign w:val="center"/>
                </w:tcPr>
                <w:p w14:paraId="6DCE4D34">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w:t>
                  </w:r>
                  <w:r>
                    <w:rPr>
                      <w:rFonts w:hint="eastAsia"/>
                      <w:b w:val="0"/>
                      <w:color w:val="000000"/>
                      <w:szCs w:val="22"/>
                      <w:lang w:val="en-US" w:eastAsia="zh-CN"/>
                    </w:rPr>
                    <w:t>220</w:t>
                  </w:r>
                </w:p>
              </w:tc>
              <w:tc>
                <w:tcPr>
                  <w:tcW w:w="864" w:type="dxa"/>
                  <w:shd w:val="clear" w:color="auto" w:fill="auto"/>
                  <w:vAlign w:val="center"/>
                </w:tcPr>
                <w:p w14:paraId="35F59F5E">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≤2</w:t>
                  </w:r>
                  <w:r>
                    <w:rPr>
                      <w:rFonts w:hint="eastAsia"/>
                      <w:b w:val="0"/>
                      <w:color w:val="000000"/>
                      <w:szCs w:val="22"/>
                      <w:lang w:val="en-US" w:eastAsia="zh-CN"/>
                    </w:rPr>
                    <w:t>80</w:t>
                  </w:r>
                </w:p>
              </w:tc>
              <w:tc>
                <w:tcPr>
                  <w:tcW w:w="882" w:type="dxa"/>
                  <w:tcBorders>
                    <w:right w:val="nil"/>
                  </w:tcBorders>
                  <w:shd w:val="clear" w:color="auto" w:fill="auto"/>
                  <w:vAlign w:val="center"/>
                </w:tcPr>
                <w:p w14:paraId="6BEF1104">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w:t>
                  </w:r>
                  <w:r>
                    <w:rPr>
                      <w:rFonts w:hint="eastAsia"/>
                      <w:b w:val="0"/>
                      <w:color w:val="000000"/>
                      <w:szCs w:val="22"/>
                      <w:lang w:val="en-US" w:eastAsia="zh-CN"/>
                    </w:rPr>
                    <w:t>37</w:t>
                  </w:r>
                </w:p>
              </w:tc>
            </w:tr>
            <w:tr w14:paraId="27FF360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9" w:hRule="atLeast"/>
                <w:jc w:val="center"/>
              </w:trPr>
              <w:tc>
                <w:tcPr>
                  <w:tcW w:w="4602" w:type="dxa"/>
                  <w:gridSpan w:val="2"/>
                  <w:tcBorders>
                    <w:left w:val="nil"/>
                  </w:tcBorders>
                  <w:shd w:val="clear" w:color="auto" w:fill="auto"/>
                  <w:vAlign w:val="center"/>
                </w:tcPr>
                <w:p w14:paraId="23FD8E90">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福清市融元污水处理厂尾水排放指标（mg/L）</w:t>
                  </w:r>
                </w:p>
              </w:tc>
              <w:tc>
                <w:tcPr>
                  <w:tcW w:w="864" w:type="dxa"/>
                  <w:shd w:val="clear" w:color="auto" w:fill="auto"/>
                  <w:vAlign w:val="center"/>
                </w:tcPr>
                <w:p w14:paraId="0DAE8E3D">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w:t>
                  </w:r>
                  <w:r>
                    <w:rPr>
                      <w:rFonts w:hint="eastAsia"/>
                      <w:b w:val="0"/>
                      <w:color w:val="000000"/>
                      <w:szCs w:val="22"/>
                      <w:lang w:val="en-US" w:eastAsia="zh-CN"/>
                    </w:rPr>
                    <w:t>50</w:t>
                  </w:r>
                </w:p>
              </w:tc>
              <w:tc>
                <w:tcPr>
                  <w:tcW w:w="864" w:type="dxa"/>
                  <w:shd w:val="clear" w:color="auto" w:fill="auto"/>
                  <w:vAlign w:val="center"/>
                </w:tcPr>
                <w:p w14:paraId="7DE7AF1D">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w:t>
                  </w:r>
                  <w:r>
                    <w:rPr>
                      <w:rFonts w:hint="eastAsia"/>
                      <w:b w:val="0"/>
                      <w:color w:val="000000"/>
                      <w:szCs w:val="22"/>
                      <w:lang w:val="en-US" w:eastAsia="zh-CN"/>
                    </w:rPr>
                    <w:t>10</w:t>
                  </w:r>
                </w:p>
              </w:tc>
              <w:tc>
                <w:tcPr>
                  <w:tcW w:w="864" w:type="dxa"/>
                  <w:shd w:val="clear" w:color="auto" w:fill="auto"/>
                  <w:vAlign w:val="center"/>
                </w:tcPr>
                <w:p w14:paraId="4D5AA774">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w:t>
                  </w:r>
                  <w:r>
                    <w:rPr>
                      <w:rFonts w:hint="eastAsia"/>
                      <w:b w:val="0"/>
                      <w:color w:val="000000"/>
                      <w:szCs w:val="22"/>
                      <w:lang w:val="en-US" w:eastAsia="zh-CN"/>
                    </w:rPr>
                    <w:t>10</w:t>
                  </w:r>
                </w:p>
              </w:tc>
              <w:tc>
                <w:tcPr>
                  <w:tcW w:w="882" w:type="dxa"/>
                  <w:tcBorders>
                    <w:right w:val="nil"/>
                  </w:tcBorders>
                  <w:shd w:val="clear" w:color="auto" w:fill="auto"/>
                  <w:vAlign w:val="center"/>
                </w:tcPr>
                <w:p w14:paraId="53727BF8">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w:t>
                  </w:r>
                  <w:r>
                    <w:rPr>
                      <w:rFonts w:hint="eastAsia"/>
                      <w:b w:val="0"/>
                      <w:color w:val="000000"/>
                      <w:szCs w:val="22"/>
                      <w:lang w:val="en-US" w:eastAsia="zh-CN"/>
                    </w:rPr>
                    <w:t>5</w:t>
                  </w:r>
                </w:p>
              </w:tc>
            </w:tr>
            <w:tr w14:paraId="5A478CF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602" w:type="dxa"/>
                  <w:gridSpan w:val="2"/>
                  <w:tcBorders>
                    <w:left w:val="nil"/>
                    <w:bottom w:val="single" w:color="000000" w:sz="12" w:space="0"/>
                  </w:tcBorders>
                  <w:shd w:val="clear" w:color="auto" w:fill="auto"/>
                  <w:vAlign w:val="center"/>
                </w:tcPr>
                <w:p w14:paraId="06B9F766">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排口排放达标分析</w:t>
                  </w:r>
                </w:p>
              </w:tc>
              <w:tc>
                <w:tcPr>
                  <w:tcW w:w="864" w:type="dxa"/>
                  <w:tcBorders>
                    <w:bottom w:val="single" w:color="000000" w:sz="12" w:space="0"/>
                  </w:tcBorders>
                  <w:shd w:val="clear" w:color="auto" w:fill="auto"/>
                  <w:vAlign w:val="center"/>
                </w:tcPr>
                <w:p w14:paraId="1A1DB11F">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达标</w:t>
                  </w:r>
                </w:p>
              </w:tc>
              <w:tc>
                <w:tcPr>
                  <w:tcW w:w="864" w:type="dxa"/>
                  <w:tcBorders>
                    <w:bottom w:val="single" w:color="000000" w:sz="12" w:space="0"/>
                  </w:tcBorders>
                  <w:shd w:val="clear" w:color="auto" w:fill="auto"/>
                  <w:vAlign w:val="center"/>
                </w:tcPr>
                <w:p w14:paraId="28DE890D">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达标</w:t>
                  </w:r>
                </w:p>
              </w:tc>
              <w:tc>
                <w:tcPr>
                  <w:tcW w:w="864" w:type="dxa"/>
                  <w:tcBorders>
                    <w:bottom w:val="single" w:color="000000" w:sz="12" w:space="0"/>
                  </w:tcBorders>
                  <w:shd w:val="clear" w:color="auto" w:fill="auto"/>
                  <w:vAlign w:val="center"/>
                </w:tcPr>
                <w:p w14:paraId="05D36B72">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达标</w:t>
                  </w:r>
                </w:p>
              </w:tc>
              <w:tc>
                <w:tcPr>
                  <w:tcW w:w="882" w:type="dxa"/>
                  <w:tcBorders>
                    <w:bottom w:val="single" w:color="000000" w:sz="12" w:space="0"/>
                    <w:right w:val="nil"/>
                  </w:tcBorders>
                  <w:shd w:val="clear" w:color="auto" w:fill="auto"/>
                  <w:vAlign w:val="center"/>
                </w:tcPr>
                <w:p w14:paraId="5559C9A8">
                  <w:pPr>
                    <w:pStyle w:val="39"/>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达标</w:t>
                  </w:r>
                </w:p>
              </w:tc>
            </w:tr>
          </w:tbl>
          <w:p w14:paraId="7EDF3AEA">
            <w:pPr>
              <w:keepNext/>
              <w:keepLines/>
              <w:pageBreakBefore w:val="0"/>
              <w:suppressLineNumbers w:val="0"/>
              <w:kinsoku w:val="0"/>
              <w:wordWrap/>
              <w:overflowPunct w:val="0"/>
              <w:topLinePunct w:val="0"/>
              <w:autoSpaceDE w:val="0"/>
              <w:autoSpaceDN w:val="0"/>
              <w:bidi w:val="0"/>
              <w:snapToGrid w:val="0"/>
              <w:spacing w:before="0" w:beforeAutospacing="0" w:after="0" w:afterAutospacing="0" w:line="360" w:lineRule="auto"/>
              <w:ind w:left="0" w:right="0" w:firstLine="480"/>
              <w:textAlignment w:val="auto"/>
              <w:rPr>
                <w:rFonts w:hint="eastAsia"/>
              </w:rPr>
            </w:pPr>
            <w:r>
              <w:rPr>
                <w:rFonts w:hint="eastAsia"/>
                <w:color w:val="auto"/>
                <w:szCs w:val="21"/>
              </w:rPr>
              <w:t>备注：COD、BOD</w:t>
            </w:r>
            <w:r>
              <w:rPr>
                <w:rFonts w:hint="eastAsia"/>
                <w:color w:val="auto"/>
                <w:szCs w:val="21"/>
                <w:vertAlign w:val="subscript"/>
              </w:rPr>
              <w:t>5</w:t>
            </w:r>
            <w:r>
              <w:rPr>
                <w:rFonts w:hint="eastAsia"/>
                <w:color w:val="auto"/>
                <w:szCs w:val="21"/>
              </w:rPr>
              <w:t>、氨氮的去除率参照《第一次全国污染源普查城镇生活</w:t>
            </w:r>
            <w:r>
              <w:rPr>
                <w:rFonts w:hint="eastAsia"/>
                <w:color w:val="auto"/>
                <w:szCs w:val="21"/>
                <w:lang w:eastAsia="zh-CN"/>
              </w:rPr>
              <w:t>污</w:t>
            </w:r>
            <w:r>
              <w:rPr>
                <w:rFonts w:hint="eastAsia"/>
                <w:color w:val="auto"/>
                <w:szCs w:val="21"/>
              </w:rPr>
              <w:t>染源产排污系数手册》中</w:t>
            </w:r>
            <w:r>
              <w:rPr>
                <w:rFonts w:hint="eastAsia"/>
                <w:color w:val="auto"/>
                <w:szCs w:val="21"/>
                <w:lang w:eastAsia="zh-CN"/>
              </w:rPr>
              <w:t>“</w:t>
            </w:r>
            <w:r>
              <w:rPr>
                <w:rFonts w:hint="eastAsia"/>
                <w:color w:val="auto"/>
                <w:szCs w:val="21"/>
              </w:rPr>
              <w:t>二区一类区生活污水</w:t>
            </w:r>
            <w:r>
              <w:rPr>
                <w:rFonts w:hint="eastAsia"/>
                <w:color w:val="auto"/>
                <w:szCs w:val="21"/>
                <w:lang w:eastAsia="zh-CN"/>
              </w:rPr>
              <w:t>”</w:t>
            </w:r>
            <w:r>
              <w:rPr>
                <w:rFonts w:hint="eastAsia"/>
                <w:color w:val="auto"/>
                <w:szCs w:val="21"/>
              </w:rPr>
              <w:t>经化粪池预处理后的推荐数据，去除效率分别为20.3%、21.2%、3.1%，SS参照刘毅梁发表的《武汉市住宅小区化粪池污染物去除效果调查与分析》中得出的结论</w:t>
            </w:r>
            <w:r>
              <w:rPr>
                <w:rFonts w:hint="eastAsia"/>
                <w:color w:val="auto"/>
                <w:szCs w:val="21"/>
                <w:lang w:eastAsia="zh-CN"/>
              </w:rPr>
              <w:t>，</w:t>
            </w:r>
            <w:r>
              <w:rPr>
                <w:rFonts w:hint="eastAsia"/>
                <w:color w:val="auto"/>
                <w:szCs w:val="21"/>
              </w:rPr>
              <w:t>去除率</w:t>
            </w:r>
            <w:r>
              <w:rPr>
                <w:rFonts w:hint="eastAsia"/>
                <w:color w:val="auto"/>
                <w:szCs w:val="21"/>
                <w:lang w:val="en-US" w:eastAsia="zh-CN"/>
              </w:rPr>
              <w:t>取</w:t>
            </w:r>
            <w:r>
              <w:rPr>
                <w:rFonts w:hint="eastAsia"/>
                <w:color w:val="auto"/>
                <w:szCs w:val="21"/>
              </w:rPr>
              <w:t>47%。</w:t>
            </w:r>
          </w:p>
        </w:tc>
      </w:tr>
      <w:tr w14:paraId="0F53B5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dxa"/>
            <w:noWrap w:val="0"/>
            <w:tcMar>
              <w:left w:w="28" w:type="dxa"/>
              <w:right w:w="28" w:type="dxa"/>
            </w:tcMar>
            <w:vAlign w:val="center"/>
          </w:tcPr>
          <w:p w14:paraId="36E1F6E3">
            <w:pPr>
              <w:pStyle w:val="41"/>
              <w:keepNext w:val="0"/>
              <w:keepLines w:val="0"/>
              <w:suppressLineNumbers w:val="0"/>
              <w:bidi w:val="0"/>
              <w:spacing w:before="0" w:beforeAutospacing="0" w:after="0" w:afterAutospacing="0"/>
              <w:ind w:left="0" w:right="0"/>
              <w:rPr>
                <w:rFonts w:hint="eastAsia"/>
              </w:rPr>
            </w:pPr>
            <w:r>
              <w:rPr>
                <w:rFonts w:hint="eastAsia"/>
              </w:rPr>
              <w:t>运营期环境影响和保护措施</w:t>
            </w:r>
          </w:p>
        </w:tc>
        <w:tc>
          <w:tcPr>
            <w:tcW w:w="8583" w:type="dxa"/>
            <w:vMerge w:val="restart"/>
            <w:noWrap w:val="0"/>
            <w:vAlign w:val="center"/>
          </w:tcPr>
          <w:p w14:paraId="6206F768">
            <w:pPr>
              <w:pStyle w:val="4"/>
              <w:suppressLineNumbers w:val="0"/>
              <w:bidi w:val="0"/>
              <w:spacing w:before="0" w:beforeAutospacing="0" w:after="0" w:afterAutospacing="0"/>
              <w:ind w:left="0" w:right="0"/>
              <w:rPr>
                <w:rFonts w:hint="eastAsia"/>
              </w:rPr>
            </w:pPr>
            <w:r>
              <w:rPr>
                <w:rFonts w:hint="eastAsia"/>
              </w:rPr>
              <w:t>运营期水环境影响及污染防治措施可行性分析</w:t>
            </w:r>
          </w:p>
          <w:p w14:paraId="723A6B56">
            <w:pPr>
              <w:keepNext w:val="0"/>
              <w:keepLines w:val="0"/>
              <w:suppressLineNumbers w:val="0"/>
              <w:bidi w:val="0"/>
              <w:spacing w:before="0" w:beforeAutospacing="0" w:after="0" w:afterAutospacing="0"/>
              <w:ind w:left="0" w:right="0"/>
              <w:rPr>
                <w:rFonts w:hint="default"/>
                <w:lang w:val="en-US" w:eastAsia="zh-CN"/>
              </w:rPr>
            </w:pPr>
            <w:r>
              <w:rPr>
                <w:rFonts w:hint="eastAsia"/>
                <w:lang w:eastAsia="zh-CN"/>
              </w:rPr>
              <w:t>（</w:t>
            </w:r>
            <w:r>
              <w:rPr>
                <w:rFonts w:hint="eastAsia"/>
                <w:lang w:val="en-US" w:eastAsia="zh-CN"/>
              </w:rPr>
              <w:t>1</w:t>
            </w:r>
            <w:r>
              <w:rPr>
                <w:rFonts w:hint="eastAsia"/>
                <w:lang w:eastAsia="zh-CN"/>
              </w:rPr>
              <w:t>）喷漆废水循环使用可行性分析</w:t>
            </w:r>
          </w:p>
          <w:p w14:paraId="57B254EA">
            <w:pPr>
              <w:keepNext w:val="0"/>
              <w:keepLines w:val="0"/>
              <w:suppressLineNumbers w:val="0"/>
              <w:bidi w:val="0"/>
              <w:spacing w:before="0" w:beforeAutospacing="0" w:after="0" w:afterAutospacing="0"/>
              <w:ind w:left="0" w:right="0"/>
              <w:rPr>
                <w:rFonts w:hint="eastAsia" w:eastAsia="宋体" w:cs="宋体"/>
                <w:color w:val="auto"/>
                <w:lang w:eastAsia="zh-CN"/>
              </w:rPr>
            </w:pPr>
            <w:r>
              <w:rPr>
                <w:rFonts w:hint="eastAsia" w:ascii="宋体" w:hAnsi="宋体" w:eastAsia="宋体" w:cs="宋体"/>
                <w:sz w:val="24"/>
                <w:szCs w:val="24"/>
              </w:rPr>
              <w:t>项目设置9台水帘柜，喷漆废水经沉淀预处理后，</w:t>
            </w:r>
            <w:r>
              <w:rPr>
                <w:rStyle w:val="33"/>
                <w:rFonts w:hint="eastAsia" w:ascii="宋体" w:hAnsi="宋体" w:eastAsia="宋体" w:cs="宋体"/>
                <w:sz w:val="24"/>
                <w:szCs w:val="24"/>
              </w:rPr>
              <w:t>上清液全部回用于水帘柜循环系统</w:t>
            </w:r>
            <w:r>
              <w:rPr>
                <w:rFonts w:hint="eastAsia" w:ascii="宋体" w:hAnsi="宋体" w:eastAsia="宋体" w:cs="宋体"/>
                <w:sz w:val="24"/>
                <w:szCs w:val="24"/>
              </w:rPr>
              <w:t>，仅对蒸发损耗部分进行补水。回用水水质满足水帘柜循环使用及《城市污水再生利用 工业用水水质》（GB/T 19923-2005）工艺要求</w:t>
            </w:r>
            <w:r>
              <w:rPr>
                <w:rFonts w:hint="eastAsia" w:ascii="宋体" w:hAnsi="宋体" w:eastAsia="宋体" w:cs="宋体"/>
                <w:sz w:val="24"/>
                <w:szCs w:val="24"/>
                <w:lang w:eastAsia="zh-CN"/>
              </w:rPr>
              <w:t>。</w:t>
            </w:r>
          </w:p>
          <w:p w14:paraId="4B669105">
            <w:pPr>
              <w:keepNext w:val="0"/>
              <w:keepLines w:val="0"/>
              <w:suppressLineNumbers w:val="0"/>
              <w:bidi w:val="0"/>
              <w:spacing w:before="0" w:beforeAutospacing="0" w:after="0" w:afterAutospacing="0"/>
              <w:ind w:left="0" w:right="0"/>
              <w:rPr>
                <w:rFonts w:hint="eastAsia"/>
                <w:b w:val="0"/>
                <w:bCs w:val="0"/>
                <w:iCs w:val="0"/>
              </w:rPr>
            </w:pPr>
            <w:r>
              <w:rPr>
                <w:rFonts w:hint="eastAsia" w:ascii="宋体" w:hAnsi="宋体" w:eastAsia="宋体" w:cs="宋体"/>
                <w:sz w:val="24"/>
                <w:szCs w:val="24"/>
              </w:rPr>
              <w:t>喷漆过程中漆雾由循环水捕集截留，有效减少无组织排放。循环更换废水及漆渣属于危险废物，项目按《危险废物贮存污染控制标准》（GB18597-2023）设置专用暂存设施，建立台账及转移联单制度，定期委托有资质单位处置，</w:t>
            </w:r>
            <w:r>
              <w:rPr>
                <w:rStyle w:val="33"/>
                <w:rFonts w:hint="eastAsia" w:ascii="宋体" w:hAnsi="宋体" w:eastAsia="宋体" w:cs="宋体"/>
                <w:sz w:val="24"/>
                <w:szCs w:val="24"/>
              </w:rPr>
              <w:t>废水不外排</w:t>
            </w:r>
            <w:r>
              <w:rPr>
                <w:rFonts w:hint="eastAsia" w:ascii="宋体" w:hAnsi="宋体" w:eastAsia="宋体" w:cs="宋体"/>
                <w:sz w:val="24"/>
                <w:szCs w:val="24"/>
              </w:rPr>
              <w:t>，可有效防控水环境风险，满足环保管理及排放标准要求。</w:t>
            </w:r>
          </w:p>
          <w:p w14:paraId="5FB17943">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w:t>
            </w:r>
            <w:r>
              <w:rPr>
                <w:rFonts w:hint="eastAsia"/>
                <w:b w:val="0"/>
                <w:bCs w:val="0"/>
                <w:iCs w:val="0"/>
                <w:lang w:val="en-US" w:eastAsia="zh-CN"/>
              </w:rPr>
              <w:t>2</w:t>
            </w:r>
            <w:r>
              <w:rPr>
                <w:rFonts w:hint="eastAsia"/>
                <w:b w:val="0"/>
                <w:bCs w:val="0"/>
                <w:iCs w:val="0"/>
              </w:rPr>
              <w:t>）化粪池治理措施可行性分析</w:t>
            </w:r>
          </w:p>
          <w:p w14:paraId="4C288BC0">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三级化粪池是化粪池的一种，由一级池中部通过管道上弯转入下一级池中进行二次净化，再由二次净化后的粪水再导入下一级再次净化，这样经过三次净化后就已全部化尽为水。</w:t>
            </w:r>
          </w:p>
          <w:p w14:paraId="54450BB5">
            <w:pPr>
              <w:keepNext w:val="0"/>
              <w:keepLines w:val="0"/>
              <w:suppressLineNumbers w:val="0"/>
              <w:spacing w:before="0" w:beforeAutospacing="0" w:after="0" w:afterAutospacing="0"/>
              <w:ind w:left="0" w:right="0" w:firstLine="480" w:firstLineChars="200"/>
              <w:jc w:val="both"/>
              <w:rPr>
                <w:rFonts w:hint="eastAsia"/>
                <w:b w:val="0"/>
                <w:bCs w:val="0"/>
                <w:iCs w:val="0"/>
                <w:color w:val="auto"/>
              </w:rPr>
            </w:pPr>
            <w:r>
              <w:rPr>
                <w:rFonts w:hint="eastAsia"/>
                <w:b w:val="0"/>
                <w:bCs w:val="0"/>
                <w:iCs w:val="0"/>
                <w:color w:val="auto"/>
              </w:rPr>
              <w:t>三级化粪池原理：新鲜粪便由进粪口进入第一池，池内粪便开始发酵分解、因比重不同粪液可自然分为三层，上层为糊状粪皮，下层为块状或颗状粪渣，中层为比较澄清的粪液。在上层粪皮和下层粪渣中含细菌和寄生虫卵最多，中层含虫卵最少，初步发酵的中层粪液经过粪管溢流至第二池，而将大部分未经充分发酵的粪皮和粪渣阻留在第一池内继续发酵。流入第二池的粪液进一步发酵分解，虫卵继续下沉，病原体逐渐死亡，粪液得到进一步无害化，产生的粪皮和粪厚度比第一池显著减少。流入第三池的粪液一般已经腐熟，其中病菌和寄生虫卵已基本杀灭。第三池功能主要起储存已基本无害化的粪液作用。</w:t>
            </w:r>
          </w:p>
          <w:p w14:paraId="39E9F40D">
            <w:pPr>
              <w:keepNext w:val="0"/>
              <w:keepLines w:val="0"/>
              <w:suppressLineNumbers w:val="0"/>
              <w:bidi w:val="0"/>
              <w:spacing w:before="0" w:beforeAutospacing="0" w:after="0" w:afterAutospacing="0"/>
              <w:ind w:left="0" w:right="0"/>
              <w:rPr>
                <w:rFonts w:hint="default"/>
              </w:rPr>
            </w:pPr>
            <w:r>
              <w:rPr>
                <w:rFonts w:hint="eastAsia"/>
                <w:lang w:val="en-US" w:eastAsia="zh-CN"/>
              </w:rPr>
              <w:t>园区内现有化粪池大小6m</w:t>
            </w:r>
            <w:r>
              <w:rPr>
                <w:rFonts w:hint="eastAsia"/>
                <w:vertAlign w:val="superscript"/>
                <w:lang w:val="en-US" w:eastAsia="zh-CN"/>
              </w:rPr>
              <w:t>3</w:t>
            </w:r>
            <w:r>
              <w:rPr>
                <w:rFonts w:hint="default"/>
              </w:rPr>
              <w:t>，根据调查，目前</w:t>
            </w:r>
            <w:r>
              <w:rPr>
                <w:rFonts w:hint="eastAsia"/>
                <w:lang w:val="en-US" w:eastAsia="zh-CN"/>
              </w:rPr>
              <w:t>园区内现有化粪池</w:t>
            </w:r>
            <w:r>
              <w:rPr>
                <w:rFonts w:hint="default"/>
              </w:rPr>
              <w:t>日平均处理规模约为</w:t>
            </w:r>
            <w:r>
              <w:rPr>
                <w:rFonts w:hint="eastAsia"/>
                <w:lang w:val="en-US" w:eastAsia="zh-CN"/>
              </w:rPr>
              <w:t>1.0</w:t>
            </w:r>
            <w:r>
              <w:rPr>
                <w:rFonts w:hint="default"/>
              </w:rPr>
              <w:t>m</w:t>
            </w:r>
            <w:r>
              <w:rPr>
                <w:rFonts w:hint="default"/>
                <w:vertAlign w:val="superscript"/>
              </w:rPr>
              <w:t>3</w:t>
            </w:r>
            <w:r>
              <w:rPr>
                <w:rFonts w:hint="default"/>
              </w:rPr>
              <w:t>/d</w:t>
            </w:r>
            <w:r>
              <w:rPr>
                <w:rFonts w:hint="eastAsia"/>
                <w:lang w:eastAsia="zh-CN"/>
              </w:rPr>
              <w:t>，</w:t>
            </w:r>
            <w:r>
              <w:rPr>
                <w:rFonts w:hint="eastAsia"/>
              </w:rPr>
              <w:t>剩余处理能力</w:t>
            </w:r>
            <w:r>
              <w:rPr>
                <w:rFonts w:hint="eastAsia"/>
                <w:lang w:val="en-US" w:eastAsia="zh-CN"/>
              </w:rPr>
              <w:t>5.0</w:t>
            </w:r>
            <w:r>
              <w:rPr>
                <w:rFonts w:hint="default"/>
              </w:rPr>
              <w:t>m³/d。</w:t>
            </w:r>
            <w:r>
              <w:rPr>
                <w:rFonts w:hint="eastAsia"/>
              </w:rPr>
              <w:t>本</w:t>
            </w:r>
            <w:r>
              <w:rPr>
                <w:rFonts w:hint="default"/>
              </w:rPr>
              <w:t>项目生活污水排放量</w:t>
            </w:r>
            <w:r>
              <w:rPr>
                <w:rFonts w:hint="eastAsia"/>
                <w:lang w:val="en-US" w:eastAsia="zh-CN"/>
              </w:rPr>
              <w:t>0.52</w:t>
            </w:r>
            <w:r>
              <w:rPr>
                <w:rFonts w:hint="default"/>
              </w:rPr>
              <w:t>t/d，仅占</w:t>
            </w:r>
            <w:r>
              <w:rPr>
                <w:rFonts w:hint="eastAsia"/>
                <w:lang w:val="en-US" w:eastAsia="zh-CN"/>
              </w:rPr>
              <w:t>园区内化粪池</w:t>
            </w:r>
            <w:r>
              <w:rPr>
                <w:rFonts w:hint="eastAsia"/>
              </w:rPr>
              <w:t>剩余</w:t>
            </w:r>
            <w:r>
              <w:rPr>
                <w:rFonts w:hint="default"/>
              </w:rPr>
              <w:t>处理</w:t>
            </w:r>
            <w:r>
              <w:rPr>
                <w:rFonts w:hint="eastAsia"/>
              </w:rPr>
              <w:t>规模</w:t>
            </w:r>
            <w:r>
              <w:rPr>
                <w:rFonts w:hint="default"/>
              </w:rPr>
              <w:t>的</w:t>
            </w:r>
            <w:r>
              <w:rPr>
                <w:rFonts w:hint="eastAsia"/>
                <w:lang w:val="en-US" w:eastAsia="zh-CN"/>
              </w:rPr>
              <w:t>10.40</w:t>
            </w:r>
            <w:r>
              <w:rPr>
                <w:rFonts w:hint="default"/>
              </w:rPr>
              <w:t>%</w:t>
            </w:r>
            <w:r>
              <w:rPr>
                <w:rFonts w:hint="eastAsia"/>
              </w:rPr>
              <w:t>，因此，从处理能力分析</w:t>
            </w:r>
            <w:r>
              <w:rPr>
                <w:rFonts w:hint="default"/>
              </w:rPr>
              <w:t>，</w:t>
            </w:r>
            <w:r>
              <w:rPr>
                <w:rFonts w:hint="eastAsia"/>
                <w:lang w:val="en-US" w:eastAsia="zh-CN"/>
              </w:rPr>
              <w:t>园区内现有化粪池</w:t>
            </w:r>
            <w:r>
              <w:rPr>
                <w:rFonts w:hint="default"/>
              </w:rPr>
              <w:t>可接纳项目废水排放量</w:t>
            </w:r>
            <w:r>
              <w:rPr>
                <w:rFonts w:hint="eastAsia"/>
                <w:b w:val="0"/>
                <w:bCs w:val="0"/>
                <w:iCs w:val="0"/>
                <w:color w:val="auto"/>
                <w:lang w:eastAsia="zh-CN"/>
              </w:rPr>
              <w:t>（</w:t>
            </w:r>
            <w:r>
              <w:rPr>
                <w:rFonts w:hint="eastAsia"/>
                <w:b w:val="0"/>
                <w:bCs w:val="0"/>
                <w:iCs w:val="0"/>
                <w:color w:val="auto"/>
                <w:lang w:val="en-US" w:eastAsia="zh-CN"/>
              </w:rPr>
              <w:t>生活污水接管说明详见</w:t>
            </w:r>
            <w:r>
              <w:rPr>
                <w:rFonts w:hint="eastAsia"/>
                <w:b w:val="0"/>
                <w:bCs w:val="0"/>
                <w:iCs w:val="0"/>
                <w:color w:val="auto"/>
                <w:lang w:val="en-US" w:eastAsia="zh-CN"/>
              </w:rPr>
              <w:fldChar w:fldCharType="begin"/>
            </w:r>
            <w:r>
              <w:rPr>
                <w:rFonts w:hint="eastAsia"/>
                <w:b w:val="0"/>
                <w:bCs w:val="0"/>
                <w:iCs w:val="0"/>
                <w:color w:val="auto"/>
                <w:lang w:val="en-US" w:eastAsia="zh-CN"/>
              </w:rPr>
              <w:instrText xml:space="preserve"> REF _Ref4091 \h </w:instrText>
            </w:r>
            <w:r>
              <w:rPr>
                <w:rFonts w:hint="eastAsia"/>
                <w:b w:val="0"/>
                <w:bCs w:val="0"/>
                <w:iCs w:val="0"/>
                <w:color w:val="auto"/>
                <w:lang w:val="en-US" w:eastAsia="zh-CN"/>
              </w:rPr>
              <w:fldChar w:fldCharType="separate"/>
            </w:r>
            <w:r>
              <w:rPr>
                <w:rFonts w:hint="eastAsia"/>
              </w:rPr>
              <w:t>附件 10</w:t>
            </w:r>
            <w:r>
              <w:rPr>
                <w:rFonts w:hint="eastAsia"/>
                <w:b w:val="0"/>
                <w:bCs w:val="0"/>
                <w:iCs w:val="0"/>
                <w:color w:val="auto"/>
                <w:lang w:val="en-US" w:eastAsia="zh-CN"/>
              </w:rPr>
              <w:fldChar w:fldCharType="end"/>
            </w:r>
            <w:r>
              <w:rPr>
                <w:rFonts w:hint="eastAsia"/>
                <w:b w:val="0"/>
                <w:bCs w:val="0"/>
                <w:iCs w:val="0"/>
                <w:color w:val="auto"/>
                <w:lang w:eastAsia="zh-CN"/>
              </w:rPr>
              <w:t>）</w:t>
            </w:r>
            <w:r>
              <w:rPr>
                <w:rFonts w:hint="default"/>
              </w:rPr>
              <w:t>。</w:t>
            </w:r>
          </w:p>
          <w:p w14:paraId="2E710A90">
            <w:pPr>
              <w:keepNext w:val="0"/>
              <w:keepLines w:val="0"/>
              <w:suppressLineNumbers w:val="0"/>
              <w:spacing w:before="0" w:beforeAutospacing="0" w:after="0" w:afterAutospacing="0"/>
              <w:ind w:left="0" w:right="0" w:firstLine="480" w:firstLineChars="200"/>
              <w:jc w:val="both"/>
              <w:rPr>
                <w:rFonts w:hint="eastAsia"/>
                <w:b w:val="0"/>
                <w:bCs w:val="0"/>
                <w:iCs w:val="0"/>
                <w:color w:val="auto"/>
              </w:rPr>
            </w:pPr>
            <w:r>
              <w:rPr>
                <w:rFonts w:hint="eastAsia"/>
                <w:b w:val="0"/>
                <w:bCs w:val="0"/>
                <w:iCs w:val="0"/>
                <w:color w:val="auto"/>
              </w:rPr>
              <w:t>本项目生活污水</w:t>
            </w:r>
            <w:r>
              <w:rPr>
                <w:rFonts w:hint="eastAsia"/>
                <w:b w:val="0"/>
                <w:bCs w:val="0"/>
                <w:iCs w:val="0"/>
                <w:color w:val="auto"/>
                <w:lang w:val="en-US" w:eastAsia="zh-CN"/>
              </w:rPr>
              <w:t>依托</w:t>
            </w:r>
            <w:r>
              <w:rPr>
                <w:rFonts w:hint="eastAsia"/>
                <w:b w:val="0"/>
                <w:bCs w:val="0"/>
                <w:iCs w:val="0"/>
                <w:color w:val="auto"/>
              </w:rPr>
              <w:t>园区内化粪池处理后污染物能达到《污水综合排放标准》（GB8978-1996）表4中三级排放标准（其中氨氮参照执行《污水排入城镇下水道水质标准》（GB/T31962-2015）表1中B级标准），所以该措施可行。</w:t>
            </w:r>
          </w:p>
          <w:p w14:paraId="504DABE2">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（3）生活污水</w:t>
            </w:r>
            <w:r>
              <w:rPr>
                <w:rFonts w:hint="default"/>
                <w:lang w:val="en-US" w:eastAsia="zh-CN"/>
              </w:rPr>
              <w:t>依托集中污水处理厂的可行性分析</w:t>
            </w:r>
          </w:p>
          <w:p w14:paraId="699D9BD9">
            <w:pPr>
              <w:keepNext w:val="0"/>
              <w:keepLines w:val="0"/>
              <w:suppressLineNumbers w:val="0"/>
              <w:bidi w:val="0"/>
              <w:spacing w:before="0" w:beforeAutospacing="0" w:after="0" w:afterAutospacing="0"/>
              <w:ind w:left="0" w:right="0"/>
              <w:rPr>
                <w:rFonts w:hint="eastAsia"/>
              </w:rPr>
            </w:pPr>
            <w:r>
              <w:rPr>
                <w:rFonts w:hint="eastAsia"/>
              </w:rPr>
              <w:t>项目生活污水经处理达标后通过厂区污水总排放口</w:t>
            </w:r>
            <w:r>
              <w:rPr>
                <w:rFonts w:hint="default"/>
              </w:rPr>
              <w:t>排入市政污水管网，送往</w:t>
            </w:r>
            <w:r>
              <w:rPr>
                <w:rFonts w:hint="eastAsia"/>
              </w:rPr>
              <w:t>福清市融元污水处理厂</w:t>
            </w:r>
            <w:r>
              <w:rPr>
                <w:rFonts w:hint="default"/>
              </w:rPr>
              <w:t>集中处理</w:t>
            </w:r>
            <w:r>
              <w:rPr>
                <w:rFonts w:hint="eastAsia"/>
              </w:rPr>
              <w:t>，属于间接排放，根据</w:t>
            </w:r>
            <w:r>
              <w:rPr>
                <w:rFonts w:hint="default"/>
              </w:rPr>
              <w:t>《建设项目环境影响报告表编制技术指南</w:t>
            </w:r>
            <w:r>
              <w:rPr>
                <w:rFonts w:hint="eastAsia"/>
                <w:lang w:eastAsia="zh-CN"/>
              </w:rPr>
              <w:t>（</w:t>
            </w:r>
            <w:r>
              <w:rPr>
                <w:rFonts w:hint="default"/>
              </w:rPr>
              <w:t>污染影响类</w:t>
            </w:r>
            <w:r>
              <w:rPr>
                <w:rFonts w:hint="eastAsia"/>
                <w:lang w:eastAsia="zh-CN"/>
              </w:rPr>
              <w:t>）（</w:t>
            </w:r>
            <w:r>
              <w:rPr>
                <w:rFonts w:hint="default"/>
              </w:rPr>
              <w:t>试行</w:t>
            </w:r>
            <w:r>
              <w:rPr>
                <w:rFonts w:hint="eastAsia"/>
                <w:lang w:eastAsia="zh-CN"/>
              </w:rPr>
              <w:t>）</w:t>
            </w:r>
            <w:r>
              <w:rPr>
                <w:rFonts w:hint="default"/>
              </w:rPr>
              <w:t>》</w:t>
            </w:r>
            <w:r>
              <w:rPr>
                <w:rFonts w:hint="eastAsia"/>
                <w:lang w:eastAsia="zh-CN"/>
              </w:rPr>
              <w:t>（</w:t>
            </w:r>
            <w:r>
              <w:rPr>
                <w:rFonts w:hint="default"/>
              </w:rPr>
              <w:t>环办环评〔2020〕33号</w:t>
            </w:r>
            <w:r>
              <w:rPr>
                <w:rFonts w:hint="eastAsia"/>
                <w:lang w:eastAsia="zh-CN"/>
              </w:rPr>
              <w:t>）</w:t>
            </w:r>
            <w:r>
              <w:rPr>
                <w:rFonts w:hint="default"/>
              </w:rPr>
              <w:t>要求</w:t>
            </w:r>
            <w:r>
              <w:rPr>
                <w:rFonts w:hint="eastAsia"/>
              </w:rPr>
              <w:t>，废水间接排放的建设项目应从处理能力、处理工艺、设计进出水水质等方面，分析依托集中污水处理厂的可行性。</w:t>
            </w:r>
          </w:p>
          <w:p w14:paraId="5A467A9A">
            <w:pPr>
              <w:keepNext w:val="0"/>
              <w:keepLines w:val="0"/>
              <w:suppressLineNumbers w:val="0"/>
              <w:bidi w:val="0"/>
              <w:spacing w:before="0" w:beforeAutospacing="0" w:after="0" w:afterAutospacing="0"/>
              <w:ind w:left="0" w:right="0"/>
              <w:rPr>
                <w:rFonts w:hint="default"/>
              </w:rPr>
            </w:pPr>
            <w:r>
              <w:rPr>
                <w:rFonts w:hint="eastAsia"/>
                <w:lang w:eastAsia="zh-CN"/>
              </w:rPr>
              <w:t>（</w:t>
            </w:r>
            <w:r>
              <w:rPr>
                <w:rFonts w:hint="eastAsia"/>
              </w:rPr>
              <w:t>1</w:t>
            </w:r>
            <w:r>
              <w:rPr>
                <w:rFonts w:hint="eastAsia"/>
                <w:lang w:eastAsia="zh-CN"/>
              </w:rPr>
              <w:t>）</w:t>
            </w:r>
            <w:r>
              <w:rPr>
                <w:rFonts w:hint="eastAsia"/>
              </w:rPr>
              <w:t>福清市融元污水处理厂基本情况</w:t>
            </w:r>
          </w:p>
          <w:p w14:paraId="61E87955">
            <w:pPr>
              <w:keepNext w:val="0"/>
              <w:keepLines w:val="0"/>
              <w:suppressLineNumbers w:val="0"/>
              <w:bidi w:val="0"/>
              <w:spacing w:before="0" w:beforeAutospacing="0" w:after="0" w:afterAutospacing="0"/>
              <w:ind w:left="0" w:right="0"/>
              <w:rPr>
                <w:rFonts w:hint="default"/>
              </w:rPr>
            </w:pPr>
            <w:r>
              <w:rPr>
                <w:rFonts w:hint="eastAsia"/>
              </w:rPr>
              <w:t>①设计进出水水质</w:t>
            </w:r>
          </w:p>
          <w:p w14:paraId="4B43447D">
            <w:pPr>
              <w:keepNext w:val="0"/>
              <w:keepLines w:val="0"/>
              <w:suppressLineNumbers w:val="0"/>
              <w:spacing w:before="0" w:beforeAutospacing="0" w:after="0" w:afterAutospacing="0" w:line="360" w:lineRule="auto"/>
              <w:ind w:left="0" w:right="0" w:firstLine="480" w:firstLineChars="200"/>
              <w:rPr>
                <w:rFonts w:hint="eastAsia"/>
                <w:color w:val="auto"/>
                <w:sz w:val="24"/>
                <w:szCs w:val="24"/>
              </w:rPr>
            </w:pPr>
            <w:r>
              <w:rPr>
                <w:rFonts w:hint="eastAsia"/>
                <w:color w:val="auto"/>
                <w:sz w:val="24"/>
                <w:szCs w:val="24"/>
              </w:rPr>
              <w:t>根据《福清市融元污水处理厂提标及改造工程环境影响报告书</w:t>
            </w:r>
            <w:r>
              <w:rPr>
                <w:rFonts w:hint="eastAsia"/>
                <w:color w:val="auto"/>
                <w:sz w:val="24"/>
                <w:szCs w:val="24"/>
                <w:lang w:eastAsia="zh-CN"/>
              </w:rPr>
              <w:t>（</w:t>
            </w:r>
            <w:r>
              <w:rPr>
                <w:rFonts w:hint="eastAsia"/>
                <w:color w:val="auto"/>
                <w:sz w:val="24"/>
                <w:szCs w:val="24"/>
              </w:rPr>
              <w:t>报批稿</w:t>
            </w:r>
            <w:r>
              <w:rPr>
                <w:rFonts w:hint="eastAsia"/>
                <w:color w:val="auto"/>
                <w:sz w:val="24"/>
                <w:szCs w:val="24"/>
                <w:lang w:eastAsia="zh-CN"/>
              </w:rPr>
              <w:t>）</w:t>
            </w:r>
            <w:r>
              <w:rPr>
                <w:rFonts w:hint="eastAsia"/>
                <w:color w:val="auto"/>
                <w:sz w:val="24"/>
                <w:szCs w:val="24"/>
              </w:rPr>
              <w:t>》可知，福清市融元污水处理厂进出水水质见表4.</w:t>
            </w:r>
            <w:r>
              <w:rPr>
                <w:rFonts w:hint="eastAsia"/>
                <w:color w:val="auto"/>
                <w:sz w:val="24"/>
                <w:szCs w:val="24"/>
                <w:lang w:val="en-US" w:eastAsia="zh-CN"/>
              </w:rPr>
              <w:t>1</w:t>
            </w:r>
            <w:r>
              <w:rPr>
                <w:rFonts w:hint="eastAsia"/>
                <w:color w:val="auto"/>
                <w:sz w:val="24"/>
                <w:szCs w:val="24"/>
              </w:rPr>
              <w:t>-</w:t>
            </w:r>
            <w:r>
              <w:rPr>
                <w:rFonts w:hint="eastAsia"/>
                <w:color w:val="auto"/>
                <w:sz w:val="24"/>
                <w:szCs w:val="24"/>
                <w:lang w:val="en-US" w:eastAsia="zh-CN"/>
              </w:rPr>
              <w:t>2</w:t>
            </w:r>
            <w:r>
              <w:rPr>
                <w:rFonts w:hint="eastAsia"/>
                <w:color w:val="auto"/>
                <w:sz w:val="24"/>
                <w:szCs w:val="24"/>
              </w:rPr>
              <w:t>。</w:t>
            </w:r>
          </w:p>
          <w:p w14:paraId="1A0E6D87">
            <w:pPr>
              <w:pStyle w:val="40"/>
              <w:keepNext w:val="0"/>
              <w:keepLines w:val="0"/>
              <w:suppressLineNumbers w:val="0"/>
              <w:bidi w:val="0"/>
              <w:spacing w:before="0" w:beforeAutospacing="0" w:after="0" w:afterAutospacing="0"/>
              <w:ind w:left="0" w:right="0"/>
              <w:rPr>
                <w:rFonts w:hint="eastAsia" w:eastAsia="宋体"/>
                <w:lang w:eastAsia="zh-CN"/>
              </w:rPr>
            </w:pPr>
            <w:r>
              <w:rPr>
                <w:rFonts w:hint="eastAsia"/>
              </w:rPr>
              <w:t>表4.</w:t>
            </w:r>
            <w:r>
              <w:rPr>
                <w:rFonts w:hint="eastAsia"/>
                <w:lang w:val="en-US" w:eastAsia="zh-CN"/>
              </w:rPr>
              <w:t>1</w:t>
            </w:r>
            <w:r>
              <w:rPr>
                <w:rFonts w:hint="eastAsia"/>
              </w:rPr>
              <w:t>-</w:t>
            </w:r>
            <w:r>
              <w:rPr>
                <w:rFonts w:hint="eastAsia"/>
                <w:lang w:val="en-US" w:eastAsia="zh-CN"/>
              </w:rPr>
              <w:t>2</w:t>
            </w:r>
            <w:r>
              <w:rPr>
                <w:rFonts w:hint="eastAsia"/>
              </w:rPr>
              <w:t xml:space="preserve">   </w:t>
            </w:r>
            <w:r>
              <w:rPr>
                <w:rFonts w:hint="eastAsia"/>
                <w:lang w:eastAsia="zh-CN"/>
              </w:rPr>
              <w:t>污水处理厂</w:t>
            </w:r>
            <w:r>
              <w:rPr>
                <w:rFonts w:hint="eastAsia"/>
              </w:rPr>
              <w:t>进出水水质标准</w:t>
            </w:r>
            <w:r>
              <w:rPr>
                <w:rFonts w:hint="eastAsia"/>
                <w:lang w:eastAsia="zh-CN"/>
              </w:rPr>
              <w:t>（</w:t>
            </w:r>
            <w:r>
              <w:rPr>
                <w:rFonts w:hint="eastAsia"/>
              </w:rPr>
              <w:t>mg/L  pH除外</w:t>
            </w:r>
            <w:r>
              <w:rPr>
                <w:rFonts w:hint="eastAsia"/>
                <w:lang w:eastAsia="zh-CN"/>
              </w:rPr>
              <w:t>）</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60"/>
              <w:gridCol w:w="1291"/>
              <w:gridCol w:w="1050"/>
              <w:gridCol w:w="950"/>
              <w:gridCol w:w="1013"/>
              <w:gridCol w:w="937"/>
              <w:gridCol w:w="937"/>
              <w:gridCol w:w="838"/>
            </w:tblGrid>
            <w:tr w14:paraId="11262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0" w:type="dxa"/>
                  <w:noWrap w:val="0"/>
                  <w:vAlign w:val="center"/>
                </w:tcPr>
                <w:p w14:paraId="2BF5D9A3">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水质指标</w:t>
                  </w:r>
                </w:p>
              </w:tc>
              <w:tc>
                <w:tcPr>
                  <w:tcW w:w="1291" w:type="dxa"/>
                  <w:noWrap w:val="0"/>
                  <w:vAlign w:val="center"/>
                </w:tcPr>
                <w:p w14:paraId="483C61C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pH</w:t>
                  </w:r>
                </w:p>
              </w:tc>
              <w:tc>
                <w:tcPr>
                  <w:tcW w:w="1050" w:type="dxa"/>
                  <w:noWrap w:val="0"/>
                  <w:vAlign w:val="center"/>
                </w:tcPr>
                <w:p w14:paraId="56FA3AC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COD</w:t>
                  </w:r>
                </w:p>
              </w:tc>
              <w:tc>
                <w:tcPr>
                  <w:tcW w:w="950" w:type="dxa"/>
                  <w:noWrap w:val="0"/>
                  <w:vAlign w:val="center"/>
                </w:tcPr>
                <w:p w14:paraId="0A52E68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BOD</w:t>
                  </w:r>
                  <w:r>
                    <w:rPr>
                      <w:rFonts w:hint="eastAsia"/>
                      <w:szCs w:val="22"/>
                      <w:vertAlign w:val="subscript"/>
                    </w:rPr>
                    <w:t>5</w:t>
                  </w:r>
                </w:p>
              </w:tc>
              <w:tc>
                <w:tcPr>
                  <w:tcW w:w="1013" w:type="dxa"/>
                  <w:noWrap w:val="0"/>
                  <w:vAlign w:val="center"/>
                </w:tcPr>
                <w:p w14:paraId="0331AA1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SS</w:t>
                  </w:r>
                </w:p>
              </w:tc>
              <w:tc>
                <w:tcPr>
                  <w:tcW w:w="937" w:type="dxa"/>
                  <w:noWrap w:val="0"/>
                  <w:vAlign w:val="center"/>
                </w:tcPr>
                <w:p w14:paraId="3A5602A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NH</w:t>
                  </w:r>
                  <w:r>
                    <w:rPr>
                      <w:rFonts w:hint="eastAsia"/>
                      <w:szCs w:val="22"/>
                      <w:vertAlign w:val="subscript"/>
                    </w:rPr>
                    <w:t>3</w:t>
                  </w:r>
                  <w:r>
                    <w:rPr>
                      <w:rFonts w:hint="eastAsia"/>
                      <w:szCs w:val="22"/>
                    </w:rPr>
                    <w:t>-N</w:t>
                  </w:r>
                </w:p>
              </w:tc>
              <w:tc>
                <w:tcPr>
                  <w:tcW w:w="937" w:type="dxa"/>
                  <w:noWrap w:val="0"/>
                  <w:vAlign w:val="center"/>
                </w:tcPr>
                <w:p w14:paraId="27836C4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TN</w:t>
                  </w:r>
                </w:p>
              </w:tc>
              <w:tc>
                <w:tcPr>
                  <w:tcW w:w="838" w:type="dxa"/>
                  <w:noWrap w:val="0"/>
                  <w:vAlign w:val="center"/>
                </w:tcPr>
                <w:p w14:paraId="4BA721A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TP</w:t>
                  </w:r>
                </w:p>
              </w:tc>
            </w:tr>
            <w:tr w14:paraId="73087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0" w:type="dxa"/>
                  <w:noWrap w:val="0"/>
                  <w:vAlign w:val="center"/>
                </w:tcPr>
                <w:p w14:paraId="38C57518">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进水水质</w:t>
                  </w:r>
                </w:p>
              </w:tc>
              <w:tc>
                <w:tcPr>
                  <w:tcW w:w="1291" w:type="dxa"/>
                  <w:noWrap w:val="0"/>
                  <w:vAlign w:val="center"/>
                </w:tcPr>
                <w:p w14:paraId="3814F684">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6~9</w:t>
                  </w:r>
                  <w:r>
                    <w:rPr>
                      <w:rFonts w:hint="eastAsia"/>
                      <w:szCs w:val="22"/>
                      <w:lang w:eastAsia="zh-CN"/>
                    </w:rPr>
                    <w:t>（</w:t>
                  </w:r>
                  <w:r>
                    <w:rPr>
                      <w:rFonts w:hint="eastAsia"/>
                      <w:szCs w:val="22"/>
                    </w:rPr>
                    <w:t>无量纲</w:t>
                  </w:r>
                  <w:r>
                    <w:rPr>
                      <w:rFonts w:hint="eastAsia"/>
                      <w:szCs w:val="22"/>
                      <w:lang w:eastAsia="zh-CN"/>
                    </w:rPr>
                    <w:t>）</w:t>
                  </w:r>
                </w:p>
              </w:tc>
              <w:tc>
                <w:tcPr>
                  <w:tcW w:w="1050" w:type="dxa"/>
                  <w:noWrap w:val="0"/>
                  <w:vAlign w:val="center"/>
                </w:tcPr>
                <w:p w14:paraId="2D5CAA9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≤400</w:t>
                  </w:r>
                </w:p>
              </w:tc>
              <w:tc>
                <w:tcPr>
                  <w:tcW w:w="950" w:type="dxa"/>
                  <w:noWrap w:val="0"/>
                  <w:vAlign w:val="center"/>
                </w:tcPr>
                <w:p w14:paraId="1A67DE70">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≤220</w:t>
                  </w:r>
                </w:p>
              </w:tc>
              <w:tc>
                <w:tcPr>
                  <w:tcW w:w="1013" w:type="dxa"/>
                  <w:noWrap w:val="0"/>
                  <w:vAlign w:val="center"/>
                </w:tcPr>
                <w:p w14:paraId="08B05F5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≤280</w:t>
                  </w:r>
                </w:p>
              </w:tc>
              <w:tc>
                <w:tcPr>
                  <w:tcW w:w="937" w:type="dxa"/>
                  <w:noWrap w:val="0"/>
                  <w:vAlign w:val="center"/>
                </w:tcPr>
                <w:p w14:paraId="2612E00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≤37</w:t>
                  </w:r>
                </w:p>
              </w:tc>
              <w:tc>
                <w:tcPr>
                  <w:tcW w:w="937" w:type="dxa"/>
                  <w:noWrap w:val="0"/>
                  <w:vAlign w:val="center"/>
                </w:tcPr>
                <w:p w14:paraId="511D47C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≤54</w:t>
                  </w:r>
                </w:p>
              </w:tc>
              <w:tc>
                <w:tcPr>
                  <w:tcW w:w="838" w:type="dxa"/>
                  <w:noWrap w:val="0"/>
                  <w:vAlign w:val="center"/>
                </w:tcPr>
                <w:p w14:paraId="4E13351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≤4</w:t>
                  </w:r>
                </w:p>
              </w:tc>
            </w:tr>
            <w:tr w14:paraId="46152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60" w:type="dxa"/>
                  <w:noWrap w:val="0"/>
                  <w:vAlign w:val="center"/>
                </w:tcPr>
                <w:p w14:paraId="6425F9A3">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出水标准</w:t>
                  </w:r>
                </w:p>
              </w:tc>
              <w:tc>
                <w:tcPr>
                  <w:tcW w:w="1291" w:type="dxa"/>
                  <w:noWrap w:val="0"/>
                  <w:vAlign w:val="center"/>
                </w:tcPr>
                <w:p w14:paraId="54625A94">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6~9</w:t>
                  </w:r>
                  <w:r>
                    <w:rPr>
                      <w:rFonts w:hint="eastAsia"/>
                      <w:szCs w:val="22"/>
                      <w:lang w:eastAsia="zh-CN"/>
                    </w:rPr>
                    <w:t>（</w:t>
                  </w:r>
                  <w:r>
                    <w:rPr>
                      <w:rFonts w:hint="eastAsia"/>
                      <w:szCs w:val="22"/>
                    </w:rPr>
                    <w:t>无量纲</w:t>
                  </w:r>
                  <w:r>
                    <w:rPr>
                      <w:rFonts w:hint="eastAsia"/>
                      <w:szCs w:val="22"/>
                      <w:lang w:eastAsia="zh-CN"/>
                    </w:rPr>
                    <w:t>）</w:t>
                  </w:r>
                </w:p>
              </w:tc>
              <w:tc>
                <w:tcPr>
                  <w:tcW w:w="1050" w:type="dxa"/>
                  <w:noWrap w:val="0"/>
                  <w:vAlign w:val="center"/>
                </w:tcPr>
                <w:p w14:paraId="2E75C7F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≤50</w:t>
                  </w:r>
                </w:p>
              </w:tc>
              <w:tc>
                <w:tcPr>
                  <w:tcW w:w="950" w:type="dxa"/>
                  <w:noWrap w:val="0"/>
                  <w:vAlign w:val="center"/>
                </w:tcPr>
                <w:p w14:paraId="6B2F4BC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≤10</w:t>
                  </w:r>
                </w:p>
              </w:tc>
              <w:tc>
                <w:tcPr>
                  <w:tcW w:w="1013" w:type="dxa"/>
                  <w:noWrap w:val="0"/>
                  <w:vAlign w:val="center"/>
                </w:tcPr>
                <w:p w14:paraId="04A0945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≤10</w:t>
                  </w:r>
                </w:p>
              </w:tc>
              <w:tc>
                <w:tcPr>
                  <w:tcW w:w="937" w:type="dxa"/>
                  <w:noWrap w:val="0"/>
                  <w:vAlign w:val="center"/>
                </w:tcPr>
                <w:p w14:paraId="31412DA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≤5</w:t>
                  </w:r>
                </w:p>
              </w:tc>
              <w:tc>
                <w:tcPr>
                  <w:tcW w:w="937" w:type="dxa"/>
                  <w:noWrap w:val="0"/>
                  <w:vAlign w:val="center"/>
                </w:tcPr>
                <w:p w14:paraId="2936E05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≤15</w:t>
                  </w:r>
                </w:p>
              </w:tc>
              <w:tc>
                <w:tcPr>
                  <w:tcW w:w="838" w:type="dxa"/>
                  <w:noWrap w:val="0"/>
                  <w:vAlign w:val="center"/>
                </w:tcPr>
                <w:p w14:paraId="04331E8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≤0.5</w:t>
                  </w:r>
                </w:p>
              </w:tc>
            </w:tr>
          </w:tbl>
          <w:p w14:paraId="05E8C843">
            <w:pPr>
              <w:keepNext w:val="0"/>
              <w:keepLines w:val="0"/>
              <w:suppressLineNumbers w:val="0"/>
              <w:bidi w:val="0"/>
              <w:spacing w:before="0" w:beforeAutospacing="0" w:after="0" w:afterAutospacing="0"/>
              <w:ind w:left="0" w:right="0"/>
              <w:rPr>
                <w:rFonts w:hint="default"/>
              </w:rPr>
            </w:pPr>
            <w:r>
              <w:rPr>
                <w:rFonts w:hint="default"/>
              </w:rPr>
              <w:t>②处理工艺</w:t>
            </w:r>
          </w:p>
          <w:p w14:paraId="7627988E">
            <w:pPr>
              <w:keepNext w:val="0"/>
              <w:keepLines w:val="0"/>
              <w:suppressLineNumbers w:val="0"/>
              <w:bidi w:val="0"/>
              <w:spacing w:before="0" w:beforeAutospacing="0" w:after="0" w:afterAutospacing="0"/>
              <w:ind w:left="0" w:right="0"/>
              <w:rPr>
                <w:rFonts w:hint="default"/>
              </w:rPr>
            </w:pPr>
            <w:r>
              <w:rPr>
                <w:rFonts w:hint="default"/>
              </w:rPr>
              <w:t>污水处理工艺流程详见图</w:t>
            </w:r>
            <w:r>
              <w:rPr>
                <w:rFonts w:hint="eastAsia"/>
              </w:rPr>
              <w:t>4</w:t>
            </w:r>
            <w:r>
              <w:rPr>
                <w:rFonts w:hint="eastAsia"/>
                <w:lang w:val="en-US" w:eastAsia="zh-CN"/>
              </w:rPr>
              <w:t>.1</w:t>
            </w:r>
            <w:r>
              <w:rPr>
                <w:rFonts w:hint="eastAsia"/>
              </w:rPr>
              <w:t>-1</w:t>
            </w:r>
            <w:r>
              <w:rPr>
                <w:rFonts w:hint="default"/>
              </w:rPr>
              <w:t>。</w:t>
            </w:r>
          </w:p>
          <w:p w14:paraId="740F3244">
            <w:pPr>
              <w:pStyle w:val="15"/>
              <w:keepNext w:val="0"/>
              <w:keepLines w:val="0"/>
              <w:suppressLineNumbers w:val="0"/>
              <w:bidi w:val="0"/>
              <w:spacing w:before="0" w:beforeAutospacing="0" w:after="0" w:afterAutospacing="0"/>
              <w:ind w:left="0" w:right="0"/>
              <w:jc w:val="center"/>
              <w:rPr>
                <w:color w:val="auto"/>
              </w:rPr>
            </w:pPr>
            <w:r>
              <w:rPr>
                <w:rFonts w:hint="eastAsia" w:ascii="Times New Roman" w:hAnsi="Times New Roman" w:eastAsia="宋体" w:cs="Times New Roman"/>
                <w:b w:val="0"/>
                <w:bCs w:val="0"/>
                <w:strike w:val="0"/>
                <w:dstrike w:val="0"/>
                <w:color w:val="auto"/>
                <w:szCs w:val="24"/>
                <w:highlight w:val="none"/>
                <w:lang w:val="en-US" w:eastAsia="zh-CN"/>
              </w:rPr>
              <w:object>
                <v:shape id="_x0000_i1025" o:spt="75" type="#_x0000_t75" style="height:231pt;width:358.4pt;" o:ole="t" filled="f" o:preferrelative="t" stroked="f" coordsize="21600,21600">
                  <v:path/>
                  <v:fill on="f" focussize="0,0"/>
                  <v:stroke on="f"/>
                  <v:imagedata r:id="rId24" o:title=""/>
                  <o:lock v:ext="edit" aspectratio="t"/>
                  <w10:wrap type="none"/>
                  <w10:anchorlock/>
                </v:shape>
                <o:OLEObject Type="Embed" ProgID="Visio.Drawing.11" ShapeID="_x0000_i1025" DrawAspect="Content" ObjectID="_1468075725" r:id="rId23">
                  <o:LockedField>false</o:LockedField>
                </o:OLEObject>
              </w:object>
            </w:r>
          </w:p>
          <w:p w14:paraId="07248FA4">
            <w:pPr>
              <w:pStyle w:val="40"/>
              <w:keepNext w:val="0"/>
              <w:keepLines w:val="0"/>
              <w:suppressLineNumbers w:val="0"/>
              <w:bidi w:val="0"/>
              <w:spacing w:before="0" w:beforeAutospacing="0" w:after="0" w:afterAutospacing="0"/>
              <w:ind w:left="0" w:right="0"/>
              <w:rPr>
                <w:rFonts w:hint="eastAsia"/>
                <w:b/>
                <w:color w:val="auto"/>
                <w:szCs w:val="28"/>
              </w:rPr>
            </w:pPr>
            <w:r>
              <w:rPr>
                <w:rFonts w:hint="default"/>
                <w:lang w:val="en-US" w:eastAsia="zh-CN"/>
              </w:rPr>
              <w:t>图4.</w:t>
            </w:r>
            <w:r>
              <w:rPr>
                <w:rFonts w:hint="eastAsia"/>
                <w:lang w:val="en-US" w:eastAsia="zh-CN"/>
              </w:rPr>
              <w:t>1-1</w:t>
            </w:r>
            <w:r>
              <w:rPr>
                <w:rFonts w:hint="default"/>
                <w:lang w:val="en-US" w:eastAsia="zh-CN"/>
              </w:rPr>
              <w:t xml:space="preserve"> </w:t>
            </w:r>
            <w:r>
              <w:rPr>
                <w:rFonts w:hint="eastAsia"/>
                <w:lang w:val="en-US" w:eastAsia="zh-CN"/>
              </w:rPr>
              <w:t>福清融元污水处理厂处理</w:t>
            </w:r>
            <w:r>
              <w:rPr>
                <w:rFonts w:hint="default"/>
                <w:lang w:val="en-US" w:eastAsia="zh-CN"/>
              </w:rPr>
              <w:t>污水处理流程图</w:t>
            </w:r>
          </w:p>
          <w:p w14:paraId="3B6FB5C6">
            <w:pPr>
              <w:keepNext w:val="0"/>
              <w:keepLines w:val="0"/>
              <w:suppressLineNumbers w:val="0"/>
              <w:bidi w:val="0"/>
              <w:spacing w:before="0" w:beforeAutospacing="0" w:after="0" w:afterAutospacing="0"/>
              <w:ind w:left="0" w:right="0"/>
              <w:rPr>
                <w:rFonts w:hint="eastAsia"/>
              </w:rPr>
            </w:pPr>
            <w:r>
              <w:rPr>
                <w:rFonts w:hint="eastAsia"/>
                <w:lang w:eastAsia="zh-CN"/>
              </w:rPr>
              <w:t>（</w:t>
            </w:r>
            <w:r>
              <w:rPr>
                <w:rFonts w:hint="eastAsia"/>
              </w:rPr>
              <w:t>2</w:t>
            </w:r>
            <w:r>
              <w:rPr>
                <w:rFonts w:hint="eastAsia"/>
                <w:lang w:eastAsia="zh-CN"/>
              </w:rPr>
              <w:t>）</w:t>
            </w:r>
            <w:r>
              <w:rPr>
                <w:rFonts w:hint="eastAsia"/>
              </w:rPr>
              <w:t>依托可行性分析</w:t>
            </w:r>
          </w:p>
          <w:p w14:paraId="21E81187">
            <w:pPr>
              <w:keepNext w:val="0"/>
              <w:keepLines w:val="0"/>
              <w:suppressLineNumbers w:val="0"/>
              <w:bidi w:val="0"/>
              <w:spacing w:before="0" w:beforeAutospacing="0" w:after="0" w:afterAutospacing="0"/>
              <w:ind w:left="0" w:right="0"/>
              <w:rPr>
                <w:rFonts w:hint="eastAsia"/>
              </w:rPr>
            </w:pPr>
            <w:r>
              <w:rPr>
                <w:rFonts w:hint="eastAsia"/>
              </w:rPr>
              <w:t>①接管可行性</w:t>
            </w:r>
          </w:p>
          <w:p w14:paraId="6E19EAA7">
            <w:pPr>
              <w:keepNext w:val="0"/>
              <w:keepLines w:val="0"/>
              <w:suppressLineNumbers w:val="0"/>
              <w:bidi w:val="0"/>
              <w:spacing w:before="0" w:beforeAutospacing="0" w:after="0" w:afterAutospacing="0"/>
              <w:ind w:left="0" w:right="0"/>
              <w:rPr>
                <w:rFonts w:hint="default"/>
              </w:rPr>
            </w:pPr>
            <w:r>
              <w:rPr>
                <w:rFonts w:hint="eastAsia"/>
              </w:rPr>
              <w:t>福清市融元污水处理厂</w:t>
            </w:r>
            <w:r>
              <w:rPr>
                <w:rFonts w:hint="default"/>
              </w:rPr>
              <w:t>主要负责</w:t>
            </w:r>
            <w:r>
              <w:rPr>
                <w:rFonts w:hint="eastAsia"/>
              </w:rPr>
              <w:t>城关区和洪宽区</w:t>
            </w:r>
            <w:r>
              <w:rPr>
                <w:rFonts w:hint="eastAsia"/>
                <w:lang w:eastAsia="zh-CN"/>
              </w:rPr>
              <w:t>（</w:t>
            </w:r>
            <w:r>
              <w:rPr>
                <w:rFonts w:hint="eastAsia"/>
              </w:rPr>
              <w:t>增加京东方和东旭光电项目</w:t>
            </w:r>
            <w:r>
              <w:rPr>
                <w:rFonts w:hint="eastAsia"/>
                <w:lang w:eastAsia="zh-CN"/>
              </w:rPr>
              <w:t>）</w:t>
            </w:r>
            <w:r>
              <w:rPr>
                <w:rFonts w:hint="eastAsia"/>
              </w:rPr>
              <w:t>的生活污水和工业污水。</w:t>
            </w:r>
            <w:r>
              <w:rPr>
                <w:rFonts w:hint="default"/>
              </w:rPr>
              <w:t>本项目位于</w:t>
            </w:r>
            <w:r>
              <w:rPr>
                <w:rFonts w:hint="eastAsia"/>
                <w:lang w:val="en-US" w:eastAsia="zh-CN"/>
              </w:rPr>
              <w:t>福清融侨经济技术开发区（租赁福清洪添科技有限公司车间2第3层）</w:t>
            </w:r>
            <w:r>
              <w:rPr>
                <w:rFonts w:hint="default"/>
              </w:rPr>
              <w:t>，属于</w:t>
            </w:r>
            <w:r>
              <w:rPr>
                <w:rFonts w:hint="eastAsia"/>
              </w:rPr>
              <w:t>福清市融元污水处理厂</w:t>
            </w:r>
            <w:r>
              <w:rPr>
                <w:rFonts w:hint="default"/>
              </w:rPr>
              <w:t>服务范围内，根据现场勘查，目前</w:t>
            </w:r>
            <w:r>
              <w:rPr>
                <w:rFonts w:hint="eastAsia"/>
                <w:lang w:val="en-US" w:eastAsia="zh-CN"/>
              </w:rPr>
              <w:t>项目所在地的</w:t>
            </w:r>
            <w:r>
              <w:rPr>
                <w:rFonts w:hint="default"/>
              </w:rPr>
              <w:t>市政污水管网已经铺设完成并已经投入正常运行，本项目出租方</w:t>
            </w:r>
            <w:r>
              <w:rPr>
                <w:rFonts w:hint="eastAsia"/>
                <w:lang w:eastAsia="zh-CN"/>
              </w:rPr>
              <w:t>福清洪添科技有限公司</w:t>
            </w:r>
            <w:r>
              <w:rPr>
                <w:rFonts w:hint="default"/>
              </w:rPr>
              <w:t>厂区污水总排口已经接入市政污水管网。</w:t>
            </w:r>
          </w:p>
          <w:p w14:paraId="5C82AFC5">
            <w:pPr>
              <w:keepNext w:val="0"/>
              <w:keepLines w:val="0"/>
              <w:suppressLineNumbers w:val="0"/>
              <w:bidi w:val="0"/>
              <w:spacing w:before="0" w:beforeAutospacing="0" w:after="0" w:afterAutospacing="0"/>
              <w:ind w:left="0" w:right="0"/>
              <w:rPr>
                <w:rFonts w:hint="default"/>
              </w:rPr>
            </w:pPr>
            <w:r>
              <w:rPr>
                <w:rFonts w:hint="default"/>
              </w:rPr>
              <w:t>②</w:t>
            </w:r>
            <w:r>
              <w:rPr>
                <w:rFonts w:hint="eastAsia"/>
              </w:rPr>
              <w:t>水质负荷</w:t>
            </w:r>
          </w:p>
          <w:p w14:paraId="58BB0450">
            <w:pPr>
              <w:keepNext w:val="0"/>
              <w:keepLines w:val="0"/>
              <w:suppressLineNumbers w:val="0"/>
              <w:bidi w:val="0"/>
              <w:spacing w:before="0" w:beforeAutospacing="0" w:after="0" w:afterAutospacing="0"/>
              <w:ind w:left="0" w:right="0"/>
              <w:rPr>
                <w:rFonts w:hint="default"/>
              </w:rPr>
            </w:pPr>
            <w:r>
              <w:rPr>
                <w:rFonts w:hint="eastAsia"/>
              </w:rPr>
              <w:t>项目生活污水经化粪池预处理达标后通过厂区污水总排放口</w:t>
            </w:r>
            <w:r>
              <w:rPr>
                <w:rFonts w:hint="default"/>
              </w:rPr>
              <w:t>排入市政污水管网，送往</w:t>
            </w:r>
            <w:r>
              <w:rPr>
                <w:rFonts w:hint="eastAsia"/>
              </w:rPr>
              <w:t>福清市融元污水处理厂</w:t>
            </w:r>
            <w:r>
              <w:rPr>
                <w:rFonts w:hint="default"/>
              </w:rPr>
              <w:t>集中处理</w:t>
            </w:r>
            <w:r>
              <w:rPr>
                <w:rFonts w:hint="eastAsia"/>
              </w:rPr>
              <w:t>，</w:t>
            </w:r>
            <w:r>
              <w:rPr>
                <w:rFonts w:hint="default"/>
              </w:rPr>
              <w:t>根据工程分析</w:t>
            </w:r>
            <w:r>
              <w:rPr>
                <w:rFonts w:hint="eastAsia"/>
              </w:rPr>
              <w:t>预测可知，</w:t>
            </w:r>
            <w:r>
              <w:rPr>
                <w:rFonts w:hint="default"/>
              </w:rPr>
              <w:t>项目</w:t>
            </w:r>
            <w:r>
              <w:rPr>
                <w:rFonts w:hint="eastAsia"/>
              </w:rPr>
              <w:t>综合废水</w:t>
            </w:r>
            <w:r>
              <w:rPr>
                <w:rFonts w:hint="default"/>
              </w:rPr>
              <w:t>排入市政污水管网内污染物排放浓度情况表</w:t>
            </w:r>
            <w:r>
              <w:rPr>
                <w:rFonts w:hint="eastAsia"/>
              </w:rPr>
              <w:t>4.</w:t>
            </w:r>
            <w:r>
              <w:rPr>
                <w:rFonts w:hint="eastAsia"/>
                <w:lang w:val="en-US" w:eastAsia="zh-CN"/>
              </w:rPr>
              <w:t>1</w:t>
            </w:r>
            <w:r>
              <w:rPr>
                <w:rFonts w:hint="eastAsia"/>
              </w:rPr>
              <w:t>-</w:t>
            </w:r>
            <w:r>
              <w:rPr>
                <w:rFonts w:hint="eastAsia"/>
                <w:lang w:val="en-US" w:eastAsia="zh-CN"/>
              </w:rPr>
              <w:t>3</w:t>
            </w:r>
            <w:r>
              <w:rPr>
                <w:rFonts w:hint="default"/>
              </w:rPr>
              <w:t>。</w:t>
            </w:r>
          </w:p>
          <w:p w14:paraId="057E477B">
            <w:pPr>
              <w:pStyle w:val="40"/>
              <w:keepNext w:val="0"/>
              <w:keepLines w:val="0"/>
              <w:suppressLineNumbers w:val="0"/>
              <w:bidi w:val="0"/>
              <w:spacing w:before="0" w:beforeAutospacing="0" w:after="0" w:afterAutospacing="0"/>
              <w:ind w:left="0" w:right="0"/>
              <w:rPr>
                <w:rFonts w:hint="default"/>
              </w:rPr>
            </w:pPr>
            <w:r>
              <w:rPr>
                <w:rFonts w:hint="default"/>
              </w:rPr>
              <w:t>表4.</w:t>
            </w:r>
            <w:r>
              <w:rPr>
                <w:rFonts w:hint="default"/>
                <w:lang w:val="en-US" w:eastAsia="zh-CN"/>
              </w:rPr>
              <w:t>1</w:t>
            </w:r>
            <w:r>
              <w:rPr>
                <w:rFonts w:hint="default"/>
              </w:rPr>
              <w:t>-</w:t>
            </w:r>
            <w:r>
              <w:rPr>
                <w:rFonts w:hint="default"/>
                <w:lang w:val="en-US" w:eastAsia="zh-CN"/>
              </w:rPr>
              <w:t>3</w:t>
            </w:r>
            <w:r>
              <w:rPr>
                <w:rFonts w:hint="default"/>
              </w:rPr>
              <w:t xml:space="preserve">  本项目厂区污水总排放口综合废水排放情况一览表</w:t>
            </w:r>
          </w:p>
          <w:tbl>
            <w:tblPr>
              <w:tblStyle w:val="3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8"/>
              <w:gridCol w:w="1660"/>
              <w:gridCol w:w="1660"/>
              <w:gridCol w:w="1660"/>
              <w:gridCol w:w="1659"/>
            </w:tblGrid>
            <w:tr w14:paraId="615BE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8" w:type="dxa"/>
                  <w:noWrap w:val="0"/>
                  <w:vAlign w:val="center"/>
                </w:tcPr>
                <w:p w14:paraId="1EE4DFC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污染物种类</w:t>
                  </w:r>
                </w:p>
              </w:tc>
              <w:tc>
                <w:tcPr>
                  <w:tcW w:w="1660" w:type="dxa"/>
                  <w:noWrap w:val="0"/>
                  <w:vAlign w:val="center"/>
                </w:tcPr>
                <w:p w14:paraId="4CC82A5D">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排放浓度</w:t>
                  </w:r>
                  <w:r>
                    <w:rPr>
                      <w:rFonts w:hint="eastAsia"/>
                      <w:szCs w:val="22"/>
                      <w:lang w:eastAsia="zh-CN"/>
                    </w:rPr>
                    <w:t>（</w:t>
                  </w:r>
                  <w:r>
                    <w:rPr>
                      <w:rFonts w:hint="eastAsia"/>
                      <w:szCs w:val="22"/>
                    </w:rPr>
                    <w:t>mg/L</w:t>
                  </w:r>
                  <w:r>
                    <w:rPr>
                      <w:rFonts w:hint="eastAsia"/>
                      <w:szCs w:val="22"/>
                      <w:lang w:eastAsia="zh-CN"/>
                    </w:rPr>
                    <w:t>）</w:t>
                  </w:r>
                </w:p>
              </w:tc>
              <w:tc>
                <w:tcPr>
                  <w:tcW w:w="1660" w:type="dxa"/>
                  <w:noWrap w:val="0"/>
                  <w:vAlign w:val="center"/>
                </w:tcPr>
                <w:p w14:paraId="618599F9">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允许排放标准</w:t>
                  </w:r>
                  <w:r>
                    <w:rPr>
                      <w:rFonts w:hint="eastAsia"/>
                      <w:szCs w:val="22"/>
                      <w:lang w:eastAsia="zh-CN"/>
                    </w:rPr>
                    <w:t>（</w:t>
                  </w:r>
                  <w:r>
                    <w:rPr>
                      <w:rFonts w:hint="eastAsia"/>
                      <w:szCs w:val="22"/>
                    </w:rPr>
                    <w:t>mg/L</w:t>
                  </w:r>
                  <w:r>
                    <w:rPr>
                      <w:rFonts w:hint="eastAsia"/>
                      <w:szCs w:val="22"/>
                      <w:lang w:eastAsia="zh-CN"/>
                    </w:rPr>
                    <w:t>）</w:t>
                  </w:r>
                </w:p>
              </w:tc>
              <w:tc>
                <w:tcPr>
                  <w:tcW w:w="1660" w:type="dxa"/>
                  <w:noWrap w:val="0"/>
                  <w:vAlign w:val="center"/>
                </w:tcPr>
                <w:p w14:paraId="4A8C8434">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lang w:eastAsia="zh-CN"/>
                    </w:rPr>
                    <w:t>污水处理厂</w:t>
                  </w:r>
                  <w:r>
                    <w:rPr>
                      <w:rFonts w:hint="eastAsia"/>
                      <w:szCs w:val="22"/>
                    </w:rPr>
                    <w:t>进水水质</w:t>
                  </w:r>
                  <w:r>
                    <w:rPr>
                      <w:rFonts w:hint="eastAsia"/>
                      <w:szCs w:val="22"/>
                      <w:lang w:eastAsia="zh-CN"/>
                    </w:rPr>
                    <w:t>（</w:t>
                  </w:r>
                  <w:r>
                    <w:rPr>
                      <w:rFonts w:hint="eastAsia"/>
                      <w:szCs w:val="22"/>
                    </w:rPr>
                    <w:t>mg/L</w:t>
                  </w:r>
                  <w:r>
                    <w:rPr>
                      <w:rFonts w:hint="eastAsia"/>
                      <w:szCs w:val="22"/>
                      <w:lang w:eastAsia="zh-CN"/>
                    </w:rPr>
                    <w:t>）</w:t>
                  </w:r>
                </w:p>
              </w:tc>
              <w:tc>
                <w:tcPr>
                  <w:tcW w:w="1659" w:type="dxa"/>
                  <w:noWrap w:val="0"/>
                  <w:vAlign w:val="center"/>
                </w:tcPr>
                <w:p w14:paraId="3D4BB72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达标情况</w:t>
                  </w:r>
                </w:p>
              </w:tc>
            </w:tr>
            <w:tr w14:paraId="1E808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8" w:type="dxa"/>
                  <w:noWrap w:val="0"/>
                  <w:vAlign w:val="center"/>
                </w:tcPr>
                <w:p w14:paraId="011855D8">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pH</w:t>
                  </w:r>
                </w:p>
              </w:tc>
              <w:tc>
                <w:tcPr>
                  <w:tcW w:w="1660" w:type="dxa"/>
                  <w:noWrap w:val="0"/>
                  <w:vAlign w:val="center"/>
                </w:tcPr>
                <w:p w14:paraId="5527BCB3">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6-9</w:t>
                  </w:r>
                  <w:r>
                    <w:rPr>
                      <w:rFonts w:hint="eastAsia"/>
                      <w:szCs w:val="22"/>
                      <w:lang w:eastAsia="zh-CN"/>
                    </w:rPr>
                    <w:t>（</w:t>
                  </w:r>
                  <w:r>
                    <w:rPr>
                      <w:rFonts w:hint="eastAsia"/>
                      <w:szCs w:val="22"/>
                    </w:rPr>
                    <w:t>无量纲</w:t>
                  </w:r>
                  <w:r>
                    <w:rPr>
                      <w:rFonts w:hint="eastAsia"/>
                      <w:szCs w:val="22"/>
                      <w:lang w:eastAsia="zh-CN"/>
                    </w:rPr>
                    <w:t>）</w:t>
                  </w:r>
                </w:p>
              </w:tc>
              <w:tc>
                <w:tcPr>
                  <w:tcW w:w="1660" w:type="dxa"/>
                  <w:noWrap w:val="0"/>
                  <w:vAlign w:val="center"/>
                </w:tcPr>
                <w:p w14:paraId="61A465CE">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6-9</w:t>
                  </w:r>
                  <w:r>
                    <w:rPr>
                      <w:rFonts w:hint="eastAsia"/>
                      <w:szCs w:val="22"/>
                      <w:lang w:eastAsia="zh-CN"/>
                    </w:rPr>
                    <w:t>（</w:t>
                  </w:r>
                  <w:r>
                    <w:rPr>
                      <w:rFonts w:hint="eastAsia"/>
                      <w:szCs w:val="22"/>
                    </w:rPr>
                    <w:t>无量纲</w:t>
                  </w:r>
                  <w:r>
                    <w:rPr>
                      <w:rFonts w:hint="eastAsia"/>
                      <w:szCs w:val="22"/>
                      <w:lang w:eastAsia="zh-CN"/>
                    </w:rPr>
                    <w:t>）</w:t>
                  </w:r>
                </w:p>
              </w:tc>
              <w:tc>
                <w:tcPr>
                  <w:tcW w:w="1660" w:type="dxa"/>
                  <w:noWrap w:val="0"/>
                  <w:vAlign w:val="center"/>
                </w:tcPr>
                <w:p w14:paraId="5E53D95D">
                  <w:pPr>
                    <w:pStyle w:val="39"/>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6-9</w:t>
                  </w:r>
                  <w:r>
                    <w:rPr>
                      <w:rFonts w:hint="eastAsia"/>
                      <w:szCs w:val="22"/>
                      <w:lang w:eastAsia="zh-CN"/>
                    </w:rPr>
                    <w:t>（</w:t>
                  </w:r>
                  <w:r>
                    <w:rPr>
                      <w:rFonts w:hint="eastAsia"/>
                      <w:szCs w:val="22"/>
                    </w:rPr>
                    <w:t>无量纲</w:t>
                  </w:r>
                  <w:r>
                    <w:rPr>
                      <w:rFonts w:hint="eastAsia"/>
                      <w:szCs w:val="22"/>
                      <w:lang w:eastAsia="zh-CN"/>
                    </w:rPr>
                    <w:t>）</w:t>
                  </w:r>
                </w:p>
              </w:tc>
              <w:tc>
                <w:tcPr>
                  <w:tcW w:w="1659" w:type="dxa"/>
                  <w:noWrap w:val="0"/>
                  <w:vAlign w:val="center"/>
                </w:tcPr>
                <w:p w14:paraId="0827CF7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达标</w:t>
                  </w:r>
                </w:p>
              </w:tc>
            </w:tr>
            <w:tr w14:paraId="24EE7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8" w:type="dxa"/>
                  <w:noWrap w:val="0"/>
                  <w:vAlign w:val="center"/>
                </w:tcPr>
                <w:p w14:paraId="2293F4D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COD</w:t>
                  </w:r>
                </w:p>
              </w:tc>
              <w:tc>
                <w:tcPr>
                  <w:tcW w:w="1660" w:type="dxa"/>
                  <w:noWrap w:val="0"/>
                  <w:vAlign w:val="center"/>
                </w:tcPr>
                <w:p w14:paraId="50EB974A">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318.8</w:t>
                  </w:r>
                </w:p>
              </w:tc>
              <w:tc>
                <w:tcPr>
                  <w:tcW w:w="1660" w:type="dxa"/>
                  <w:noWrap w:val="0"/>
                  <w:vAlign w:val="center"/>
                </w:tcPr>
                <w:p w14:paraId="4CE0865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500</w:t>
                  </w:r>
                </w:p>
              </w:tc>
              <w:tc>
                <w:tcPr>
                  <w:tcW w:w="1660" w:type="dxa"/>
                  <w:noWrap w:val="0"/>
                  <w:vAlign w:val="center"/>
                </w:tcPr>
                <w:p w14:paraId="4E30796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400</w:t>
                  </w:r>
                </w:p>
              </w:tc>
              <w:tc>
                <w:tcPr>
                  <w:tcW w:w="1659" w:type="dxa"/>
                  <w:noWrap w:val="0"/>
                  <w:vAlign w:val="center"/>
                </w:tcPr>
                <w:p w14:paraId="7A218A0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达标</w:t>
                  </w:r>
                </w:p>
              </w:tc>
            </w:tr>
            <w:tr w14:paraId="3D129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8" w:type="dxa"/>
                  <w:noWrap w:val="0"/>
                  <w:vAlign w:val="center"/>
                </w:tcPr>
                <w:p w14:paraId="3D9B7C0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BOD</w:t>
                  </w:r>
                  <w:r>
                    <w:rPr>
                      <w:rFonts w:hint="eastAsia"/>
                      <w:szCs w:val="22"/>
                      <w:vertAlign w:val="subscript"/>
                    </w:rPr>
                    <w:t>5</w:t>
                  </w:r>
                </w:p>
              </w:tc>
              <w:tc>
                <w:tcPr>
                  <w:tcW w:w="1660" w:type="dxa"/>
                  <w:noWrap w:val="0"/>
                  <w:vAlign w:val="center"/>
                </w:tcPr>
                <w:p w14:paraId="0DD46A25">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173.4</w:t>
                  </w:r>
                </w:p>
              </w:tc>
              <w:tc>
                <w:tcPr>
                  <w:tcW w:w="1660" w:type="dxa"/>
                  <w:noWrap w:val="0"/>
                  <w:vAlign w:val="center"/>
                </w:tcPr>
                <w:p w14:paraId="43F8456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300</w:t>
                  </w:r>
                </w:p>
              </w:tc>
              <w:tc>
                <w:tcPr>
                  <w:tcW w:w="1660" w:type="dxa"/>
                  <w:noWrap w:val="0"/>
                  <w:vAlign w:val="center"/>
                </w:tcPr>
                <w:p w14:paraId="6B8A6D9A">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220</w:t>
                  </w:r>
                </w:p>
              </w:tc>
              <w:tc>
                <w:tcPr>
                  <w:tcW w:w="1659" w:type="dxa"/>
                  <w:noWrap w:val="0"/>
                  <w:vAlign w:val="center"/>
                </w:tcPr>
                <w:p w14:paraId="3D2ED9B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达标</w:t>
                  </w:r>
                </w:p>
              </w:tc>
            </w:tr>
            <w:tr w14:paraId="33C5B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8" w:type="dxa"/>
                  <w:noWrap w:val="0"/>
                  <w:vAlign w:val="center"/>
                </w:tcPr>
                <w:p w14:paraId="09E9651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SS</w:t>
                  </w:r>
                </w:p>
              </w:tc>
              <w:tc>
                <w:tcPr>
                  <w:tcW w:w="1660" w:type="dxa"/>
                  <w:noWrap w:val="0"/>
                  <w:vAlign w:val="center"/>
                </w:tcPr>
                <w:p w14:paraId="26686320">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106</w:t>
                  </w:r>
                </w:p>
              </w:tc>
              <w:tc>
                <w:tcPr>
                  <w:tcW w:w="1660" w:type="dxa"/>
                  <w:noWrap w:val="0"/>
                  <w:vAlign w:val="center"/>
                </w:tcPr>
                <w:p w14:paraId="4E94317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400</w:t>
                  </w:r>
                </w:p>
              </w:tc>
              <w:tc>
                <w:tcPr>
                  <w:tcW w:w="1660" w:type="dxa"/>
                  <w:noWrap w:val="0"/>
                  <w:vAlign w:val="center"/>
                </w:tcPr>
                <w:p w14:paraId="5372878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280</w:t>
                  </w:r>
                </w:p>
              </w:tc>
              <w:tc>
                <w:tcPr>
                  <w:tcW w:w="1659" w:type="dxa"/>
                  <w:noWrap w:val="0"/>
                  <w:vAlign w:val="center"/>
                </w:tcPr>
                <w:p w14:paraId="4BCDF228">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达标</w:t>
                  </w:r>
                </w:p>
              </w:tc>
            </w:tr>
            <w:tr w14:paraId="76455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8" w:type="dxa"/>
                  <w:noWrap w:val="0"/>
                  <w:vAlign w:val="center"/>
                </w:tcPr>
                <w:p w14:paraId="2F8D943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NH</w:t>
                  </w:r>
                  <w:r>
                    <w:rPr>
                      <w:rFonts w:hint="eastAsia"/>
                      <w:szCs w:val="22"/>
                      <w:vertAlign w:val="subscript"/>
                    </w:rPr>
                    <w:t>3</w:t>
                  </w:r>
                  <w:r>
                    <w:rPr>
                      <w:rFonts w:hint="eastAsia"/>
                      <w:szCs w:val="22"/>
                    </w:rPr>
                    <w:t>-N</w:t>
                  </w:r>
                </w:p>
              </w:tc>
              <w:tc>
                <w:tcPr>
                  <w:tcW w:w="1660" w:type="dxa"/>
                  <w:noWrap w:val="0"/>
                  <w:vAlign w:val="center"/>
                </w:tcPr>
                <w:p w14:paraId="78CE7D5D">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33.9</w:t>
                  </w:r>
                </w:p>
              </w:tc>
              <w:tc>
                <w:tcPr>
                  <w:tcW w:w="1660" w:type="dxa"/>
                  <w:noWrap w:val="0"/>
                  <w:vAlign w:val="center"/>
                </w:tcPr>
                <w:p w14:paraId="5A79CDC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45</w:t>
                  </w:r>
                </w:p>
              </w:tc>
              <w:tc>
                <w:tcPr>
                  <w:tcW w:w="1660" w:type="dxa"/>
                  <w:noWrap w:val="0"/>
                  <w:vAlign w:val="center"/>
                </w:tcPr>
                <w:p w14:paraId="3F2A017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37</w:t>
                  </w:r>
                </w:p>
              </w:tc>
              <w:tc>
                <w:tcPr>
                  <w:tcW w:w="1659" w:type="dxa"/>
                  <w:noWrap w:val="0"/>
                  <w:vAlign w:val="center"/>
                </w:tcPr>
                <w:p w14:paraId="7F2EB2C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达标</w:t>
                  </w:r>
                </w:p>
              </w:tc>
            </w:tr>
          </w:tbl>
          <w:p w14:paraId="170ECF5A">
            <w:pPr>
              <w:keepNext w:val="0"/>
              <w:keepLines w:val="0"/>
              <w:suppressLineNumbers w:val="0"/>
              <w:bidi w:val="0"/>
              <w:spacing w:before="0" w:beforeAutospacing="0" w:after="0" w:afterAutospacing="0"/>
              <w:ind w:left="0" w:right="0"/>
              <w:rPr>
                <w:rFonts w:hint="default"/>
              </w:rPr>
            </w:pPr>
            <w:r>
              <w:rPr>
                <w:rFonts w:hint="default"/>
              </w:rPr>
              <w:t>根据上表所列数据，本项目</w:t>
            </w:r>
            <w:r>
              <w:rPr>
                <w:rFonts w:hint="eastAsia"/>
                <w:lang w:val="en-US" w:eastAsia="zh-CN"/>
              </w:rPr>
              <w:t>生活污水</w:t>
            </w:r>
            <w:r>
              <w:rPr>
                <w:rFonts w:hint="default"/>
              </w:rPr>
              <w:t>主要污染物排放浓度均能满足《污水综合排放标准》</w:t>
            </w:r>
            <w:r>
              <w:rPr>
                <w:rFonts w:hint="eastAsia"/>
                <w:lang w:eastAsia="zh-CN"/>
              </w:rPr>
              <w:t>（</w:t>
            </w:r>
            <w:r>
              <w:rPr>
                <w:rFonts w:hint="default"/>
              </w:rPr>
              <w:t>GB8978-1996</w:t>
            </w:r>
            <w:r>
              <w:rPr>
                <w:rFonts w:hint="eastAsia"/>
                <w:lang w:eastAsia="zh-CN"/>
              </w:rPr>
              <w:t>）</w:t>
            </w:r>
            <w:r>
              <w:rPr>
                <w:rFonts w:hint="default"/>
              </w:rPr>
              <w:t>表4三级标准及《污水排入城镇下水道水质标准》</w:t>
            </w:r>
            <w:r>
              <w:rPr>
                <w:rFonts w:hint="eastAsia"/>
                <w:lang w:eastAsia="zh-CN"/>
              </w:rPr>
              <w:t>（</w:t>
            </w:r>
            <w:r>
              <w:rPr>
                <w:rFonts w:hint="default"/>
              </w:rPr>
              <w:t>GB/T 31962-2015</w:t>
            </w:r>
            <w:r>
              <w:rPr>
                <w:rFonts w:hint="eastAsia"/>
                <w:lang w:eastAsia="zh-CN"/>
              </w:rPr>
              <w:t>）</w:t>
            </w:r>
            <w:r>
              <w:rPr>
                <w:rFonts w:hint="default"/>
              </w:rPr>
              <w:t>表1中B级标准限值</w:t>
            </w:r>
            <w:r>
              <w:rPr>
                <w:rFonts w:hint="eastAsia"/>
              </w:rPr>
              <w:t>，也可以符合</w:t>
            </w:r>
            <w:r>
              <w:rPr>
                <w:rFonts w:hint="eastAsia"/>
                <w:lang w:eastAsia="zh-CN"/>
              </w:rPr>
              <w:t>污水处理厂</w:t>
            </w:r>
            <w:r>
              <w:rPr>
                <w:rFonts w:hint="eastAsia"/>
              </w:rPr>
              <w:t>进水水质要求</w:t>
            </w:r>
            <w:r>
              <w:rPr>
                <w:rFonts w:hint="default"/>
              </w:rPr>
              <w:t>。</w:t>
            </w:r>
          </w:p>
          <w:p w14:paraId="109D6427">
            <w:pPr>
              <w:keepNext w:val="0"/>
              <w:keepLines w:val="0"/>
              <w:suppressLineNumbers w:val="0"/>
              <w:bidi w:val="0"/>
              <w:spacing w:before="0" w:beforeAutospacing="0" w:after="0" w:afterAutospacing="0"/>
              <w:ind w:left="0" w:right="0"/>
              <w:rPr>
                <w:rFonts w:hint="default"/>
              </w:rPr>
            </w:pPr>
            <w:r>
              <w:rPr>
                <w:rFonts w:hint="default"/>
              </w:rPr>
              <w:t>项目</w:t>
            </w:r>
            <w:r>
              <w:rPr>
                <w:rFonts w:hint="eastAsia"/>
              </w:rPr>
              <w:t>生活污水</w:t>
            </w:r>
            <w:r>
              <w:rPr>
                <w:rFonts w:hint="default"/>
              </w:rPr>
              <w:t>不涉及有毒有害污染物，不涉及持久性、重金属，也不含有腐蚀成分，因此，从水质方面分析，</w:t>
            </w:r>
            <w:r>
              <w:rPr>
                <w:rFonts w:hint="eastAsia"/>
              </w:rPr>
              <w:t>福清市融元污水处理厂</w:t>
            </w:r>
            <w:r>
              <w:rPr>
                <w:rFonts w:hint="default"/>
              </w:rPr>
              <w:t>可接纳项目</w:t>
            </w:r>
            <w:r>
              <w:rPr>
                <w:rFonts w:hint="eastAsia"/>
                <w:lang w:val="en-US" w:eastAsia="zh-CN"/>
              </w:rPr>
              <w:t>生活污水</w:t>
            </w:r>
            <w:r>
              <w:rPr>
                <w:rFonts w:hint="default"/>
              </w:rPr>
              <w:t>，不会对</w:t>
            </w:r>
            <w:r>
              <w:rPr>
                <w:rFonts w:hint="eastAsia"/>
                <w:lang w:eastAsia="zh-CN"/>
              </w:rPr>
              <w:t>污水处理厂</w:t>
            </w:r>
            <w:r>
              <w:rPr>
                <w:rFonts w:hint="default"/>
              </w:rPr>
              <w:t>水质负荷造成冲击。</w:t>
            </w:r>
          </w:p>
          <w:p w14:paraId="65A7F718">
            <w:pPr>
              <w:keepNext w:val="0"/>
              <w:keepLines w:val="0"/>
              <w:suppressLineNumbers w:val="0"/>
              <w:bidi w:val="0"/>
              <w:spacing w:before="0" w:beforeAutospacing="0" w:after="0" w:afterAutospacing="0"/>
              <w:ind w:left="0" w:right="0"/>
              <w:rPr>
                <w:rFonts w:hint="eastAsia"/>
              </w:rPr>
            </w:pPr>
            <w:r>
              <w:rPr>
                <w:rFonts w:hint="default"/>
              </w:rPr>
              <w:t>③</w:t>
            </w:r>
            <w:r>
              <w:rPr>
                <w:rFonts w:hint="eastAsia"/>
              </w:rPr>
              <w:t>水量负荷</w:t>
            </w:r>
          </w:p>
          <w:p w14:paraId="3FAAF40D">
            <w:pPr>
              <w:keepNext w:val="0"/>
              <w:keepLines w:val="0"/>
              <w:suppressLineNumbers w:val="0"/>
              <w:bidi w:val="0"/>
              <w:spacing w:before="0" w:beforeAutospacing="0" w:after="0" w:afterAutospacing="0"/>
              <w:ind w:left="0" w:right="0"/>
              <w:rPr>
                <w:rFonts w:hint="default"/>
              </w:rPr>
            </w:pPr>
            <w:r>
              <w:rPr>
                <w:rFonts w:hint="eastAsia"/>
              </w:rPr>
              <w:t>福清市融元污水处理厂现状</w:t>
            </w:r>
            <w:r>
              <w:rPr>
                <w:rFonts w:hint="default"/>
              </w:rPr>
              <w:t>设计总处理规模为</w:t>
            </w:r>
            <w:r>
              <w:rPr>
                <w:rFonts w:hint="eastAsia"/>
              </w:rPr>
              <w:t>12</w:t>
            </w:r>
            <w:r>
              <w:rPr>
                <w:rFonts w:hint="default"/>
              </w:rPr>
              <w:t>万t/d，根据调查，目前福清市融元污水处理厂日平均处理规模约为11.85万m</w:t>
            </w:r>
            <w:r>
              <w:rPr>
                <w:rFonts w:hint="default"/>
                <w:vertAlign w:val="superscript"/>
              </w:rPr>
              <w:t>3</w:t>
            </w:r>
            <w:r>
              <w:rPr>
                <w:rFonts w:hint="default"/>
              </w:rPr>
              <w:t>/d</w:t>
            </w:r>
            <w:r>
              <w:rPr>
                <w:rFonts w:hint="eastAsia"/>
                <w:lang w:eastAsia="zh-CN"/>
              </w:rPr>
              <w:t>，</w:t>
            </w:r>
            <w:r>
              <w:rPr>
                <w:rFonts w:hint="eastAsia"/>
              </w:rPr>
              <w:t>剩余处理能力</w:t>
            </w:r>
            <w:r>
              <w:rPr>
                <w:rFonts w:hint="default"/>
              </w:rPr>
              <w:t>1500m³/d。</w:t>
            </w:r>
            <w:r>
              <w:rPr>
                <w:rFonts w:hint="eastAsia"/>
              </w:rPr>
              <w:t>本</w:t>
            </w:r>
            <w:r>
              <w:rPr>
                <w:rFonts w:hint="default"/>
              </w:rPr>
              <w:t>项目生活污水排放量</w:t>
            </w:r>
            <w:r>
              <w:rPr>
                <w:rFonts w:hint="eastAsia"/>
                <w:lang w:val="en-US" w:eastAsia="zh-CN"/>
              </w:rPr>
              <w:t>0.52</w:t>
            </w:r>
            <w:r>
              <w:rPr>
                <w:rFonts w:hint="default"/>
              </w:rPr>
              <w:t>t/d，仅占</w:t>
            </w:r>
            <w:r>
              <w:rPr>
                <w:rFonts w:hint="eastAsia"/>
              </w:rPr>
              <w:t>福清市融元污水处理厂剩余</w:t>
            </w:r>
            <w:r>
              <w:rPr>
                <w:rFonts w:hint="default"/>
              </w:rPr>
              <w:t>处理</w:t>
            </w:r>
            <w:r>
              <w:rPr>
                <w:rFonts w:hint="eastAsia"/>
              </w:rPr>
              <w:t>规模</w:t>
            </w:r>
            <w:r>
              <w:rPr>
                <w:rFonts w:hint="default"/>
              </w:rPr>
              <w:t>的</w:t>
            </w:r>
            <w:r>
              <w:rPr>
                <w:rFonts w:hint="eastAsia"/>
                <w:lang w:val="en-US" w:eastAsia="zh-CN"/>
              </w:rPr>
              <w:t>0.0003</w:t>
            </w:r>
            <w:r>
              <w:rPr>
                <w:rFonts w:hint="default"/>
              </w:rPr>
              <w:t>%，</w:t>
            </w:r>
            <w:r>
              <w:rPr>
                <w:rFonts w:hint="eastAsia"/>
              </w:rPr>
              <w:t>污水处理厂采用</w:t>
            </w:r>
            <w:r>
              <w:rPr>
                <w:rFonts w:hint="eastAsia"/>
                <w:lang w:eastAsia="zh-CN"/>
              </w:rPr>
              <w:t>“</w:t>
            </w:r>
            <w:r>
              <w:rPr>
                <w:rFonts w:hint="eastAsia"/>
              </w:rPr>
              <w:t>处理+二级生化处理+深化处理</w:t>
            </w:r>
            <w:r>
              <w:rPr>
                <w:rFonts w:hint="eastAsia"/>
                <w:lang w:eastAsia="zh-CN"/>
              </w:rPr>
              <w:t>”</w:t>
            </w:r>
            <w:r>
              <w:rPr>
                <w:rFonts w:hint="eastAsia"/>
              </w:rPr>
              <w:t>，属于城镇污水处理厂通用工艺，因此，从处理能力及处理工艺分析</w:t>
            </w:r>
            <w:r>
              <w:rPr>
                <w:rFonts w:hint="default"/>
              </w:rPr>
              <w:t>，</w:t>
            </w:r>
            <w:r>
              <w:rPr>
                <w:rFonts w:hint="eastAsia"/>
              </w:rPr>
              <w:t>福清市融元污水处理厂</w:t>
            </w:r>
            <w:r>
              <w:rPr>
                <w:rFonts w:hint="default"/>
              </w:rPr>
              <w:t>可接纳项目废水排放量，不会对</w:t>
            </w:r>
            <w:r>
              <w:rPr>
                <w:rFonts w:hint="eastAsia"/>
                <w:lang w:eastAsia="zh-CN"/>
              </w:rPr>
              <w:t>污水处理厂</w:t>
            </w:r>
            <w:r>
              <w:rPr>
                <w:rFonts w:hint="default"/>
              </w:rPr>
              <w:t>水量负荷造成冲击。</w:t>
            </w:r>
          </w:p>
          <w:p w14:paraId="32159BFA">
            <w:pPr>
              <w:keepNext w:val="0"/>
              <w:keepLines w:val="0"/>
              <w:suppressLineNumbers w:val="0"/>
              <w:bidi w:val="0"/>
              <w:spacing w:before="0" w:beforeAutospacing="0" w:after="0" w:afterAutospacing="0"/>
              <w:ind w:left="0" w:right="0"/>
              <w:rPr>
                <w:rFonts w:hint="default"/>
              </w:rPr>
            </w:pPr>
            <w:r>
              <w:rPr>
                <w:rFonts w:hint="default"/>
              </w:rPr>
              <w:t>根据上述分析，</w:t>
            </w:r>
            <w:r>
              <w:rPr>
                <w:rFonts w:hint="eastAsia"/>
              </w:rPr>
              <w:t>项目生活污水经化粪池预处理达标后通过厂区污水总排放口</w:t>
            </w:r>
            <w:r>
              <w:rPr>
                <w:rFonts w:hint="default"/>
              </w:rPr>
              <w:t>排入市政污水管网，</w:t>
            </w:r>
            <w:r>
              <w:rPr>
                <w:rFonts w:hint="eastAsia"/>
              </w:rPr>
              <w:t>最终</w:t>
            </w:r>
            <w:r>
              <w:rPr>
                <w:rFonts w:hint="default"/>
              </w:rPr>
              <w:t>送往</w:t>
            </w:r>
            <w:r>
              <w:rPr>
                <w:rFonts w:hint="eastAsia"/>
              </w:rPr>
              <w:t>福清市融元污水处理厂</w:t>
            </w:r>
            <w:r>
              <w:rPr>
                <w:rFonts w:hint="default"/>
              </w:rPr>
              <w:t>集中处理</w:t>
            </w:r>
            <w:r>
              <w:rPr>
                <w:rFonts w:hint="eastAsia"/>
              </w:rPr>
              <w:t>，</w:t>
            </w:r>
            <w:r>
              <w:rPr>
                <w:rFonts w:hint="default"/>
              </w:rPr>
              <w:t>项目废水水质、水量</w:t>
            </w:r>
            <w:r>
              <w:rPr>
                <w:rFonts w:hint="eastAsia"/>
              </w:rPr>
              <w:t>均</w:t>
            </w:r>
            <w:r>
              <w:rPr>
                <w:rFonts w:hint="default"/>
              </w:rPr>
              <w:t>不会对污水处理厂造成负荷冲击，项目污水不直接排入地表水体，因此几乎不会对区域地表水环境产生直接不利影响。</w:t>
            </w:r>
          </w:p>
          <w:p w14:paraId="6891143D">
            <w:pPr>
              <w:pStyle w:val="3"/>
              <w:keepNext w:val="0"/>
              <w:keepLines w:val="0"/>
              <w:suppressLineNumbers w:val="0"/>
              <w:bidi w:val="0"/>
              <w:spacing w:before="0" w:beforeAutospacing="0" w:after="0" w:afterAutospacing="0"/>
              <w:ind w:left="0" w:right="0"/>
              <w:rPr>
                <w:rFonts w:hint="eastAsia"/>
              </w:rPr>
            </w:pPr>
            <w:r>
              <w:rPr>
                <w:rFonts w:hint="eastAsia"/>
              </w:rPr>
              <w:t>运营期大气环境影响分析和污染防治措施</w:t>
            </w:r>
          </w:p>
          <w:p w14:paraId="706CF1AE">
            <w:pPr>
              <w:pStyle w:val="4"/>
              <w:suppressLineNumbers w:val="0"/>
              <w:bidi w:val="0"/>
              <w:spacing w:before="0" w:beforeAutospacing="0" w:after="0" w:afterAutospacing="0"/>
              <w:ind w:left="0" w:right="0"/>
              <w:rPr>
                <w:rFonts w:hint="eastAsia"/>
              </w:rPr>
            </w:pPr>
            <w:r>
              <w:rPr>
                <w:rFonts w:hint="eastAsia"/>
              </w:rPr>
              <w:t>运营期废气源强核算</w:t>
            </w:r>
          </w:p>
          <w:p w14:paraId="1971662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szCs w:val="24"/>
                <w:lang w:val="en-US" w:eastAsia="zh-CN"/>
              </w:rPr>
            </w:pPr>
            <w:r>
              <w:rPr>
                <w:rFonts w:hint="eastAsia"/>
                <w:color w:val="auto"/>
                <w:kern w:val="0"/>
              </w:rPr>
              <w:t>本项目运营期产生的</w:t>
            </w:r>
            <w:r>
              <w:rPr>
                <w:rFonts w:hint="eastAsia"/>
                <w:bCs/>
                <w:color w:val="auto"/>
              </w:rPr>
              <w:t>颗粒物主要来自喷漆工序（漆雾）</w:t>
            </w:r>
            <w:r>
              <w:rPr>
                <w:rFonts w:hint="eastAsia"/>
                <w:bCs/>
                <w:color w:val="auto"/>
                <w:lang w:val="en-US" w:eastAsia="zh-CN"/>
              </w:rPr>
              <w:t>及打磨工序</w:t>
            </w:r>
            <w:r>
              <w:rPr>
                <w:rFonts w:hint="eastAsia"/>
                <w:bCs/>
                <w:color w:val="auto"/>
              </w:rPr>
              <w:t>；</w:t>
            </w:r>
            <w:r>
              <w:rPr>
                <w:rFonts w:hint="eastAsia"/>
                <w:bCs/>
                <w:color w:val="auto"/>
                <w:lang w:val="en-US" w:eastAsia="zh-CN"/>
              </w:rPr>
              <w:t>喷漆、烘干及加烤</w:t>
            </w:r>
            <w:r>
              <w:rPr>
                <w:rFonts w:hint="eastAsia"/>
                <w:color w:val="auto"/>
              </w:rPr>
              <w:t>产生的污染物因子为非甲烷总烃。</w:t>
            </w:r>
          </w:p>
          <w:p w14:paraId="6A0D046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val="en-US" w:eastAsia="zh-CN"/>
              </w:rPr>
            </w:pPr>
            <w:r>
              <w:rPr>
                <w:rFonts w:hint="eastAsia" w:ascii="Times New Roman" w:hAnsi="Times New Roman" w:eastAsia="宋体"/>
                <w:color w:val="auto"/>
                <w:sz w:val="24"/>
                <w:szCs w:val="24"/>
                <w:lang w:val="en-US" w:eastAsia="zh-CN"/>
              </w:rPr>
              <w:t>（1）打磨废气</w:t>
            </w:r>
          </w:p>
          <w:p w14:paraId="117AD0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szCs w:val="24"/>
                <w:lang w:val="en-US" w:eastAsia="zh-CN"/>
              </w:rPr>
            </w:pPr>
            <w:r>
              <w:rPr>
                <w:rFonts w:hint="eastAsia" w:ascii="宋体" w:hAnsi="宋体" w:eastAsia="宋体" w:cs="宋体"/>
                <w:color w:val="auto"/>
                <w:sz w:val="24"/>
                <w:szCs w:val="24"/>
                <w:lang w:val="en-US" w:eastAsia="zh-CN"/>
              </w:rPr>
              <w:t>项目压铸铝在打磨过程中会产生粉尘，这些粉尘主要成分为金属。</w:t>
            </w:r>
            <w:r>
              <w:rPr>
                <w:rFonts w:hint="eastAsia" w:ascii="宋体" w:hAnsi="宋体" w:eastAsia="宋体" w:cs="宋体"/>
                <w:color w:val="auto"/>
                <w:sz w:val="24"/>
                <w:szCs w:val="24"/>
              </w:rPr>
              <w:t>根据</w:t>
            </w:r>
            <w:r>
              <w:rPr>
                <w:rFonts w:hint="eastAsia" w:ascii="宋体" w:hAnsi="宋体" w:cs="宋体"/>
                <w:color w:val="auto"/>
                <w:sz w:val="24"/>
                <w:szCs w:val="24"/>
                <w:lang w:val="en-US" w:eastAsia="zh-CN"/>
              </w:rPr>
              <w:t>现有项目</w:t>
            </w:r>
            <w:r>
              <w:rPr>
                <w:rFonts w:hint="eastAsia" w:ascii="宋体" w:hAnsi="宋体" w:eastAsia="宋体" w:cs="宋体"/>
                <w:color w:val="auto"/>
                <w:sz w:val="24"/>
                <w:szCs w:val="24"/>
              </w:rPr>
              <w:t>情况，</w:t>
            </w:r>
            <w:r>
              <w:rPr>
                <w:rFonts w:hint="eastAsia" w:ascii="宋体" w:hAnsi="宋体" w:eastAsia="宋体" w:cs="宋体"/>
                <w:color w:val="auto"/>
                <w:sz w:val="24"/>
                <w:szCs w:val="24"/>
                <w:lang w:val="en-US" w:eastAsia="zh-CN"/>
              </w:rPr>
              <w:t>打磨</w:t>
            </w:r>
            <w:r>
              <w:rPr>
                <w:rFonts w:hint="eastAsia" w:ascii="宋体" w:hAnsi="宋体" w:eastAsia="宋体" w:cs="宋体"/>
                <w:color w:val="auto"/>
                <w:sz w:val="24"/>
                <w:szCs w:val="24"/>
              </w:rPr>
              <w:t>过程产生的金属粉尘量极少</w:t>
            </w:r>
            <w:r>
              <w:rPr>
                <w:rFonts w:hint="eastAsia" w:ascii="宋体" w:hAnsi="宋体" w:cs="宋体"/>
                <w:color w:val="auto"/>
                <w:sz w:val="24"/>
                <w:szCs w:val="24"/>
                <w:lang w:eastAsia="zh-CN"/>
              </w:rPr>
              <w:t>且</w:t>
            </w:r>
            <w:r>
              <w:rPr>
                <w:rFonts w:hint="eastAsia" w:ascii="宋体" w:hAnsi="宋体" w:eastAsia="宋体" w:cs="宋体"/>
                <w:color w:val="auto"/>
                <w:sz w:val="24"/>
                <w:szCs w:val="24"/>
              </w:rPr>
              <w:t>此部分金属</w:t>
            </w:r>
            <w:r>
              <w:rPr>
                <w:rFonts w:hint="eastAsia" w:ascii="宋体" w:hAnsi="宋体" w:eastAsia="宋体" w:cs="宋体"/>
                <w:color w:val="auto"/>
                <w:sz w:val="24"/>
                <w:szCs w:val="24"/>
                <w:lang w:val="en-US" w:eastAsia="zh-CN"/>
              </w:rPr>
              <w:t>粒径</w:t>
            </w:r>
            <w:r>
              <w:rPr>
                <w:rFonts w:hint="eastAsia" w:ascii="宋体" w:hAnsi="宋体" w:eastAsia="宋体" w:cs="宋体"/>
                <w:color w:val="auto"/>
                <w:sz w:val="24"/>
                <w:szCs w:val="24"/>
              </w:rPr>
              <w:t>较大，基本沉降在工位旁，</w:t>
            </w:r>
            <w:r>
              <w:rPr>
                <w:rFonts w:hint="eastAsia" w:ascii="Times New Roman" w:hAnsi="Times New Roman" w:eastAsia="宋体" w:cs="Times New Roman"/>
                <w:b w:val="0"/>
                <w:bCs w:val="0"/>
                <w:color w:val="auto"/>
                <w:sz w:val="24"/>
                <w:szCs w:val="24"/>
                <w:highlight w:val="none"/>
                <w:lang w:val="en-US" w:eastAsia="zh-CN"/>
              </w:rPr>
              <w:t>故本评价</w:t>
            </w:r>
            <w:r>
              <w:rPr>
                <w:rFonts w:hint="eastAsia" w:cs="Times New Roman"/>
                <w:b w:val="0"/>
                <w:bCs w:val="0"/>
                <w:color w:val="auto"/>
                <w:sz w:val="24"/>
                <w:szCs w:val="24"/>
                <w:highlight w:val="none"/>
                <w:lang w:val="en-US" w:eastAsia="zh-CN"/>
              </w:rPr>
              <w:t>仅对打磨工序产生的颗粒物进行定性分析，</w:t>
            </w:r>
            <w:r>
              <w:rPr>
                <w:rFonts w:hint="eastAsia" w:ascii="Times New Roman" w:hAnsi="Times New Roman" w:eastAsia="宋体" w:cs="Times New Roman"/>
                <w:b w:val="0"/>
                <w:bCs w:val="0"/>
                <w:color w:val="auto"/>
                <w:sz w:val="24"/>
                <w:szCs w:val="24"/>
                <w:highlight w:val="none"/>
                <w:lang w:val="en-US" w:eastAsia="zh-CN"/>
              </w:rPr>
              <w:t>不对其进行定量分析。</w:t>
            </w:r>
            <w:r>
              <w:rPr>
                <w:rFonts w:hint="eastAsia" w:ascii="宋体" w:hAnsi="宋体" w:cs="宋体"/>
                <w:color w:val="auto"/>
                <w:sz w:val="24"/>
                <w:szCs w:val="24"/>
                <w:lang w:val="en-US" w:eastAsia="zh-CN"/>
              </w:rPr>
              <w:t>本评价</w:t>
            </w:r>
            <w:r>
              <w:rPr>
                <w:rFonts w:hint="eastAsia" w:ascii="宋体" w:hAnsi="宋体" w:eastAsia="宋体" w:cs="宋体"/>
                <w:color w:val="auto"/>
                <w:sz w:val="24"/>
                <w:szCs w:val="24"/>
              </w:rPr>
              <w:t>项目</w:t>
            </w:r>
            <w:r>
              <w:rPr>
                <w:rFonts w:hint="eastAsia" w:ascii="宋体" w:hAnsi="宋体" w:eastAsia="宋体" w:cs="宋体"/>
                <w:color w:val="auto"/>
                <w:sz w:val="24"/>
                <w:szCs w:val="24"/>
                <w:lang w:val="en-US" w:eastAsia="zh-CN"/>
              </w:rPr>
              <w:t>设置密闭</w:t>
            </w:r>
            <w:r>
              <w:rPr>
                <w:rFonts w:hint="eastAsia" w:ascii="宋体" w:hAnsi="宋体" w:cs="宋体"/>
                <w:color w:val="auto"/>
                <w:sz w:val="24"/>
                <w:szCs w:val="24"/>
                <w:lang w:val="en-US" w:eastAsia="zh-CN"/>
              </w:rPr>
              <w:t>生产车间</w:t>
            </w:r>
            <w:r>
              <w:rPr>
                <w:rFonts w:hint="eastAsia" w:ascii="宋体" w:hAnsi="宋体" w:eastAsia="宋体" w:cs="宋体"/>
                <w:color w:val="auto"/>
                <w:sz w:val="24"/>
                <w:szCs w:val="24"/>
                <w:lang w:val="en-US" w:eastAsia="zh-CN"/>
              </w:rPr>
              <w:t>，打磨工序密闭</w:t>
            </w:r>
            <w:r>
              <w:rPr>
                <w:rFonts w:hint="eastAsia" w:ascii="宋体" w:hAnsi="宋体" w:eastAsia="宋体" w:cs="宋体"/>
                <w:color w:val="auto"/>
                <w:sz w:val="24"/>
                <w:szCs w:val="24"/>
              </w:rPr>
              <w:t>以减少粉尘外逸对外环境的影响。</w:t>
            </w:r>
          </w:p>
          <w:p w14:paraId="22CBE42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olor w:val="auto"/>
                <w:sz w:val="24"/>
                <w:szCs w:val="24"/>
                <w:lang w:val="en-US" w:eastAsia="zh-CN"/>
              </w:rPr>
              <w:t>（2</w:t>
            </w:r>
            <w:r>
              <w:rPr>
                <w:rFonts w:hint="default" w:ascii="Times New Roman" w:hAnsi="Times New Roman" w:eastAsia="宋体" w:cs="Times New Roman"/>
                <w:color w:val="auto"/>
                <w:sz w:val="24"/>
                <w:szCs w:val="24"/>
                <w:lang w:val="en-US" w:eastAsia="zh-CN"/>
              </w:rPr>
              <w:t>）喷漆</w:t>
            </w:r>
            <w:r>
              <w:rPr>
                <w:rFonts w:hint="eastAsia" w:cs="Times New Roman"/>
                <w:color w:val="auto"/>
                <w:sz w:val="24"/>
                <w:szCs w:val="24"/>
                <w:lang w:val="en-US" w:eastAsia="zh-CN"/>
              </w:rPr>
              <w:t>、烘干及加烤</w:t>
            </w:r>
            <w:r>
              <w:rPr>
                <w:rFonts w:hint="default" w:ascii="Times New Roman" w:hAnsi="Times New Roman" w:eastAsia="宋体" w:cs="Times New Roman"/>
                <w:color w:val="auto"/>
                <w:sz w:val="24"/>
                <w:szCs w:val="24"/>
                <w:lang w:val="en-US" w:eastAsia="zh-CN"/>
              </w:rPr>
              <w:t>废气</w:t>
            </w:r>
          </w:p>
          <w:p w14:paraId="71AAB5D2">
            <w:pPr>
              <w:keepNext w:val="0"/>
              <w:keepLines w:val="0"/>
              <w:suppressLineNumbers w:val="0"/>
              <w:bidi w:val="0"/>
              <w:spacing w:before="0" w:beforeAutospacing="0" w:after="0" w:afterAutospacing="0"/>
              <w:ind w:left="0" w:right="0"/>
              <w:rPr>
                <w:rFonts w:hint="eastAsia"/>
              </w:rPr>
            </w:pPr>
            <w:r>
              <w:rPr>
                <w:rFonts w:hint="eastAsia"/>
              </w:rPr>
              <w:t>本项目拟设</w:t>
            </w:r>
            <w:r>
              <w:rPr>
                <w:rFonts w:hint="eastAsia"/>
                <w:lang w:val="en-US" w:eastAsia="zh-CN"/>
              </w:rPr>
              <w:t>9</w:t>
            </w:r>
            <w:r>
              <w:rPr>
                <w:rFonts w:hint="eastAsia"/>
              </w:rPr>
              <w:t>台水帘柜，</w:t>
            </w:r>
            <w:r>
              <w:rPr>
                <w:rFonts w:hint="eastAsia"/>
                <w:lang w:val="en-US" w:eastAsia="zh-CN"/>
              </w:rPr>
              <w:t>每条生产线配置3台水帘柜，</w:t>
            </w:r>
            <w:r>
              <w:rPr>
                <w:rFonts w:hint="eastAsia"/>
              </w:rPr>
              <w:t>根据产品种类使用不同的涂料对半成品进行喷漆</w:t>
            </w:r>
            <w:r>
              <w:rPr>
                <w:rFonts w:hint="eastAsia"/>
                <w:lang w:eastAsia="zh-CN"/>
              </w:rPr>
              <w:t>，</w:t>
            </w:r>
            <w:r>
              <w:rPr>
                <w:rFonts w:hint="eastAsia"/>
              </w:rPr>
              <w:t>使用油性漆或水性漆</w:t>
            </w:r>
            <w:r>
              <w:rPr>
                <w:rFonts w:hint="eastAsia"/>
                <w:lang w:eastAsia="zh-CN"/>
              </w:rPr>
              <w:t>（</w:t>
            </w:r>
            <w:r>
              <w:rPr>
                <w:rFonts w:hint="eastAsia"/>
                <w:lang w:val="en-US" w:eastAsia="zh-CN"/>
              </w:rPr>
              <w:t>加入稀释剂调配后</w:t>
            </w:r>
            <w:r>
              <w:rPr>
                <w:rFonts w:hint="eastAsia"/>
                <w:lang w:eastAsia="zh-CN"/>
              </w:rPr>
              <w:t>）</w:t>
            </w:r>
            <w:r>
              <w:rPr>
                <w:rFonts w:hint="eastAsia"/>
              </w:rPr>
              <w:t>在喷漆工序中会产生一定的漆雾。根据《涂装工艺与设备》（化学工业出版社），喷涂距离在15~20cm，附着效率约为65%～75%，本次附着效率按70%计算。</w:t>
            </w:r>
          </w:p>
          <w:p w14:paraId="3D0E3931">
            <w:pPr>
              <w:pStyle w:val="40"/>
              <w:keepNext w:val="0"/>
              <w:keepLines w:val="0"/>
              <w:suppressLineNumbers w:val="0"/>
              <w:bidi w:val="0"/>
              <w:spacing w:before="0" w:beforeAutospacing="0" w:after="0" w:afterAutospacing="0"/>
              <w:ind w:left="0" w:right="0"/>
              <w:rPr>
                <w:rFonts w:hint="eastAsia"/>
              </w:rPr>
            </w:pPr>
            <w:r>
              <w:rPr>
                <w:rFonts w:hint="eastAsia"/>
              </w:rPr>
              <w:t>表4.2-1  本项目</w:t>
            </w:r>
            <w:r>
              <w:rPr>
                <w:rFonts w:hint="default" w:ascii="Times New Roman" w:hAnsi="Times New Roman" w:eastAsia="宋体" w:cs="Times New Roman"/>
                <w:color w:val="auto"/>
                <w:sz w:val="24"/>
                <w:szCs w:val="24"/>
                <w:lang w:val="en-US" w:eastAsia="zh-CN"/>
              </w:rPr>
              <w:t>涂料中</w:t>
            </w:r>
            <w:r>
              <w:rPr>
                <w:rFonts w:hint="eastAsia" w:cs="Times New Roman"/>
                <w:color w:val="auto"/>
                <w:sz w:val="24"/>
                <w:szCs w:val="24"/>
                <w:lang w:val="en-US" w:eastAsia="zh-CN"/>
              </w:rPr>
              <w:t>漆雾及挥发</w:t>
            </w:r>
            <w:r>
              <w:rPr>
                <w:rFonts w:hint="default" w:ascii="Times New Roman" w:hAnsi="Times New Roman" w:eastAsia="宋体" w:cs="Times New Roman"/>
                <w:color w:val="auto"/>
                <w:sz w:val="24"/>
                <w:szCs w:val="24"/>
                <w:lang w:val="en-US" w:eastAsia="zh-CN"/>
              </w:rPr>
              <w:t>成分</w:t>
            </w:r>
            <w:r>
              <w:rPr>
                <w:rFonts w:hint="eastAsia"/>
              </w:rPr>
              <w:t>产生情况表</w:t>
            </w:r>
          </w:p>
          <w:tbl>
            <w:tblPr>
              <w:tblStyle w:val="30"/>
              <w:tblW w:w="4997"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25"/>
              <w:gridCol w:w="744"/>
              <w:gridCol w:w="678"/>
              <w:gridCol w:w="762"/>
              <w:gridCol w:w="646"/>
              <w:gridCol w:w="961"/>
              <w:gridCol w:w="778"/>
              <w:gridCol w:w="1110"/>
              <w:gridCol w:w="822"/>
              <w:gridCol w:w="936"/>
            </w:tblGrid>
            <w:tr w14:paraId="7F8BAC7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53" w:type="pct"/>
                  <w:vMerge w:val="restart"/>
                  <w:tcBorders>
                    <w:top w:val="single" w:color="000000" w:sz="12" w:space="0"/>
                    <w:left w:val="nil"/>
                    <w:tl2br w:val="nil"/>
                  </w:tcBorders>
                  <w:shd w:val="clear" w:color="auto" w:fill="auto"/>
                  <w:vAlign w:val="center"/>
                </w:tcPr>
                <w:p w14:paraId="3233EE6E">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物料名称</w:t>
                  </w:r>
                </w:p>
              </w:tc>
              <w:tc>
                <w:tcPr>
                  <w:tcW w:w="445" w:type="pct"/>
                  <w:vMerge w:val="restart"/>
                  <w:tcBorders>
                    <w:top w:val="single" w:color="000000" w:sz="12" w:space="0"/>
                  </w:tcBorders>
                  <w:shd w:val="clear" w:color="auto" w:fill="auto"/>
                  <w:vAlign w:val="center"/>
                </w:tcPr>
                <w:p w14:paraId="3A5E5C04">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使用量（t/a）</w:t>
                  </w:r>
                </w:p>
              </w:tc>
              <w:tc>
                <w:tcPr>
                  <w:tcW w:w="405" w:type="pct"/>
                  <w:vMerge w:val="restart"/>
                  <w:tcBorders>
                    <w:top w:val="single" w:color="000000" w:sz="12" w:space="0"/>
                  </w:tcBorders>
                  <w:shd w:val="clear" w:color="auto" w:fill="auto"/>
                  <w:vAlign w:val="center"/>
                </w:tcPr>
                <w:p w14:paraId="0D1EFC40">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喷漆效率</w:t>
                  </w:r>
                </w:p>
              </w:tc>
              <w:tc>
                <w:tcPr>
                  <w:tcW w:w="455" w:type="pct"/>
                  <w:vMerge w:val="restart"/>
                  <w:tcBorders>
                    <w:top w:val="single" w:color="000000" w:sz="12" w:space="0"/>
                  </w:tcBorders>
                  <w:shd w:val="clear" w:color="auto" w:fill="auto"/>
                  <w:vAlign w:val="center"/>
                </w:tcPr>
                <w:p w14:paraId="075E25E5">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未附着量（t/a）</w:t>
                  </w:r>
                </w:p>
              </w:tc>
              <w:tc>
                <w:tcPr>
                  <w:tcW w:w="386" w:type="pct"/>
                  <w:vMerge w:val="restart"/>
                  <w:tcBorders>
                    <w:top w:val="single" w:color="000000" w:sz="12" w:space="0"/>
                  </w:tcBorders>
                  <w:shd w:val="clear" w:color="auto" w:fill="auto"/>
                  <w:vAlign w:val="center"/>
                </w:tcPr>
                <w:p w14:paraId="185239C4">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固含量</w:t>
                  </w:r>
                </w:p>
              </w:tc>
              <w:tc>
                <w:tcPr>
                  <w:tcW w:w="574" w:type="pct"/>
                  <w:vMerge w:val="restart"/>
                  <w:tcBorders>
                    <w:top w:val="single" w:color="000000" w:sz="12" w:space="0"/>
                  </w:tcBorders>
                  <w:shd w:val="clear" w:color="auto" w:fill="auto"/>
                  <w:vAlign w:val="center"/>
                </w:tcPr>
                <w:p w14:paraId="7CC59083">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漆雾产生量（t/a）</w:t>
                  </w:r>
                </w:p>
              </w:tc>
              <w:tc>
                <w:tcPr>
                  <w:tcW w:w="465" w:type="pct"/>
                  <w:vMerge w:val="restart"/>
                  <w:tcBorders>
                    <w:top w:val="single" w:color="000000" w:sz="12" w:space="0"/>
                  </w:tcBorders>
                  <w:shd w:val="clear" w:color="auto" w:fill="auto"/>
                  <w:vAlign w:val="center"/>
                </w:tcPr>
                <w:p w14:paraId="0156FE7E">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挥发分含量</w:t>
                  </w:r>
                </w:p>
              </w:tc>
              <w:tc>
                <w:tcPr>
                  <w:tcW w:w="1713" w:type="pct"/>
                  <w:gridSpan w:val="3"/>
                  <w:tcBorders>
                    <w:top w:val="single" w:color="000000" w:sz="12" w:space="0"/>
                    <w:right w:val="nil"/>
                  </w:tcBorders>
                  <w:shd w:val="clear" w:color="auto" w:fill="auto"/>
                  <w:vAlign w:val="center"/>
                </w:tcPr>
                <w:p w14:paraId="4AFDFBD8">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挥发分（非甲烷总烃）（t/a）</w:t>
                  </w:r>
                </w:p>
              </w:tc>
            </w:tr>
            <w:tr w14:paraId="19B60AE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53" w:type="pct"/>
                  <w:vMerge w:val="continue"/>
                  <w:tcBorders>
                    <w:left w:val="nil"/>
                  </w:tcBorders>
                  <w:shd w:val="clear" w:color="auto" w:fill="auto"/>
                  <w:vAlign w:val="center"/>
                </w:tcPr>
                <w:p w14:paraId="04092D2D">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445" w:type="pct"/>
                  <w:vMerge w:val="continue"/>
                  <w:shd w:val="clear" w:color="auto" w:fill="auto"/>
                  <w:vAlign w:val="center"/>
                </w:tcPr>
                <w:p w14:paraId="12FF7D13">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405" w:type="pct"/>
                  <w:vMerge w:val="continue"/>
                  <w:shd w:val="clear" w:color="auto" w:fill="auto"/>
                  <w:vAlign w:val="center"/>
                </w:tcPr>
                <w:p w14:paraId="788F15CD">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455" w:type="pct"/>
                  <w:vMerge w:val="continue"/>
                  <w:shd w:val="clear" w:color="auto" w:fill="auto"/>
                  <w:vAlign w:val="center"/>
                </w:tcPr>
                <w:p w14:paraId="59D1394C">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386" w:type="pct"/>
                  <w:vMerge w:val="continue"/>
                  <w:shd w:val="clear" w:color="auto" w:fill="auto"/>
                  <w:vAlign w:val="center"/>
                </w:tcPr>
                <w:p w14:paraId="347F1401">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574" w:type="pct"/>
                  <w:vMerge w:val="continue"/>
                  <w:shd w:val="clear" w:color="auto" w:fill="auto"/>
                  <w:vAlign w:val="center"/>
                </w:tcPr>
                <w:p w14:paraId="7F54C1DD">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465" w:type="pct"/>
                  <w:vMerge w:val="continue"/>
                  <w:shd w:val="clear" w:color="auto" w:fill="auto"/>
                  <w:vAlign w:val="center"/>
                </w:tcPr>
                <w:p w14:paraId="19B83B9E">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663" w:type="pct"/>
                  <w:shd w:val="clear" w:color="auto" w:fill="auto"/>
                  <w:vAlign w:val="center"/>
                </w:tcPr>
                <w:p w14:paraId="55B0DB34">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总挥发量</w:t>
                  </w:r>
                </w:p>
              </w:tc>
              <w:tc>
                <w:tcPr>
                  <w:tcW w:w="491" w:type="pct"/>
                  <w:shd w:val="clear" w:color="auto" w:fill="auto"/>
                  <w:noWrap/>
                  <w:vAlign w:val="center"/>
                </w:tcPr>
                <w:p w14:paraId="6E8D79A4">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有组织收集</w:t>
                  </w:r>
                </w:p>
              </w:tc>
              <w:tc>
                <w:tcPr>
                  <w:tcW w:w="558" w:type="pct"/>
                  <w:tcBorders>
                    <w:right w:val="nil"/>
                  </w:tcBorders>
                  <w:shd w:val="clear" w:color="auto" w:fill="auto"/>
                  <w:noWrap/>
                  <w:vAlign w:val="center"/>
                </w:tcPr>
                <w:p w14:paraId="2B5CE4F2">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无组织排放</w:t>
                  </w:r>
                </w:p>
              </w:tc>
            </w:tr>
            <w:tr w14:paraId="7575B41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53" w:type="pct"/>
                  <w:tcBorders>
                    <w:left w:val="nil"/>
                  </w:tcBorders>
                  <w:shd w:val="clear" w:color="auto" w:fill="auto"/>
                  <w:vAlign w:val="center"/>
                </w:tcPr>
                <w:p w14:paraId="6DA578F8">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水性漆</w:t>
                  </w:r>
                </w:p>
              </w:tc>
              <w:tc>
                <w:tcPr>
                  <w:tcW w:w="445" w:type="pct"/>
                  <w:shd w:val="clear" w:color="auto" w:fill="auto"/>
                  <w:noWrap/>
                  <w:vAlign w:val="center"/>
                </w:tcPr>
                <w:p w14:paraId="4702B7E4">
                  <w:pPr>
                    <w:pStyle w:val="39"/>
                    <w:keepNext w:val="0"/>
                    <w:keepLines w:val="0"/>
                    <w:widowControl/>
                    <w:suppressLineNumbers w:val="0"/>
                    <w:bidi w:val="0"/>
                    <w:spacing w:before="0" w:beforeAutospacing="0" w:after="0" w:afterAutospacing="0"/>
                    <w:ind w:left="0" w:right="0"/>
                    <w:rPr>
                      <w:rFonts w:hint="default"/>
                      <w:szCs w:val="22"/>
                      <w:lang w:val="en-US"/>
                    </w:rPr>
                  </w:pPr>
                  <w:r>
                    <w:rPr>
                      <w:rFonts w:hint="default"/>
                      <w:szCs w:val="22"/>
                      <w:lang w:val="en-US" w:eastAsia="zh-CN"/>
                    </w:rPr>
                    <w:t>0.9</w:t>
                  </w:r>
                </w:p>
              </w:tc>
              <w:tc>
                <w:tcPr>
                  <w:tcW w:w="405" w:type="pct"/>
                  <w:shd w:val="clear" w:color="auto" w:fill="auto"/>
                  <w:vAlign w:val="center"/>
                </w:tcPr>
                <w:p w14:paraId="64C5FE61">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70%</w:t>
                  </w:r>
                </w:p>
              </w:tc>
              <w:tc>
                <w:tcPr>
                  <w:tcW w:w="767" w:type="dxa"/>
                  <w:shd w:val="clear" w:color="auto" w:fill="auto"/>
                  <w:vAlign w:val="center"/>
                </w:tcPr>
                <w:p w14:paraId="791385D4">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0.27</w:t>
                  </w:r>
                </w:p>
              </w:tc>
              <w:tc>
                <w:tcPr>
                  <w:tcW w:w="386" w:type="pct"/>
                  <w:shd w:val="clear" w:color="auto" w:fill="auto"/>
                  <w:vAlign w:val="center"/>
                </w:tcPr>
                <w:p w14:paraId="7611F15B">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41%</w:t>
                  </w:r>
                </w:p>
              </w:tc>
              <w:tc>
                <w:tcPr>
                  <w:tcW w:w="967" w:type="dxa"/>
                  <w:shd w:val="clear" w:color="auto" w:fill="auto"/>
                  <w:vAlign w:val="center"/>
                </w:tcPr>
                <w:p w14:paraId="0395F4D0">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0.1107</w:t>
                  </w:r>
                </w:p>
              </w:tc>
              <w:tc>
                <w:tcPr>
                  <w:tcW w:w="465" w:type="pct"/>
                  <w:shd w:val="clear" w:color="auto" w:fill="auto"/>
                  <w:vAlign w:val="center"/>
                </w:tcPr>
                <w:p w14:paraId="3725058B">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w:t>
                  </w:r>
                </w:p>
              </w:tc>
              <w:tc>
                <w:tcPr>
                  <w:tcW w:w="1117" w:type="dxa"/>
                  <w:shd w:val="clear" w:color="auto" w:fill="auto"/>
                  <w:vAlign w:val="center"/>
                </w:tcPr>
                <w:p w14:paraId="3AF086AB">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w:t>
                  </w:r>
                </w:p>
              </w:tc>
              <w:tc>
                <w:tcPr>
                  <w:tcW w:w="828" w:type="dxa"/>
                  <w:shd w:val="clear" w:color="auto" w:fill="auto"/>
                  <w:vAlign w:val="center"/>
                </w:tcPr>
                <w:p w14:paraId="1FDAA499">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w:t>
                  </w:r>
                </w:p>
              </w:tc>
              <w:tc>
                <w:tcPr>
                  <w:tcW w:w="940" w:type="dxa"/>
                  <w:tcBorders>
                    <w:right w:val="nil"/>
                  </w:tcBorders>
                  <w:shd w:val="clear" w:color="auto" w:fill="auto"/>
                  <w:vAlign w:val="center"/>
                </w:tcPr>
                <w:p w14:paraId="0D5D8D3F">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w:t>
                  </w:r>
                </w:p>
              </w:tc>
            </w:tr>
            <w:tr w14:paraId="1186726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53" w:type="pct"/>
                  <w:tcBorders>
                    <w:left w:val="nil"/>
                  </w:tcBorders>
                  <w:shd w:val="clear" w:color="auto" w:fill="auto"/>
                  <w:vAlign w:val="center"/>
                </w:tcPr>
                <w:p w14:paraId="4DFA524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塑胶用油性漆</w:t>
                  </w:r>
                </w:p>
              </w:tc>
              <w:tc>
                <w:tcPr>
                  <w:tcW w:w="445" w:type="pct"/>
                  <w:shd w:val="clear" w:color="auto" w:fill="auto"/>
                  <w:noWrap/>
                  <w:vAlign w:val="center"/>
                </w:tcPr>
                <w:p w14:paraId="7D0C59E9">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0.6</w:t>
                  </w:r>
                </w:p>
              </w:tc>
              <w:tc>
                <w:tcPr>
                  <w:tcW w:w="405" w:type="pct"/>
                  <w:shd w:val="clear" w:color="auto" w:fill="auto"/>
                  <w:vAlign w:val="center"/>
                </w:tcPr>
                <w:p w14:paraId="16587971">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70%</w:t>
                  </w:r>
                </w:p>
              </w:tc>
              <w:tc>
                <w:tcPr>
                  <w:tcW w:w="767" w:type="dxa"/>
                  <w:shd w:val="clear" w:color="auto" w:fill="auto"/>
                  <w:vAlign w:val="center"/>
                </w:tcPr>
                <w:p w14:paraId="0C3AE904">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0.18</w:t>
                  </w:r>
                </w:p>
              </w:tc>
              <w:tc>
                <w:tcPr>
                  <w:tcW w:w="386" w:type="pct"/>
                  <w:shd w:val="clear" w:color="auto" w:fill="auto"/>
                  <w:vAlign w:val="center"/>
                </w:tcPr>
                <w:p w14:paraId="24E1F443">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65%</w:t>
                  </w:r>
                </w:p>
              </w:tc>
              <w:tc>
                <w:tcPr>
                  <w:tcW w:w="967" w:type="dxa"/>
                  <w:shd w:val="clear" w:color="auto" w:fill="auto"/>
                  <w:vAlign w:val="center"/>
                </w:tcPr>
                <w:p w14:paraId="5DC54781">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0.117</w:t>
                  </w:r>
                </w:p>
              </w:tc>
              <w:tc>
                <w:tcPr>
                  <w:tcW w:w="465" w:type="pct"/>
                  <w:shd w:val="clear" w:color="auto" w:fill="auto"/>
                  <w:vAlign w:val="center"/>
                </w:tcPr>
                <w:p w14:paraId="723357FF">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30.3%</w:t>
                  </w:r>
                </w:p>
              </w:tc>
              <w:tc>
                <w:tcPr>
                  <w:tcW w:w="1117" w:type="dxa"/>
                  <w:shd w:val="clear" w:color="auto" w:fill="auto"/>
                  <w:vAlign w:val="center"/>
                </w:tcPr>
                <w:p w14:paraId="78105FD5">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0.1818</w:t>
                  </w:r>
                </w:p>
              </w:tc>
              <w:tc>
                <w:tcPr>
                  <w:tcW w:w="828" w:type="dxa"/>
                  <w:shd w:val="clear" w:color="auto" w:fill="auto"/>
                  <w:vAlign w:val="center"/>
                </w:tcPr>
                <w:p w14:paraId="22CD9BA7">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0.1636</w:t>
                  </w:r>
                </w:p>
              </w:tc>
              <w:tc>
                <w:tcPr>
                  <w:tcW w:w="940" w:type="dxa"/>
                  <w:tcBorders>
                    <w:right w:val="nil"/>
                  </w:tcBorders>
                  <w:shd w:val="clear" w:color="auto" w:fill="auto"/>
                  <w:vAlign w:val="center"/>
                </w:tcPr>
                <w:p w14:paraId="2B757A48">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0.0182</w:t>
                  </w:r>
                </w:p>
              </w:tc>
            </w:tr>
            <w:tr w14:paraId="6770622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53" w:type="pct"/>
                  <w:tcBorders>
                    <w:left w:val="nil"/>
                  </w:tcBorders>
                  <w:shd w:val="clear" w:color="auto" w:fill="auto"/>
                  <w:vAlign w:val="center"/>
                </w:tcPr>
                <w:p w14:paraId="3476638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金属用油性漆</w:t>
                  </w:r>
                </w:p>
              </w:tc>
              <w:tc>
                <w:tcPr>
                  <w:tcW w:w="445" w:type="pct"/>
                  <w:shd w:val="clear" w:color="auto" w:fill="auto"/>
                  <w:noWrap/>
                  <w:vAlign w:val="center"/>
                </w:tcPr>
                <w:p w14:paraId="6F6A59C0">
                  <w:pPr>
                    <w:pStyle w:val="39"/>
                    <w:keepNext w:val="0"/>
                    <w:keepLines w:val="0"/>
                    <w:widowControl/>
                    <w:suppressLineNumbers w:val="0"/>
                    <w:bidi w:val="0"/>
                    <w:spacing w:before="0" w:beforeAutospacing="0" w:after="0" w:afterAutospacing="0"/>
                    <w:ind w:left="0" w:right="0"/>
                    <w:rPr>
                      <w:rFonts w:hint="default"/>
                      <w:szCs w:val="22"/>
                      <w:lang w:val="en-US"/>
                    </w:rPr>
                  </w:pPr>
                  <w:r>
                    <w:rPr>
                      <w:rFonts w:hint="default"/>
                      <w:szCs w:val="22"/>
                      <w:lang w:val="en-US" w:eastAsia="zh-CN"/>
                    </w:rPr>
                    <w:t>3.</w:t>
                  </w:r>
                  <w:r>
                    <w:rPr>
                      <w:rFonts w:hint="eastAsia"/>
                      <w:szCs w:val="22"/>
                      <w:lang w:val="en-US" w:eastAsia="zh-CN"/>
                    </w:rPr>
                    <w:t>3</w:t>
                  </w:r>
                </w:p>
              </w:tc>
              <w:tc>
                <w:tcPr>
                  <w:tcW w:w="405" w:type="pct"/>
                  <w:shd w:val="clear" w:color="auto" w:fill="auto"/>
                  <w:vAlign w:val="center"/>
                </w:tcPr>
                <w:p w14:paraId="3FEBA2D7">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70%</w:t>
                  </w:r>
                </w:p>
              </w:tc>
              <w:tc>
                <w:tcPr>
                  <w:tcW w:w="767" w:type="dxa"/>
                  <w:shd w:val="clear" w:color="auto" w:fill="auto"/>
                  <w:vAlign w:val="center"/>
                </w:tcPr>
                <w:p w14:paraId="16728A9D">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0.99</w:t>
                  </w:r>
                </w:p>
              </w:tc>
              <w:tc>
                <w:tcPr>
                  <w:tcW w:w="386" w:type="pct"/>
                  <w:shd w:val="clear" w:color="auto" w:fill="auto"/>
                  <w:vAlign w:val="center"/>
                </w:tcPr>
                <w:p w14:paraId="456D0A0B">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61%</w:t>
                  </w:r>
                </w:p>
              </w:tc>
              <w:tc>
                <w:tcPr>
                  <w:tcW w:w="967" w:type="dxa"/>
                  <w:shd w:val="clear" w:color="auto" w:fill="auto"/>
                  <w:vAlign w:val="center"/>
                </w:tcPr>
                <w:p w14:paraId="59F65FDD">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0.6039</w:t>
                  </w:r>
                </w:p>
              </w:tc>
              <w:tc>
                <w:tcPr>
                  <w:tcW w:w="465" w:type="pct"/>
                  <w:shd w:val="clear" w:color="auto" w:fill="auto"/>
                  <w:vAlign w:val="center"/>
                </w:tcPr>
                <w:p w14:paraId="2C4765EB">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31.9%</w:t>
                  </w:r>
                </w:p>
              </w:tc>
              <w:tc>
                <w:tcPr>
                  <w:tcW w:w="1117" w:type="dxa"/>
                  <w:shd w:val="clear" w:color="auto" w:fill="auto"/>
                  <w:vAlign w:val="center"/>
                </w:tcPr>
                <w:p w14:paraId="05E4B6E4">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1.0527</w:t>
                  </w:r>
                </w:p>
              </w:tc>
              <w:tc>
                <w:tcPr>
                  <w:tcW w:w="828" w:type="dxa"/>
                  <w:shd w:val="clear" w:color="auto" w:fill="auto"/>
                  <w:vAlign w:val="center"/>
                </w:tcPr>
                <w:p w14:paraId="362C4FA7">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0.9474</w:t>
                  </w:r>
                </w:p>
              </w:tc>
              <w:tc>
                <w:tcPr>
                  <w:tcW w:w="940" w:type="dxa"/>
                  <w:tcBorders>
                    <w:right w:val="nil"/>
                  </w:tcBorders>
                  <w:shd w:val="clear" w:color="auto" w:fill="auto"/>
                  <w:vAlign w:val="center"/>
                </w:tcPr>
                <w:p w14:paraId="1EB3AD64">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0.1053</w:t>
                  </w:r>
                </w:p>
              </w:tc>
            </w:tr>
            <w:tr w14:paraId="39F5ACC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53" w:type="pct"/>
                  <w:tcBorders>
                    <w:left w:val="nil"/>
                  </w:tcBorders>
                  <w:shd w:val="clear" w:color="auto" w:fill="auto"/>
                  <w:vAlign w:val="center"/>
                </w:tcPr>
                <w:p w14:paraId="2BB9673E">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稀释剂</w:t>
                  </w:r>
                </w:p>
              </w:tc>
              <w:tc>
                <w:tcPr>
                  <w:tcW w:w="445" w:type="pct"/>
                  <w:shd w:val="clear" w:color="auto" w:fill="auto"/>
                  <w:noWrap/>
                  <w:vAlign w:val="center"/>
                </w:tcPr>
                <w:p w14:paraId="3037042D">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2.1</w:t>
                  </w:r>
                </w:p>
              </w:tc>
              <w:tc>
                <w:tcPr>
                  <w:tcW w:w="405" w:type="pct"/>
                  <w:shd w:val="clear" w:color="auto" w:fill="auto"/>
                  <w:vAlign w:val="center"/>
                </w:tcPr>
                <w:p w14:paraId="1456F950">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70%</w:t>
                  </w:r>
                </w:p>
              </w:tc>
              <w:tc>
                <w:tcPr>
                  <w:tcW w:w="767" w:type="dxa"/>
                  <w:shd w:val="clear" w:color="auto" w:fill="auto"/>
                  <w:vAlign w:val="center"/>
                </w:tcPr>
                <w:p w14:paraId="7DDD0BA1">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0.63</w:t>
                  </w:r>
                </w:p>
              </w:tc>
              <w:tc>
                <w:tcPr>
                  <w:tcW w:w="386" w:type="pct"/>
                  <w:shd w:val="clear" w:color="auto" w:fill="auto"/>
                  <w:vAlign w:val="center"/>
                </w:tcPr>
                <w:p w14:paraId="79F041DD">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w:t>
                  </w:r>
                </w:p>
              </w:tc>
              <w:tc>
                <w:tcPr>
                  <w:tcW w:w="967" w:type="dxa"/>
                  <w:shd w:val="clear" w:color="auto" w:fill="auto"/>
                  <w:vAlign w:val="center"/>
                </w:tcPr>
                <w:p w14:paraId="3E783012">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w:t>
                  </w:r>
                </w:p>
              </w:tc>
              <w:tc>
                <w:tcPr>
                  <w:tcW w:w="465" w:type="pct"/>
                  <w:shd w:val="clear" w:color="auto" w:fill="auto"/>
                  <w:vAlign w:val="center"/>
                </w:tcPr>
                <w:p w14:paraId="1CC210DC">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100%</w:t>
                  </w:r>
                </w:p>
              </w:tc>
              <w:tc>
                <w:tcPr>
                  <w:tcW w:w="1117" w:type="dxa"/>
                  <w:shd w:val="clear" w:color="auto" w:fill="auto"/>
                  <w:vAlign w:val="center"/>
                </w:tcPr>
                <w:p w14:paraId="246272B6">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2.1</w:t>
                  </w:r>
                </w:p>
              </w:tc>
              <w:tc>
                <w:tcPr>
                  <w:tcW w:w="828" w:type="dxa"/>
                  <w:shd w:val="clear" w:color="auto" w:fill="auto"/>
                  <w:vAlign w:val="center"/>
                </w:tcPr>
                <w:p w14:paraId="0FB6AC48">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1.89</w:t>
                  </w:r>
                </w:p>
              </w:tc>
              <w:tc>
                <w:tcPr>
                  <w:tcW w:w="940" w:type="dxa"/>
                  <w:tcBorders>
                    <w:right w:val="nil"/>
                  </w:tcBorders>
                  <w:shd w:val="clear" w:color="auto" w:fill="auto"/>
                  <w:vAlign w:val="center"/>
                </w:tcPr>
                <w:p w14:paraId="6D973EC6">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0.21</w:t>
                  </w:r>
                </w:p>
              </w:tc>
            </w:tr>
            <w:tr w14:paraId="7839836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53" w:type="pct"/>
                  <w:tcBorders>
                    <w:left w:val="nil"/>
                    <w:bottom w:val="single" w:color="000000" w:sz="12" w:space="0"/>
                  </w:tcBorders>
                  <w:shd w:val="clear" w:color="auto" w:fill="auto"/>
                  <w:vAlign w:val="center"/>
                </w:tcPr>
                <w:p w14:paraId="277814B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合计</w:t>
                  </w:r>
                </w:p>
              </w:tc>
              <w:tc>
                <w:tcPr>
                  <w:tcW w:w="740" w:type="dxa"/>
                  <w:tcBorders>
                    <w:bottom w:val="single" w:color="000000" w:sz="12" w:space="0"/>
                  </w:tcBorders>
                  <w:shd w:val="clear" w:color="auto" w:fill="auto"/>
                  <w:vAlign w:val="center"/>
                </w:tcPr>
                <w:p w14:paraId="64D7FF2D">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6.9</w:t>
                  </w:r>
                </w:p>
              </w:tc>
              <w:tc>
                <w:tcPr>
                  <w:tcW w:w="674" w:type="dxa"/>
                  <w:tcBorders>
                    <w:bottom w:val="single" w:color="000000" w:sz="12" w:space="0"/>
                  </w:tcBorders>
                  <w:shd w:val="clear" w:color="auto" w:fill="auto"/>
                  <w:vAlign w:val="center"/>
                </w:tcPr>
                <w:p w14:paraId="52EA0EB9">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767" w:type="dxa"/>
                  <w:tcBorders>
                    <w:bottom w:val="single" w:color="000000" w:sz="12" w:space="0"/>
                  </w:tcBorders>
                  <w:shd w:val="clear" w:color="auto" w:fill="auto"/>
                  <w:vAlign w:val="center"/>
                </w:tcPr>
                <w:p w14:paraId="6D66F9D7">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1.44</w:t>
                  </w:r>
                </w:p>
              </w:tc>
              <w:tc>
                <w:tcPr>
                  <w:tcW w:w="642" w:type="dxa"/>
                  <w:tcBorders>
                    <w:bottom w:val="single" w:color="000000" w:sz="12" w:space="0"/>
                  </w:tcBorders>
                  <w:shd w:val="clear" w:color="auto" w:fill="auto"/>
                  <w:vAlign w:val="center"/>
                </w:tcPr>
                <w:p w14:paraId="46DCBC45">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967" w:type="dxa"/>
                  <w:tcBorders>
                    <w:bottom w:val="single" w:color="000000" w:sz="12" w:space="0"/>
                  </w:tcBorders>
                  <w:shd w:val="clear" w:color="auto" w:fill="auto"/>
                  <w:vAlign w:val="center"/>
                </w:tcPr>
                <w:p w14:paraId="4A8DFE87">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0.8316</w:t>
                  </w:r>
                </w:p>
              </w:tc>
              <w:tc>
                <w:tcPr>
                  <w:tcW w:w="774" w:type="dxa"/>
                  <w:tcBorders>
                    <w:bottom w:val="single" w:color="000000" w:sz="12" w:space="0"/>
                  </w:tcBorders>
                  <w:shd w:val="clear" w:color="auto" w:fill="auto"/>
                  <w:vAlign w:val="center"/>
                </w:tcPr>
                <w:p w14:paraId="0CEE5605">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117" w:type="dxa"/>
                  <w:tcBorders>
                    <w:bottom w:val="single" w:color="000000" w:sz="12" w:space="0"/>
                  </w:tcBorders>
                  <w:shd w:val="clear" w:color="auto" w:fill="auto"/>
                  <w:vAlign w:val="center"/>
                </w:tcPr>
                <w:p w14:paraId="1439CE3E">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1.2345</w:t>
                  </w:r>
                </w:p>
              </w:tc>
              <w:tc>
                <w:tcPr>
                  <w:tcW w:w="828" w:type="dxa"/>
                  <w:tcBorders>
                    <w:bottom w:val="single" w:color="000000" w:sz="12" w:space="0"/>
                  </w:tcBorders>
                  <w:shd w:val="clear" w:color="auto" w:fill="auto"/>
                  <w:vAlign w:val="center"/>
                </w:tcPr>
                <w:p w14:paraId="6E2397CB">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1.111</w:t>
                  </w:r>
                </w:p>
              </w:tc>
              <w:tc>
                <w:tcPr>
                  <w:tcW w:w="940" w:type="dxa"/>
                  <w:tcBorders>
                    <w:bottom w:val="single" w:color="000000" w:sz="12" w:space="0"/>
                    <w:right w:val="nil"/>
                  </w:tcBorders>
                  <w:shd w:val="clear" w:color="auto" w:fill="auto"/>
                  <w:vAlign w:val="center"/>
                </w:tcPr>
                <w:p w14:paraId="0B6FEED3">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0.1235</w:t>
                  </w:r>
                </w:p>
              </w:tc>
            </w:tr>
          </w:tbl>
          <w:p w14:paraId="390DB24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szCs w:val="24"/>
                <w:lang w:val="en-US" w:eastAsia="zh-CN"/>
              </w:rPr>
              <w:t>根据原辅料成分分析可知，项目喷漆、烘干</w:t>
            </w:r>
            <w:r>
              <w:rPr>
                <w:rFonts w:hint="eastAsia" w:ascii="Times New Roman" w:hAnsi="Times New Roman" w:eastAsia="宋体" w:cs="Times New Roman"/>
                <w:color w:val="auto"/>
                <w:sz w:val="24"/>
                <w:szCs w:val="24"/>
                <w:lang w:val="en-US" w:eastAsia="zh-CN"/>
              </w:rPr>
              <w:t>、加烤</w:t>
            </w:r>
            <w:r>
              <w:rPr>
                <w:rFonts w:hint="default" w:ascii="Times New Roman" w:hAnsi="Times New Roman" w:eastAsia="宋体" w:cs="Times New Roman"/>
                <w:color w:val="auto"/>
                <w:sz w:val="24"/>
                <w:szCs w:val="24"/>
                <w:lang w:val="en-US" w:eastAsia="zh-CN"/>
              </w:rPr>
              <w:t>工序产生的废气主要为颗粒物和非甲烷总烃。</w:t>
            </w:r>
            <w:r>
              <w:rPr>
                <w:rFonts w:hint="default" w:ascii="Times New Roman" w:hAnsi="Times New Roman" w:cs="Times New Roman"/>
                <w:color w:val="auto"/>
                <w:sz w:val="24"/>
              </w:rPr>
              <w:t>根据本项目</w:t>
            </w:r>
            <w:r>
              <w:rPr>
                <w:rFonts w:hint="default" w:ascii="Times New Roman" w:hAnsi="Times New Roman" w:eastAsia="宋体" w:cs="Times New Roman"/>
                <w:color w:val="auto"/>
                <w:sz w:val="24"/>
                <w:szCs w:val="24"/>
                <w:lang w:val="en-US" w:eastAsia="zh-CN"/>
              </w:rPr>
              <w:t>涂料中</w:t>
            </w:r>
            <w:r>
              <w:rPr>
                <w:rFonts w:hint="eastAsia" w:cs="Times New Roman"/>
                <w:color w:val="auto"/>
                <w:sz w:val="24"/>
                <w:szCs w:val="24"/>
                <w:lang w:val="en-US" w:eastAsia="zh-CN"/>
              </w:rPr>
              <w:t>漆雾及挥发</w:t>
            </w:r>
            <w:r>
              <w:rPr>
                <w:rFonts w:hint="default" w:ascii="Times New Roman" w:hAnsi="Times New Roman" w:eastAsia="宋体" w:cs="Times New Roman"/>
                <w:color w:val="auto"/>
                <w:sz w:val="24"/>
                <w:szCs w:val="24"/>
                <w:lang w:val="en-US" w:eastAsia="zh-CN"/>
              </w:rPr>
              <w:t>成分产生情况</w:t>
            </w:r>
            <w:r>
              <w:rPr>
                <w:rFonts w:hint="eastAsia" w:ascii="Times New Roman" w:hAnsi="Times New Roman" w:eastAsia="宋体" w:cs="Times New Roman"/>
                <w:color w:val="auto"/>
                <w:sz w:val="24"/>
                <w:szCs w:val="24"/>
                <w:lang w:val="en-US" w:eastAsia="zh-CN"/>
              </w:rPr>
              <w:t>表</w:t>
            </w:r>
            <w:r>
              <w:rPr>
                <w:rFonts w:hint="default" w:ascii="Times New Roman" w:hAnsi="Times New Roman" w:cs="Times New Roman"/>
                <w:color w:val="auto"/>
                <w:sz w:val="24"/>
              </w:rPr>
              <w:t>可知，项目喷漆、烘干、加烤废气工序漆雾产生量为</w:t>
            </w:r>
            <w:r>
              <w:rPr>
                <w:rFonts w:hint="eastAsia" w:cs="Times New Roman"/>
                <w:color w:val="auto"/>
                <w:sz w:val="24"/>
                <w:lang w:val="en-US" w:eastAsia="zh-CN"/>
              </w:rPr>
              <w:t>0.8316</w:t>
            </w:r>
            <w:r>
              <w:rPr>
                <w:rFonts w:hint="default" w:ascii="Times New Roman" w:hAnsi="Times New Roman" w:cs="Times New Roman"/>
                <w:color w:val="auto"/>
                <w:sz w:val="24"/>
              </w:rPr>
              <w:t>t/a，</w:t>
            </w:r>
            <w:r>
              <w:rPr>
                <w:rFonts w:hint="eastAsia" w:cs="Times New Roman"/>
                <w:color w:val="auto"/>
                <w:sz w:val="24"/>
                <w:lang w:val="en-US" w:eastAsia="zh-CN"/>
              </w:rPr>
              <w:t>排放速率0.231kg/h，</w:t>
            </w:r>
            <w:r>
              <w:rPr>
                <w:rFonts w:hint="default" w:ascii="Times New Roman" w:hAnsi="Times New Roman" w:cs="Times New Roman"/>
                <w:color w:val="auto"/>
                <w:sz w:val="24"/>
              </w:rPr>
              <w:t>非甲烷总烃产生量为</w:t>
            </w:r>
            <w:r>
              <w:rPr>
                <w:rFonts w:hint="eastAsia" w:cs="Times New Roman"/>
                <w:color w:val="auto"/>
                <w:sz w:val="24"/>
                <w:lang w:val="en-US" w:eastAsia="zh-CN"/>
              </w:rPr>
              <w:t>1.2345</w:t>
            </w:r>
            <w:r>
              <w:rPr>
                <w:rFonts w:hint="default" w:ascii="Times New Roman" w:hAnsi="Times New Roman" w:cs="Times New Roman"/>
                <w:color w:val="auto"/>
                <w:sz w:val="24"/>
              </w:rPr>
              <w:t>t/a</w:t>
            </w:r>
            <w:r>
              <w:rPr>
                <w:rFonts w:hint="eastAsia" w:cs="Times New Roman"/>
                <w:color w:val="auto"/>
                <w:sz w:val="24"/>
                <w:lang w:eastAsia="zh-CN"/>
              </w:rPr>
              <w:t>，</w:t>
            </w:r>
            <w:r>
              <w:rPr>
                <w:rFonts w:hint="eastAsia" w:cs="Times New Roman"/>
                <w:color w:val="auto"/>
                <w:sz w:val="24"/>
                <w:lang w:val="en-US" w:eastAsia="zh-CN"/>
              </w:rPr>
              <w:t>排放速率0.3429kg/h</w:t>
            </w:r>
            <w:r>
              <w:rPr>
                <w:rFonts w:hint="default" w:ascii="Times New Roman" w:hAnsi="Times New Roman" w:cs="Times New Roman"/>
                <w:color w:val="auto"/>
                <w:sz w:val="24"/>
              </w:rPr>
              <w:t>。</w:t>
            </w:r>
          </w:p>
          <w:p w14:paraId="5AD42BD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eastAsia" w:cs="Times New Roman"/>
                <w:color w:val="auto"/>
                <w:sz w:val="24"/>
                <w:lang w:val="en-US" w:eastAsia="zh-CN"/>
              </w:rPr>
              <w:t>本项目生产车间</w:t>
            </w:r>
            <w:r>
              <w:rPr>
                <w:rFonts w:hint="default" w:ascii="Times New Roman" w:hAnsi="Times New Roman" w:cs="Times New Roman"/>
                <w:color w:val="auto"/>
                <w:sz w:val="24"/>
              </w:rPr>
              <w:t>密闭，</w:t>
            </w:r>
            <w:r>
              <w:rPr>
                <w:rFonts w:hint="eastAsia"/>
                <w:szCs w:val="22"/>
                <w:lang w:val="en-US" w:eastAsia="zh-CN"/>
              </w:rPr>
              <w:t>单独设置喷漆房，</w:t>
            </w:r>
            <w:r>
              <w:rPr>
                <w:rFonts w:hint="default" w:ascii="Times New Roman" w:hAnsi="Times New Roman" w:cs="Times New Roman"/>
                <w:color w:val="auto"/>
                <w:sz w:val="24"/>
              </w:rPr>
              <w:t>喷漆工序于操作台完成，配备水帘柜，烘干废气及加烤废气各自经密闭管道集气收集，与经水帘柜净化后的喷漆废气一起并入</w:t>
            </w:r>
            <w:r>
              <w:rPr>
                <w:rFonts w:hint="eastAsia" w:cs="Times New Roman"/>
                <w:color w:val="auto"/>
                <w:sz w:val="24"/>
                <w:lang w:eastAsia="zh-CN"/>
              </w:rPr>
              <w:t>“</w:t>
            </w:r>
            <w:r>
              <w:rPr>
                <w:rFonts w:hint="default" w:ascii="Times New Roman" w:hAnsi="Times New Roman" w:cs="Times New Roman"/>
                <w:color w:val="auto"/>
                <w:sz w:val="24"/>
              </w:rPr>
              <w:t>过滤棉+</w:t>
            </w:r>
            <w:r>
              <w:rPr>
                <w:rFonts w:hint="eastAsia" w:cs="Times New Roman"/>
                <w:color w:val="auto"/>
                <w:sz w:val="24"/>
                <w:lang w:eastAsia="zh-CN"/>
              </w:rPr>
              <w:t>二级活性炭</w:t>
            </w:r>
            <w:r>
              <w:rPr>
                <w:rFonts w:hint="default" w:ascii="Times New Roman" w:hAnsi="Times New Roman" w:cs="Times New Roman"/>
                <w:color w:val="auto"/>
                <w:sz w:val="24"/>
              </w:rPr>
              <w:t>吸附装置</w:t>
            </w:r>
            <w:r>
              <w:rPr>
                <w:rFonts w:hint="eastAsia" w:cs="Times New Roman"/>
                <w:color w:val="auto"/>
                <w:sz w:val="24"/>
                <w:lang w:eastAsia="zh-CN"/>
              </w:rPr>
              <w:t>”</w:t>
            </w:r>
            <w:r>
              <w:rPr>
                <w:rFonts w:hint="default" w:ascii="Times New Roman" w:hAnsi="Times New Roman" w:cs="Times New Roman"/>
                <w:color w:val="auto"/>
                <w:sz w:val="24"/>
              </w:rPr>
              <w:t>处理达标后通过15m高排气筒（DA001、DA002）排放，每根排气筒配置一台20000m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/h风量风机，收集效率按90%计。</w:t>
            </w:r>
          </w:p>
          <w:p w14:paraId="5E8BE57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水帘柜对喷漆工序产生漆雾的处理效率参考</w:t>
            </w:r>
            <w:r>
              <w:rPr>
                <w:rFonts w:hint="eastAsia" w:cs="Times New Roman"/>
                <w:color w:val="auto"/>
                <w:sz w:val="24"/>
                <w:lang w:val="en-US" w:eastAsia="zh-CN"/>
              </w:rPr>
              <w:t>同类型项目《福清市三合电子科技有限公司年加工铝合金20万套、塑胶件5万套、板金件5万套项目竣工验收监测报告表检测报告》（详见</w:t>
            </w:r>
            <w:r>
              <w:rPr>
                <w:rStyle w:val="46"/>
                <w:rFonts w:hint="eastAsia"/>
                <w:lang w:val="en-US" w:eastAsia="zh-CN"/>
              </w:rPr>
              <w:fldChar w:fldCharType="begin"/>
            </w:r>
            <w:r>
              <w:rPr>
                <w:rStyle w:val="46"/>
                <w:rFonts w:hint="eastAsia"/>
                <w:lang w:val="en-US" w:eastAsia="zh-CN"/>
              </w:rPr>
              <w:instrText xml:space="preserve"> REF _Ref24320 \h </w:instrText>
            </w:r>
            <w:r>
              <w:rPr>
                <w:rStyle w:val="46"/>
                <w:rFonts w:hint="eastAsia"/>
                <w:lang w:val="en-US" w:eastAsia="zh-CN"/>
              </w:rPr>
              <w:fldChar w:fldCharType="separate"/>
            </w:r>
            <w:r>
              <w:rPr>
                <w:rStyle w:val="46"/>
                <w:rFonts w:hint="eastAsia"/>
              </w:rPr>
              <w:t>附件 16</w:t>
            </w:r>
            <w:r>
              <w:rPr>
                <w:rStyle w:val="46"/>
                <w:rFonts w:hint="eastAsia"/>
                <w:lang w:val="en-US" w:eastAsia="zh-CN"/>
              </w:rPr>
              <w:fldChar w:fldCharType="end"/>
            </w:r>
            <w:r>
              <w:rPr>
                <w:rFonts w:hint="eastAsia" w:cs="Times New Roman"/>
                <w:color w:val="auto"/>
                <w:sz w:val="24"/>
                <w:lang w:val="en-US" w:eastAsia="zh-CN"/>
              </w:rPr>
              <w:t>），</w:t>
            </w:r>
            <w:r>
              <w:rPr>
                <w:rFonts w:hint="eastAsia" w:ascii="Times New Roman" w:hAnsi="Times New Roman"/>
                <w:sz w:val="24"/>
                <w:szCs w:val="32"/>
                <w:vertAlign w:val="baseline"/>
                <w:lang w:val="en-US" w:eastAsia="zh-CN"/>
              </w:rPr>
              <w:t>颗粒物处理效率为74.52%，非甲烷总烃处理效率为69.66%</w:t>
            </w:r>
            <w:r>
              <w:rPr>
                <w:rFonts w:hint="default" w:ascii="Times New Roman" w:hAnsi="Times New Roman" w:cs="Times New Roman"/>
                <w:color w:val="auto"/>
                <w:sz w:val="24"/>
              </w:rPr>
              <w:t>。</w:t>
            </w:r>
          </w:p>
          <w:p w14:paraId="0A3F2991">
            <w:pPr>
              <w:pStyle w:val="27"/>
              <w:keepNext w:val="0"/>
              <w:keepLines w:val="0"/>
              <w:suppressLineNumbers w:val="0"/>
              <w:spacing w:before="0" w:beforeAutospacing="0" w:after="0" w:afterAutospacing="0"/>
              <w:ind w:left="0" w:right="0"/>
              <w:rPr>
                <w:rFonts w:hint="default" w:eastAsia="宋体"/>
                <w:vertAlign w:val="baseline"/>
                <w:lang w:val="en-US" w:eastAsia="zh-CN"/>
              </w:rPr>
            </w:pPr>
            <w:r>
              <w:rPr>
                <w:rFonts w:hint="eastAsia" w:cs="Times New Roman"/>
                <w:color w:val="auto"/>
                <w:sz w:val="24"/>
                <w:lang w:val="en-US" w:eastAsia="zh-CN"/>
              </w:rPr>
              <w:t>本项目</w:t>
            </w:r>
            <w:r>
              <w:rPr>
                <w:rFonts w:hint="default" w:ascii="Times New Roman" w:hAnsi="Times New Roman" w:eastAsia="宋体" w:cs="Times New Roman"/>
                <w:color w:val="auto"/>
                <w:sz w:val="24"/>
                <w:szCs w:val="24"/>
                <w:lang w:val="en-US" w:eastAsia="zh-CN"/>
              </w:rPr>
              <w:t>喷漆</w:t>
            </w:r>
            <w:r>
              <w:rPr>
                <w:rFonts w:hint="eastAsia" w:cs="Times New Roman"/>
                <w:color w:val="auto"/>
                <w:sz w:val="24"/>
                <w:szCs w:val="24"/>
                <w:lang w:val="en-US" w:eastAsia="zh-CN"/>
              </w:rPr>
              <w:t>、烘干及加烤</w:t>
            </w:r>
            <w:r>
              <w:rPr>
                <w:rFonts w:hint="default" w:ascii="Times New Roman" w:hAnsi="Times New Roman" w:eastAsia="宋体" w:cs="Times New Roman"/>
                <w:color w:val="auto"/>
                <w:sz w:val="24"/>
                <w:szCs w:val="24"/>
                <w:lang w:val="en-US" w:eastAsia="zh-CN"/>
              </w:rPr>
              <w:t>废气</w:t>
            </w:r>
            <w:r>
              <w:rPr>
                <w:rFonts w:hint="eastAsia" w:ascii="Times New Roman" w:hAnsi="Times New Roman" w:eastAsia="宋体" w:cs="Times New Roman"/>
                <w:color w:val="auto"/>
                <w:sz w:val="24"/>
                <w:szCs w:val="24"/>
                <w:lang w:val="en-US" w:eastAsia="zh-CN"/>
              </w:rPr>
              <w:t>的非甲烷总烃有组织收集量为</w:t>
            </w:r>
            <w:r>
              <w:rPr>
                <w:rFonts w:hint="eastAsia" w:cs="Times New Roman"/>
                <w:color w:val="auto"/>
                <w:sz w:val="24"/>
                <w:szCs w:val="24"/>
                <w:lang w:val="en-US" w:eastAsia="zh-CN"/>
              </w:rPr>
              <w:t>1.111</w:t>
            </w:r>
            <w:r>
              <w:rPr>
                <w:rFonts w:hint="eastAsia" w:ascii="Times New Roman" w:hAnsi="Times New Roman" w:eastAsia="宋体" w:cs="Times New Roman"/>
                <w:color w:val="auto"/>
                <w:sz w:val="24"/>
                <w:szCs w:val="24"/>
                <w:lang w:val="en-US" w:eastAsia="zh-CN"/>
              </w:rPr>
              <w:t>t/a，无组织排放量</w:t>
            </w:r>
            <w:r>
              <w:rPr>
                <w:rFonts w:hint="eastAsia" w:cs="Times New Roman"/>
                <w:color w:val="auto"/>
                <w:sz w:val="24"/>
                <w:szCs w:val="24"/>
                <w:lang w:val="en-US" w:eastAsia="zh-CN"/>
              </w:rPr>
              <w:t>0.1235</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无组织</w:t>
            </w:r>
            <w:r>
              <w:rPr>
                <w:rFonts w:hint="eastAsia" w:ascii="Times New Roman" w:hAnsi="Times New Roman" w:eastAsia="宋体" w:cs="Times New Roman"/>
                <w:color w:val="auto"/>
                <w:sz w:val="24"/>
                <w:szCs w:val="24"/>
                <w:lang w:val="en-US" w:eastAsia="zh-CN"/>
              </w:rPr>
              <w:t>排放速率</w:t>
            </w:r>
            <w:r>
              <w:rPr>
                <w:rFonts w:hint="eastAsia" w:cs="Times New Roman"/>
                <w:color w:val="auto"/>
                <w:sz w:val="24"/>
                <w:szCs w:val="24"/>
                <w:lang w:val="en-US" w:eastAsia="zh-CN"/>
              </w:rPr>
              <w:t>0.0343kg/h</w:t>
            </w:r>
            <w:r>
              <w:rPr>
                <w:rFonts w:hint="eastAsia" w:ascii="Times New Roman" w:hAnsi="Times New Roman" w:eastAsia="宋体" w:cs="Times New Roman"/>
                <w:color w:val="auto"/>
                <w:sz w:val="24"/>
                <w:szCs w:val="24"/>
                <w:lang w:val="en-US" w:eastAsia="zh-CN"/>
              </w:rPr>
              <w:t>，处理后的有组织排放量为</w:t>
            </w:r>
            <w:r>
              <w:rPr>
                <w:rFonts w:hint="eastAsia" w:cs="Times New Roman"/>
                <w:color w:val="auto"/>
                <w:sz w:val="24"/>
                <w:szCs w:val="24"/>
                <w:lang w:val="en-US" w:eastAsia="zh-CN"/>
              </w:rPr>
              <w:t>0.3371</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有组织</w:t>
            </w:r>
            <w:r>
              <w:rPr>
                <w:rFonts w:hint="eastAsia" w:ascii="Times New Roman" w:hAnsi="Times New Roman" w:eastAsia="宋体" w:cs="Times New Roman"/>
                <w:color w:val="auto"/>
                <w:sz w:val="24"/>
                <w:szCs w:val="24"/>
                <w:lang w:val="en-US" w:eastAsia="zh-CN"/>
              </w:rPr>
              <w:t>排放速率</w:t>
            </w:r>
            <w:r>
              <w:rPr>
                <w:rFonts w:hint="eastAsia" w:cs="Times New Roman"/>
                <w:color w:val="auto"/>
                <w:sz w:val="24"/>
                <w:szCs w:val="24"/>
                <w:lang w:val="en-US" w:eastAsia="zh-CN"/>
              </w:rPr>
              <w:t>0.0936</w:t>
            </w:r>
            <w:r>
              <w:rPr>
                <w:rFonts w:hint="eastAsia" w:ascii="Times New Roman" w:hAnsi="Times New Roman" w:eastAsia="宋体" w:cs="Times New Roman"/>
                <w:color w:val="auto"/>
                <w:sz w:val="24"/>
                <w:szCs w:val="24"/>
                <w:lang w:val="en-US" w:eastAsia="zh-CN"/>
              </w:rPr>
              <w:t>kg/h，排放浓度</w:t>
            </w:r>
            <w:r>
              <w:rPr>
                <w:rFonts w:hint="eastAsia" w:cs="Times New Roman"/>
                <w:color w:val="auto"/>
                <w:sz w:val="24"/>
                <w:szCs w:val="24"/>
                <w:lang w:val="en-US" w:eastAsia="zh-CN"/>
              </w:rPr>
              <w:t>4.6819</w:t>
            </w:r>
            <w:r>
              <w:rPr>
                <w:rFonts w:hint="eastAsia" w:ascii="Times New Roman" w:hAnsi="Times New Roman" w:eastAsia="宋体" w:cs="Times New Roman"/>
                <w:color w:val="auto"/>
                <w:sz w:val="24"/>
                <w:szCs w:val="24"/>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；漆雾（颗粒物）有组织收集量</w:t>
            </w:r>
            <w:r>
              <w:rPr>
                <w:rFonts w:hint="eastAsia" w:cs="Times New Roman"/>
                <w:color w:val="auto"/>
                <w:sz w:val="24"/>
                <w:szCs w:val="24"/>
                <w:vertAlign w:val="baseline"/>
                <w:lang w:val="en-US" w:eastAsia="zh-CN"/>
              </w:rPr>
              <w:t>0.7484</w:t>
            </w:r>
            <w:r>
              <w:rPr>
                <w:rFonts w:hint="eastAsia" w:ascii="Times New Roman" w:hAnsi="Times New Roman" w:eastAsia="宋体" w:cs="Times New Roman"/>
                <w:color w:val="auto"/>
                <w:sz w:val="24"/>
                <w:szCs w:val="24"/>
                <w:vertAlign w:val="baseline"/>
                <w:lang w:val="en-US" w:eastAsia="zh-CN"/>
              </w:rPr>
              <w:t>t/a，无组织排放量</w:t>
            </w:r>
            <w:r>
              <w:rPr>
                <w:rFonts w:hint="eastAsia" w:cs="Times New Roman"/>
                <w:color w:val="auto"/>
                <w:sz w:val="24"/>
                <w:szCs w:val="24"/>
                <w:vertAlign w:val="baseline"/>
                <w:lang w:val="en-US" w:eastAsia="zh-CN"/>
              </w:rPr>
              <w:t>0.0832</w:t>
            </w:r>
            <w:r>
              <w:rPr>
                <w:rFonts w:hint="eastAsia" w:ascii="Times New Roman" w:hAnsi="Times New Roman" w:eastAsia="宋体" w:cs="Times New Roman"/>
                <w:color w:val="auto"/>
                <w:sz w:val="24"/>
                <w:szCs w:val="24"/>
                <w:vertAlign w:val="baseline"/>
                <w:lang w:val="en-US" w:eastAsia="zh-CN"/>
              </w:rPr>
              <w:t>t/a，</w:t>
            </w:r>
            <w:r>
              <w:rPr>
                <w:rFonts w:hint="eastAsia" w:cs="Times New Roman"/>
                <w:color w:val="auto"/>
                <w:sz w:val="24"/>
                <w:szCs w:val="24"/>
                <w:vertAlign w:val="baseline"/>
                <w:lang w:val="en-US" w:eastAsia="zh-CN"/>
              </w:rPr>
              <w:t>无组织</w:t>
            </w:r>
            <w:r>
              <w:rPr>
                <w:rFonts w:hint="eastAsia" w:ascii="Times New Roman" w:hAnsi="Times New Roman" w:eastAsia="宋体" w:cs="Times New Roman"/>
                <w:color w:val="auto"/>
                <w:sz w:val="24"/>
                <w:szCs w:val="24"/>
                <w:vertAlign w:val="baseline"/>
                <w:lang w:val="en-US" w:eastAsia="zh-CN"/>
              </w:rPr>
              <w:t>排放速率</w:t>
            </w:r>
            <w:r>
              <w:rPr>
                <w:rFonts w:hint="eastAsia" w:cs="Times New Roman"/>
                <w:color w:val="auto"/>
                <w:sz w:val="24"/>
                <w:szCs w:val="24"/>
                <w:vertAlign w:val="baseline"/>
                <w:lang w:val="en-US" w:eastAsia="zh-CN"/>
              </w:rPr>
              <w:t>0.0231</w:t>
            </w:r>
            <w:r>
              <w:rPr>
                <w:rFonts w:hint="eastAsia" w:ascii="Times New Roman" w:hAnsi="Times New Roman" w:eastAsia="宋体" w:cs="Times New Roman"/>
                <w:color w:val="auto"/>
                <w:sz w:val="24"/>
                <w:szCs w:val="24"/>
                <w:lang w:val="en-US" w:eastAsia="zh-CN"/>
              </w:rPr>
              <w:t>kg/h</w:t>
            </w:r>
            <w:r>
              <w:rPr>
                <w:rFonts w:hint="eastAsia" w:ascii="Times New Roman" w:hAnsi="Times New Roman" w:eastAsia="宋体" w:cs="Times New Roman"/>
                <w:color w:val="auto"/>
                <w:sz w:val="24"/>
                <w:szCs w:val="24"/>
                <w:vertAlign w:val="baseline"/>
                <w:lang w:val="en-US" w:eastAsia="zh-CN"/>
              </w:rPr>
              <w:t>，处理后的有组织排放量为</w:t>
            </w:r>
            <w:r>
              <w:rPr>
                <w:rFonts w:hint="eastAsia" w:cs="Times New Roman"/>
                <w:color w:val="auto"/>
                <w:sz w:val="24"/>
                <w:szCs w:val="24"/>
                <w:vertAlign w:val="baseline"/>
                <w:lang w:val="en-US" w:eastAsia="zh-CN"/>
              </w:rPr>
              <w:t>0.1909</w:t>
            </w:r>
            <w:r>
              <w:rPr>
                <w:rFonts w:hint="eastAsia" w:ascii="Times New Roman" w:hAnsi="Times New Roman" w:eastAsia="宋体" w:cs="Times New Roman"/>
                <w:color w:val="auto"/>
                <w:sz w:val="24"/>
                <w:szCs w:val="24"/>
                <w:vertAlign w:val="baseline"/>
                <w:lang w:val="en-US" w:eastAsia="zh-CN"/>
              </w:rPr>
              <w:t>t/a，排放速率为</w:t>
            </w:r>
            <w:r>
              <w:rPr>
                <w:rFonts w:hint="eastAsia" w:cs="Times New Roman"/>
                <w:color w:val="auto"/>
                <w:sz w:val="24"/>
                <w:szCs w:val="24"/>
                <w:vertAlign w:val="baseline"/>
                <w:lang w:val="en-US" w:eastAsia="zh-CN"/>
              </w:rPr>
              <w:t>0.053</w:t>
            </w:r>
            <w:r>
              <w:rPr>
                <w:rFonts w:hint="eastAsia" w:ascii="Times New Roman" w:hAnsi="Times New Roman" w:eastAsia="宋体" w:cs="Times New Roman"/>
                <w:color w:val="auto"/>
                <w:sz w:val="24"/>
                <w:szCs w:val="24"/>
                <w:vertAlign w:val="baseline"/>
                <w:lang w:val="en-US" w:eastAsia="zh-CN"/>
              </w:rPr>
              <w:t>kg/h，排放浓度</w:t>
            </w:r>
            <w:r>
              <w:rPr>
                <w:rFonts w:hint="eastAsia" w:cs="Times New Roman"/>
                <w:color w:val="auto"/>
                <w:sz w:val="24"/>
                <w:szCs w:val="24"/>
                <w:vertAlign w:val="baseline"/>
                <w:lang w:val="en-US" w:eastAsia="zh-CN"/>
              </w:rPr>
              <w:t>2.6486</w:t>
            </w:r>
            <w:r>
              <w:rPr>
                <w:rFonts w:hint="eastAsia" w:ascii="Times New Roman" w:hAnsi="Times New Roman" w:eastAsia="宋体" w:cs="Times New Roman"/>
                <w:color w:val="auto"/>
                <w:sz w:val="24"/>
                <w:szCs w:val="24"/>
                <w:vertAlign w:val="baseline"/>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w:t>
            </w:r>
          </w:p>
          <w:p w14:paraId="127644AB">
            <w:pPr>
              <w:pStyle w:val="15"/>
              <w:keepNext w:val="0"/>
              <w:keepLines w:val="0"/>
              <w:suppressLineNumbers w:val="0"/>
              <w:bidi w:val="0"/>
              <w:spacing w:before="0" w:beforeAutospacing="0" w:after="0" w:afterAutospacing="0"/>
              <w:ind w:left="0" w:right="0"/>
              <w:jc w:val="center"/>
              <w:rPr>
                <w:rFonts w:hint="eastAsia" w:eastAsia="宋体"/>
                <w:color w:val="auto"/>
                <w:szCs w:val="22"/>
                <w:lang w:eastAsia="zh-CN"/>
              </w:rPr>
            </w:pPr>
            <w:r>
              <w:rPr>
                <w:rFonts w:hint="eastAsia"/>
                <w:lang w:eastAsia="zh-CN"/>
              </w:rPr>
              <w:drawing>
                <wp:inline distT="0" distB="0" distL="114300" distR="114300">
                  <wp:extent cx="4837430" cy="1778635"/>
                  <wp:effectExtent l="0" t="0" r="1270" b="12065"/>
                  <wp:docPr id="208" name="F360BE8B-6686-4F3D-AEAF-501FE73E4058-3" descr="C:/Users/Administrator/AppData/Local/Temp/绘图1(7).png绘图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360BE8B-6686-4F3D-AEAF-501FE73E4058-3" descr="C:/Users/Administrator/AppData/Local/Temp/绘图1(7).png绘图1(7)"/>
                          <pic:cNvPicPr>
                            <a:picLocks noChangeAspect="1"/>
                          </pic:cNvPicPr>
                        </pic:nvPicPr>
                        <pic:blipFill>
                          <a:blip r:embed="rId25"/>
                          <a:stretch>
                            <a:fillRect/>
                          </a:stretch>
                        </pic:blipFill>
                        <pic:spPr>
                          <a:xfrm>
                            <a:off x="0" y="0"/>
                            <a:ext cx="4837430" cy="1778635"/>
                          </a:xfrm>
                          <a:prstGeom prst="rect">
                            <a:avLst/>
                          </a:prstGeom>
                        </pic:spPr>
                      </pic:pic>
                    </a:graphicData>
                  </a:graphic>
                </wp:inline>
              </w:drawing>
            </w:r>
          </w:p>
          <w:p w14:paraId="6C8DE8E3">
            <w:pPr>
              <w:pStyle w:val="40"/>
              <w:keepNext w:val="0"/>
              <w:keepLines w:val="0"/>
              <w:suppressLineNumbers w:val="0"/>
              <w:bidi w:val="0"/>
              <w:spacing w:before="0" w:beforeAutospacing="0" w:after="0" w:afterAutospacing="0"/>
              <w:ind w:left="0" w:right="0"/>
              <w:rPr>
                <w:rFonts w:hint="eastAsia"/>
              </w:rPr>
            </w:pPr>
            <w:r>
              <w:rPr>
                <w:rFonts w:hint="eastAsia"/>
              </w:rPr>
              <w:t>图</w:t>
            </w:r>
            <w:r>
              <w:rPr>
                <w:rFonts w:hint="eastAsia"/>
                <w:lang w:val="en-US" w:eastAsia="zh-CN"/>
              </w:rPr>
              <w:t>4.2-1</w:t>
            </w:r>
            <w:r>
              <w:rPr>
                <w:rFonts w:hint="eastAsia"/>
              </w:rPr>
              <w:t xml:space="preserve"> </w:t>
            </w:r>
            <w:r>
              <w:rPr>
                <w:rFonts w:hint="eastAsia"/>
                <w:lang w:eastAsia="zh-CN"/>
              </w:rPr>
              <w:t>废气漆料</w:t>
            </w:r>
            <w:r>
              <w:rPr>
                <w:rFonts w:hint="eastAsia"/>
              </w:rPr>
              <w:t>平衡图</w:t>
            </w:r>
          </w:p>
          <w:p w14:paraId="6150995B">
            <w:pPr>
              <w:pStyle w:val="40"/>
              <w:keepNext w:val="0"/>
              <w:keepLines w:val="0"/>
              <w:suppressLineNumbers w:val="0"/>
              <w:bidi w:val="0"/>
              <w:spacing w:before="0" w:beforeAutospacing="0" w:after="0" w:afterAutospacing="0"/>
              <w:ind w:left="0" w:right="0"/>
              <w:rPr>
                <w:rFonts w:hint="eastAsia"/>
              </w:rPr>
            </w:pPr>
            <w:r>
              <w:rPr>
                <w:rFonts w:hint="eastAsia" w:cs="Times New Roman"/>
                <w:b/>
                <w:bCs/>
                <w:color w:val="auto"/>
                <w:sz w:val="24"/>
                <w:szCs w:val="24"/>
                <w:highlight w:val="none"/>
                <w:lang w:val="en-US" w:eastAsia="zh-CN"/>
              </w:rPr>
              <w:t xml:space="preserve">表4.2-2 </w:t>
            </w:r>
            <w:r>
              <w:rPr>
                <w:rFonts w:hint="eastAsia" w:ascii="Times New Roman" w:hAnsi="Times New Roman" w:eastAsia="宋体" w:cs="Times New Roman"/>
                <w:b/>
                <w:bCs/>
                <w:color w:val="auto"/>
                <w:sz w:val="24"/>
                <w:szCs w:val="24"/>
                <w:highlight w:val="none"/>
                <w:lang w:val="en-US" w:eastAsia="zh-CN"/>
              </w:rPr>
              <w:t>项目</w:t>
            </w:r>
            <w:r>
              <w:rPr>
                <w:rFonts w:hint="default" w:ascii="Times New Roman" w:hAnsi="Times New Roman" w:eastAsia="宋体" w:cs="Times New Roman"/>
                <w:b/>
                <w:bCs/>
                <w:color w:val="auto"/>
                <w:sz w:val="24"/>
                <w:szCs w:val="24"/>
                <w:highlight w:val="none"/>
                <w:lang w:val="en-US" w:eastAsia="zh-CN"/>
              </w:rPr>
              <w:t>废气污染源源强核算结果及相关参数一览表</w:t>
            </w:r>
          </w:p>
          <w:tbl>
            <w:tblPr>
              <w:tblStyle w:val="30"/>
              <w:tblW w:w="4997"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7"/>
              <w:gridCol w:w="427"/>
              <w:gridCol w:w="320"/>
              <w:gridCol w:w="509"/>
              <w:gridCol w:w="621"/>
              <w:gridCol w:w="631"/>
              <w:gridCol w:w="716"/>
              <w:gridCol w:w="537"/>
              <w:gridCol w:w="427"/>
              <w:gridCol w:w="408"/>
              <w:gridCol w:w="547"/>
              <w:gridCol w:w="716"/>
              <w:gridCol w:w="621"/>
              <w:gridCol w:w="538"/>
              <w:gridCol w:w="917"/>
            </w:tblGrid>
            <w:tr w14:paraId="2FACC44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255" w:type="pct"/>
                  <w:vMerge w:val="restart"/>
                  <w:tcBorders>
                    <w:top w:val="single" w:color="000000" w:sz="12" w:space="0"/>
                    <w:left w:val="nil"/>
                    <w:tl2br w:val="nil"/>
                  </w:tcBorders>
                  <w:shd w:val="clear" w:color="auto" w:fill="auto"/>
                  <w:vAlign w:val="center"/>
                </w:tcPr>
                <w:p w14:paraId="53F4DE60">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污染物来源</w:t>
                  </w:r>
                </w:p>
              </w:tc>
              <w:tc>
                <w:tcPr>
                  <w:tcW w:w="446" w:type="pct"/>
                  <w:gridSpan w:val="2"/>
                  <w:vMerge w:val="restart"/>
                  <w:tcBorders>
                    <w:top w:val="single" w:color="000000" w:sz="12" w:space="0"/>
                  </w:tcBorders>
                  <w:shd w:val="clear" w:color="auto" w:fill="auto"/>
                  <w:vAlign w:val="center"/>
                </w:tcPr>
                <w:p w14:paraId="4689E0C2">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污染物</w:t>
                  </w:r>
                </w:p>
              </w:tc>
              <w:tc>
                <w:tcPr>
                  <w:tcW w:w="304" w:type="pct"/>
                  <w:vMerge w:val="restart"/>
                  <w:tcBorders>
                    <w:top w:val="single" w:color="000000" w:sz="12" w:space="0"/>
                  </w:tcBorders>
                  <w:shd w:val="clear" w:color="auto" w:fill="auto"/>
                  <w:vAlign w:val="center"/>
                </w:tcPr>
                <w:p w14:paraId="348B8A4F">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产生量</w:t>
                  </w:r>
                  <w:r>
                    <w:rPr>
                      <w:rFonts w:hint="default"/>
                      <w:b w:val="0"/>
                      <w:color w:val="000000"/>
                      <w:szCs w:val="22"/>
                      <w:lang w:val="en-US" w:eastAsia="zh-CN"/>
                    </w:rPr>
                    <w:t>t/a</w:t>
                  </w:r>
                </w:p>
              </w:tc>
              <w:tc>
                <w:tcPr>
                  <w:tcW w:w="371" w:type="pct"/>
                  <w:vMerge w:val="restart"/>
                  <w:tcBorders>
                    <w:top w:val="single" w:color="000000" w:sz="12" w:space="0"/>
                  </w:tcBorders>
                  <w:shd w:val="clear" w:color="auto" w:fill="auto"/>
                  <w:vAlign w:val="center"/>
                </w:tcPr>
                <w:p w14:paraId="45E13B1F">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排放速率（</w:t>
                  </w:r>
                  <w:r>
                    <w:rPr>
                      <w:rFonts w:hint="default"/>
                      <w:b w:val="0"/>
                      <w:color w:val="000000"/>
                      <w:szCs w:val="22"/>
                      <w:lang w:val="en-US" w:eastAsia="zh-CN"/>
                    </w:rPr>
                    <w:t>kg/h</w:t>
                  </w:r>
                  <w:r>
                    <w:rPr>
                      <w:rFonts w:hint="eastAsia"/>
                      <w:b w:val="0"/>
                      <w:color w:val="000000"/>
                      <w:szCs w:val="22"/>
                      <w:lang w:val="en-US" w:eastAsia="zh-CN"/>
                    </w:rPr>
                    <w:t>）</w:t>
                  </w:r>
                </w:p>
              </w:tc>
              <w:tc>
                <w:tcPr>
                  <w:tcW w:w="1126" w:type="pct"/>
                  <w:gridSpan w:val="3"/>
                  <w:tcBorders>
                    <w:top w:val="single" w:color="000000" w:sz="12" w:space="0"/>
                  </w:tcBorders>
                  <w:shd w:val="clear" w:color="auto" w:fill="auto"/>
                  <w:vAlign w:val="center"/>
                </w:tcPr>
                <w:p w14:paraId="18E960D1">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产生源强</w:t>
                  </w:r>
                </w:p>
              </w:tc>
              <w:tc>
                <w:tcPr>
                  <w:tcW w:w="826" w:type="pct"/>
                  <w:gridSpan w:val="3"/>
                  <w:tcBorders>
                    <w:top w:val="single" w:color="000000" w:sz="12" w:space="0"/>
                  </w:tcBorders>
                  <w:shd w:val="clear" w:color="auto" w:fill="auto"/>
                  <w:vAlign w:val="center"/>
                </w:tcPr>
                <w:p w14:paraId="6BAAA8D3">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治理措施</w:t>
                  </w:r>
                </w:p>
              </w:tc>
              <w:tc>
                <w:tcPr>
                  <w:tcW w:w="1120" w:type="pct"/>
                  <w:gridSpan w:val="3"/>
                  <w:tcBorders>
                    <w:top w:val="single" w:color="000000" w:sz="12" w:space="0"/>
                  </w:tcBorders>
                  <w:shd w:val="clear" w:color="auto" w:fill="auto"/>
                  <w:vAlign w:val="center"/>
                </w:tcPr>
                <w:p w14:paraId="16EDE55C">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排放源强</w:t>
                  </w:r>
                </w:p>
              </w:tc>
              <w:tc>
                <w:tcPr>
                  <w:tcW w:w="547" w:type="pct"/>
                  <w:vMerge w:val="restart"/>
                  <w:tcBorders>
                    <w:top w:val="single" w:color="000000" w:sz="12" w:space="0"/>
                    <w:right w:val="nil"/>
                  </w:tcBorders>
                  <w:shd w:val="clear" w:color="auto" w:fill="auto"/>
                  <w:noWrap/>
                  <w:vAlign w:val="center"/>
                </w:tcPr>
                <w:p w14:paraId="2C21E0EB">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排放时间（</w:t>
                  </w:r>
                  <w:r>
                    <w:rPr>
                      <w:rFonts w:hint="default"/>
                      <w:b w:val="0"/>
                      <w:color w:val="000000"/>
                      <w:szCs w:val="22"/>
                      <w:lang w:val="en-US" w:eastAsia="zh-CN"/>
                    </w:rPr>
                    <w:t>h</w:t>
                  </w:r>
                  <w:r>
                    <w:rPr>
                      <w:rFonts w:hint="eastAsia"/>
                      <w:b w:val="0"/>
                      <w:color w:val="000000"/>
                      <w:szCs w:val="22"/>
                      <w:lang w:val="en-US" w:eastAsia="zh-CN"/>
                    </w:rPr>
                    <w:t>）</w:t>
                  </w:r>
                </w:p>
              </w:tc>
            </w:tr>
            <w:tr w14:paraId="3A85A2B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trPr>
              <w:tc>
                <w:tcPr>
                  <w:tcW w:w="255" w:type="pct"/>
                  <w:vMerge w:val="continue"/>
                  <w:tcBorders>
                    <w:left w:val="nil"/>
                  </w:tcBorders>
                  <w:shd w:val="clear" w:color="auto" w:fill="auto"/>
                  <w:vAlign w:val="center"/>
                </w:tcPr>
                <w:p w14:paraId="3D4E2D24">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446" w:type="pct"/>
                  <w:gridSpan w:val="2"/>
                  <w:vMerge w:val="continue"/>
                  <w:shd w:val="clear" w:color="auto" w:fill="auto"/>
                  <w:vAlign w:val="center"/>
                </w:tcPr>
                <w:p w14:paraId="6AC0506E">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304" w:type="pct"/>
                  <w:vMerge w:val="continue"/>
                  <w:shd w:val="clear" w:color="auto" w:fill="auto"/>
                  <w:vAlign w:val="center"/>
                </w:tcPr>
                <w:p w14:paraId="2A0D951D">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371" w:type="pct"/>
                  <w:vMerge w:val="continue"/>
                  <w:shd w:val="clear" w:color="auto" w:fill="auto"/>
                  <w:vAlign w:val="center"/>
                </w:tcPr>
                <w:p w14:paraId="07EEB323">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377" w:type="pct"/>
                  <w:shd w:val="clear" w:color="auto" w:fill="auto"/>
                  <w:vAlign w:val="center"/>
                </w:tcPr>
                <w:p w14:paraId="184B5EE9">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废气量（</w:t>
                  </w:r>
                  <w:r>
                    <w:rPr>
                      <w:rFonts w:hint="default"/>
                      <w:b w:val="0"/>
                      <w:color w:val="000000"/>
                      <w:szCs w:val="22"/>
                      <w:lang w:val="en-US" w:eastAsia="zh-CN"/>
                    </w:rPr>
                    <w:t>m</w:t>
                  </w:r>
                  <w:r>
                    <w:rPr>
                      <w:rFonts w:hint="default"/>
                      <w:b w:val="0"/>
                      <w:color w:val="000000"/>
                      <w:szCs w:val="22"/>
                      <w:vertAlign w:val="superscript"/>
                      <w:lang w:val="en-US" w:eastAsia="zh-CN"/>
                    </w:rPr>
                    <w:t>3</w:t>
                  </w:r>
                  <w:r>
                    <w:rPr>
                      <w:rFonts w:hint="default"/>
                      <w:b w:val="0"/>
                      <w:color w:val="000000"/>
                      <w:szCs w:val="22"/>
                      <w:lang w:val="en-US" w:eastAsia="zh-CN"/>
                    </w:rPr>
                    <w:t>/h</w:t>
                  </w:r>
                  <w:r>
                    <w:rPr>
                      <w:rFonts w:hint="eastAsia"/>
                      <w:b w:val="0"/>
                      <w:color w:val="000000"/>
                      <w:szCs w:val="22"/>
                      <w:lang w:val="en-US" w:eastAsia="zh-CN"/>
                    </w:rPr>
                    <w:t>）</w:t>
                  </w:r>
                </w:p>
              </w:tc>
              <w:tc>
                <w:tcPr>
                  <w:tcW w:w="428" w:type="pct"/>
                  <w:shd w:val="clear" w:color="auto" w:fill="auto"/>
                  <w:vAlign w:val="center"/>
                </w:tcPr>
                <w:p w14:paraId="3CE3BD91">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浓度（</w:t>
                  </w:r>
                  <w:r>
                    <w:rPr>
                      <w:rFonts w:hint="default"/>
                      <w:b w:val="0"/>
                      <w:color w:val="000000"/>
                      <w:szCs w:val="22"/>
                      <w:lang w:val="en-US" w:eastAsia="zh-CN"/>
                    </w:rPr>
                    <w:t>mg/m</w:t>
                  </w:r>
                  <w:r>
                    <w:rPr>
                      <w:rFonts w:hint="default"/>
                      <w:b w:val="0"/>
                      <w:color w:val="000000"/>
                      <w:szCs w:val="22"/>
                      <w:vertAlign w:val="superscript"/>
                      <w:lang w:val="en-US" w:eastAsia="zh-CN"/>
                    </w:rPr>
                    <w:t>3</w:t>
                  </w:r>
                  <w:r>
                    <w:rPr>
                      <w:rFonts w:hint="eastAsia"/>
                      <w:b w:val="0"/>
                      <w:color w:val="000000"/>
                      <w:szCs w:val="22"/>
                      <w:lang w:val="en-US" w:eastAsia="zh-CN"/>
                    </w:rPr>
                    <w:t>）</w:t>
                  </w:r>
                </w:p>
              </w:tc>
              <w:tc>
                <w:tcPr>
                  <w:tcW w:w="320" w:type="pct"/>
                  <w:shd w:val="clear" w:color="auto" w:fill="auto"/>
                  <w:vAlign w:val="center"/>
                </w:tcPr>
                <w:p w14:paraId="6389506F">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产生量（</w:t>
                  </w:r>
                  <w:r>
                    <w:rPr>
                      <w:rFonts w:hint="default"/>
                      <w:b w:val="0"/>
                      <w:color w:val="000000"/>
                      <w:szCs w:val="22"/>
                      <w:lang w:val="en-US" w:eastAsia="zh-CN"/>
                    </w:rPr>
                    <w:t>t/a</w:t>
                  </w:r>
                  <w:r>
                    <w:rPr>
                      <w:rFonts w:hint="eastAsia"/>
                      <w:b w:val="0"/>
                      <w:color w:val="000000"/>
                      <w:szCs w:val="22"/>
                      <w:lang w:val="en-US" w:eastAsia="zh-CN"/>
                    </w:rPr>
                    <w:t>）</w:t>
                  </w:r>
                </w:p>
              </w:tc>
              <w:tc>
                <w:tcPr>
                  <w:tcW w:w="255" w:type="pct"/>
                  <w:shd w:val="clear" w:color="auto" w:fill="auto"/>
                  <w:vAlign w:val="center"/>
                </w:tcPr>
                <w:p w14:paraId="06A897E9">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工艺</w:t>
                  </w:r>
                </w:p>
              </w:tc>
              <w:tc>
                <w:tcPr>
                  <w:tcW w:w="244" w:type="pct"/>
                  <w:shd w:val="clear" w:color="auto" w:fill="auto"/>
                  <w:vAlign w:val="center"/>
                </w:tcPr>
                <w:p w14:paraId="3314C0EE">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收集效率</w:t>
                  </w:r>
                </w:p>
              </w:tc>
              <w:tc>
                <w:tcPr>
                  <w:tcW w:w="326" w:type="pct"/>
                  <w:shd w:val="clear" w:color="auto" w:fill="auto"/>
                  <w:vAlign w:val="center"/>
                </w:tcPr>
                <w:p w14:paraId="1C463136">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工艺去除率</w:t>
                  </w:r>
                </w:p>
              </w:tc>
              <w:tc>
                <w:tcPr>
                  <w:tcW w:w="428" w:type="pct"/>
                  <w:shd w:val="clear" w:color="auto" w:fill="auto"/>
                  <w:vAlign w:val="center"/>
                </w:tcPr>
                <w:p w14:paraId="1B1F0AEC">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排放浓度（</w:t>
                  </w:r>
                  <w:r>
                    <w:rPr>
                      <w:rFonts w:hint="default"/>
                      <w:b w:val="0"/>
                      <w:color w:val="000000"/>
                      <w:szCs w:val="22"/>
                      <w:lang w:val="en-US" w:eastAsia="zh-CN"/>
                    </w:rPr>
                    <w:t>mg/m</w:t>
                  </w:r>
                  <w:r>
                    <w:rPr>
                      <w:rFonts w:hint="default"/>
                      <w:b w:val="0"/>
                      <w:color w:val="000000"/>
                      <w:szCs w:val="22"/>
                      <w:vertAlign w:val="superscript"/>
                      <w:lang w:val="en-US" w:eastAsia="zh-CN"/>
                    </w:rPr>
                    <w:t>3</w:t>
                  </w:r>
                  <w:r>
                    <w:rPr>
                      <w:rFonts w:hint="eastAsia"/>
                      <w:b w:val="0"/>
                      <w:color w:val="000000"/>
                      <w:szCs w:val="22"/>
                      <w:lang w:val="en-US" w:eastAsia="zh-CN"/>
                    </w:rPr>
                    <w:t>）</w:t>
                  </w:r>
                </w:p>
              </w:tc>
              <w:tc>
                <w:tcPr>
                  <w:tcW w:w="371" w:type="pct"/>
                  <w:shd w:val="clear" w:color="auto" w:fill="auto"/>
                  <w:vAlign w:val="center"/>
                </w:tcPr>
                <w:p w14:paraId="2C2B2E7F">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排放速率（</w:t>
                  </w:r>
                  <w:r>
                    <w:rPr>
                      <w:rFonts w:hint="default"/>
                      <w:b w:val="0"/>
                      <w:color w:val="000000"/>
                      <w:szCs w:val="22"/>
                      <w:lang w:val="en-US" w:eastAsia="zh-CN"/>
                    </w:rPr>
                    <w:t>kg/h</w:t>
                  </w:r>
                  <w:r>
                    <w:rPr>
                      <w:rFonts w:hint="eastAsia"/>
                      <w:b w:val="0"/>
                      <w:color w:val="000000"/>
                      <w:szCs w:val="22"/>
                      <w:lang w:val="en-US" w:eastAsia="zh-CN"/>
                    </w:rPr>
                    <w:t>）</w:t>
                  </w:r>
                </w:p>
              </w:tc>
              <w:tc>
                <w:tcPr>
                  <w:tcW w:w="320" w:type="pct"/>
                  <w:shd w:val="clear" w:color="auto" w:fill="auto"/>
                  <w:vAlign w:val="center"/>
                </w:tcPr>
                <w:p w14:paraId="310DA765">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排放量（</w:t>
                  </w:r>
                  <w:r>
                    <w:rPr>
                      <w:rFonts w:hint="default"/>
                      <w:b w:val="0"/>
                      <w:color w:val="000000"/>
                      <w:szCs w:val="22"/>
                      <w:lang w:val="en-US" w:eastAsia="zh-CN"/>
                    </w:rPr>
                    <w:t>t/a</w:t>
                  </w:r>
                  <w:r>
                    <w:rPr>
                      <w:rFonts w:hint="eastAsia"/>
                      <w:b w:val="0"/>
                      <w:color w:val="000000"/>
                      <w:szCs w:val="22"/>
                      <w:lang w:val="en-US" w:eastAsia="zh-CN"/>
                    </w:rPr>
                    <w:t>）</w:t>
                  </w:r>
                </w:p>
              </w:tc>
              <w:tc>
                <w:tcPr>
                  <w:tcW w:w="547" w:type="pct"/>
                  <w:vMerge w:val="continue"/>
                  <w:tcBorders>
                    <w:right w:val="nil"/>
                  </w:tcBorders>
                  <w:shd w:val="clear" w:color="auto" w:fill="auto"/>
                  <w:noWrap/>
                  <w:vAlign w:val="center"/>
                </w:tcPr>
                <w:p w14:paraId="31863C54">
                  <w:pPr>
                    <w:pStyle w:val="39"/>
                    <w:keepNext w:val="0"/>
                    <w:keepLines w:val="0"/>
                    <w:widowControl/>
                    <w:suppressLineNumbers w:val="0"/>
                    <w:bidi w:val="0"/>
                    <w:spacing w:before="0" w:beforeAutospacing="0" w:after="0" w:afterAutospacing="0"/>
                    <w:ind w:left="0" w:right="0"/>
                    <w:rPr>
                      <w:rFonts w:hint="eastAsia"/>
                      <w:b w:val="0"/>
                      <w:color w:val="000000"/>
                      <w:szCs w:val="22"/>
                    </w:rPr>
                  </w:pPr>
                </w:p>
              </w:tc>
            </w:tr>
            <w:tr w14:paraId="0318E08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55" w:type="pct"/>
                  <w:vMerge w:val="restart"/>
                  <w:tcBorders>
                    <w:left w:val="nil"/>
                  </w:tcBorders>
                  <w:shd w:val="clear" w:color="auto" w:fill="auto"/>
                  <w:vAlign w:val="center"/>
                </w:tcPr>
                <w:p w14:paraId="453EC0D9">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喷漆、烘干、加烤废气</w:t>
                  </w:r>
                </w:p>
              </w:tc>
              <w:tc>
                <w:tcPr>
                  <w:tcW w:w="255" w:type="pct"/>
                  <w:vMerge w:val="restart"/>
                  <w:shd w:val="clear" w:color="auto" w:fill="auto"/>
                  <w:vAlign w:val="center"/>
                </w:tcPr>
                <w:p w14:paraId="6411D42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非甲烷总烃</w:t>
                  </w:r>
                </w:p>
              </w:tc>
              <w:tc>
                <w:tcPr>
                  <w:tcW w:w="191" w:type="pct"/>
                  <w:shd w:val="clear" w:color="auto" w:fill="auto"/>
                  <w:vAlign w:val="center"/>
                </w:tcPr>
                <w:p w14:paraId="3A55B840">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有组织</w:t>
                  </w:r>
                </w:p>
              </w:tc>
              <w:tc>
                <w:tcPr>
                  <w:tcW w:w="304" w:type="pct"/>
                  <w:vMerge w:val="restart"/>
                  <w:shd w:val="clear" w:color="auto" w:fill="auto"/>
                  <w:vAlign w:val="center"/>
                </w:tcPr>
                <w:p w14:paraId="662975BB">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1.2345</w:t>
                  </w:r>
                </w:p>
              </w:tc>
              <w:tc>
                <w:tcPr>
                  <w:tcW w:w="371" w:type="pct"/>
                  <w:vMerge w:val="restart"/>
                  <w:shd w:val="clear" w:color="auto" w:fill="auto"/>
                  <w:noWrap/>
                  <w:vAlign w:val="center"/>
                </w:tcPr>
                <w:p w14:paraId="1C526CFA">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0.3429</w:t>
                  </w:r>
                </w:p>
              </w:tc>
              <w:tc>
                <w:tcPr>
                  <w:tcW w:w="377" w:type="pct"/>
                  <w:shd w:val="clear" w:color="auto" w:fill="auto"/>
                  <w:vAlign w:val="center"/>
                </w:tcPr>
                <w:p w14:paraId="7836DE9F">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20000</w:t>
                  </w:r>
                </w:p>
              </w:tc>
              <w:tc>
                <w:tcPr>
                  <w:tcW w:w="428" w:type="pct"/>
                  <w:shd w:val="clear" w:color="auto" w:fill="auto"/>
                  <w:vAlign w:val="center"/>
                </w:tcPr>
                <w:p w14:paraId="1571FDDB">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15.4306</w:t>
                  </w:r>
                </w:p>
              </w:tc>
              <w:tc>
                <w:tcPr>
                  <w:tcW w:w="320" w:type="pct"/>
                  <w:shd w:val="clear" w:color="auto" w:fill="auto"/>
                  <w:vAlign w:val="center"/>
                </w:tcPr>
                <w:p w14:paraId="65D15A9A">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1.111</w:t>
                  </w:r>
                </w:p>
              </w:tc>
              <w:tc>
                <w:tcPr>
                  <w:tcW w:w="255" w:type="pct"/>
                  <w:vMerge w:val="restart"/>
                  <w:shd w:val="clear" w:color="auto" w:fill="auto"/>
                  <w:vAlign w:val="center"/>
                </w:tcPr>
                <w:p w14:paraId="1C52A13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水帘柜（喷漆）+过滤棉+二级活性炭吸附装置</w:t>
                  </w:r>
                </w:p>
              </w:tc>
              <w:tc>
                <w:tcPr>
                  <w:tcW w:w="244" w:type="pct"/>
                  <w:shd w:val="clear" w:color="auto" w:fill="auto"/>
                  <w:vAlign w:val="center"/>
                </w:tcPr>
                <w:p w14:paraId="65CE31C5">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90%</w:t>
                  </w:r>
                </w:p>
              </w:tc>
              <w:tc>
                <w:tcPr>
                  <w:tcW w:w="326" w:type="pct"/>
                  <w:shd w:val="clear" w:color="auto" w:fill="auto"/>
                  <w:vAlign w:val="center"/>
                </w:tcPr>
                <w:p w14:paraId="0D3080F0">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69.66%</w:t>
                  </w:r>
                </w:p>
              </w:tc>
              <w:tc>
                <w:tcPr>
                  <w:tcW w:w="428" w:type="pct"/>
                  <w:shd w:val="clear" w:color="auto" w:fill="auto"/>
                  <w:vAlign w:val="center"/>
                </w:tcPr>
                <w:p w14:paraId="5B063044">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4.6819</w:t>
                  </w:r>
                </w:p>
              </w:tc>
              <w:tc>
                <w:tcPr>
                  <w:tcW w:w="371" w:type="pct"/>
                  <w:shd w:val="clear" w:color="auto" w:fill="auto"/>
                  <w:vAlign w:val="center"/>
                </w:tcPr>
                <w:p w14:paraId="3C31FD49">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0.0936</w:t>
                  </w:r>
                </w:p>
              </w:tc>
              <w:tc>
                <w:tcPr>
                  <w:tcW w:w="320" w:type="pct"/>
                  <w:shd w:val="clear" w:color="auto" w:fill="auto"/>
                  <w:vAlign w:val="center"/>
                </w:tcPr>
                <w:p w14:paraId="24382C8E">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0.3371</w:t>
                  </w:r>
                </w:p>
              </w:tc>
              <w:tc>
                <w:tcPr>
                  <w:tcW w:w="547" w:type="pct"/>
                  <w:vMerge w:val="restart"/>
                  <w:tcBorders>
                    <w:right w:val="nil"/>
                  </w:tcBorders>
                  <w:shd w:val="clear" w:color="auto" w:fill="auto"/>
                  <w:noWrap/>
                  <w:vAlign w:val="center"/>
                </w:tcPr>
                <w:p w14:paraId="209836F9">
                  <w:pPr>
                    <w:pStyle w:val="39"/>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3600</w:t>
                  </w:r>
                </w:p>
              </w:tc>
            </w:tr>
            <w:tr w14:paraId="3397A80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55" w:type="pct"/>
                  <w:vMerge w:val="continue"/>
                  <w:tcBorders>
                    <w:left w:val="nil"/>
                  </w:tcBorders>
                  <w:shd w:val="clear" w:color="auto" w:fill="auto"/>
                  <w:vAlign w:val="center"/>
                </w:tcPr>
                <w:p w14:paraId="3B374BD3">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255" w:type="pct"/>
                  <w:vMerge w:val="continue"/>
                  <w:shd w:val="clear" w:color="auto" w:fill="auto"/>
                  <w:vAlign w:val="center"/>
                </w:tcPr>
                <w:p w14:paraId="4E29FC16">
                  <w:pPr>
                    <w:pStyle w:val="39"/>
                    <w:keepNext w:val="0"/>
                    <w:keepLines w:val="0"/>
                    <w:widowControl/>
                    <w:suppressLineNumbers w:val="0"/>
                    <w:bidi w:val="0"/>
                    <w:spacing w:before="0" w:beforeAutospacing="0" w:after="0" w:afterAutospacing="0"/>
                    <w:ind w:left="0" w:right="0"/>
                    <w:rPr>
                      <w:rFonts w:hint="eastAsia"/>
                      <w:szCs w:val="22"/>
                    </w:rPr>
                  </w:pPr>
                </w:p>
              </w:tc>
              <w:tc>
                <w:tcPr>
                  <w:tcW w:w="191" w:type="pct"/>
                  <w:shd w:val="clear" w:color="auto" w:fill="auto"/>
                  <w:vAlign w:val="center"/>
                </w:tcPr>
                <w:p w14:paraId="637A011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无组织</w:t>
                  </w:r>
                </w:p>
              </w:tc>
              <w:tc>
                <w:tcPr>
                  <w:tcW w:w="304" w:type="pct"/>
                  <w:vMerge w:val="continue"/>
                  <w:shd w:val="clear" w:color="auto" w:fill="auto"/>
                  <w:vAlign w:val="center"/>
                </w:tcPr>
                <w:p w14:paraId="253972AB">
                  <w:pPr>
                    <w:pStyle w:val="39"/>
                    <w:keepNext w:val="0"/>
                    <w:keepLines w:val="0"/>
                    <w:widowControl/>
                    <w:suppressLineNumbers w:val="0"/>
                    <w:bidi w:val="0"/>
                    <w:spacing w:before="0" w:beforeAutospacing="0" w:after="0" w:afterAutospacing="0"/>
                    <w:ind w:left="0" w:right="0"/>
                    <w:rPr>
                      <w:rFonts w:hint="default"/>
                      <w:szCs w:val="22"/>
                    </w:rPr>
                  </w:pPr>
                </w:p>
              </w:tc>
              <w:tc>
                <w:tcPr>
                  <w:tcW w:w="371" w:type="pct"/>
                  <w:vMerge w:val="continue"/>
                  <w:shd w:val="clear" w:color="auto" w:fill="auto"/>
                  <w:noWrap/>
                  <w:vAlign w:val="center"/>
                </w:tcPr>
                <w:p w14:paraId="44C55731">
                  <w:pPr>
                    <w:pStyle w:val="39"/>
                    <w:keepNext w:val="0"/>
                    <w:keepLines w:val="0"/>
                    <w:widowControl/>
                    <w:suppressLineNumbers w:val="0"/>
                    <w:bidi w:val="0"/>
                    <w:spacing w:before="0" w:beforeAutospacing="0" w:after="0" w:afterAutospacing="0"/>
                    <w:ind w:left="0" w:right="0"/>
                    <w:rPr>
                      <w:rFonts w:hint="default"/>
                      <w:szCs w:val="22"/>
                    </w:rPr>
                  </w:pPr>
                </w:p>
              </w:tc>
              <w:tc>
                <w:tcPr>
                  <w:tcW w:w="377" w:type="pct"/>
                  <w:shd w:val="clear" w:color="auto" w:fill="auto"/>
                  <w:vAlign w:val="center"/>
                </w:tcPr>
                <w:p w14:paraId="6A827AC6">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428" w:type="pct"/>
                  <w:shd w:val="clear" w:color="auto" w:fill="auto"/>
                  <w:vAlign w:val="center"/>
                </w:tcPr>
                <w:p w14:paraId="015309F4">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320" w:type="pct"/>
                  <w:shd w:val="clear" w:color="auto" w:fill="auto"/>
                  <w:vAlign w:val="center"/>
                </w:tcPr>
                <w:p w14:paraId="353589B6">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0.1235</w:t>
                  </w:r>
                </w:p>
              </w:tc>
              <w:tc>
                <w:tcPr>
                  <w:tcW w:w="255" w:type="pct"/>
                  <w:vMerge w:val="continue"/>
                  <w:shd w:val="clear" w:color="auto" w:fill="auto"/>
                  <w:vAlign w:val="center"/>
                </w:tcPr>
                <w:p w14:paraId="2BD6D786">
                  <w:pPr>
                    <w:pStyle w:val="39"/>
                    <w:keepNext w:val="0"/>
                    <w:keepLines w:val="0"/>
                    <w:widowControl/>
                    <w:suppressLineNumbers w:val="0"/>
                    <w:bidi w:val="0"/>
                    <w:spacing w:before="0" w:beforeAutospacing="0" w:after="0" w:afterAutospacing="0"/>
                    <w:ind w:left="0" w:right="0"/>
                    <w:rPr>
                      <w:rFonts w:hint="eastAsia"/>
                      <w:szCs w:val="22"/>
                    </w:rPr>
                  </w:pPr>
                </w:p>
              </w:tc>
              <w:tc>
                <w:tcPr>
                  <w:tcW w:w="244" w:type="pct"/>
                  <w:shd w:val="clear" w:color="auto" w:fill="auto"/>
                  <w:vAlign w:val="center"/>
                </w:tcPr>
                <w:p w14:paraId="448B0B42">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326" w:type="pct"/>
                  <w:shd w:val="clear" w:color="auto" w:fill="auto"/>
                  <w:vAlign w:val="center"/>
                </w:tcPr>
                <w:p w14:paraId="7D57EBE2">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428" w:type="pct"/>
                  <w:shd w:val="clear" w:color="auto" w:fill="auto"/>
                  <w:vAlign w:val="center"/>
                </w:tcPr>
                <w:p w14:paraId="6A6228FA">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371" w:type="pct"/>
                  <w:shd w:val="clear" w:color="auto" w:fill="auto"/>
                  <w:vAlign w:val="center"/>
                </w:tcPr>
                <w:p w14:paraId="26743FFF">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0.0343</w:t>
                  </w:r>
                </w:p>
              </w:tc>
              <w:tc>
                <w:tcPr>
                  <w:tcW w:w="320" w:type="pct"/>
                  <w:shd w:val="clear" w:color="auto" w:fill="auto"/>
                  <w:vAlign w:val="center"/>
                </w:tcPr>
                <w:p w14:paraId="3F2C2D0E">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0.1235</w:t>
                  </w:r>
                </w:p>
              </w:tc>
              <w:tc>
                <w:tcPr>
                  <w:tcW w:w="547" w:type="pct"/>
                  <w:vMerge w:val="continue"/>
                  <w:tcBorders>
                    <w:right w:val="nil"/>
                  </w:tcBorders>
                  <w:shd w:val="clear" w:color="auto" w:fill="auto"/>
                  <w:noWrap/>
                  <w:vAlign w:val="center"/>
                </w:tcPr>
                <w:p w14:paraId="5528595E">
                  <w:pPr>
                    <w:pStyle w:val="39"/>
                    <w:keepNext w:val="0"/>
                    <w:keepLines w:val="0"/>
                    <w:widowControl/>
                    <w:suppressLineNumbers w:val="0"/>
                    <w:bidi w:val="0"/>
                    <w:spacing w:before="0" w:beforeAutospacing="0" w:after="0" w:afterAutospacing="0"/>
                    <w:ind w:left="0" w:right="0"/>
                    <w:rPr>
                      <w:rFonts w:hint="default"/>
                      <w:b w:val="0"/>
                      <w:color w:val="000000"/>
                      <w:szCs w:val="22"/>
                    </w:rPr>
                  </w:pPr>
                </w:p>
              </w:tc>
            </w:tr>
            <w:tr w14:paraId="6BF7479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55" w:type="pct"/>
                  <w:vMerge w:val="continue"/>
                  <w:tcBorders>
                    <w:left w:val="nil"/>
                  </w:tcBorders>
                  <w:shd w:val="clear" w:color="auto" w:fill="auto"/>
                  <w:vAlign w:val="center"/>
                </w:tcPr>
                <w:p w14:paraId="5B83DCB0">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255" w:type="pct"/>
                  <w:vMerge w:val="restart"/>
                  <w:shd w:val="clear" w:color="auto" w:fill="auto"/>
                  <w:vAlign w:val="center"/>
                </w:tcPr>
                <w:p w14:paraId="288A611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漆雾（颗粒物）</w:t>
                  </w:r>
                </w:p>
              </w:tc>
              <w:tc>
                <w:tcPr>
                  <w:tcW w:w="191" w:type="pct"/>
                  <w:shd w:val="clear" w:color="auto" w:fill="auto"/>
                  <w:vAlign w:val="center"/>
                </w:tcPr>
                <w:p w14:paraId="3831648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有组织</w:t>
                  </w:r>
                </w:p>
              </w:tc>
              <w:tc>
                <w:tcPr>
                  <w:tcW w:w="304" w:type="pct"/>
                  <w:vMerge w:val="restart"/>
                  <w:shd w:val="clear" w:color="auto" w:fill="auto"/>
                  <w:vAlign w:val="center"/>
                </w:tcPr>
                <w:p w14:paraId="2525913E">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0.8316</w:t>
                  </w:r>
                </w:p>
              </w:tc>
              <w:tc>
                <w:tcPr>
                  <w:tcW w:w="371" w:type="pct"/>
                  <w:vMerge w:val="restart"/>
                  <w:shd w:val="clear" w:color="auto" w:fill="auto"/>
                  <w:noWrap/>
                  <w:vAlign w:val="center"/>
                </w:tcPr>
                <w:p w14:paraId="6B87B413">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0.231</w:t>
                  </w:r>
                </w:p>
              </w:tc>
              <w:tc>
                <w:tcPr>
                  <w:tcW w:w="377" w:type="pct"/>
                  <w:shd w:val="clear" w:color="auto" w:fill="auto"/>
                  <w:vAlign w:val="center"/>
                </w:tcPr>
                <w:p w14:paraId="5FA3CA95">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20000</w:t>
                  </w:r>
                </w:p>
              </w:tc>
              <w:tc>
                <w:tcPr>
                  <w:tcW w:w="428" w:type="pct"/>
                  <w:shd w:val="clear" w:color="auto" w:fill="auto"/>
                  <w:vAlign w:val="center"/>
                </w:tcPr>
                <w:p w14:paraId="15808D81">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10.3944</w:t>
                  </w:r>
                </w:p>
              </w:tc>
              <w:tc>
                <w:tcPr>
                  <w:tcW w:w="320" w:type="pct"/>
                  <w:shd w:val="clear" w:color="auto" w:fill="auto"/>
                  <w:vAlign w:val="center"/>
                </w:tcPr>
                <w:p w14:paraId="361CC1EB">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0.7484</w:t>
                  </w:r>
                </w:p>
              </w:tc>
              <w:tc>
                <w:tcPr>
                  <w:tcW w:w="255" w:type="pct"/>
                  <w:vMerge w:val="continue"/>
                  <w:shd w:val="clear" w:color="auto" w:fill="auto"/>
                  <w:vAlign w:val="center"/>
                </w:tcPr>
                <w:p w14:paraId="4BA9EF2C">
                  <w:pPr>
                    <w:pStyle w:val="39"/>
                    <w:keepNext w:val="0"/>
                    <w:keepLines w:val="0"/>
                    <w:widowControl/>
                    <w:suppressLineNumbers w:val="0"/>
                    <w:bidi w:val="0"/>
                    <w:spacing w:before="0" w:beforeAutospacing="0" w:after="0" w:afterAutospacing="0"/>
                    <w:ind w:left="0" w:right="0"/>
                    <w:rPr>
                      <w:rFonts w:hint="eastAsia"/>
                      <w:szCs w:val="22"/>
                    </w:rPr>
                  </w:pPr>
                </w:p>
              </w:tc>
              <w:tc>
                <w:tcPr>
                  <w:tcW w:w="244" w:type="pct"/>
                  <w:shd w:val="clear" w:color="auto" w:fill="auto"/>
                  <w:vAlign w:val="center"/>
                </w:tcPr>
                <w:p w14:paraId="4C6CADEB">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90%</w:t>
                  </w:r>
                </w:p>
              </w:tc>
              <w:tc>
                <w:tcPr>
                  <w:tcW w:w="326" w:type="pct"/>
                  <w:shd w:val="clear" w:color="auto" w:fill="auto"/>
                  <w:vAlign w:val="center"/>
                </w:tcPr>
                <w:p w14:paraId="36D999B2">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74.52%</w:t>
                  </w:r>
                </w:p>
              </w:tc>
              <w:tc>
                <w:tcPr>
                  <w:tcW w:w="428" w:type="pct"/>
                  <w:shd w:val="clear" w:color="auto" w:fill="auto"/>
                  <w:vAlign w:val="center"/>
                </w:tcPr>
                <w:p w14:paraId="670FC63D">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2.6486</w:t>
                  </w:r>
                </w:p>
              </w:tc>
              <w:tc>
                <w:tcPr>
                  <w:tcW w:w="371" w:type="pct"/>
                  <w:shd w:val="clear" w:color="auto" w:fill="auto"/>
                  <w:vAlign w:val="center"/>
                </w:tcPr>
                <w:p w14:paraId="5C23FB9D">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0.053</w:t>
                  </w:r>
                </w:p>
              </w:tc>
              <w:tc>
                <w:tcPr>
                  <w:tcW w:w="320" w:type="pct"/>
                  <w:shd w:val="clear" w:color="auto" w:fill="auto"/>
                  <w:vAlign w:val="center"/>
                </w:tcPr>
                <w:p w14:paraId="16E5AFAB">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0.1907</w:t>
                  </w:r>
                </w:p>
              </w:tc>
              <w:tc>
                <w:tcPr>
                  <w:tcW w:w="547" w:type="pct"/>
                  <w:vMerge w:val="continue"/>
                  <w:tcBorders>
                    <w:right w:val="nil"/>
                  </w:tcBorders>
                  <w:shd w:val="clear" w:color="auto" w:fill="auto"/>
                  <w:noWrap/>
                  <w:vAlign w:val="center"/>
                </w:tcPr>
                <w:p w14:paraId="1F42C5EC">
                  <w:pPr>
                    <w:pStyle w:val="39"/>
                    <w:keepNext w:val="0"/>
                    <w:keepLines w:val="0"/>
                    <w:widowControl/>
                    <w:suppressLineNumbers w:val="0"/>
                    <w:bidi w:val="0"/>
                    <w:spacing w:before="0" w:beforeAutospacing="0" w:after="0" w:afterAutospacing="0"/>
                    <w:ind w:left="0" w:right="0"/>
                    <w:rPr>
                      <w:rFonts w:hint="default"/>
                      <w:b w:val="0"/>
                      <w:color w:val="000000"/>
                      <w:szCs w:val="22"/>
                    </w:rPr>
                  </w:pPr>
                </w:p>
              </w:tc>
            </w:tr>
            <w:tr w14:paraId="5F4F06B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55" w:type="pct"/>
                  <w:vMerge w:val="continue"/>
                  <w:tcBorders>
                    <w:left w:val="nil"/>
                    <w:bottom w:val="single" w:color="000000" w:sz="12" w:space="0"/>
                  </w:tcBorders>
                  <w:shd w:val="clear" w:color="auto" w:fill="auto"/>
                  <w:vAlign w:val="center"/>
                </w:tcPr>
                <w:p w14:paraId="1E7A9D3C">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255" w:type="pct"/>
                  <w:vMerge w:val="continue"/>
                  <w:tcBorders>
                    <w:bottom w:val="single" w:color="000000" w:sz="12" w:space="0"/>
                  </w:tcBorders>
                  <w:shd w:val="clear" w:color="auto" w:fill="auto"/>
                  <w:vAlign w:val="center"/>
                </w:tcPr>
                <w:p w14:paraId="7D3DACAB">
                  <w:pPr>
                    <w:pStyle w:val="39"/>
                    <w:keepNext w:val="0"/>
                    <w:keepLines w:val="0"/>
                    <w:widowControl/>
                    <w:suppressLineNumbers w:val="0"/>
                    <w:bidi w:val="0"/>
                    <w:spacing w:before="0" w:beforeAutospacing="0" w:after="0" w:afterAutospacing="0"/>
                    <w:ind w:left="0" w:right="0"/>
                    <w:rPr>
                      <w:rFonts w:hint="eastAsia"/>
                      <w:szCs w:val="22"/>
                    </w:rPr>
                  </w:pPr>
                </w:p>
              </w:tc>
              <w:tc>
                <w:tcPr>
                  <w:tcW w:w="191" w:type="pct"/>
                  <w:tcBorders>
                    <w:bottom w:val="single" w:color="000000" w:sz="12" w:space="0"/>
                  </w:tcBorders>
                  <w:shd w:val="clear" w:color="auto" w:fill="auto"/>
                  <w:vAlign w:val="center"/>
                </w:tcPr>
                <w:p w14:paraId="684BA86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无组织</w:t>
                  </w:r>
                </w:p>
              </w:tc>
              <w:tc>
                <w:tcPr>
                  <w:tcW w:w="304" w:type="pct"/>
                  <w:vMerge w:val="continue"/>
                  <w:tcBorders>
                    <w:bottom w:val="single" w:color="000000" w:sz="12" w:space="0"/>
                  </w:tcBorders>
                  <w:shd w:val="clear" w:color="auto" w:fill="auto"/>
                  <w:vAlign w:val="center"/>
                </w:tcPr>
                <w:p w14:paraId="7F93805A">
                  <w:pPr>
                    <w:pStyle w:val="39"/>
                    <w:keepNext w:val="0"/>
                    <w:keepLines w:val="0"/>
                    <w:widowControl/>
                    <w:suppressLineNumbers w:val="0"/>
                    <w:bidi w:val="0"/>
                    <w:spacing w:before="0" w:beforeAutospacing="0" w:after="0" w:afterAutospacing="0"/>
                    <w:ind w:left="0" w:right="0"/>
                    <w:rPr>
                      <w:rFonts w:hint="default"/>
                      <w:szCs w:val="22"/>
                    </w:rPr>
                  </w:pPr>
                </w:p>
              </w:tc>
              <w:tc>
                <w:tcPr>
                  <w:tcW w:w="371" w:type="pct"/>
                  <w:vMerge w:val="continue"/>
                  <w:tcBorders>
                    <w:bottom w:val="single" w:color="000000" w:sz="12" w:space="0"/>
                  </w:tcBorders>
                  <w:shd w:val="clear" w:color="auto" w:fill="auto"/>
                  <w:noWrap/>
                  <w:vAlign w:val="center"/>
                </w:tcPr>
                <w:p w14:paraId="67AC3003">
                  <w:pPr>
                    <w:pStyle w:val="39"/>
                    <w:keepNext w:val="0"/>
                    <w:keepLines w:val="0"/>
                    <w:widowControl/>
                    <w:suppressLineNumbers w:val="0"/>
                    <w:bidi w:val="0"/>
                    <w:spacing w:before="0" w:beforeAutospacing="0" w:after="0" w:afterAutospacing="0"/>
                    <w:ind w:left="0" w:right="0"/>
                    <w:rPr>
                      <w:rFonts w:hint="default"/>
                      <w:szCs w:val="22"/>
                    </w:rPr>
                  </w:pPr>
                </w:p>
              </w:tc>
              <w:tc>
                <w:tcPr>
                  <w:tcW w:w="377" w:type="pct"/>
                  <w:tcBorders>
                    <w:bottom w:val="single" w:color="000000" w:sz="12" w:space="0"/>
                  </w:tcBorders>
                  <w:shd w:val="clear" w:color="auto" w:fill="auto"/>
                  <w:vAlign w:val="center"/>
                </w:tcPr>
                <w:p w14:paraId="4E5902A8">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428" w:type="pct"/>
                  <w:tcBorders>
                    <w:bottom w:val="single" w:color="000000" w:sz="12" w:space="0"/>
                  </w:tcBorders>
                  <w:shd w:val="clear" w:color="auto" w:fill="auto"/>
                  <w:vAlign w:val="center"/>
                </w:tcPr>
                <w:p w14:paraId="507CC07E">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320" w:type="pct"/>
                  <w:tcBorders>
                    <w:bottom w:val="single" w:color="000000" w:sz="12" w:space="0"/>
                  </w:tcBorders>
                  <w:shd w:val="clear" w:color="auto" w:fill="auto"/>
                  <w:vAlign w:val="center"/>
                </w:tcPr>
                <w:p w14:paraId="53134F5C">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0.0832</w:t>
                  </w:r>
                </w:p>
              </w:tc>
              <w:tc>
                <w:tcPr>
                  <w:tcW w:w="255" w:type="pct"/>
                  <w:vMerge w:val="continue"/>
                  <w:tcBorders>
                    <w:bottom w:val="single" w:color="000000" w:sz="12" w:space="0"/>
                  </w:tcBorders>
                  <w:shd w:val="clear" w:color="auto" w:fill="auto"/>
                  <w:vAlign w:val="center"/>
                </w:tcPr>
                <w:p w14:paraId="59D86E81">
                  <w:pPr>
                    <w:pStyle w:val="39"/>
                    <w:keepNext w:val="0"/>
                    <w:keepLines w:val="0"/>
                    <w:widowControl/>
                    <w:suppressLineNumbers w:val="0"/>
                    <w:bidi w:val="0"/>
                    <w:spacing w:before="0" w:beforeAutospacing="0" w:after="0" w:afterAutospacing="0"/>
                    <w:ind w:left="0" w:right="0"/>
                    <w:rPr>
                      <w:rFonts w:hint="eastAsia"/>
                      <w:szCs w:val="22"/>
                    </w:rPr>
                  </w:pPr>
                </w:p>
              </w:tc>
              <w:tc>
                <w:tcPr>
                  <w:tcW w:w="244" w:type="pct"/>
                  <w:tcBorders>
                    <w:bottom w:val="single" w:color="000000" w:sz="12" w:space="0"/>
                  </w:tcBorders>
                  <w:shd w:val="clear" w:color="auto" w:fill="auto"/>
                  <w:vAlign w:val="center"/>
                </w:tcPr>
                <w:p w14:paraId="41CBABAC">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326" w:type="pct"/>
                  <w:tcBorders>
                    <w:bottom w:val="single" w:color="000000" w:sz="12" w:space="0"/>
                  </w:tcBorders>
                  <w:shd w:val="clear" w:color="auto" w:fill="auto"/>
                  <w:vAlign w:val="center"/>
                </w:tcPr>
                <w:p w14:paraId="13241818">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428" w:type="pct"/>
                  <w:tcBorders>
                    <w:bottom w:val="single" w:color="000000" w:sz="12" w:space="0"/>
                  </w:tcBorders>
                  <w:shd w:val="clear" w:color="auto" w:fill="auto"/>
                  <w:vAlign w:val="center"/>
                </w:tcPr>
                <w:p w14:paraId="75A42DC2">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371" w:type="pct"/>
                  <w:tcBorders>
                    <w:bottom w:val="single" w:color="000000" w:sz="12" w:space="0"/>
                  </w:tcBorders>
                  <w:shd w:val="clear" w:color="auto" w:fill="auto"/>
                  <w:vAlign w:val="center"/>
                </w:tcPr>
                <w:p w14:paraId="2451018D">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0.0231</w:t>
                  </w:r>
                </w:p>
              </w:tc>
              <w:tc>
                <w:tcPr>
                  <w:tcW w:w="320" w:type="pct"/>
                  <w:tcBorders>
                    <w:bottom w:val="single" w:color="000000" w:sz="12" w:space="0"/>
                  </w:tcBorders>
                  <w:shd w:val="clear" w:color="auto" w:fill="auto"/>
                  <w:vAlign w:val="center"/>
                </w:tcPr>
                <w:p w14:paraId="5DF54E2A">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0.0832</w:t>
                  </w:r>
                </w:p>
              </w:tc>
              <w:tc>
                <w:tcPr>
                  <w:tcW w:w="547" w:type="pct"/>
                  <w:vMerge w:val="continue"/>
                  <w:tcBorders>
                    <w:bottom w:val="single" w:color="000000" w:sz="12" w:space="0"/>
                    <w:right w:val="nil"/>
                  </w:tcBorders>
                  <w:shd w:val="clear" w:color="auto" w:fill="auto"/>
                  <w:noWrap/>
                  <w:vAlign w:val="center"/>
                </w:tcPr>
                <w:p w14:paraId="5252D8D6">
                  <w:pPr>
                    <w:pStyle w:val="39"/>
                    <w:keepNext w:val="0"/>
                    <w:keepLines w:val="0"/>
                    <w:widowControl/>
                    <w:suppressLineNumbers w:val="0"/>
                    <w:bidi w:val="0"/>
                    <w:spacing w:before="0" w:beforeAutospacing="0" w:after="0" w:afterAutospacing="0"/>
                    <w:ind w:left="0" w:right="0"/>
                    <w:rPr>
                      <w:rFonts w:hint="default"/>
                      <w:b w:val="0"/>
                      <w:color w:val="000000"/>
                      <w:szCs w:val="22"/>
                    </w:rPr>
                  </w:pPr>
                </w:p>
              </w:tc>
            </w:tr>
          </w:tbl>
          <w:p w14:paraId="74AA8760">
            <w:pPr>
              <w:pStyle w:val="4"/>
              <w:suppressLineNumbers w:val="0"/>
              <w:bidi w:val="0"/>
              <w:spacing w:before="0" w:beforeAutospacing="0" w:after="0" w:afterAutospacing="0"/>
              <w:ind w:left="0" w:right="0"/>
              <w:rPr>
                <w:rFonts w:hint="default"/>
                <w:lang w:val="en-US" w:eastAsia="zh-CN"/>
              </w:rPr>
            </w:pPr>
            <w:r>
              <w:rPr>
                <w:rFonts w:hint="default"/>
                <w:lang w:val="en-US" w:eastAsia="zh-CN"/>
              </w:rPr>
              <w:t>运营期大气污染防治措施合理性分析</w:t>
            </w:r>
          </w:p>
          <w:p w14:paraId="3388EE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本项目设置三条生产线，配套建设两套完全独立、互不连通的废气治理设施：其中，1#生产线的烘干、加烤及喷漆（经水帘柜预处理）废气合并进入其专用的</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过滤棉+二级活性炭吸附装置</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处理，最终通过15米高排气筒DA001</w:t>
            </w:r>
            <w:r>
              <w:rPr>
                <w:rFonts w:hint="eastAsia" w:cs="Times New Roman"/>
                <w:color w:val="auto"/>
                <w:kern w:val="0"/>
                <w:sz w:val="24"/>
                <w:szCs w:val="24"/>
                <w:lang w:val="en-US" w:eastAsia="zh-CN" w:bidi="ar-SA"/>
              </w:rPr>
              <w:t>达标</w:t>
            </w:r>
            <w:r>
              <w:rPr>
                <w:rFonts w:hint="eastAsia" w:ascii="Times New Roman" w:hAnsi="Times New Roman" w:eastAsia="宋体" w:cs="Times New Roman"/>
                <w:color w:val="auto"/>
                <w:kern w:val="0"/>
                <w:sz w:val="24"/>
                <w:szCs w:val="24"/>
                <w:lang w:val="en-US" w:eastAsia="zh-CN" w:bidi="ar-SA"/>
              </w:rPr>
              <w:t>排放；2#和3#生产线的</w:t>
            </w:r>
            <w:r>
              <w:rPr>
                <w:rFonts w:hint="eastAsia" w:cs="Times New Roman"/>
                <w:color w:val="auto"/>
                <w:kern w:val="0"/>
                <w:sz w:val="24"/>
                <w:szCs w:val="24"/>
                <w:lang w:val="en-US" w:eastAsia="zh-CN" w:bidi="ar-SA"/>
              </w:rPr>
              <w:t>烘烤、加烤及喷漆（分别经水帘柜预处理）废气合并共用一套“</w:t>
            </w:r>
            <w:r>
              <w:rPr>
                <w:rFonts w:hint="eastAsia" w:ascii="Times New Roman" w:hAnsi="Times New Roman" w:eastAsia="宋体" w:cs="Times New Roman"/>
                <w:color w:val="auto"/>
                <w:kern w:val="0"/>
                <w:sz w:val="24"/>
                <w:szCs w:val="24"/>
                <w:lang w:val="en-US" w:eastAsia="zh-CN" w:bidi="ar-SA"/>
              </w:rPr>
              <w:t>过滤棉+二级活性炭吸附装置</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处理，最终通过15米高排气筒DA002</w:t>
            </w:r>
            <w:r>
              <w:rPr>
                <w:rFonts w:hint="eastAsia" w:cs="Times New Roman"/>
                <w:color w:val="auto"/>
                <w:kern w:val="0"/>
                <w:sz w:val="24"/>
                <w:szCs w:val="24"/>
                <w:lang w:val="en-US" w:eastAsia="zh-CN" w:bidi="ar-SA"/>
              </w:rPr>
              <w:t>达标</w:t>
            </w:r>
            <w:r>
              <w:rPr>
                <w:rFonts w:hint="eastAsia" w:ascii="Times New Roman" w:hAnsi="Times New Roman" w:eastAsia="宋体" w:cs="Times New Roman"/>
                <w:color w:val="auto"/>
                <w:kern w:val="0"/>
                <w:sz w:val="24"/>
                <w:szCs w:val="24"/>
                <w:lang w:val="en-US" w:eastAsia="zh-CN" w:bidi="ar-SA"/>
              </w:rPr>
              <w:t>排放</w:t>
            </w:r>
            <w:r>
              <w:rPr>
                <w:rFonts w:hint="eastAsia" w:cs="Times New Roman"/>
                <w:color w:val="auto"/>
                <w:kern w:val="0"/>
                <w:sz w:val="24"/>
                <w:szCs w:val="24"/>
                <w:lang w:val="en-US" w:eastAsia="zh-CN" w:bidi="ar-SA"/>
              </w:rPr>
              <w:t>。</w:t>
            </w:r>
          </w:p>
          <w:p w14:paraId="641001D2">
            <w:pPr>
              <w:pStyle w:val="27"/>
              <w:keepNext w:val="0"/>
              <w:keepLines w:val="0"/>
              <w:suppressLineNumbers w:val="0"/>
              <w:spacing w:before="0" w:beforeAutospacing="0" w:after="0" w:afterAutospacing="0"/>
              <w:ind w:left="0" w:right="0"/>
              <w:rPr>
                <w:rFonts w:hint="eastAsia"/>
                <w:lang w:val="en-US" w:eastAsia="zh-CN"/>
              </w:rPr>
            </w:pPr>
            <w:r>
              <w:rPr>
                <w:rFonts w:hint="eastAsia"/>
                <w:lang w:val="en-US" w:eastAsia="zh-CN"/>
              </w:rPr>
              <w:t>（1）三条生产线废气设置2个排气筒的合理性分析</w:t>
            </w:r>
          </w:p>
          <w:p w14:paraId="4ACBB21F">
            <w:pPr>
              <w:pStyle w:val="27"/>
              <w:keepNext w:val="0"/>
              <w:keepLines w:val="0"/>
              <w:suppressLineNumbers w:val="0"/>
              <w:spacing w:before="0" w:beforeAutospacing="0" w:after="0" w:afterAutospacing="0"/>
              <w:ind w:left="0" w:right="0"/>
              <w:rPr>
                <w:rFonts w:hint="eastAsia"/>
                <w:lang w:val="en-US" w:eastAsia="zh-CN"/>
              </w:rPr>
            </w:pPr>
            <w:r>
              <w:rPr>
                <w:rFonts w:hint="eastAsia" w:ascii="宋体" w:hAnsi="宋体" w:eastAsia="宋体" w:cs="宋体"/>
                <w:sz w:val="24"/>
                <w:szCs w:val="24"/>
              </w:rPr>
              <w:t>全厂共设三条生产线，配套建设两套完全独立、互不连通的废气治理设施：其中，1#生产线的烘干、加烤及喷漆（经水帘柜预处理）废气合并进入其专用的</w:t>
            </w:r>
            <w:r>
              <w:rPr>
                <w:rFonts w:hint="eastAsia" w:ascii="宋体" w:hAnsi="宋体" w:cs="宋体"/>
                <w:sz w:val="24"/>
                <w:szCs w:val="24"/>
                <w:lang w:eastAsia="zh-CN"/>
              </w:rPr>
              <w:t>“</w:t>
            </w:r>
            <w:r>
              <w:rPr>
                <w:rFonts w:hint="eastAsia" w:ascii="宋体" w:hAnsi="宋体" w:eastAsia="宋体" w:cs="宋体"/>
                <w:sz w:val="24"/>
                <w:szCs w:val="24"/>
              </w:rPr>
              <w:t>过滤棉+二级活性炭吸附装置</w:t>
            </w:r>
            <w:r>
              <w:rPr>
                <w:rFonts w:hint="eastAsia" w:ascii="宋体" w:hAnsi="宋体" w:cs="宋体"/>
                <w:sz w:val="24"/>
                <w:szCs w:val="24"/>
                <w:lang w:eastAsia="zh-CN"/>
              </w:rPr>
              <w:t>”</w:t>
            </w:r>
            <w:r>
              <w:rPr>
                <w:rFonts w:hint="eastAsia" w:ascii="宋体" w:hAnsi="宋体" w:eastAsia="宋体" w:cs="宋体"/>
                <w:sz w:val="24"/>
                <w:szCs w:val="24"/>
              </w:rPr>
              <w:t>处理，最终通过15米高排气筒DA001</w:t>
            </w:r>
            <w:r>
              <w:rPr>
                <w:rFonts w:hint="eastAsia" w:ascii="宋体" w:hAnsi="宋体" w:eastAsia="宋体" w:cs="宋体"/>
                <w:sz w:val="24"/>
                <w:szCs w:val="24"/>
                <w:lang w:val="en-US" w:eastAsia="zh-CN"/>
              </w:rPr>
              <w:t>达标</w:t>
            </w:r>
            <w:r>
              <w:rPr>
                <w:rFonts w:hint="eastAsia" w:ascii="宋体" w:hAnsi="宋体" w:eastAsia="宋体" w:cs="宋体"/>
                <w:sz w:val="24"/>
                <w:szCs w:val="24"/>
              </w:rPr>
              <w:t>排放；2#和3#生产线的烘烤、加烤及喷漆（分别经水帘柜预处理）废气合并共用一套</w:t>
            </w:r>
            <w:r>
              <w:rPr>
                <w:rFonts w:hint="eastAsia" w:ascii="宋体" w:hAnsi="宋体" w:cs="宋体"/>
                <w:sz w:val="24"/>
                <w:szCs w:val="24"/>
                <w:lang w:eastAsia="zh-CN"/>
              </w:rPr>
              <w:t>“</w:t>
            </w:r>
            <w:r>
              <w:rPr>
                <w:rFonts w:hint="eastAsia" w:ascii="宋体" w:hAnsi="宋体" w:eastAsia="宋体" w:cs="宋体"/>
                <w:sz w:val="24"/>
                <w:szCs w:val="24"/>
              </w:rPr>
              <w:t>过滤棉+二级活性炭吸附装置</w:t>
            </w:r>
            <w:r>
              <w:rPr>
                <w:rFonts w:hint="eastAsia" w:ascii="宋体" w:hAnsi="宋体" w:cs="宋体"/>
                <w:sz w:val="24"/>
                <w:szCs w:val="24"/>
                <w:lang w:eastAsia="zh-CN"/>
              </w:rPr>
              <w:t>”</w:t>
            </w:r>
            <w:r>
              <w:rPr>
                <w:rFonts w:hint="eastAsia" w:ascii="宋体" w:hAnsi="宋体" w:eastAsia="宋体" w:cs="宋体"/>
                <w:sz w:val="24"/>
                <w:szCs w:val="24"/>
              </w:rPr>
              <w:t>处理，最终通过15米高排气筒DA002</w:t>
            </w:r>
            <w:r>
              <w:rPr>
                <w:rFonts w:hint="eastAsia" w:ascii="宋体" w:hAnsi="宋体" w:eastAsia="宋体" w:cs="宋体"/>
                <w:sz w:val="24"/>
                <w:szCs w:val="24"/>
                <w:lang w:val="en-US" w:eastAsia="zh-CN"/>
              </w:rPr>
              <w:t>达标</w:t>
            </w:r>
            <w:r>
              <w:rPr>
                <w:rFonts w:hint="eastAsia" w:ascii="宋体" w:hAnsi="宋体" w:eastAsia="宋体" w:cs="宋体"/>
                <w:sz w:val="24"/>
                <w:szCs w:val="24"/>
              </w:rPr>
              <w:t>排放，该共用设施的处理能力满足两条生产线叠加的总负荷要求。每条生产线均独立配备20000m³/h风机，确保风量与废气产生量精准匹配，避免收集效率不足或能源浪费；独立的治理系统设计使得单条生产线检修时不影响其他生产线运行，有效降低环保设施故障对整体生产的影响，企业可根据市场订单和产能需求灵活开启一条或多条生产线，实现节能降耗与生产调度优化。</w:t>
            </w:r>
          </w:p>
          <w:p w14:paraId="4F74145C">
            <w:pPr>
              <w:pStyle w:val="27"/>
              <w:keepNext w:val="0"/>
              <w:keepLines w:val="0"/>
              <w:suppressLineNumbers w:val="0"/>
              <w:spacing w:before="0" w:beforeAutospacing="0" w:after="0" w:afterAutospacing="0"/>
              <w:ind w:left="0" w:right="0"/>
              <w:rPr>
                <w:rFonts w:hint="eastAsia"/>
                <w:lang w:val="en-US" w:eastAsia="zh-CN"/>
              </w:rPr>
            </w:pPr>
            <w:r>
              <w:rPr>
                <w:rFonts w:hint="eastAsia"/>
                <w:lang w:val="en-US" w:eastAsia="zh-CN"/>
              </w:rPr>
              <w:t>项目废气排放需满足《工业涂装工序挥发性有机物排放标准》（DB35/1783-2018）及《大气污染物综合排放标准》（GB16297-1996），2个排气筒分别排放可确保单筒排放浓度。</w:t>
            </w:r>
          </w:p>
          <w:p w14:paraId="01771A73">
            <w:pPr>
              <w:pStyle w:val="27"/>
              <w:keepNext w:val="0"/>
              <w:keepLines w:val="0"/>
              <w:suppressLineNumbers w:val="0"/>
              <w:spacing w:before="0" w:beforeAutospacing="0" w:after="0" w:afterAutospacing="0"/>
              <w:ind w:left="0" w:right="0"/>
              <w:rPr>
                <w:rFonts w:hint="eastAsia" w:cs="Times New Roman"/>
                <w:color w:val="auto"/>
                <w:kern w:val="0"/>
                <w:sz w:val="24"/>
                <w:szCs w:val="24"/>
                <w:lang w:val="en-US" w:eastAsia="zh-CN" w:bidi="ar-SA"/>
              </w:rPr>
            </w:pPr>
            <w:r>
              <w:rPr>
                <w:rFonts w:hint="eastAsia" w:cs="Times New Roman"/>
                <w:color w:val="auto"/>
                <w:kern w:val="0"/>
                <w:sz w:val="24"/>
                <w:szCs w:val="24"/>
                <w:lang w:val="en-US" w:eastAsia="zh-CN" w:bidi="ar-SA"/>
              </w:rPr>
              <w:t>（2）收集系统</w:t>
            </w:r>
          </w:p>
          <w:p w14:paraId="1E85F5A7">
            <w:pPr>
              <w:keepNext w:val="0"/>
              <w:keepLines w:val="0"/>
              <w:suppressLineNumbers w:val="0"/>
              <w:spacing w:before="0" w:beforeAutospacing="0" w:after="0" w:afterAutospacing="0"/>
              <w:ind w:left="0" w:right="0"/>
              <w:rPr>
                <w:rFonts w:hint="default"/>
                <w:b w:val="0"/>
                <w:bCs w:val="0"/>
                <w:iCs w:val="0"/>
                <w:color w:val="auto"/>
                <w:lang w:val="en-US" w:eastAsia="zh-CN"/>
              </w:rPr>
            </w:pPr>
            <w:r>
              <w:rPr>
                <w:rFonts w:hint="eastAsia" w:cs="Times New Roman"/>
                <w:color w:val="auto"/>
                <w:kern w:val="0"/>
                <w:sz w:val="24"/>
                <w:szCs w:val="24"/>
                <w:lang w:val="en-US" w:eastAsia="zh-CN" w:bidi="ar-SA"/>
              </w:rPr>
              <w:t>本项目生产线1#、生产线2#、生产线3#均采用密闭车间负压收集，每条生产线尺寸35m*9m*2.5m，</w:t>
            </w:r>
            <w:r>
              <w:rPr>
                <w:rFonts w:hint="eastAsia" w:cs="Times New Roman"/>
                <w:color w:val="000000"/>
                <w:sz w:val="24"/>
                <w:highlight w:val="none"/>
                <w:lang w:val="en-US" w:eastAsia="zh-CN"/>
              </w:rPr>
              <w:t>人员进出口设置透明PVC门帘，带密封条的门窗，顶部换气，设置风机风量20000m</w:t>
            </w:r>
            <w:r>
              <w:rPr>
                <w:rFonts w:hint="eastAsia" w:cs="Times New Roman"/>
                <w:color w:val="000000"/>
                <w:sz w:val="24"/>
                <w:highlight w:val="none"/>
                <w:vertAlign w:val="superscript"/>
                <w:lang w:val="en-US" w:eastAsia="zh-CN"/>
              </w:rPr>
              <w:t>3</w:t>
            </w:r>
            <w:r>
              <w:rPr>
                <w:rFonts w:hint="eastAsia" w:cs="Times New Roman"/>
                <w:color w:val="000000"/>
                <w:sz w:val="24"/>
                <w:highlight w:val="none"/>
                <w:lang w:val="en-US" w:eastAsia="zh-CN"/>
              </w:rPr>
              <w:t>/h，保证车间总排风量大于总送风量</w:t>
            </w:r>
            <w:r>
              <w:rPr>
                <w:rFonts w:hint="default"/>
                <w:b w:val="0"/>
                <w:bCs w:val="0"/>
                <w:iCs w:val="0"/>
                <w:color w:val="auto"/>
                <w:lang w:val="en-US" w:eastAsia="zh-CN"/>
              </w:rPr>
              <w:t>。</w:t>
            </w:r>
          </w:p>
          <w:p w14:paraId="41CF66E5">
            <w:pPr>
              <w:keepNext w:val="0"/>
              <w:keepLines w:val="0"/>
              <w:suppressLineNumbers w:val="0"/>
              <w:spacing w:before="0" w:beforeAutospacing="0" w:after="0" w:afterAutospacing="0"/>
              <w:ind w:left="0" w:right="0"/>
              <w:rPr>
                <w:rFonts w:hint="eastAsia" w:cs="Times New Roman"/>
                <w:color w:val="000000"/>
                <w:sz w:val="24"/>
                <w:highlight w:val="none"/>
                <w:lang w:val="en-US" w:eastAsia="zh-CN"/>
              </w:rPr>
            </w:pPr>
            <w:r>
              <w:rPr>
                <w:rFonts w:hint="eastAsia" w:cs="Times New Roman"/>
                <w:color w:val="000000"/>
                <w:sz w:val="24"/>
                <w:highlight w:val="none"/>
                <w:lang w:val="en-US" w:eastAsia="zh-CN"/>
              </w:rPr>
              <w:t>风机风量核算：根据《工业建筑供暖通风与空气调节设计规范》（GB 50019-2015），计算负压收集车间的风机风量：</w:t>
            </w:r>
          </w:p>
          <w:p w14:paraId="6C22FEA7">
            <w:pPr>
              <w:keepNext w:val="0"/>
              <w:keepLines w:val="0"/>
              <w:suppressLineNumbers w:val="0"/>
              <w:adjustRightInd w:val="0"/>
              <w:snapToGrid w:val="0"/>
              <w:spacing w:before="0" w:beforeAutospacing="0" w:after="0" w:afterAutospacing="0" w:line="360" w:lineRule="auto"/>
              <w:ind w:left="0" w:right="0"/>
              <w:jc w:val="center"/>
              <w:rPr>
                <w:rFonts w:hint="eastAsia" w:cs="Times New Roman"/>
                <w:color w:val="000000"/>
                <w:sz w:val="24"/>
                <w:highlight w:val="none"/>
                <w:lang w:val="en-US" w:eastAsia="zh-CN"/>
              </w:rPr>
            </w:pPr>
            <w:r>
              <w:rPr>
                <w:rFonts w:hint="eastAsia" w:cs="Times New Roman"/>
                <w:color w:val="000000"/>
                <w:sz w:val="24"/>
                <w:highlight w:val="none"/>
                <w:lang w:val="en-US" w:eastAsia="zh-CN"/>
              </w:rPr>
              <w:t>Q=nV</w:t>
            </w:r>
          </w:p>
          <w:p w14:paraId="7B750596">
            <w:pPr>
              <w:keepNext w:val="0"/>
              <w:keepLines w:val="0"/>
              <w:suppressLineNumbers w:val="0"/>
              <w:adjustRightInd w:val="0"/>
              <w:snapToGrid w:val="0"/>
              <w:spacing w:before="0" w:beforeAutospacing="0" w:after="0" w:afterAutospacing="0" w:line="360" w:lineRule="auto"/>
              <w:ind w:left="0" w:right="0"/>
              <w:jc w:val="left"/>
              <w:rPr>
                <w:rFonts w:hint="eastAsia" w:cs="Times New Roman"/>
                <w:color w:val="000000"/>
                <w:sz w:val="24"/>
                <w:highlight w:val="none"/>
                <w:lang w:val="en-US" w:eastAsia="zh-CN"/>
              </w:rPr>
            </w:pPr>
            <w:r>
              <w:rPr>
                <w:rFonts w:hint="eastAsia" w:cs="Times New Roman"/>
                <w:color w:val="000000"/>
                <w:sz w:val="24"/>
                <w:highlight w:val="none"/>
                <w:lang w:val="en-US" w:eastAsia="zh-CN"/>
              </w:rPr>
              <w:t>式中：</w:t>
            </w:r>
          </w:p>
          <w:p w14:paraId="214ED89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000000"/>
                <w:sz w:val="24"/>
                <w:highlight w:val="none"/>
                <w:lang w:val="en-US" w:eastAsia="zh-CN"/>
              </w:rPr>
            </w:pPr>
            <w:r>
              <w:rPr>
                <w:rFonts w:hint="eastAsia" w:cs="Times New Roman"/>
                <w:color w:val="000000"/>
                <w:sz w:val="24"/>
                <w:highlight w:val="none"/>
                <w:lang w:val="en-US" w:eastAsia="zh-CN"/>
              </w:rPr>
              <w:t>Q</w:t>
            </w:r>
            <w:r>
              <w:rPr>
                <w:rFonts w:hint="eastAsia" w:ascii="Times New Roman" w:hAnsi="Times New Roman" w:eastAsia="宋体" w:cs="Times New Roman"/>
                <w:color w:val="000000"/>
                <w:sz w:val="24"/>
                <w:highlight w:val="none"/>
                <w:lang w:val="en-US" w:eastAsia="zh-CN"/>
              </w:rPr>
              <w:t>—风量，m</w:t>
            </w:r>
            <w:r>
              <w:rPr>
                <w:rFonts w:hint="eastAsia" w:ascii="Times New Roman" w:hAnsi="Times New Roman" w:eastAsia="宋体" w:cs="Times New Roman"/>
                <w:color w:val="000000"/>
                <w:sz w:val="24"/>
                <w:highlight w:val="none"/>
                <w:vertAlign w:val="superscript"/>
                <w:lang w:val="en-US" w:eastAsia="zh-CN"/>
              </w:rPr>
              <w:t>3</w:t>
            </w:r>
            <w:r>
              <w:rPr>
                <w:rFonts w:hint="eastAsia" w:ascii="Times New Roman" w:hAnsi="Times New Roman" w:eastAsia="宋体" w:cs="Times New Roman"/>
                <w:color w:val="000000"/>
                <w:sz w:val="24"/>
                <w:highlight w:val="none"/>
                <w:lang w:val="en-US" w:eastAsia="zh-CN"/>
              </w:rPr>
              <w:t>/h；</w:t>
            </w:r>
          </w:p>
          <w:p w14:paraId="79C4E657">
            <w:pPr>
              <w:keepNext w:val="0"/>
              <w:keepLines w:val="0"/>
              <w:suppressLineNumbers w:val="0"/>
              <w:adjustRightInd w:val="0"/>
              <w:snapToGrid w:val="0"/>
              <w:spacing w:before="0" w:beforeAutospacing="0" w:after="0" w:afterAutospacing="0" w:line="360" w:lineRule="auto"/>
              <w:ind w:left="0" w:right="0"/>
              <w:jc w:val="left"/>
              <w:rPr>
                <w:rFonts w:hint="default" w:eastAsia="宋体" w:cs="Times New Roman"/>
                <w:color w:val="000000"/>
                <w:sz w:val="24"/>
                <w:highlight w:val="none"/>
                <w:lang w:val="en-US" w:eastAsia="zh-CN"/>
              </w:rPr>
            </w:pPr>
            <w:r>
              <w:rPr>
                <w:rFonts w:hint="eastAsia" w:cs="Times New Roman"/>
                <w:color w:val="000000"/>
                <w:sz w:val="24"/>
                <w:highlight w:val="none"/>
                <w:lang w:val="en-US" w:eastAsia="zh-CN"/>
              </w:rPr>
              <w:t>n—换气次数</w:t>
            </w:r>
            <w:r>
              <w:rPr>
                <w:rFonts w:hint="eastAsia" w:ascii="Times New Roman" w:hAnsi="Times New Roman" w:eastAsia="宋体" w:cs="Times New Roman"/>
                <w:color w:val="000000"/>
                <w:sz w:val="24"/>
                <w:highlight w:val="none"/>
                <w:lang w:val="en-US" w:eastAsia="zh-CN"/>
              </w:rPr>
              <w:t>，次，</w:t>
            </w:r>
            <w:r>
              <w:rPr>
                <w:rFonts w:hint="eastAsia" w:ascii="Times New Roman" w:hAnsi="Times New Roman" w:eastAsia="宋体" w:cs="宋体"/>
                <w:sz w:val="24"/>
                <w:szCs w:val="24"/>
              </w:rPr>
              <w:t>一般工业车间8-15次/h</w:t>
            </w:r>
            <w:r>
              <w:rPr>
                <w:rFonts w:hint="eastAsia" w:ascii="Times New Roman" w:hAnsi="Times New Roman" w:eastAsia="宋体" w:cs="宋体"/>
                <w:sz w:val="24"/>
                <w:szCs w:val="24"/>
                <w:lang w:eastAsia="zh-CN"/>
              </w:rPr>
              <w:t>，</w:t>
            </w:r>
            <w:r>
              <w:rPr>
                <w:rFonts w:hint="eastAsia" w:ascii="Times New Roman" w:hAnsi="Times New Roman" w:eastAsia="宋体" w:cs="宋体"/>
                <w:sz w:val="24"/>
                <w:szCs w:val="24"/>
                <w:lang w:val="en-US" w:eastAsia="zh-CN"/>
              </w:rPr>
              <w:t>本项目取</w:t>
            </w:r>
            <w:r>
              <w:rPr>
                <w:rFonts w:hint="eastAsia" w:cs="宋体"/>
                <w:sz w:val="24"/>
                <w:szCs w:val="24"/>
                <w:lang w:val="en-US" w:eastAsia="zh-CN"/>
              </w:rPr>
              <w:t>10</w:t>
            </w:r>
            <w:r>
              <w:rPr>
                <w:rFonts w:hint="eastAsia" w:ascii="Times New Roman" w:hAnsi="Times New Roman" w:eastAsia="宋体" w:cs="宋体"/>
                <w:sz w:val="24"/>
                <w:szCs w:val="24"/>
                <w:lang w:val="en-US" w:eastAsia="zh-CN"/>
              </w:rPr>
              <w:t>次/h；</w:t>
            </w:r>
          </w:p>
          <w:p w14:paraId="323F1FDD">
            <w:pPr>
              <w:keepNext w:val="0"/>
              <w:keepLines w:val="0"/>
              <w:suppressLineNumbers w:val="0"/>
              <w:adjustRightInd w:val="0"/>
              <w:snapToGrid w:val="0"/>
              <w:spacing w:before="0" w:beforeAutospacing="0" w:after="0" w:afterAutospacing="0" w:line="360" w:lineRule="auto"/>
              <w:ind w:left="0" w:right="0"/>
              <w:jc w:val="left"/>
              <w:rPr>
                <w:rFonts w:hint="eastAsia" w:cs="Times New Roman"/>
                <w:color w:val="000000"/>
                <w:sz w:val="24"/>
                <w:highlight w:val="none"/>
                <w:lang w:val="en-US" w:eastAsia="zh-CN"/>
              </w:rPr>
            </w:pPr>
            <w:r>
              <w:rPr>
                <w:rFonts w:hint="default" w:cs="Times New Roman"/>
                <w:color w:val="000000"/>
                <w:sz w:val="24"/>
                <w:highlight w:val="none"/>
                <w:lang w:val="en-US" w:eastAsia="zh-CN"/>
              </w:rPr>
              <w:t>V</w:t>
            </w:r>
            <w:r>
              <w:rPr>
                <w:rFonts w:hint="eastAsia" w:cs="Times New Roman"/>
                <w:color w:val="000000"/>
                <w:sz w:val="24"/>
                <w:highlight w:val="none"/>
                <w:lang w:val="en-US" w:eastAsia="zh-CN"/>
              </w:rPr>
              <w:t>—</w:t>
            </w:r>
            <w:r>
              <w:rPr>
                <w:rFonts w:hint="default" w:cs="Times New Roman"/>
                <w:color w:val="000000"/>
                <w:sz w:val="24"/>
                <w:highlight w:val="none"/>
                <w:lang w:val="en-US" w:eastAsia="zh-CN"/>
              </w:rPr>
              <w:t>车间体积</w:t>
            </w:r>
            <w:r>
              <w:rPr>
                <w:rFonts w:hint="eastAsia" w:cs="Times New Roman"/>
                <w:color w:val="000000"/>
                <w:sz w:val="24"/>
                <w:highlight w:val="none"/>
                <w:lang w:val="en-US" w:eastAsia="zh-CN"/>
              </w:rPr>
              <w:t>，</w:t>
            </w:r>
            <w:r>
              <w:rPr>
                <w:rFonts w:hint="default" w:cs="Times New Roman"/>
                <w:color w:val="000000"/>
                <w:sz w:val="24"/>
                <w:highlight w:val="none"/>
                <w:lang w:val="en-US" w:eastAsia="zh-CN"/>
              </w:rPr>
              <w:t>m³</w:t>
            </w:r>
            <w:r>
              <w:rPr>
                <w:rFonts w:hint="eastAsia" w:cs="Times New Roman"/>
                <w:color w:val="000000"/>
                <w:sz w:val="24"/>
                <w:highlight w:val="none"/>
                <w:lang w:val="en-US" w:eastAsia="zh-CN"/>
              </w:rPr>
              <w:t>，本项目单条生产线车间体积V=35m*9m*2.5m=787.5</w:t>
            </w:r>
            <w:r>
              <w:rPr>
                <w:rFonts w:hint="default" w:cs="Times New Roman"/>
                <w:color w:val="000000"/>
                <w:sz w:val="24"/>
                <w:highlight w:val="none"/>
                <w:lang w:val="en-US" w:eastAsia="zh-CN"/>
              </w:rPr>
              <w:t>m³</w:t>
            </w:r>
            <w:r>
              <w:rPr>
                <w:rFonts w:hint="eastAsia" w:cs="Times New Roman"/>
                <w:color w:val="000000"/>
                <w:sz w:val="24"/>
                <w:highlight w:val="none"/>
                <w:lang w:val="en-US" w:eastAsia="zh-CN"/>
              </w:rPr>
              <w:t>；</w:t>
            </w:r>
          </w:p>
          <w:p w14:paraId="5C636DAA">
            <w:pPr>
              <w:keepNext w:val="0"/>
              <w:keepLines w:val="0"/>
              <w:suppressLineNumbers w:val="0"/>
              <w:adjustRightInd w:val="0"/>
              <w:snapToGrid w:val="0"/>
              <w:spacing w:before="0" w:beforeAutospacing="0" w:after="0" w:afterAutospacing="0" w:line="360" w:lineRule="auto"/>
              <w:ind w:left="0" w:right="0"/>
              <w:jc w:val="left"/>
              <w:rPr>
                <w:rFonts w:hint="eastAsia" w:ascii="Times New Roman" w:hAnsi="Times New Roman" w:eastAsia="宋体" w:cs="Times New Roman"/>
                <w:color w:val="000000"/>
                <w:sz w:val="24"/>
                <w:highlight w:val="none"/>
                <w:lang w:val="en-US" w:eastAsia="zh-CN"/>
              </w:rPr>
            </w:pPr>
            <w:r>
              <w:rPr>
                <w:rFonts w:hint="eastAsia" w:cs="Times New Roman"/>
                <w:color w:val="000000"/>
                <w:sz w:val="24"/>
                <w:highlight w:val="none"/>
                <w:lang w:val="en-US" w:eastAsia="zh-CN"/>
              </w:rPr>
              <w:t>生产线1#</w:t>
            </w:r>
            <w:r>
              <w:rPr>
                <w:rFonts w:hint="eastAsia" w:cs="Times New Roman"/>
                <w:color w:val="auto"/>
                <w:kern w:val="0"/>
                <w:sz w:val="24"/>
                <w:szCs w:val="24"/>
                <w:lang w:val="en-US" w:eastAsia="zh-CN" w:bidi="ar-SA"/>
              </w:rPr>
              <w:t>喷漆、烘干及加烤工序车间</w:t>
            </w:r>
            <w:r>
              <w:rPr>
                <w:rFonts w:hint="eastAsia" w:cs="Times New Roman"/>
                <w:color w:val="000000"/>
                <w:sz w:val="24"/>
                <w:highlight w:val="none"/>
                <w:lang w:val="en-US" w:eastAsia="zh-CN"/>
              </w:rPr>
              <w:t>风机风量Q</w:t>
            </w:r>
            <w:r>
              <w:rPr>
                <w:rFonts w:hint="eastAsia" w:cs="Times New Roman"/>
                <w:color w:val="000000"/>
                <w:sz w:val="24"/>
                <w:highlight w:val="none"/>
                <w:vertAlign w:val="subscript"/>
                <w:lang w:val="en-US" w:eastAsia="zh-CN"/>
              </w:rPr>
              <w:t>1</w:t>
            </w:r>
            <w:r>
              <w:rPr>
                <w:rFonts w:hint="eastAsia" w:cs="Times New Roman"/>
                <w:color w:val="000000"/>
                <w:sz w:val="24"/>
                <w:highlight w:val="none"/>
                <w:vertAlign w:val="baseline"/>
                <w:lang w:val="en-US" w:eastAsia="zh-CN"/>
              </w:rPr>
              <w:t>=787.5</w:t>
            </w:r>
            <w:r>
              <w:rPr>
                <w:rFonts w:hint="default" w:ascii="Times New Roman" w:hAnsi="Times New Roman" w:cs="Arial"/>
                <w:b w:val="0"/>
                <w:bCs w:val="0"/>
                <w:iCs w:val="0"/>
                <w:color w:val="auto"/>
                <w:sz w:val="24"/>
                <w:lang w:val="en-US" w:eastAsia="zh-CN"/>
              </w:rPr>
              <w:t>×</w:t>
            </w:r>
            <w:r>
              <w:rPr>
                <w:rFonts w:hint="eastAsia" w:ascii="Times New Roman" w:hAnsi="Times New Roman" w:cs="Arial"/>
                <w:b w:val="0"/>
                <w:bCs w:val="0"/>
                <w:iCs w:val="0"/>
                <w:color w:val="auto"/>
                <w:sz w:val="24"/>
                <w:lang w:val="en-US" w:eastAsia="zh-CN"/>
              </w:rPr>
              <w:t>1</w:t>
            </w:r>
            <w:r>
              <w:rPr>
                <w:rFonts w:hint="eastAsia" w:cs="Arial"/>
                <w:b w:val="0"/>
                <w:bCs w:val="0"/>
                <w:iCs w:val="0"/>
                <w:color w:val="auto"/>
                <w:sz w:val="24"/>
                <w:lang w:val="en-US" w:eastAsia="zh-CN"/>
              </w:rPr>
              <w:t>0</w:t>
            </w:r>
            <w:r>
              <w:rPr>
                <w:rFonts w:hint="eastAsia" w:ascii="Times New Roman" w:hAnsi="Times New Roman" w:cs="Arial"/>
                <w:b w:val="0"/>
                <w:bCs w:val="0"/>
                <w:iCs w:val="0"/>
                <w:color w:val="auto"/>
                <w:sz w:val="24"/>
                <w:lang w:val="en-US" w:eastAsia="zh-CN"/>
              </w:rPr>
              <w:t>=</w:t>
            </w:r>
            <w:r>
              <w:rPr>
                <w:rFonts w:hint="eastAsia" w:cs="Arial"/>
                <w:b w:val="0"/>
                <w:bCs w:val="0"/>
                <w:iCs w:val="0"/>
                <w:color w:val="auto"/>
                <w:sz w:val="24"/>
                <w:lang w:val="en-US" w:eastAsia="zh-CN"/>
              </w:rPr>
              <w:t>7875</w:t>
            </w:r>
            <w:r>
              <w:rPr>
                <w:rFonts w:hint="eastAsia" w:ascii="Times New Roman" w:hAnsi="Times New Roman" w:eastAsia="宋体" w:cs="Times New Roman"/>
                <w:color w:val="000000"/>
                <w:sz w:val="24"/>
                <w:highlight w:val="none"/>
                <w:lang w:val="en-US" w:eastAsia="zh-CN"/>
              </w:rPr>
              <w:t>m</w:t>
            </w:r>
            <w:r>
              <w:rPr>
                <w:rFonts w:hint="eastAsia" w:ascii="Times New Roman" w:hAnsi="Times New Roman" w:eastAsia="宋体" w:cs="Times New Roman"/>
                <w:color w:val="000000"/>
                <w:sz w:val="24"/>
                <w:highlight w:val="none"/>
                <w:vertAlign w:val="superscript"/>
                <w:lang w:val="en-US" w:eastAsia="zh-CN"/>
              </w:rPr>
              <w:t>3</w:t>
            </w:r>
            <w:r>
              <w:rPr>
                <w:rFonts w:hint="eastAsia" w:ascii="Times New Roman" w:hAnsi="Times New Roman" w:eastAsia="宋体" w:cs="Times New Roman"/>
                <w:color w:val="000000"/>
                <w:sz w:val="24"/>
                <w:highlight w:val="none"/>
                <w:lang w:val="en-US" w:eastAsia="zh-CN"/>
              </w:rPr>
              <w:t>/h，本项目设计</w:t>
            </w:r>
            <w:r>
              <w:rPr>
                <w:rFonts w:hint="eastAsia" w:cs="Times New Roman"/>
                <w:color w:val="000000"/>
                <w:sz w:val="24"/>
                <w:highlight w:val="none"/>
                <w:lang w:val="en-US" w:eastAsia="zh-CN"/>
              </w:rPr>
              <w:t>2</w:t>
            </w:r>
            <w:r>
              <w:rPr>
                <w:rFonts w:hint="eastAsia" w:ascii="Times New Roman" w:hAnsi="Times New Roman" w:eastAsia="宋体" w:cs="Times New Roman"/>
                <w:color w:val="000000"/>
                <w:sz w:val="24"/>
                <w:highlight w:val="none"/>
                <w:lang w:val="en-US" w:eastAsia="zh-CN"/>
              </w:rPr>
              <w:t>台风机，生产线1#对应的风机1#风量设计20000m</w:t>
            </w:r>
            <w:r>
              <w:rPr>
                <w:rFonts w:hint="eastAsia" w:ascii="Times New Roman" w:hAnsi="Times New Roman" w:eastAsia="宋体" w:cs="Times New Roman"/>
                <w:color w:val="000000"/>
                <w:sz w:val="24"/>
                <w:highlight w:val="none"/>
                <w:vertAlign w:val="superscript"/>
                <w:lang w:val="en-US" w:eastAsia="zh-CN"/>
              </w:rPr>
              <w:t>3</w:t>
            </w:r>
            <w:r>
              <w:rPr>
                <w:rFonts w:hint="eastAsia" w:ascii="Times New Roman" w:hAnsi="Times New Roman" w:eastAsia="宋体" w:cs="Times New Roman"/>
                <w:color w:val="000000"/>
                <w:sz w:val="24"/>
                <w:highlight w:val="none"/>
                <w:lang w:val="en-US" w:eastAsia="zh-CN"/>
              </w:rPr>
              <w:t>/h，满足当前项目需求。</w:t>
            </w:r>
            <w:r>
              <w:rPr>
                <w:rFonts w:hint="eastAsia"/>
                <w:lang w:val="en-US" w:eastAsia="zh-CN"/>
              </w:rPr>
              <w:t>生产线2#</w:t>
            </w:r>
            <w:r>
              <w:rPr>
                <w:rFonts w:hint="eastAsia" w:cs="Times New Roman"/>
                <w:color w:val="auto"/>
                <w:kern w:val="0"/>
                <w:sz w:val="24"/>
                <w:szCs w:val="24"/>
                <w:lang w:val="en-US" w:eastAsia="zh-CN" w:bidi="ar-SA"/>
              </w:rPr>
              <w:t>、生产线3#喷漆、烘干及加烤工序车间收集系统与生产线1#相同，</w:t>
            </w:r>
            <w:r>
              <w:rPr>
                <w:rFonts w:hint="eastAsia" w:ascii="Times New Roman" w:hAnsi="Times New Roman" w:eastAsia="宋体" w:cs="Times New Roman"/>
                <w:color w:val="000000"/>
                <w:sz w:val="24"/>
                <w:highlight w:val="none"/>
                <w:lang w:val="en-US" w:eastAsia="zh-CN"/>
              </w:rPr>
              <w:t>生产线2#</w:t>
            </w:r>
            <w:r>
              <w:rPr>
                <w:rFonts w:hint="eastAsia" w:cs="Times New Roman"/>
                <w:color w:val="auto"/>
                <w:kern w:val="0"/>
                <w:sz w:val="24"/>
                <w:szCs w:val="24"/>
                <w:lang w:val="en-US" w:eastAsia="zh-CN" w:bidi="ar-SA"/>
              </w:rPr>
              <w:t>、生产线3#</w:t>
            </w:r>
            <w:r>
              <w:rPr>
                <w:rFonts w:hint="eastAsia" w:ascii="Times New Roman" w:hAnsi="Times New Roman" w:eastAsia="宋体" w:cs="Times New Roman"/>
                <w:color w:val="000000"/>
                <w:sz w:val="24"/>
                <w:highlight w:val="none"/>
                <w:lang w:val="en-US" w:eastAsia="zh-CN"/>
              </w:rPr>
              <w:t>的风机风量设计20000m</w:t>
            </w:r>
            <w:r>
              <w:rPr>
                <w:rFonts w:hint="eastAsia" w:ascii="Times New Roman" w:hAnsi="Times New Roman" w:eastAsia="宋体" w:cs="Times New Roman"/>
                <w:color w:val="000000"/>
                <w:sz w:val="24"/>
                <w:highlight w:val="none"/>
                <w:vertAlign w:val="superscript"/>
                <w:lang w:val="en-US" w:eastAsia="zh-CN"/>
              </w:rPr>
              <w:t>3</w:t>
            </w:r>
            <w:r>
              <w:rPr>
                <w:rFonts w:hint="eastAsia" w:ascii="Times New Roman" w:hAnsi="Times New Roman" w:eastAsia="宋体" w:cs="Times New Roman"/>
                <w:color w:val="000000"/>
                <w:sz w:val="24"/>
                <w:highlight w:val="none"/>
                <w:lang w:val="en-US" w:eastAsia="zh-CN"/>
              </w:rPr>
              <w:t>/h，综上本项目</w:t>
            </w:r>
            <w:r>
              <w:rPr>
                <w:rFonts w:hint="eastAsia" w:cs="Times New Roman"/>
                <w:color w:val="000000"/>
                <w:sz w:val="24"/>
                <w:highlight w:val="none"/>
                <w:lang w:val="en-US" w:eastAsia="zh-CN"/>
              </w:rPr>
              <w:t>三</w:t>
            </w:r>
            <w:r>
              <w:rPr>
                <w:rFonts w:hint="eastAsia" w:ascii="Times New Roman" w:hAnsi="Times New Roman" w:eastAsia="宋体" w:cs="Times New Roman"/>
                <w:color w:val="000000"/>
                <w:sz w:val="24"/>
                <w:highlight w:val="none"/>
                <w:lang w:val="en-US" w:eastAsia="zh-CN"/>
              </w:rPr>
              <w:t>条生产线设计风量满足需求。</w:t>
            </w:r>
          </w:p>
          <w:p w14:paraId="32AC3DA8">
            <w:pPr>
              <w:pStyle w:val="40"/>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表4.2-3 项目废气集气及废气治理设施情况一览表</w:t>
            </w:r>
          </w:p>
          <w:tbl>
            <w:tblPr>
              <w:tblStyle w:val="30"/>
              <w:tblW w:w="5000"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74"/>
              <w:gridCol w:w="1014"/>
              <w:gridCol w:w="941"/>
              <w:gridCol w:w="1841"/>
              <w:gridCol w:w="1390"/>
              <w:gridCol w:w="1095"/>
              <w:gridCol w:w="1112"/>
            </w:tblGrid>
            <w:tr w14:paraId="413E632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82" w:type="pct"/>
                  <w:tcBorders>
                    <w:top w:val="single" w:color="000000" w:sz="12" w:space="0"/>
                    <w:left w:val="nil"/>
                    <w:tl2br w:val="nil"/>
                  </w:tcBorders>
                  <w:shd w:val="clear" w:color="auto" w:fill="auto"/>
                  <w:noWrap/>
                  <w:vAlign w:val="center"/>
                </w:tcPr>
                <w:p w14:paraId="447C96AE">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生产线</w:t>
                  </w:r>
                </w:p>
              </w:tc>
              <w:tc>
                <w:tcPr>
                  <w:tcW w:w="605" w:type="pct"/>
                  <w:tcBorders>
                    <w:top w:val="single" w:color="000000" w:sz="12" w:space="0"/>
                  </w:tcBorders>
                  <w:shd w:val="clear" w:color="auto" w:fill="auto"/>
                  <w:noWrap/>
                  <w:vAlign w:val="center"/>
                </w:tcPr>
                <w:p w14:paraId="402267AC">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集气方式</w:t>
                  </w:r>
                </w:p>
              </w:tc>
              <w:tc>
                <w:tcPr>
                  <w:tcW w:w="562" w:type="pct"/>
                  <w:tcBorders>
                    <w:top w:val="single" w:color="000000" w:sz="12" w:space="0"/>
                  </w:tcBorders>
                  <w:shd w:val="clear" w:color="auto" w:fill="auto"/>
                  <w:noWrap/>
                  <w:vAlign w:val="center"/>
                </w:tcPr>
                <w:p w14:paraId="5A56DD8D">
                  <w:pPr>
                    <w:pStyle w:val="39"/>
                    <w:keepNext w:val="0"/>
                    <w:keepLines w:val="0"/>
                    <w:widowControl/>
                    <w:suppressLineNumbers w:val="0"/>
                    <w:bidi w:val="0"/>
                    <w:spacing w:before="0" w:beforeAutospacing="0" w:after="0" w:afterAutospacing="0"/>
                    <w:ind w:left="0" w:right="0"/>
                    <w:rPr>
                      <w:rFonts w:hint="default"/>
                      <w:b w:val="0"/>
                      <w:color w:val="000000"/>
                      <w:szCs w:val="22"/>
                      <w:lang w:val="en-US"/>
                    </w:rPr>
                  </w:pPr>
                  <w:r>
                    <w:rPr>
                      <w:rFonts w:hint="eastAsia"/>
                      <w:b w:val="0"/>
                      <w:color w:val="000000"/>
                      <w:szCs w:val="22"/>
                      <w:lang w:val="en-US" w:eastAsia="zh-CN"/>
                    </w:rPr>
                    <w:t>车间体积</w:t>
                  </w:r>
                </w:p>
              </w:tc>
              <w:tc>
                <w:tcPr>
                  <w:tcW w:w="1100" w:type="pct"/>
                  <w:tcBorders>
                    <w:top w:val="single" w:color="000000" w:sz="12" w:space="0"/>
                  </w:tcBorders>
                  <w:shd w:val="clear" w:color="auto" w:fill="auto"/>
                  <w:noWrap/>
                  <w:vAlign w:val="center"/>
                </w:tcPr>
                <w:p w14:paraId="2DB9E39B">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废气治理设施</w:t>
                  </w:r>
                </w:p>
              </w:tc>
              <w:tc>
                <w:tcPr>
                  <w:tcW w:w="830" w:type="pct"/>
                  <w:tcBorders>
                    <w:top w:val="single" w:color="000000" w:sz="12" w:space="0"/>
                  </w:tcBorders>
                  <w:shd w:val="clear" w:color="auto" w:fill="auto"/>
                  <w:noWrap/>
                  <w:vAlign w:val="center"/>
                </w:tcPr>
                <w:p w14:paraId="0B2DFD39">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设计风机风量</w:t>
                  </w:r>
                </w:p>
              </w:tc>
              <w:tc>
                <w:tcPr>
                  <w:tcW w:w="654" w:type="pct"/>
                  <w:tcBorders>
                    <w:top w:val="single" w:color="000000" w:sz="12" w:space="0"/>
                  </w:tcBorders>
                  <w:shd w:val="clear" w:color="auto" w:fill="auto"/>
                  <w:noWrap/>
                  <w:vAlign w:val="center"/>
                </w:tcPr>
                <w:p w14:paraId="15AB75FA">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理论风量</w:t>
                  </w:r>
                </w:p>
              </w:tc>
              <w:tc>
                <w:tcPr>
                  <w:tcW w:w="664" w:type="pct"/>
                  <w:tcBorders>
                    <w:top w:val="single" w:color="000000" w:sz="12" w:space="0"/>
                    <w:right w:val="nil"/>
                  </w:tcBorders>
                  <w:shd w:val="clear" w:color="auto" w:fill="auto"/>
                  <w:noWrap/>
                  <w:vAlign w:val="center"/>
                </w:tcPr>
                <w:p w14:paraId="097E9151">
                  <w:pPr>
                    <w:pStyle w:val="39"/>
                    <w:keepNext w:val="0"/>
                    <w:keepLines w:val="0"/>
                    <w:widowControl/>
                    <w:suppressLineNumbers w:val="0"/>
                    <w:bidi w:val="0"/>
                    <w:spacing w:before="0" w:beforeAutospacing="0" w:after="0" w:afterAutospacing="0"/>
                    <w:ind w:left="0" w:right="0"/>
                    <w:rPr>
                      <w:rFonts w:hint="default"/>
                      <w:b w:val="0"/>
                      <w:color w:val="000000"/>
                      <w:szCs w:val="22"/>
                      <w:lang w:val="en-US"/>
                    </w:rPr>
                  </w:pPr>
                  <w:r>
                    <w:rPr>
                      <w:rFonts w:hint="eastAsia"/>
                      <w:b w:val="0"/>
                      <w:color w:val="000000"/>
                      <w:szCs w:val="22"/>
                      <w:lang w:val="en-US" w:eastAsia="zh-CN"/>
                    </w:rPr>
                    <w:t>排气筒编号</w:t>
                  </w:r>
                </w:p>
              </w:tc>
            </w:tr>
            <w:tr w14:paraId="2E582A1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4" w:hRule="atLeast"/>
              </w:trPr>
              <w:tc>
                <w:tcPr>
                  <w:tcW w:w="582" w:type="pct"/>
                  <w:tcBorders>
                    <w:left w:val="nil"/>
                  </w:tcBorders>
                  <w:shd w:val="clear" w:color="auto" w:fill="auto"/>
                  <w:noWrap/>
                  <w:vAlign w:val="center"/>
                </w:tcPr>
                <w:p w14:paraId="46D83BB7">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生产线1#</w:t>
                  </w:r>
                </w:p>
              </w:tc>
              <w:tc>
                <w:tcPr>
                  <w:tcW w:w="605" w:type="pct"/>
                  <w:vMerge w:val="restart"/>
                  <w:shd w:val="clear" w:color="auto" w:fill="auto"/>
                  <w:noWrap/>
                  <w:vAlign w:val="center"/>
                </w:tcPr>
                <w:p w14:paraId="5128B9EE">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车间密闭负压收集，</w:t>
                  </w:r>
                  <w:r>
                    <w:rPr>
                      <w:rFonts w:hint="eastAsia"/>
                      <w:szCs w:val="22"/>
                      <w:lang w:val="en-US" w:eastAsia="zh-CN"/>
                    </w:rPr>
                    <w:t>单独设置喷漆房</w:t>
                  </w:r>
                </w:p>
              </w:tc>
              <w:tc>
                <w:tcPr>
                  <w:tcW w:w="562" w:type="pct"/>
                  <w:shd w:val="clear" w:color="auto" w:fill="auto"/>
                  <w:noWrap/>
                  <w:vAlign w:val="center"/>
                </w:tcPr>
                <w:p w14:paraId="41054857">
                  <w:pPr>
                    <w:pStyle w:val="39"/>
                    <w:keepNext w:val="0"/>
                    <w:keepLines w:val="0"/>
                    <w:widowControl/>
                    <w:suppressLineNumbers w:val="0"/>
                    <w:bidi w:val="0"/>
                    <w:spacing w:before="0" w:beforeAutospacing="0" w:after="0" w:afterAutospacing="0"/>
                    <w:ind w:left="0" w:right="0"/>
                    <w:rPr>
                      <w:rFonts w:hint="default"/>
                      <w:b w:val="0"/>
                      <w:color w:val="000000"/>
                      <w:szCs w:val="22"/>
                    </w:rPr>
                  </w:pPr>
                  <w:r>
                    <w:rPr>
                      <w:rFonts w:hint="eastAsia"/>
                      <w:b w:val="0"/>
                      <w:color w:val="000000"/>
                      <w:szCs w:val="22"/>
                      <w:lang w:val="en-US" w:eastAsia="zh-CN"/>
                    </w:rPr>
                    <w:t>787.5m</w:t>
                  </w:r>
                  <w:r>
                    <w:rPr>
                      <w:rFonts w:hint="default" w:cs="Times New Roman"/>
                      <w:color w:val="000000"/>
                      <w:sz w:val="24"/>
                      <w:szCs w:val="22"/>
                      <w:highlight w:val="none"/>
                      <w:lang w:val="en-US" w:eastAsia="zh-CN"/>
                    </w:rPr>
                    <w:t>³</w:t>
                  </w:r>
                </w:p>
              </w:tc>
              <w:tc>
                <w:tcPr>
                  <w:tcW w:w="1100" w:type="pct"/>
                  <w:shd w:val="clear" w:color="auto" w:fill="auto"/>
                  <w:vAlign w:val="center"/>
                </w:tcPr>
                <w:p w14:paraId="1AC16A87">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“过滤棉+二级活性炭吸附装置”1#</w:t>
                  </w:r>
                </w:p>
              </w:tc>
              <w:tc>
                <w:tcPr>
                  <w:tcW w:w="830" w:type="pct"/>
                  <w:shd w:val="clear" w:color="auto" w:fill="auto"/>
                  <w:noWrap/>
                  <w:vAlign w:val="center"/>
                </w:tcPr>
                <w:p w14:paraId="313644AE">
                  <w:pPr>
                    <w:pStyle w:val="39"/>
                    <w:keepNext w:val="0"/>
                    <w:keepLines w:val="0"/>
                    <w:widowControl/>
                    <w:suppressLineNumbers w:val="0"/>
                    <w:bidi w:val="0"/>
                    <w:spacing w:before="0" w:beforeAutospacing="0" w:after="0" w:afterAutospacing="0"/>
                    <w:ind w:left="0" w:right="0"/>
                    <w:rPr>
                      <w:rFonts w:hint="default"/>
                      <w:b w:val="0"/>
                      <w:color w:val="000000"/>
                      <w:szCs w:val="22"/>
                      <w:vertAlign w:val="baseline"/>
                      <w:lang w:val="en-US"/>
                    </w:rPr>
                  </w:pPr>
                  <w:r>
                    <w:rPr>
                      <w:rFonts w:hint="eastAsia"/>
                      <w:b w:val="0"/>
                      <w:color w:val="000000"/>
                      <w:szCs w:val="22"/>
                      <w:lang w:val="en-US" w:eastAsia="zh-CN"/>
                    </w:rPr>
                    <w:t>20000m</w:t>
                  </w:r>
                  <w:r>
                    <w:rPr>
                      <w:rFonts w:hint="eastAsia"/>
                      <w:b w:val="0"/>
                      <w:color w:val="000000"/>
                      <w:szCs w:val="22"/>
                      <w:vertAlign w:val="superscript"/>
                      <w:lang w:val="en-US" w:eastAsia="zh-CN"/>
                    </w:rPr>
                    <w:t>3</w:t>
                  </w:r>
                  <w:r>
                    <w:rPr>
                      <w:rFonts w:hint="eastAsia"/>
                      <w:b w:val="0"/>
                      <w:color w:val="000000"/>
                      <w:szCs w:val="22"/>
                      <w:vertAlign w:val="baseline"/>
                      <w:lang w:val="en-US" w:eastAsia="zh-CN"/>
                    </w:rPr>
                    <w:t>/h</w:t>
                  </w:r>
                </w:p>
              </w:tc>
              <w:tc>
                <w:tcPr>
                  <w:tcW w:w="654" w:type="pct"/>
                  <w:shd w:val="clear" w:color="auto" w:fill="auto"/>
                  <w:noWrap/>
                  <w:vAlign w:val="center"/>
                </w:tcPr>
                <w:p w14:paraId="1FE7C89B">
                  <w:pPr>
                    <w:pStyle w:val="39"/>
                    <w:keepNext w:val="0"/>
                    <w:keepLines w:val="0"/>
                    <w:widowControl/>
                    <w:suppressLineNumbers w:val="0"/>
                    <w:bidi w:val="0"/>
                    <w:spacing w:before="0" w:beforeAutospacing="0" w:after="0" w:afterAutospacing="0"/>
                    <w:ind w:left="0" w:right="0"/>
                    <w:rPr>
                      <w:rFonts w:hint="default"/>
                      <w:b w:val="0"/>
                      <w:color w:val="000000"/>
                      <w:szCs w:val="22"/>
                      <w:lang w:val="en-US"/>
                    </w:rPr>
                  </w:pPr>
                  <w:r>
                    <w:rPr>
                      <w:rFonts w:hint="eastAsia" w:cs="Arial"/>
                      <w:b w:val="0"/>
                      <w:bCs w:val="0"/>
                      <w:iCs w:val="0"/>
                      <w:color w:val="auto"/>
                      <w:sz w:val="21"/>
                      <w:szCs w:val="21"/>
                      <w:lang w:val="en-US" w:eastAsia="zh-CN"/>
                    </w:rPr>
                    <w:t>7875</w:t>
                  </w:r>
                  <w:r>
                    <w:rPr>
                      <w:rFonts w:hint="eastAsia"/>
                      <w:b w:val="0"/>
                      <w:color w:val="000000"/>
                      <w:szCs w:val="21"/>
                      <w:lang w:val="en-US" w:eastAsia="zh-CN"/>
                    </w:rPr>
                    <w:t>m</w:t>
                  </w:r>
                  <w:r>
                    <w:rPr>
                      <w:rFonts w:hint="eastAsia"/>
                      <w:b w:val="0"/>
                      <w:color w:val="000000"/>
                      <w:szCs w:val="21"/>
                      <w:vertAlign w:val="superscript"/>
                      <w:lang w:val="en-US" w:eastAsia="zh-CN"/>
                    </w:rPr>
                    <w:t>3</w:t>
                  </w:r>
                  <w:r>
                    <w:rPr>
                      <w:rFonts w:hint="eastAsia"/>
                      <w:b w:val="0"/>
                      <w:color w:val="000000"/>
                      <w:szCs w:val="21"/>
                      <w:vertAlign w:val="baseline"/>
                      <w:lang w:val="en-US" w:eastAsia="zh-CN"/>
                    </w:rPr>
                    <w:t>/h</w:t>
                  </w:r>
                </w:p>
              </w:tc>
              <w:tc>
                <w:tcPr>
                  <w:tcW w:w="664" w:type="pct"/>
                  <w:tcBorders>
                    <w:right w:val="nil"/>
                  </w:tcBorders>
                  <w:shd w:val="clear" w:color="auto" w:fill="auto"/>
                  <w:noWrap/>
                  <w:vAlign w:val="center"/>
                </w:tcPr>
                <w:p w14:paraId="0D83EDB0">
                  <w:pPr>
                    <w:pStyle w:val="39"/>
                    <w:keepNext w:val="0"/>
                    <w:keepLines w:val="0"/>
                    <w:widowControl/>
                    <w:suppressLineNumbers w:val="0"/>
                    <w:bidi w:val="0"/>
                    <w:spacing w:before="0" w:beforeAutospacing="0" w:after="0" w:afterAutospacing="0"/>
                    <w:ind w:left="0" w:right="0"/>
                    <w:rPr>
                      <w:rFonts w:hint="eastAsia"/>
                      <w:b w:val="0"/>
                      <w:color w:val="000000"/>
                      <w:szCs w:val="22"/>
                      <w:lang w:val="en-US" w:eastAsia="zh-CN"/>
                    </w:rPr>
                  </w:pPr>
                  <w:r>
                    <w:rPr>
                      <w:rFonts w:hint="eastAsia"/>
                      <w:b w:val="0"/>
                      <w:color w:val="000000"/>
                      <w:szCs w:val="22"/>
                      <w:lang w:val="en-US" w:eastAsia="zh-CN"/>
                    </w:rPr>
                    <w:t>DA001</w:t>
                  </w:r>
                </w:p>
                <w:p w14:paraId="4E75F4C6">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（15m）</w:t>
                  </w:r>
                </w:p>
              </w:tc>
            </w:tr>
            <w:tr w14:paraId="77E5155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4" w:hRule="atLeast"/>
              </w:trPr>
              <w:tc>
                <w:tcPr>
                  <w:tcW w:w="582" w:type="pct"/>
                  <w:tcBorders>
                    <w:left w:val="nil"/>
                  </w:tcBorders>
                  <w:shd w:val="clear" w:color="auto" w:fill="auto"/>
                  <w:noWrap/>
                  <w:vAlign w:val="center"/>
                </w:tcPr>
                <w:p w14:paraId="2A2E0BB2">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生产线2#</w:t>
                  </w:r>
                </w:p>
              </w:tc>
              <w:tc>
                <w:tcPr>
                  <w:tcW w:w="605" w:type="pct"/>
                  <w:vMerge w:val="continue"/>
                  <w:shd w:val="clear" w:color="auto" w:fill="auto"/>
                  <w:noWrap/>
                  <w:vAlign w:val="center"/>
                </w:tcPr>
                <w:p w14:paraId="21F1FC8C">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562" w:type="pct"/>
                  <w:shd w:val="clear" w:color="auto" w:fill="auto"/>
                  <w:noWrap/>
                  <w:vAlign w:val="center"/>
                </w:tcPr>
                <w:p w14:paraId="3CA2BA62">
                  <w:pPr>
                    <w:pStyle w:val="39"/>
                    <w:keepNext w:val="0"/>
                    <w:keepLines w:val="0"/>
                    <w:widowControl/>
                    <w:suppressLineNumbers w:val="0"/>
                    <w:bidi w:val="0"/>
                    <w:spacing w:before="0" w:beforeAutospacing="0" w:after="0" w:afterAutospacing="0"/>
                    <w:ind w:left="0" w:right="0"/>
                    <w:rPr>
                      <w:rFonts w:hint="default"/>
                      <w:b w:val="0"/>
                      <w:color w:val="000000"/>
                      <w:szCs w:val="22"/>
                    </w:rPr>
                  </w:pPr>
                  <w:r>
                    <w:rPr>
                      <w:rFonts w:hint="eastAsia"/>
                      <w:b w:val="0"/>
                      <w:color w:val="000000"/>
                      <w:szCs w:val="22"/>
                      <w:lang w:val="en-US" w:eastAsia="zh-CN"/>
                    </w:rPr>
                    <w:t>787.5m</w:t>
                  </w:r>
                  <w:r>
                    <w:rPr>
                      <w:rFonts w:hint="default" w:cs="Times New Roman"/>
                      <w:color w:val="000000"/>
                      <w:sz w:val="24"/>
                      <w:szCs w:val="22"/>
                      <w:highlight w:val="none"/>
                      <w:lang w:val="en-US" w:eastAsia="zh-CN"/>
                    </w:rPr>
                    <w:t>³</w:t>
                  </w:r>
                </w:p>
              </w:tc>
              <w:tc>
                <w:tcPr>
                  <w:tcW w:w="1100" w:type="pct"/>
                  <w:vMerge w:val="restart"/>
                  <w:shd w:val="clear" w:color="auto" w:fill="auto"/>
                  <w:vAlign w:val="center"/>
                </w:tcPr>
                <w:p w14:paraId="6F8DE56E">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“过滤棉+二级活性炭吸附装置”2#</w:t>
                  </w:r>
                </w:p>
              </w:tc>
              <w:tc>
                <w:tcPr>
                  <w:tcW w:w="830" w:type="pct"/>
                  <w:shd w:val="clear" w:color="auto" w:fill="auto"/>
                  <w:noWrap/>
                  <w:vAlign w:val="center"/>
                </w:tcPr>
                <w:p w14:paraId="425F5E6D">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20000m</w:t>
                  </w:r>
                  <w:r>
                    <w:rPr>
                      <w:rFonts w:hint="eastAsia"/>
                      <w:b w:val="0"/>
                      <w:color w:val="000000"/>
                      <w:szCs w:val="22"/>
                      <w:vertAlign w:val="superscript"/>
                      <w:lang w:val="en-US" w:eastAsia="zh-CN"/>
                    </w:rPr>
                    <w:t>3</w:t>
                  </w:r>
                  <w:r>
                    <w:rPr>
                      <w:rFonts w:hint="eastAsia"/>
                      <w:b w:val="0"/>
                      <w:color w:val="000000"/>
                      <w:szCs w:val="22"/>
                      <w:vertAlign w:val="baseline"/>
                      <w:lang w:val="en-US" w:eastAsia="zh-CN"/>
                    </w:rPr>
                    <w:t>/h</w:t>
                  </w:r>
                </w:p>
              </w:tc>
              <w:tc>
                <w:tcPr>
                  <w:tcW w:w="654" w:type="pct"/>
                  <w:vMerge w:val="restart"/>
                  <w:shd w:val="clear" w:color="auto" w:fill="auto"/>
                  <w:noWrap/>
                  <w:vAlign w:val="center"/>
                </w:tcPr>
                <w:p w14:paraId="6F2F21AC">
                  <w:pPr>
                    <w:pStyle w:val="39"/>
                    <w:keepNext w:val="0"/>
                    <w:keepLines w:val="0"/>
                    <w:widowControl/>
                    <w:suppressLineNumbers w:val="0"/>
                    <w:bidi w:val="0"/>
                    <w:spacing w:before="0" w:beforeAutospacing="0" w:after="0" w:afterAutospacing="0"/>
                    <w:ind w:left="0" w:leftChars="0" w:right="0" w:rightChars="0"/>
                    <w:rPr>
                      <w:rFonts w:hint="eastAsia" w:eastAsia="宋体"/>
                      <w:b w:val="0"/>
                      <w:color w:val="000000"/>
                      <w:szCs w:val="22"/>
                      <w:lang w:val="en-US" w:eastAsia="zh-CN"/>
                    </w:rPr>
                  </w:pPr>
                  <w:r>
                    <w:rPr>
                      <w:rFonts w:hint="eastAsia"/>
                      <w:b w:val="0"/>
                      <w:color w:val="000000"/>
                      <w:szCs w:val="22"/>
                      <w:lang w:val="en-US" w:eastAsia="zh-CN"/>
                    </w:rPr>
                    <w:t>15750m</w:t>
                  </w:r>
                  <w:r>
                    <w:rPr>
                      <w:rFonts w:hint="eastAsia"/>
                      <w:b w:val="0"/>
                      <w:color w:val="000000"/>
                      <w:szCs w:val="22"/>
                      <w:vertAlign w:val="superscript"/>
                      <w:lang w:val="en-US" w:eastAsia="zh-CN"/>
                    </w:rPr>
                    <w:t>3</w:t>
                  </w:r>
                  <w:r>
                    <w:rPr>
                      <w:rFonts w:hint="eastAsia"/>
                      <w:b w:val="0"/>
                      <w:color w:val="000000"/>
                      <w:szCs w:val="22"/>
                      <w:vertAlign w:val="baseline"/>
                      <w:lang w:val="en-US" w:eastAsia="zh-CN"/>
                    </w:rPr>
                    <w:t>/h</w:t>
                  </w:r>
                </w:p>
              </w:tc>
              <w:tc>
                <w:tcPr>
                  <w:tcW w:w="664" w:type="pct"/>
                  <w:vMerge w:val="restart"/>
                  <w:tcBorders>
                    <w:right w:val="nil"/>
                  </w:tcBorders>
                  <w:shd w:val="clear" w:color="auto" w:fill="auto"/>
                  <w:noWrap/>
                  <w:vAlign w:val="center"/>
                </w:tcPr>
                <w:p w14:paraId="2553BE10">
                  <w:pPr>
                    <w:pStyle w:val="39"/>
                    <w:keepNext w:val="0"/>
                    <w:keepLines w:val="0"/>
                    <w:widowControl/>
                    <w:suppressLineNumbers w:val="0"/>
                    <w:bidi w:val="0"/>
                    <w:spacing w:before="0" w:beforeAutospacing="0" w:after="0" w:afterAutospacing="0"/>
                    <w:ind w:left="0" w:right="0"/>
                    <w:rPr>
                      <w:rFonts w:hint="eastAsia"/>
                      <w:b w:val="0"/>
                      <w:color w:val="000000"/>
                      <w:szCs w:val="22"/>
                      <w:lang w:val="en-US" w:eastAsia="zh-CN"/>
                    </w:rPr>
                  </w:pPr>
                  <w:r>
                    <w:rPr>
                      <w:rFonts w:hint="eastAsia"/>
                      <w:b w:val="0"/>
                      <w:color w:val="000000"/>
                      <w:szCs w:val="22"/>
                      <w:lang w:val="en-US" w:eastAsia="zh-CN"/>
                    </w:rPr>
                    <w:t>DA002</w:t>
                  </w:r>
                </w:p>
                <w:p w14:paraId="263E0D4F">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（15m）</w:t>
                  </w:r>
                </w:p>
              </w:tc>
            </w:tr>
            <w:tr w14:paraId="7DEEB79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582" w:type="pct"/>
                  <w:tcBorders>
                    <w:left w:val="nil"/>
                    <w:bottom w:val="single" w:color="000000" w:sz="12" w:space="0"/>
                  </w:tcBorders>
                  <w:shd w:val="clear" w:color="auto" w:fill="auto"/>
                  <w:noWrap/>
                  <w:vAlign w:val="center"/>
                </w:tcPr>
                <w:p w14:paraId="4EEEBE33">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生产线3</w:t>
                  </w:r>
                </w:p>
              </w:tc>
              <w:tc>
                <w:tcPr>
                  <w:tcW w:w="605" w:type="pct"/>
                  <w:vMerge w:val="continue"/>
                  <w:tcBorders>
                    <w:bottom w:val="single" w:color="000000" w:sz="12" w:space="0"/>
                  </w:tcBorders>
                  <w:shd w:val="clear" w:color="auto" w:fill="auto"/>
                  <w:noWrap/>
                  <w:vAlign w:val="center"/>
                </w:tcPr>
                <w:p w14:paraId="4A15B4F4">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562" w:type="pct"/>
                  <w:tcBorders>
                    <w:bottom w:val="single" w:color="000000" w:sz="12" w:space="0"/>
                  </w:tcBorders>
                  <w:shd w:val="clear" w:color="auto" w:fill="auto"/>
                  <w:noWrap/>
                  <w:vAlign w:val="center"/>
                </w:tcPr>
                <w:p w14:paraId="4509DAEA">
                  <w:pPr>
                    <w:pStyle w:val="39"/>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lang w:val="en-US" w:eastAsia="zh-CN"/>
                    </w:rPr>
                    <w:t>787.5m</w:t>
                  </w:r>
                  <w:r>
                    <w:rPr>
                      <w:rFonts w:hint="default" w:cs="Times New Roman"/>
                      <w:color w:val="000000"/>
                      <w:sz w:val="24"/>
                      <w:szCs w:val="22"/>
                      <w:highlight w:val="none"/>
                      <w:lang w:val="en-US" w:eastAsia="zh-CN"/>
                    </w:rPr>
                    <w:t>³</w:t>
                  </w:r>
                </w:p>
              </w:tc>
              <w:tc>
                <w:tcPr>
                  <w:tcW w:w="1100" w:type="pct"/>
                  <w:vMerge w:val="continue"/>
                  <w:tcBorders>
                    <w:bottom w:val="single" w:color="000000" w:sz="12" w:space="0"/>
                  </w:tcBorders>
                  <w:shd w:val="clear" w:color="auto" w:fill="auto"/>
                  <w:vAlign w:val="center"/>
                </w:tcPr>
                <w:p w14:paraId="28381EA9">
                  <w:pPr>
                    <w:pStyle w:val="39"/>
                    <w:keepNext w:val="0"/>
                    <w:keepLines w:val="0"/>
                    <w:widowControl/>
                    <w:suppressLineNumbers w:val="0"/>
                    <w:bidi w:val="0"/>
                    <w:spacing w:before="0" w:beforeAutospacing="0" w:after="0" w:afterAutospacing="0"/>
                    <w:ind w:left="0" w:right="0"/>
                    <w:rPr>
                      <w:rFonts w:hint="eastAsia"/>
                      <w:b w:val="0"/>
                      <w:color w:val="000000"/>
                      <w:szCs w:val="22"/>
                    </w:rPr>
                  </w:pPr>
                </w:p>
              </w:tc>
              <w:tc>
                <w:tcPr>
                  <w:tcW w:w="830" w:type="pct"/>
                  <w:tcBorders>
                    <w:bottom w:val="single" w:color="000000" w:sz="12" w:space="0"/>
                  </w:tcBorders>
                  <w:shd w:val="clear" w:color="auto" w:fill="auto"/>
                  <w:noWrap/>
                  <w:vAlign w:val="center"/>
                </w:tcPr>
                <w:p w14:paraId="37B1A969">
                  <w:pPr>
                    <w:pStyle w:val="39"/>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20000m</w:t>
                  </w:r>
                  <w:r>
                    <w:rPr>
                      <w:rFonts w:hint="eastAsia"/>
                      <w:b w:val="0"/>
                      <w:color w:val="000000"/>
                      <w:szCs w:val="22"/>
                      <w:vertAlign w:val="superscript"/>
                      <w:lang w:val="en-US" w:eastAsia="zh-CN"/>
                    </w:rPr>
                    <w:t>3</w:t>
                  </w:r>
                  <w:r>
                    <w:rPr>
                      <w:rFonts w:hint="eastAsia"/>
                      <w:b w:val="0"/>
                      <w:color w:val="000000"/>
                      <w:szCs w:val="22"/>
                      <w:vertAlign w:val="baseline"/>
                      <w:lang w:val="en-US" w:eastAsia="zh-CN"/>
                    </w:rPr>
                    <w:t>/h</w:t>
                  </w:r>
                </w:p>
              </w:tc>
              <w:tc>
                <w:tcPr>
                  <w:tcW w:w="654" w:type="pct"/>
                  <w:vMerge w:val="continue"/>
                  <w:tcBorders>
                    <w:bottom w:val="single" w:color="000000" w:sz="12" w:space="0"/>
                  </w:tcBorders>
                  <w:shd w:val="clear" w:color="auto" w:fill="auto"/>
                  <w:noWrap/>
                  <w:vAlign w:val="center"/>
                </w:tcPr>
                <w:p w14:paraId="2DF642F9">
                  <w:pPr>
                    <w:pStyle w:val="39"/>
                    <w:keepNext w:val="0"/>
                    <w:keepLines w:val="0"/>
                    <w:widowControl/>
                    <w:suppressLineNumbers w:val="0"/>
                    <w:bidi w:val="0"/>
                    <w:spacing w:before="0" w:beforeAutospacing="0" w:after="0" w:afterAutospacing="0"/>
                    <w:ind w:left="0" w:leftChars="0" w:right="0" w:rightChars="0"/>
                    <w:rPr>
                      <w:rFonts w:hint="eastAsia"/>
                      <w:b w:val="0"/>
                      <w:color w:val="000000"/>
                      <w:szCs w:val="22"/>
                    </w:rPr>
                  </w:pPr>
                </w:p>
              </w:tc>
              <w:tc>
                <w:tcPr>
                  <w:tcW w:w="664" w:type="pct"/>
                  <w:vMerge w:val="continue"/>
                  <w:tcBorders>
                    <w:bottom w:val="single" w:color="000000" w:sz="12" w:space="0"/>
                    <w:right w:val="nil"/>
                  </w:tcBorders>
                  <w:shd w:val="clear" w:color="auto" w:fill="auto"/>
                  <w:noWrap/>
                  <w:vAlign w:val="center"/>
                </w:tcPr>
                <w:p w14:paraId="57DD4ADB">
                  <w:pPr>
                    <w:pStyle w:val="39"/>
                    <w:keepNext w:val="0"/>
                    <w:keepLines w:val="0"/>
                    <w:widowControl/>
                    <w:suppressLineNumbers w:val="0"/>
                    <w:bidi w:val="0"/>
                    <w:spacing w:before="0" w:beforeAutospacing="0" w:after="0" w:afterAutospacing="0"/>
                    <w:ind w:left="0" w:right="0"/>
                    <w:rPr>
                      <w:rFonts w:hint="eastAsia"/>
                      <w:b w:val="0"/>
                      <w:color w:val="000000"/>
                      <w:szCs w:val="22"/>
                    </w:rPr>
                  </w:pPr>
                </w:p>
              </w:tc>
            </w:tr>
          </w:tbl>
          <w:p w14:paraId="7C4EDFCA">
            <w:pPr>
              <w:keepNext w:val="0"/>
              <w:keepLines w:val="0"/>
              <w:suppressLineNumbers w:val="0"/>
              <w:spacing w:before="0" w:beforeAutospacing="0" w:after="0" w:afterAutospacing="0" w:line="360" w:lineRule="auto"/>
              <w:ind w:left="0" w:right="0" w:firstLine="480" w:firstLineChars="200"/>
              <w:rPr>
                <w:rFonts w:hint="default" w:cs="Times New Roman"/>
                <w:color w:val="auto"/>
                <w:sz w:val="24"/>
                <w:highlight w:val="none"/>
                <w:u w:val="none"/>
                <w:lang w:val="en-US" w:eastAsia="zh-CN"/>
              </w:rPr>
            </w:pPr>
            <w:r>
              <w:rPr>
                <w:rFonts w:hint="eastAsia" w:cs="Times New Roman"/>
                <w:color w:val="auto"/>
                <w:sz w:val="24"/>
                <w:highlight w:val="none"/>
                <w:u w:val="none"/>
                <w:lang w:eastAsia="zh-CN"/>
              </w:rPr>
              <w:t>（</w:t>
            </w:r>
            <w:r>
              <w:rPr>
                <w:rFonts w:hint="eastAsia" w:cs="Times New Roman"/>
                <w:color w:val="auto"/>
                <w:sz w:val="24"/>
                <w:highlight w:val="none"/>
                <w:u w:val="none"/>
                <w:lang w:val="en-US" w:eastAsia="zh-CN"/>
              </w:rPr>
              <w:t>3</w:t>
            </w:r>
            <w:r>
              <w:rPr>
                <w:rFonts w:hint="eastAsia" w:cs="Times New Roman"/>
                <w:color w:val="auto"/>
                <w:sz w:val="24"/>
                <w:highlight w:val="none"/>
                <w:u w:val="none"/>
                <w:lang w:eastAsia="zh-CN"/>
              </w:rPr>
              <w:t>）</w:t>
            </w:r>
            <w:r>
              <w:rPr>
                <w:rFonts w:hint="eastAsia" w:cs="Times New Roman"/>
                <w:color w:val="auto"/>
                <w:sz w:val="24"/>
                <w:highlight w:val="none"/>
                <w:u w:val="none"/>
                <w:lang w:val="en-US" w:eastAsia="zh-CN"/>
              </w:rPr>
              <w:t>废气治理设施可行性分析</w:t>
            </w:r>
          </w:p>
          <w:p w14:paraId="32999BF3">
            <w:pPr>
              <w:keepNext w:val="0"/>
              <w:keepLines w:val="0"/>
              <w:suppressLineNumbers w:val="0"/>
              <w:spacing w:before="0" w:beforeAutospacing="0" w:after="0" w:afterAutospacing="0"/>
              <w:ind w:left="0" w:right="0" w:firstLine="480" w:firstLineChars="200"/>
              <w:rPr>
                <w:rFonts w:hint="eastAsia"/>
                <w:color w:val="auto"/>
              </w:rPr>
            </w:pPr>
            <w:r>
              <w:rPr>
                <w:rFonts w:hint="eastAsia" w:ascii="Times New Roman" w:hAnsi="Times New Roman" w:eastAsia="宋体" w:cs="Times New Roman"/>
                <w:color w:val="auto"/>
                <w:kern w:val="0"/>
                <w:sz w:val="24"/>
                <w:szCs w:val="24"/>
                <w:lang w:val="en-US" w:eastAsia="zh-CN" w:bidi="ar-SA"/>
              </w:rPr>
              <w:t>①</w:t>
            </w:r>
            <w:r>
              <w:rPr>
                <w:rFonts w:hint="eastAsia"/>
                <w:color w:val="auto"/>
              </w:rPr>
              <w:t>水帘装置</w:t>
            </w:r>
          </w:p>
          <w:p w14:paraId="4A008840">
            <w:pPr>
              <w:keepNext w:val="0"/>
              <w:keepLines w:val="0"/>
              <w:suppressLineNumbers w:val="0"/>
              <w:spacing w:before="0" w:beforeAutospacing="0" w:after="0" w:afterAutospacing="0"/>
              <w:ind w:left="0" w:right="0" w:firstLine="480" w:firstLineChars="200"/>
              <w:rPr>
                <w:rFonts w:hint="eastAsia" w:cs="宋体"/>
                <w:color w:val="auto"/>
              </w:rPr>
            </w:pPr>
            <w:r>
              <w:rPr>
                <w:rFonts w:hint="eastAsia" w:cs="宋体"/>
                <w:color w:val="auto"/>
              </w:rPr>
              <w:t>水帘喷漆房是利用水来捕捉漆雾的一种设备。它一般由排风装置、供水装置、捕集漆雾水帘和喷淋装置、汽水分离装置、风道等构成。在排风机引力的作用下，含有漆雾的空气向水帘喷漆房的内壁水帘板方向流动，一部分漆雾直接接触到水帘板上的水膜而被吸附，一部分漆雾在经过水帘板上淌下的水帘时被水帘冲刷掉，其余未被水膜和水帘捕捉到的残余漆雾在通过水洗区和清洗区时被清洗掉。</w:t>
            </w:r>
          </w:p>
          <w:p w14:paraId="5E2820B7">
            <w:pPr>
              <w:keepNext w:val="0"/>
              <w:keepLines w:val="0"/>
              <w:suppressLineNumbers w:val="0"/>
              <w:spacing w:before="0" w:beforeAutospacing="0" w:after="0" w:afterAutospacing="0" w:line="360" w:lineRule="auto"/>
              <w:ind w:left="0" w:right="0" w:firstLine="480" w:firstLineChars="200"/>
              <w:rPr>
                <w:rFonts w:hint="eastAsia" w:cs="宋体"/>
                <w:color w:val="auto"/>
              </w:rPr>
            </w:pPr>
            <w:r>
              <w:rPr>
                <w:rFonts w:hint="eastAsia" w:cs="Times New Roman"/>
                <w:bCs/>
                <w:color w:val="auto"/>
                <w:sz w:val="24"/>
                <w:highlight w:val="none"/>
                <w:u w:val="none"/>
                <w:lang w:val="en-US" w:eastAsia="zh-CN"/>
              </w:rPr>
              <w:t>②</w:t>
            </w:r>
            <w:r>
              <w:rPr>
                <w:rFonts w:hint="eastAsia"/>
                <w:color w:val="auto"/>
                <w:lang w:val="en-US" w:eastAsia="zh-CN"/>
              </w:rPr>
              <w:t>过滤棉</w:t>
            </w:r>
            <w:r>
              <w:rPr>
                <w:rFonts w:hint="eastAsia" w:cs="宋体"/>
                <w:color w:val="auto"/>
              </w:rPr>
              <w:t>+二级活性炭吸附治理措施</w:t>
            </w:r>
          </w:p>
          <w:p w14:paraId="1042C34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u w:val="none"/>
              </w:rPr>
            </w:pPr>
            <w:r>
              <w:rPr>
                <w:rFonts w:hint="default" w:ascii="Times New Roman" w:hAnsi="Times New Roman" w:cs="Times New Roman"/>
                <w:bCs/>
                <w:color w:val="auto"/>
                <w:sz w:val="24"/>
                <w:highlight w:val="none"/>
                <w:u w:val="none"/>
              </w:rPr>
              <w:t>过滤棉主要用于去除漆雾。活性炭是一种具有多孔结构和大的内部比表面积的材料。由于其大的比表面积、微孔结构、高的吸附能力和很高的表面活性而成为独特的多功能吸附剂</w:t>
            </w:r>
            <w:r>
              <w:rPr>
                <w:rFonts w:hint="eastAsia" w:cs="Times New Roman"/>
                <w:bCs/>
                <w:color w:val="auto"/>
                <w:sz w:val="24"/>
                <w:highlight w:val="none"/>
                <w:u w:val="none"/>
                <w:lang w:eastAsia="zh-CN"/>
              </w:rPr>
              <w:t>且</w:t>
            </w:r>
            <w:r>
              <w:rPr>
                <w:rFonts w:hint="default" w:ascii="Times New Roman" w:hAnsi="Times New Roman" w:cs="Times New Roman"/>
                <w:bCs/>
                <w:color w:val="auto"/>
                <w:sz w:val="24"/>
                <w:highlight w:val="none"/>
                <w:u w:val="none"/>
              </w:rPr>
              <w:t>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再生而被限制使用。粒状活性炭粒径500～5000μm，有机废气通过吸附床，与活性炭接触，废气中的有机污染物被吸附在活性炭表面，从而从气流中脱离出来，达到净化效果。</w:t>
            </w:r>
          </w:p>
          <w:p w14:paraId="6B204FE6">
            <w:pPr>
              <w:keepNext w:val="0"/>
              <w:keepLines w:val="0"/>
              <w:suppressLineNumbers w:val="0"/>
              <w:spacing w:before="0" w:beforeAutospacing="0" w:after="0" w:afterAutospacing="0" w:line="360" w:lineRule="auto"/>
              <w:ind w:left="0" w:right="0" w:firstLine="480" w:firstLineChars="200"/>
              <w:rPr>
                <w:rFonts w:hint="default"/>
              </w:rPr>
            </w:pPr>
            <w:r>
              <w:rPr>
                <w:rFonts w:hint="eastAsia"/>
                <w:b w:val="0"/>
                <w:bCs w:val="0"/>
                <w:iCs w:val="0"/>
                <w:color w:val="auto"/>
                <w:kern w:val="0"/>
                <w:lang w:val="en-US" w:eastAsia="zh-CN" w:bidi="ar"/>
              </w:rPr>
              <w:t>更换周期</w:t>
            </w:r>
            <w:r>
              <w:rPr>
                <w:rFonts w:hint="eastAsia"/>
                <w:b w:val="0"/>
                <w:bCs w:val="0"/>
                <w:iCs w:val="0"/>
                <w:color w:val="auto"/>
                <w:kern w:val="0"/>
                <w:lang w:bidi="ar"/>
              </w:rPr>
              <w:t>参照《重庆市生态环境委员会办公室2023年重庆市夏秋季臭氧污染防治攻坚工作方案》（渝生态环委办〔2023〕2号）中附件2《活性炭治理设施专项整治相关要求》第五点关于活性炭装填控制要求：</w:t>
            </w:r>
            <w:r>
              <w:rPr>
                <w:rFonts w:hint="eastAsia"/>
                <w:b w:val="0"/>
                <w:bCs w:val="0"/>
                <w:iCs w:val="0"/>
                <w:color w:val="auto"/>
                <w:kern w:val="0"/>
                <w:lang w:eastAsia="zh-CN" w:bidi="ar"/>
              </w:rPr>
              <w:t>“</w:t>
            </w:r>
            <w:r>
              <w:rPr>
                <w:rFonts w:hint="eastAsia"/>
                <w:b w:val="0"/>
                <w:bCs w:val="0"/>
                <w:iCs w:val="0"/>
                <w:color w:val="auto"/>
                <w:kern w:val="0"/>
                <w:lang w:bidi="ar"/>
              </w:rPr>
              <w:t>活性炭更换周期宜不超过累计运行500小时或3个月</w:t>
            </w:r>
            <w:r>
              <w:rPr>
                <w:rFonts w:hint="eastAsia"/>
                <w:b w:val="0"/>
                <w:bCs w:val="0"/>
                <w:iCs w:val="0"/>
                <w:color w:val="auto"/>
                <w:kern w:val="0"/>
                <w:lang w:eastAsia="zh-CN" w:bidi="ar"/>
              </w:rPr>
              <w:t>”</w:t>
            </w:r>
            <w:r>
              <w:rPr>
                <w:rFonts w:hint="eastAsia"/>
                <w:b w:val="0"/>
                <w:bCs w:val="0"/>
                <w:iCs w:val="0"/>
                <w:color w:val="auto"/>
                <w:kern w:val="0"/>
                <w:lang w:bidi="ar"/>
              </w:rPr>
              <w:t>，</w:t>
            </w:r>
            <w:r>
              <w:rPr>
                <w:rFonts w:hint="eastAsia"/>
                <w:b w:val="0"/>
                <w:bCs w:val="0"/>
                <w:iCs w:val="0"/>
                <w:color w:val="auto"/>
                <w:kern w:val="0"/>
                <w:lang w:val="en-US" w:eastAsia="zh-CN" w:bidi="ar"/>
              </w:rPr>
              <w:t>本项目计划每3个月更换一次活性炭</w:t>
            </w:r>
            <w:r>
              <w:rPr>
                <w:rFonts w:hint="eastAsia"/>
                <w:b w:val="0"/>
                <w:bCs w:val="0"/>
                <w:iCs w:val="0"/>
                <w:color w:val="auto"/>
                <w:kern w:val="0"/>
                <w:lang w:bidi="ar"/>
              </w:rPr>
              <w:t>，为确保活性炭吸附装置处理效率，要求年更换次数不少于</w:t>
            </w:r>
            <w:r>
              <w:rPr>
                <w:rFonts w:hint="eastAsia"/>
                <w:b w:val="0"/>
                <w:bCs w:val="0"/>
                <w:iCs w:val="0"/>
                <w:color w:val="auto"/>
                <w:kern w:val="0"/>
                <w:lang w:val="en-US" w:eastAsia="zh-CN" w:bidi="ar"/>
              </w:rPr>
              <w:t>4</w:t>
            </w:r>
            <w:r>
              <w:rPr>
                <w:rFonts w:hint="eastAsia"/>
                <w:b w:val="0"/>
                <w:bCs w:val="0"/>
                <w:iCs w:val="0"/>
                <w:color w:val="auto"/>
                <w:kern w:val="0"/>
                <w:lang w:bidi="ar"/>
              </w:rPr>
              <w:t>次。</w:t>
            </w:r>
          </w:p>
          <w:p w14:paraId="25C261A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u w:val="none"/>
                <w:lang w:eastAsia="zh-CN"/>
              </w:rPr>
            </w:pPr>
            <w:r>
              <w:rPr>
                <w:rFonts w:hint="eastAsia" w:cs="Times New Roman"/>
                <w:color w:val="auto"/>
                <w:kern w:val="0"/>
                <w:sz w:val="24"/>
                <w:szCs w:val="24"/>
                <w:lang w:val="en-US" w:eastAsia="zh-CN" w:bidi="ar-SA"/>
              </w:rPr>
              <w:t>③</w:t>
            </w:r>
            <w:r>
              <w:rPr>
                <w:rFonts w:hint="eastAsia" w:ascii="Times New Roman" w:hAnsi="Times New Roman" w:eastAsia="宋体" w:cs="Times New Roman"/>
                <w:bCs/>
                <w:color w:val="auto"/>
                <w:sz w:val="24"/>
                <w:highlight w:val="none"/>
                <w:u w:val="none"/>
                <w:lang w:eastAsia="zh-CN"/>
              </w:rPr>
              <w:t>技术可行分析</w:t>
            </w:r>
          </w:p>
          <w:p w14:paraId="632D395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u w:val="none"/>
                <w:lang w:eastAsia="zh-CN"/>
              </w:rPr>
            </w:pPr>
            <w:r>
              <w:rPr>
                <w:rFonts w:hint="eastAsia" w:cs="Times New Roman"/>
                <w:bCs/>
                <w:color w:val="auto"/>
                <w:sz w:val="24"/>
                <w:highlight w:val="none"/>
                <w:u w:val="none"/>
                <w:lang w:val="en-US" w:eastAsia="zh-CN"/>
              </w:rPr>
              <w:t>A</w:t>
            </w:r>
            <w:r>
              <w:rPr>
                <w:rFonts w:hint="eastAsia" w:ascii="Times New Roman" w:hAnsi="Times New Roman" w:eastAsia="宋体" w:cs="Times New Roman"/>
                <w:bCs/>
                <w:color w:val="auto"/>
                <w:sz w:val="24"/>
                <w:highlight w:val="none"/>
                <w:u w:val="none"/>
                <w:lang w:eastAsia="zh-CN"/>
              </w:rPr>
              <w:t>、集气效率要求及可靠性分析</w:t>
            </w:r>
          </w:p>
          <w:p w14:paraId="1371482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bCs/>
                <w:color w:val="auto"/>
                <w:sz w:val="24"/>
                <w:highlight w:val="none"/>
                <w:u w:val="none"/>
              </w:rPr>
              <w:t>根据《福建省环保厅关于印发福建省重点行业挥发性有机物排放控制要求</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试行</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的通知》</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闽环保大气〔2017〕9号</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中提出的密闭式局部收集的逸散的</w:t>
            </w:r>
            <w:r>
              <w:rPr>
                <w:rFonts w:hint="eastAsia" w:cs="Times New Roman"/>
                <w:bCs/>
                <w:color w:val="auto"/>
                <w:sz w:val="24"/>
                <w:highlight w:val="none"/>
                <w:u w:val="none"/>
                <w:lang w:eastAsia="zh-CN"/>
              </w:rPr>
              <w:t>VOCs</w:t>
            </w:r>
            <w:r>
              <w:rPr>
                <w:rFonts w:hint="default" w:ascii="Times New Roman" w:hAnsi="Times New Roman" w:eastAsia="宋体" w:cs="Times New Roman"/>
                <w:bCs/>
                <w:color w:val="auto"/>
                <w:sz w:val="24"/>
                <w:highlight w:val="none"/>
                <w:u w:val="none"/>
              </w:rPr>
              <w:t>废气收集率应达到80%以上</w:t>
            </w:r>
            <w:r>
              <w:rPr>
                <w:rFonts w:hint="default" w:ascii="Times New Roman" w:hAnsi="Times New Roman" w:eastAsia="宋体" w:cs="Times New Roman"/>
                <w:bCs/>
                <w:color w:val="auto"/>
                <w:sz w:val="24"/>
                <w:highlight w:val="none"/>
                <w:u w:val="none"/>
                <w:lang w:eastAsia="zh-CN"/>
              </w:rPr>
              <w:t>。本项目</w:t>
            </w:r>
            <w:r>
              <w:rPr>
                <w:rFonts w:hint="default" w:ascii="Times New Roman" w:hAnsi="Times New Roman" w:eastAsia="宋体" w:cs="Times New Roman"/>
                <w:bCs/>
                <w:color w:val="auto"/>
                <w:sz w:val="24"/>
                <w:highlight w:val="none"/>
                <w:u w:val="none"/>
              </w:rPr>
              <w:t>挥发性有机物</w:t>
            </w:r>
            <w:r>
              <w:rPr>
                <w:rFonts w:hint="eastAsia" w:cs="Times New Roman"/>
                <w:bCs/>
                <w:color w:val="auto"/>
                <w:sz w:val="24"/>
                <w:highlight w:val="none"/>
                <w:u w:val="none"/>
                <w:lang w:eastAsia="zh-CN"/>
              </w:rPr>
              <w:t>排放</w:t>
            </w:r>
            <w:r>
              <w:rPr>
                <w:rFonts w:hint="default" w:ascii="Times New Roman" w:hAnsi="Times New Roman" w:eastAsia="宋体" w:cs="Times New Roman"/>
                <w:bCs/>
                <w:color w:val="auto"/>
                <w:sz w:val="24"/>
                <w:highlight w:val="none"/>
                <w:u w:val="none"/>
                <w:lang w:eastAsia="zh-CN"/>
              </w:rPr>
              <w:t>主要为</w:t>
            </w:r>
            <w:r>
              <w:rPr>
                <w:rFonts w:hint="eastAsia" w:ascii="Times New Roman" w:hAnsi="Times New Roman" w:eastAsia="宋体" w:cs="Times New Roman"/>
                <w:bCs/>
                <w:color w:val="auto"/>
                <w:sz w:val="24"/>
                <w:highlight w:val="none"/>
                <w:u w:val="none"/>
                <w:lang w:val="en-US" w:eastAsia="zh-CN"/>
              </w:rPr>
              <w:t>喷漆、烘干、加烤</w:t>
            </w:r>
            <w:r>
              <w:rPr>
                <w:rFonts w:hint="default" w:ascii="Times New Roman" w:hAnsi="Times New Roman" w:eastAsia="宋体" w:cs="Times New Roman"/>
                <w:bCs/>
                <w:color w:val="auto"/>
                <w:sz w:val="24"/>
                <w:highlight w:val="none"/>
                <w:u w:val="none"/>
                <w:lang w:eastAsia="zh-CN"/>
              </w:rPr>
              <w:t>废气。</w:t>
            </w:r>
            <w:r>
              <w:rPr>
                <w:rFonts w:hint="default" w:ascii="Times New Roman" w:hAnsi="Times New Roman" w:eastAsia="宋体" w:cs="Times New Roman"/>
                <w:bCs/>
                <w:color w:val="auto"/>
                <w:sz w:val="24"/>
                <w:highlight w:val="none"/>
                <w:u w:val="none"/>
                <w:lang w:val="en-US" w:eastAsia="zh-CN"/>
              </w:rPr>
              <w:t>项目</w:t>
            </w:r>
            <w:r>
              <w:rPr>
                <w:rFonts w:hint="eastAsia" w:ascii="Times New Roman" w:hAnsi="Times New Roman" w:eastAsia="宋体" w:cs="Times New Roman"/>
                <w:bCs/>
                <w:color w:val="auto"/>
                <w:sz w:val="24"/>
                <w:highlight w:val="none"/>
                <w:u w:val="none"/>
                <w:lang w:val="en-US" w:eastAsia="zh-CN"/>
              </w:rPr>
              <w:t>废气</w:t>
            </w:r>
            <w:r>
              <w:rPr>
                <w:rFonts w:hint="default" w:ascii="Times New Roman" w:hAnsi="Times New Roman" w:eastAsia="宋体" w:cs="Times New Roman"/>
                <w:bCs/>
                <w:color w:val="auto"/>
                <w:sz w:val="24"/>
                <w:highlight w:val="none"/>
                <w:u w:val="none"/>
                <w:lang w:val="en-US" w:eastAsia="zh-CN"/>
              </w:rPr>
              <w:t>收集效率按9</w:t>
            </w:r>
            <w:r>
              <w:rPr>
                <w:rFonts w:hint="eastAsia" w:ascii="Times New Roman" w:hAnsi="Times New Roman" w:eastAsia="宋体" w:cs="Times New Roman"/>
                <w:bCs/>
                <w:color w:val="auto"/>
                <w:sz w:val="24"/>
                <w:highlight w:val="none"/>
                <w:u w:val="none"/>
                <w:lang w:val="en-US" w:eastAsia="zh-CN"/>
              </w:rPr>
              <w:t>0</w:t>
            </w:r>
            <w:r>
              <w:rPr>
                <w:rFonts w:hint="default" w:ascii="Times New Roman" w:hAnsi="Times New Roman" w:eastAsia="宋体" w:cs="Times New Roman"/>
                <w:bCs/>
                <w:color w:val="auto"/>
                <w:sz w:val="24"/>
                <w:highlight w:val="none"/>
                <w:u w:val="none"/>
                <w:lang w:val="en-US" w:eastAsia="zh-CN"/>
              </w:rPr>
              <w:t>%计</w:t>
            </w:r>
            <w:r>
              <w:rPr>
                <w:rFonts w:hint="default" w:ascii="Times New Roman" w:hAnsi="Times New Roman" w:eastAsia="宋体" w:cs="Times New Roman"/>
                <w:bCs/>
                <w:color w:val="auto"/>
                <w:sz w:val="24"/>
                <w:highlight w:val="none"/>
                <w:u w:val="none"/>
                <w:lang w:eastAsia="zh-CN"/>
              </w:rPr>
              <w:t>，要求</w:t>
            </w:r>
            <w:r>
              <w:rPr>
                <w:rFonts w:hint="default" w:ascii="Times New Roman" w:hAnsi="Times New Roman" w:eastAsia="宋体" w:cs="Times New Roman"/>
                <w:bCs/>
                <w:color w:val="auto"/>
                <w:sz w:val="24"/>
                <w:highlight w:val="none"/>
                <w:u w:val="none"/>
              </w:rPr>
              <w:t>废气收集系统与生产设备自动同步启动，</w:t>
            </w:r>
            <w:r>
              <w:rPr>
                <w:rFonts w:hint="default" w:ascii="Times New Roman" w:hAnsi="Times New Roman" w:eastAsia="宋体" w:cs="Times New Roman"/>
                <w:bCs/>
                <w:color w:val="auto"/>
                <w:sz w:val="24"/>
                <w:highlight w:val="none"/>
                <w:u w:val="none"/>
                <w:lang w:val="en-US" w:eastAsia="zh-CN"/>
              </w:rPr>
              <w:t>采取以上措施，</w:t>
            </w:r>
            <w:r>
              <w:rPr>
                <w:rFonts w:hint="default" w:ascii="Times New Roman" w:hAnsi="Times New Roman" w:eastAsia="宋体" w:cs="Times New Roman"/>
                <w:bCs/>
                <w:color w:val="auto"/>
                <w:sz w:val="24"/>
                <w:highlight w:val="none"/>
                <w:u w:val="none"/>
                <w:lang w:eastAsia="zh-CN"/>
              </w:rPr>
              <w:t>正常情</w:t>
            </w:r>
            <w:r>
              <w:rPr>
                <w:rFonts w:hint="eastAsia" w:cs="Times New Roman"/>
                <w:bCs/>
                <w:color w:val="auto"/>
                <w:sz w:val="24"/>
                <w:highlight w:val="none"/>
                <w:u w:val="none"/>
                <w:lang w:eastAsia="zh-CN"/>
              </w:rPr>
              <w:t>况下</w:t>
            </w:r>
            <w:r>
              <w:rPr>
                <w:rFonts w:hint="default" w:ascii="Times New Roman" w:hAnsi="Times New Roman" w:eastAsia="宋体" w:cs="Times New Roman"/>
                <w:bCs/>
                <w:color w:val="auto"/>
                <w:sz w:val="24"/>
                <w:highlight w:val="none"/>
                <w:u w:val="none"/>
                <w:lang w:eastAsia="zh-CN"/>
              </w:rPr>
              <w:t>，可确保收集效率可达</w:t>
            </w:r>
            <w:r>
              <w:rPr>
                <w:rFonts w:hint="default" w:ascii="Times New Roman" w:hAnsi="Times New Roman" w:eastAsia="宋体" w:cs="Times New Roman"/>
                <w:bCs/>
                <w:color w:val="auto"/>
                <w:sz w:val="24"/>
                <w:highlight w:val="none"/>
                <w:u w:val="none"/>
                <w:lang w:val="en-US" w:eastAsia="zh-CN"/>
              </w:rPr>
              <w:t>9</w:t>
            </w:r>
            <w:r>
              <w:rPr>
                <w:rFonts w:hint="eastAsia" w:ascii="Times New Roman" w:hAnsi="Times New Roman" w:eastAsia="宋体" w:cs="Times New Roman"/>
                <w:bCs/>
                <w:color w:val="auto"/>
                <w:sz w:val="24"/>
                <w:highlight w:val="none"/>
                <w:u w:val="none"/>
                <w:lang w:val="en-US" w:eastAsia="zh-CN"/>
              </w:rPr>
              <w:t>0</w:t>
            </w:r>
            <w:r>
              <w:rPr>
                <w:rFonts w:hint="default" w:ascii="Times New Roman" w:hAnsi="Times New Roman" w:eastAsia="宋体" w:cs="Times New Roman"/>
                <w:bCs/>
                <w:color w:val="auto"/>
                <w:sz w:val="24"/>
                <w:highlight w:val="none"/>
                <w:u w:val="none"/>
                <w:lang w:val="en-US" w:eastAsia="zh-CN"/>
              </w:rPr>
              <w:t>%，可符合</w:t>
            </w:r>
            <w:r>
              <w:rPr>
                <w:rFonts w:hint="default" w:ascii="Times New Roman" w:hAnsi="Times New Roman" w:eastAsia="宋体" w:cs="Times New Roman"/>
                <w:bCs/>
                <w:color w:val="auto"/>
                <w:sz w:val="24"/>
                <w:highlight w:val="none"/>
                <w:u w:val="none"/>
              </w:rPr>
              <w:t>闽环保大气〔2017〕9号提出</w:t>
            </w:r>
            <w:r>
              <w:rPr>
                <w:rFonts w:hint="eastAsia" w:cs="Times New Roman"/>
                <w:bCs/>
                <w:color w:val="auto"/>
                <w:sz w:val="24"/>
                <w:highlight w:val="none"/>
                <w:u w:val="none"/>
                <w:lang w:eastAsia="zh-CN"/>
              </w:rPr>
              <w:t>VOCs</w:t>
            </w:r>
            <w:r>
              <w:rPr>
                <w:rFonts w:hint="default" w:ascii="Times New Roman" w:hAnsi="Times New Roman" w:eastAsia="宋体" w:cs="Times New Roman"/>
                <w:bCs/>
                <w:color w:val="auto"/>
                <w:sz w:val="24"/>
                <w:highlight w:val="none"/>
                <w:u w:val="none"/>
              </w:rPr>
              <w:t>废气收集率应达到80%以上，可符合要求。</w:t>
            </w:r>
          </w:p>
          <w:p w14:paraId="6E8894B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B</w:t>
            </w:r>
            <w:r>
              <w:rPr>
                <w:rFonts w:hint="eastAsia" w:ascii="Times New Roman" w:hAnsi="Times New Roman" w:eastAsia="宋体" w:cs="Times New Roman"/>
                <w:color w:val="auto"/>
                <w:sz w:val="24"/>
                <w:lang w:val="en-US" w:eastAsia="zh-CN"/>
              </w:rPr>
              <w:t>、环保措施可行性分析：</w:t>
            </w:r>
          </w:p>
          <w:p w14:paraId="2BCF7B24">
            <w:pPr>
              <w:keepNext w:val="0"/>
              <w:keepLines w:val="0"/>
              <w:suppressLineNumbers w:val="0"/>
              <w:spacing w:before="0" w:beforeAutospacing="0" w:after="0" w:afterAutospacing="0" w:line="351"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过滤棉主要用于去除漆雾。当有机废气气体由风机提供动力，正压或负压进入塔体，由于活性炭固体表面上存在着未平衡和未饱和的分子引力或</w:t>
            </w:r>
            <w:r>
              <w:rPr>
                <w:rFonts w:hint="eastAsia" w:cs="Times New Roman"/>
                <w:color w:val="auto"/>
                <w:sz w:val="24"/>
                <w:lang w:val="en-US" w:eastAsia="zh-CN"/>
              </w:rPr>
              <w:t>化学键</w:t>
            </w:r>
            <w:r>
              <w:rPr>
                <w:rFonts w:hint="eastAsia" w:ascii="Times New Roman" w:hAnsi="Times New Roman" w:eastAsia="宋体" w:cs="Times New Roman"/>
                <w:color w:val="auto"/>
                <w:sz w:val="24"/>
                <w:lang w:val="en-US" w:eastAsia="zh-CN"/>
              </w:rPr>
              <w:t>力，因此</w:t>
            </w:r>
            <w:r>
              <w:rPr>
                <w:rFonts w:hint="eastAsia" w:cs="Times New Roman"/>
                <w:color w:val="auto"/>
                <w:sz w:val="24"/>
                <w:lang w:val="en-US" w:eastAsia="zh-CN"/>
              </w:rPr>
              <w:t>当</w:t>
            </w:r>
            <w:r>
              <w:rPr>
                <w:rFonts w:hint="eastAsia" w:ascii="Times New Roman" w:hAnsi="Times New Roman" w:eastAsia="宋体" w:cs="Times New Roman"/>
                <w:color w:val="auto"/>
                <w:sz w:val="24"/>
                <w:lang w:val="en-US" w:eastAsia="zh-CN"/>
              </w:rPr>
              <w:t>固体表面与气体接触时，就能吸引气体分子，使其浓聚并保持在固体表面，污染物质及气味从而被吸附，废气经活性炭吸附塔后，净化气体高空达标排放。</w:t>
            </w:r>
          </w:p>
          <w:p w14:paraId="2A519491">
            <w:pPr>
              <w:keepNext w:val="0"/>
              <w:keepLines w:val="0"/>
              <w:suppressLineNumbers w:val="0"/>
              <w:spacing w:before="0" w:beforeAutospacing="0" w:after="0" w:afterAutospacing="0" w:line="351"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bCs/>
                <w:color w:val="000000"/>
                <w:sz w:val="24"/>
                <w:highlight w:val="none"/>
                <w:lang w:val="en-US" w:eastAsia="zh-CN"/>
              </w:rPr>
              <w:t>由表4.2-2可知，本项目产生的有机废气经处理后</w:t>
            </w:r>
            <w:r>
              <w:rPr>
                <w:rFonts w:hint="eastAsia" w:ascii="Times New Roman" w:hAnsi="Times New Roman" w:eastAsia="宋体" w:cs="Times New Roman"/>
                <w:bCs/>
                <w:color w:val="000000"/>
                <w:sz w:val="24"/>
                <w:highlight w:val="none"/>
              </w:rPr>
              <w:t>可达到</w:t>
            </w:r>
            <w:r>
              <w:rPr>
                <w:rFonts w:hint="default" w:ascii="Times New Roman" w:hAnsi="Times New Roman" w:cs="Times New Roman"/>
                <w:color w:val="000000"/>
                <w:sz w:val="24"/>
                <w:szCs w:val="24"/>
                <w:highlight w:val="none"/>
              </w:rPr>
              <w:t>非甲烷总烃的排放浓度满足</w:t>
            </w:r>
            <w:r>
              <w:rPr>
                <w:rFonts w:hint="eastAsia" w:ascii="Times New Roman" w:hAnsi="Times New Roman" w:eastAsia="宋体" w:cs="Times New Roman"/>
                <w:bCs/>
                <w:color w:val="auto"/>
                <w:sz w:val="24"/>
                <w:highlight w:val="none"/>
                <w:u w:val="none"/>
                <w:lang w:eastAsia="zh-CN"/>
              </w:rPr>
              <w:t>可达到《工业涂装工序挥发性有机物排放标准》（DB35/1783-2018）中表1标准中排放限值要求。</w:t>
            </w:r>
            <w:r>
              <w:rPr>
                <w:rFonts w:hint="default" w:ascii="Times New Roman" w:hAnsi="Times New Roman" w:eastAsia="宋体" w:cs="Times New Roman"/>
                <w:bCs/>
                <w:color w:val="000000"/>
                <w:sz w:val="24"/>
                <w:highlight w:val="none"/>
              </w:rPr>
              <w:t>因此，</w:t>
            </w:r>
            <w:r>
              <w:rPr>
                <w:rFonts w:hint="eastAsia" w:ascii="Times New Roman" w:hAnsi="Times New Roman" w:eastAsia="宋体" w:cs="Times New Roman"/>
                <w:bCs/>
                <w:color w:val="000000"/>
                <w:sz w:val="24"/>
                <w:highlight w:val="none"/>
                <w:lang w:eastAsia="zh-CN"/>
              </w:rPr>
              <w:t>项目有机废气经处理后对环境影响较小，</w:t>
            </w:r>
            <w:r>
              <w:rPr>
                <w:rFonts w:hint="default" w:ascii="Times New Roman" w:hAnsi="Times New Roman" w:eastAsia="宋体" w:cs="Times New Roman"/>
                <w:bCs/>
                <w:color w:val="000000"/>
                <w:sz w:val="24"/>
                <w:highlight w:val="none"/>
              </w:rPr>
              <w:t>采取的措施可行。</w:t>
            </w:r>
            <w:r>
              <w:rPr>
                <w:rFonts w:hint="eastAsia" w:ascii="Times New Roman" w:hAnsi="Times New Roman" w:eastAsia="宋体" w:cs="Times New Roman"/>
                <w:color w:val="auto"/>
                <w:sz w:val="24"/>
                <w:lang w:val="en-US" w:eastAsia="zh-CN"/>
              </w:rPr>
              <w:t>过滤棉+</w:t>
            </w:r>
            <w:r>
              <w:rPr>
                <w:rFonts w:hint="eastAsia" w:cs="Times New Roman"/>
                <w:color w:val="auto"/>
                <w:sz w:val="24"/>
                <w:lang w:val="en-US" w:eastAsia="zh-CN"/>
              </w:rPr>
              <w:t>二级活性炭</w:t>
            </w:r>
            <w:r>
              <w:rPr>
                <w:rFonts w:hint="eastAsia" w:ascii="Times New Roman" w:hAnsi="Times New Roman" w:eastAsia="宋体" w:cs="Times New Roman"/>
                <w:color w:val="auto"/>
                <w:sz w:val="24"/>
                <w:lang w:val="en-US" w:eastAsia="zh-CN"/>
              </w:rPr>
              <w:t>装置有着管理方便，运行稳定，处理效率高、体积较小的优点，适用于本项目废气处理。</w:t>
            </w:r>
          </w:p>
          <w:p w14:paraId="5E66A5C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cs="Times New Roman"/>
                <w:color w:val="auto"/>
                <w:sz w:val="24"/>
                <w:lang w:val="en-US" w:eastAsia="zh-CN"/>
              </w:rPr>
              <w:t>C</w:t>
            </w:r>
            <w:r>
              <w:rPr>
                <w:rFonts w:hint="eastAsia" w:ascii="Times New Roman" w:hAnsi="Times New Roman" w:eastAsia="宋体" w:cs="Times New Roman"/>
                <w:color w:val="auto"/>
                <w:sz w:val="24"/>
                <w:lang w:val="en-US" w:eastAsia="zh-CN"/>
              </w:rPr>
              <w:t xml:space="preserve">、长期稳定运行和达标排放要求 </w:t>
            </w:r>
          </w:p>
          <w:p w14:paraId="2D6EA1F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为确保</w:t>
            </w:r>
            <w:r>
              <w:rPr>
                <w:rFonts w:hint="eastAsia" w:cs="Times New Roman"/>
                <w:color w:val="auto"/>
                <w:sz w:val="24"/>
                <w:lang w:val="en-US" w:eastAsia="zh-CN"/>
              </w:rPr>
              <w:t>二级活性炭</w:t>
            </w:r>
            <w:r>
              <w:rPr>
                <w:rFonts w:hint="eastAsia" w:ascii="Times New Roman" w:hAnsi="Times New Roman" w:eastAsia="宋体" w:cs="Times New Roman"/>
                <w:color w:val="auto"/>
                <w:sz w:val="24"/>
                <w:lang w:val="en-US" w:eastAsia="zh-CN"/>
              </w:rPr>
              <w:t>吸附装置对有机废气的净化效率，本评价要求采取以下设计措施：</w:t>
            </w:r>
          </w:p>
          <w:p w14:paraId="145E872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val="en-US" w:eastAsia="zh-CN"/>
              </w:rPr>
              <w:t>、活性炭的断裂强度应不小于</w:t>
            </w:r>
            <w:r>
              <w:rPr>
                <w:rFonts w:hint="default" w:ascii="Times New Roman" w:hAnsi="Times New Roman" w:eastAsia="宋体" w:cs="Times New Roman"/>
                <w:color w:val="auto"/>
                <w:sz w:val="24"/>
                <w:lang w:val="en-US" w:eastAsia="zh-CN"/>
              </w:rPr>
              <w:t>5N</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BET</w:t>
            </w:r>
            <w:r>
              <w:rPr>
                <w:rFonts w:hint="eastAsia" w:ascii="Times New Roman" w:hAnsi="Times New Roman" w:eastAsia="宋体" w:cs="Times New Roman"/>
                <w:color w:val="auto"/>
                <w:sz w:val="24"/>
                <w:lang w:val="en-US" w:eastAsia="zh-CN"/>
              </w:rPr>
              <w:t>比表面积应不低于</w:t>
            </w:r>
            <w:r>
              <w:rPr>
                <w:rFonts w:hint="default" w:ascii="Times New Roman" w:hAnsi="Times New Roman" w:eastAsia="宋体" w:cs="Times New Roman"/>
                <w:color w:val="auto"/>
                <w:sz w:val="24"/>
                <w:lang w:val="en-US" w:eastAsia="zh-CN"/>
              </w:rPr>
              <w:t>1100m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/g</w:t>
            </w:r>
            <w:r>
              <w:rPr>
                <w:rFonts w:hint="eastAsia" w:ascii="Times New Roman" w:hAnsi="Times New Roman" w:eastAsia="宋体" w:cs="Times New Roman"/>
                <w:color w:val="auto"/>
                <w:sz w:val="24"/>
                <w:lang w:val="en-US" w:eastAsia="zh-CN"/>
              </w:rPr>
              <w:t xml:space="preserve">； </w:t>
            </w:r>
          </w:p>
          <w:p w14:paraId="4A88BDE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b</w:t>
            </w:r>
            <w:r>
              <w:rPr>
                <w:rFonts w:hint="eastAsia" w:ascii="Times New Roman" w:hAnsi="Times New Roman" w:eastAsia="宋体" w:cs="Times New Roman"/>
                <w:color w:val="auto"/>
                <w:sz w:val="24"/>
                <w:lang w:val="en-US" w:eastAsia="zh-CN"/>
              </w:rPr>
              <w:t>、采用纤维状吸附剂</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活性炭纤维毡</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时，气体流速宜低于</w:t>
            </w:r>
            <w:r>
              <w:rPr>
                <w:rFonts w:hint="default" w:ascii="Times New Roman" w:hAnsi="Times New Roman" w:eastAsia="宋体" w:cs="Times New Roman"/>
                <w:color w:val="auto"/>
                <w:sz w:val="24"/>
                <w:lang w:val="en-US" w:eastAsia="zh-CN"/>
              </w:rPr>
              <w:t>0.15m/s</w:t>
            </w:r>
            <w:r>
              <w:rPr>
                <w:rFonts w:hint="eastAsia" w:ascii="Times New Roman" w:hAnsi="Times New Roman" w:eastAsia="宋体" w:cs="Times New Roman"/>
                <w:color w:val="auto"/>
                <w:sz w:val="24"/>
                <w:lang w:val="en-US" w:eastAsia="zh-CN"/>
              </w:rPr>
              <w:t xml:space="preserve">； </w:t>
            </w:r>
          </w:p>
          <w:p w14:paraId="3449D81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c</w:t>
            </w:r>
            <w:r>
              <w:rPr>
                <w:rFonts w:hint="eastAsia" w:ascii="Times New Roman" w:hAnsi="Times New Roman" w:eastAsia="宋体" w:cs="Times New Roman"/>
                <w:color w:val="auto"/>
                <w:sz w:val="24"/>
                <w:lang w:val="en-US" w:eastAsia="zh-CN"/>
              </w:rPr>
              <w:t>、有机</w:t>
            </w:r>
            <w:r>
              <w:rPr>
                <w:rFonts w:hint="eastAsia" w:cs="Times New Roman"/>
                <w:color w:val="auto"/>
                <w:sz w:val="24"/>
                <w:lang w:val="en-US" w:eastAsia="zh-CN"/>
              </w:rPr>
              <w:t>废气</w:t>
            </w:r>
            <w:r>
              <w:rPr>
                <w:rFonts w:hint="eastAsia" w:ascii="Times New Roman" w:hAnsi="Times New Roman" w:eastAsia="宋体" w:cs="Times New Roman"/>
                <w:color w:val="auto"/>
                <w:sz w:val="24"/>
                <w:lang w:val="en-US" w:eastAsia="zh-CN"/>
              </w:rPr>
              <w:t>中颗粒物含量不得超过</w:t>
            </w:r>
            <w:r>
              <w:rPr>
                <w:rFonts w:hint="default" w:ascii="Times New Roman" w:hAnsi="Times New Roman" w:eastAsia="宋体" w:cs="Times New Roman"/>
                <w:color w:val="auto"/>
                <w:sz w:val="24"/>
                <w:lang w:val="en-US" w:eastAsia="zh-CN"/>
              </w:rPr>
              <w:t>1mg/m</w:t>
            </w:r>
            <w:r>
              <w:rPr>
                <w:rFonts w:hint="default"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 xml:space="preserve">时； </w:t>
            </w:r>
          </w:p>
          <w:p w14:paraId="5DD11A3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d</w:t>
            </w:r>
            <w:r>
              <w:rPr>
                <w:rFonts w:hint="eastAsia" w:ascii="Times New Roman" w:hAnsi="Times New Roman" w:eastAsia="宋体" w:cs="Times New Roman"/>
                <w:color w:val="auto"/>
                <w:sz w:val="24"/>
                <w:lang w:val="en-US" w:eastAsia="zh-CN"/>
              </w:rPr>
              <w:t>、当排气浓度不能满足设计或排放要求时应更换吸附剂；</w:t>
            </w:r>
          </w:p>
          <w:p w14:paraId="6882852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e</w:t>
            </w:r>
            <w:r>
              <w:rPr>
                <w:rFonts w:hint="eastAsia" w:ascii="Times New Roman" w:hAnsi="Times New Roman" w:eastAsia="宋体" w:cs="Times New Roman"/>
                <w:color w:val="auto"/>
                <w:sz w:val="24"/>
                <w:lang w:val="en-US" w:eastAsia="zh-CN"/>
              </w:rPr>
              <w:t>、采用纤维状吸附剂时，吸附单元的压力损失宜低于</w:t>
            </w:r>
            <w:r>
              <w:rPr>
                <w:rFonts w:hint="default" w:ascii="Times New Roman" w:hAnsi="Times New Roman" w:eastAsia="宋体" w:cs="Times New Roman"/>
                <w:color w:val="auto"/>
                <w:sz w:val="24"/>
                <w:lang w:val="en-US" w:eastAsia="zh-CN"/>
              </w:rPr>
              <w:t>4kPa</w:t>
            </w:r>
            <w:r>
              <w:rPr>
                <w:rFonts w:hint="eastAsia" w:ascii="Times New Roman" w:hAnsi="Times New Roman" w:eastAsia="宋体" w:cs="Times New Roman"/>
                <w:color w:val="auto"/>
                <w:sz w:val="24"/>
                <w:lang w:val="en-US" w:eastAsia="zh-CN"/>
              </w:rPr>
              <w:t xml:space="preserve">； </w:t>
            </w:r>
          </w:p>
          <w:p w14:paraId="52E1396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f</w:t>
            </w:r>
            <w:r>
              <w:rPr>
                <w:rFonts w:hint="eastAsia" w:ascii="Times New Roman" w:hAnsi="Times New Roman" w:eastAsia="宋体" w:cs="Times New Roman"/>
                <w:color w:val="auto"/>
                <w:sz w:val="24"/>
                <w:lang w:val="en-US" w:eastAsia="zh-CN"/>
              </w:rPr>
              <w:t xml:space="preserve">、采用孔径、空容分布及比表面积大的活性炭纤维； </w:t>
            </w:r>
          </w:p>
          <w:p w14:paraId="1342163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g</w:t>
            </w:r>
            <w:r>
              <w:rPr>
                <w:rFonts w:hint="eastAsia" w:ascii="Times New Roman" w:hAnsi="Times New Roman" w:eastAsia="宋体" w:cs="Times New Roman"/>
                <w:color w:val="auto"/>
                <w:sz w:val="24"/>
                <w:lang w:val="en-US" w:eastAsia="zh-CN"/>
              </w:rPr>
              <w:t>、保证吸附质与吸附剂之间一定的接触时间，才能使吸附剂发挥最大的吸附能力。</w:t>
            </w:r>
          </w:p>
          <w:p w14:paraId="5FBA6870">
            <w:pPr>
              <w:keepNext w:val="0"/>
              <w:keepLines w:val="0"/>
              <w:suppressLineNumbers w:val="0"/>
              <w:bidi w:val="0"/>
              <w:spacing w:before="0" w:beforeAutospacing="0" w:after="0" w:afterAutospacing="0"/>
              <w:ind w:left="0" w:right="0"/>
              <w:rPr>
                <w:rFonts w:hint="eastAsia"/>
              </w:rPr>
            </w:pPr>
            <w:r>
              <w:rPr>
                <w:rFonts w:hint="eastAsia"/>
              </w:rPr>
              <w:t>③无组织废气治理措施</w:t>
            </w:r>
          </w:p>
          <w:p w14:paraId="07C81848">
            <w:pPr>
              <w:keepNext w:val="0"/>
              <w:keepLines w:val="0"/>
              <w:suppressLineNumbers w:val="0"/>
              <w:bidi w:val="0"/>
              <w:spacing w:before="0" w:beforeAutospacing="0" w:after="0" w:afterAutospacing="0"/>
              <w:ind w:left="0" w:right="0"/>
              <w:rPr>
                <w:rFonts w:hint="eastAsia"/>
              </w:rPr>
            </w:pPr>
            <w:r>
              <w:rPr>
                <w:rFonts w:hint="eastAsia"/>
              </w:rPr>
              <w:t>项目无组织废气主要为</w:t>
            </w:r>
            <w:r>
              <w:rPr>
                <w:rFonts w:hint="eastAsia"/>
                <w:lang w:val="en-US" w:eastAsia="zh-CN"/>
              </w:rPr>
              <w:t>打磨区产生的粉尘、喷漆、烘干房</w:t>
            </w:r>
            <w:r>
              <w:rPr>
                <w:rFonts w:hint="default"/>
                <w:lang w:val="en-US" w:eastAsia="zh-CN"/>
              </w:rPr>
              <w:t>人员进出关门</w:t>
            </w:r>
            <w:r>
              <w:rPr>
                <w:rFonts w:hint="eastAsia"/>
                <w:lang w:val="en-US" w:eastAsia="zh-CN"/>
              </w:rPr>
              <w:t>及电面包炉开关门时</w:t>
            </w:r>
            <w:r>
              <w:rPr>
                <w:rFonts w:hint="default"/>
                <w:lang w:val="en-US" w:eastAsia="zh-CN"/>
              </w:rPr>
              <w:t>溢出的非甲烷总烃</w:t>
            </w:r>
            <w:r>
              <w:rPr>
                <w:rFonts w:hint="eastAsia"/>
                <w:lang w:val="en-US" w:eastAsia="zh-CN"/>
              </w:rPr>
              <w:t>以及产生的粉尘</w:t>
            </w:r>
            <w:r>
              <w:rPr>
                <w:rFonts w:hint="eastAsia"/>
              </w:rPr>
              <w:t>。</w:t>
            </w:r>
            <w:r>
              <w:rPr>
                <w:rFonts w:hint="default"/>
                <w:lang w:val="en-US" w:eastAsia="zh-CN"/>
              </w:rPr>
              <w:t>采取的防止无组织气体排放的主要措施有：</w:t>
            </w:r>
          </w:p>
          <w:p w14:paraId="3A34CFDF">
            <w:pPr>
              <w:keepNext w:val="0"/>
              <w:keepLines w:val="0"/>
              <w:suppressLineNumbers w:val="0"/>
              <w:bidi w:val="0"/>
              <w:spacing w:before="0" w:beforeAutospacing="0" w:after="0" w:afterAutospacing="0"/>
              <w:ind w:left="0" w:right="0"/>
              <w:rPr>
                <w:rFonts w:hint="eastAsia"/>
              </w:rPr>
            </w:pPr>
            <w:r>
              <w:rPr>
                <w:rFonts w:hint="eastAsia"/>
              </w:rPr>
              <w:t>A、加强废气集中收集和处理，确保废气收集系统的密闭性，减少废气的无组织排放。</w:t>
            </w:r>
            <w:r>
              <w:rPr>
                <w:rFonts w:hint="default"/>
                <w:lang w:val="en-US" w:eastAsia="zh-CN"/>
              </w:rPr>
              <w:t>加强车间地面的清扫，减少粉尘对职工及周边环境的影响；</w:t>
            </w:r>
          </w:p>
          <w:p w14:paraId="69DD0A07">
            <w:pPr>
              <w:keepNext w:val="0"/>
              <w:keepLines w:val="0"/>
              <w:suppressLineNumbers w:val="0"/>
              <w:bidi w:val="0"/>
              <w:spacing w:before="0" w:beforeAutospacing="0" w:after="0" w:afterAutospacing="0"/>
              <w:ind w:left="0" w:right="0"/>
              <w:rPr>
                <w:rFonts w:hint="eastAsia"/>
              </w:rPr>
            </w:pPr>
            <w:r>
              <w:rPr>
                <w:rFonts w:hint="eastAsia"/>
              </w:rPr>
              <w:t>B、</w:t>
            </w:r>
            <w:r>
              <w:rPr>
                <w:rFonts w:hint="default"/>
                <w:lang w:val="en-US" w:eastAsia="zh-CN"/>
              </w:rPr>
              <w:t>通过加强车间通风，减少废气对职工及周边环境的影响；</w:t>
            </w:r>
          </w:p>
          <w:p w14:paraId="4895D719">
            <w:pPr>
              <w:keepNext w:val="0"/>
              <w:keepLines w:val="0"/>
              <w:suppressLineNumbers w:val="0"/>
              <w:bidi w:val="0"/>
              <w:spacing w:before="0" w:beforeAutospacing="0" w:after="0" w:afterAutospacing="0"/>
              <w:ind w:left="0" w:right="0"/>
              <w:rPr>
                <w:rFonts w:hint="eastAsia"/>
              </w:rPr>
            </w:pPr>
            <w:r>
              <w:rPr>
                <w:rFonts w:hint="eastAsia"/>
              </w:rPr>
              <w:t>C、加强运行管理和环境管理，提高工人操作水平，通过宣传增强职工环保意识，积极推行清洁生产，节能降耗，多种措施并举，减少污染物排放。</w:t>
            </w:r>
          </w:p>
          <w:p w14:paraId="1902E57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lang w:eastAsia="zh-CN"/>
              </w:rPr>
              <w:t>（</w:t>
            </w:r>
            <w:r>
              <w:rPr>
                <w:rFonts w:hint="eastAsia"/>
                <w:lang w:val="en-US" w:eastAsia="zh-CN"/>
              </w:rPr>
              <w:t>4</w:t>
            </w:r>
            <w:r>
              <w:rPr>
                <w:rFonts w:hint="eastAsia"/>
                <w:lang w:eastAsia="zh-CN"/>
              </w:rPr>
              <w:t>）</w:t>
            </w:r>
            <w:r>
              <w:rPr>
                <w:rFonts w:hint="default" w:ascii="Times New Roman" w:hAnsi="Times New Roman" w:cs="Times New Roman" w:eastAsiaTheme="minorEastAsia"/>
                <w:color w:val="000000" w:themeColor="text1"/>
                <w:sz w:val="24"/>
                <w:szCs w:val="24"/>
                <w14:textFill>
                  <w14:solidFill>
                    <w14:schemeClr w14:val="tx1"/>
                  </w14:solidFill>
                </w14:textFill>
              </w:rPr>
              <w:t>环境防护距离分析</w:t>
            </w:r>
          </w:p>
          <w:p w14:paraId="4B53E5E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根据生态环境部环境工程评估中心发布的：</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《建设项目环境影响报告表》内容、格式及编制技术指南常见问题解答</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一文中第三点：《建设项目环境影响评价技术导则 总纲》（HJ2.1-2016）未对大气防护距离提出评价要求，建设项目环境影响报告表编制技术指南（以下简称技术指南）不作要求。对于判定为需要开展大气专项评价的建设项目，根据《环境影响评价技术导则 大气环境》（HJ2.2-2018）需要计算大气环境防护距离的，应按要求计算。本项目无需开展大气专项评价，无需设置大气防护距离。</w:t>
            </w:r>
          </w:p>
          <w:p w14:paraId="2ABEB21F">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根据《制定地方大气污染物排放标准的技术方法》</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GB/T3840-91</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7.2章节相关内容</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无组织排放的有害气体进入呼吸带大气层时，其浓度超过GB3095与TJ36规定的居住区容许浓度限值，则无组织排放源所在的生产单元</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生产区、车间或工段</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与居住区之间应设置卫生防护距离</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根据表</w:t>
            </w:r>
            <w:r>
              <w:rPr>
                <w:rFonts w:hint="eastAsia" w:cs="Times New Roman" w:eastAsiaTheme="minorEastAsia"/>
                <w:color w:val="000000" w:themeColor="text1"/>
                <w:sz w:val="24"/>
                <w:szCs w:val="24"/>
                <w:lang w:val="en-US" w:eastAsia="zh-CN"/>
                <w14:textFill>
                  <w14:solidFill>
                    <w14:schemeClr w14:val="tx1"/>
                  </w14:solidFill>
                </w14:textFill>
              </w:rPr>
              <w:t>4.2-2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本项目</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颗粒物、非甲烷总烃</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无浓度超标点，因此，本项目可不设置卫生防护距离。</w:t>
            </w:r>
          </w:p>
          <w:p w14:paraId="341084DA">
            <w:pPr>
              <w:keepNext w:val="0"/>
              <w:keepLines w:val="0"/>
              <w:suppressLineNumbers w:val="0"/>
              <w:spacing w:before="0" w:beforeAutospacing="0" w:after="0" w:afterAutospacing="0" w:line="360" w:lineRule="auto"/>
              <w:ind w:left="0" w:right="0" w:firstLine="480" w:firstLineChars="200"/>
              <w:rPr>
                <w:rFonts w:hint="eastAsia" w:eastAsia="宋体"/>
                <w:lang w:eastAsia="zh-CN"/>
              </w:rPr>
            </w:pPr>
            <w:r>
              <w:rPr>
                <w:rFonts w:hint="default" w:ascii="Times New Roman" w:hAnsi="Times New Roman" w:cs="Times New Roman" w:eastAsiaTheme="minorEastAsia"/>
                <w:color w:val="000000" w:themeColor="text1"/>
                <w:sz w:val="24"/>
                <w:szCs w:val="24"/>
                <w14:textFill>
                  <w14:solidFill>
                    <w14:schemeClr w14:val="tx1"/>
                  </w14:solidFill>
                </w14:textFill>
              </w:rPr>
              <w:t>同时参照《大气环境影响评价实用技术》第10章</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大气环境防护距离与卫生防护距离</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10.2.2.2章计算确定卫生防护距离技术要点章节相关内容：</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在污染源所有影响区域范围内，排放到环境中的污染物浓度如超过环境空气质量标准，包括厂区内、厂界、厂界外，则需设置卫生防护距离，如在厂区内满足GB3095及TJ36要求，可不设置卫生防护距离</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，综上所述，本项目不增设卫生防护距离。</w:t>
            </w:r>
          </w:p>
          <w:p w14:paraId="7CADFB6D">
            <w:pPr>
              <w:pStyle w:val="4"/>
              <w:keepNext/>
              <w:keepLines/>
              <w:pageBreakBefore w:val="0"/>
              <w:widowControl w:val="0"/>
              <w:suppressLineNumbers w:val="0"/>
              <w:tabs>
                <w:tab w:val="left" w:pos="420"/>
                <w:tab w:val="clear" w:pos="0"/>
              </w:tabs>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highlight w:val="none"/>
                <w:lang w:val="en-US" w:eastAsia="zh-CN"/>
              </w:rPr>
            </w:pPr>
            <w:r>
              <w:rPr>
                <w:rFonts w:hint="default"/>
                <w:color w:val="auto"/>
                <w:highlight w:val="none"/>
                <w:lang w:val="en-US" w:eastAsia="zh-CN"/>
              </w:rPr>
              <w:t>非正常工况排放量核算</w:t>
            </w:r>
          </w:p>
          <w:p w14:paraId="60AC281D">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（1）非正常排放情形及排放源强</w:t>
            </w:r>
          </w:p>
          <w:p w14:paraId="7BC3233E">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非正常排放情况指设备检修、污染物排放控制措施达不到应有效率、工艺设备运转异常等情况下的排污。根据本项目的情况，结合同类企业运营情况，确定项目非正常排放情况为污染治理设施发生故障、运转异常（如风机故障、集气管道破裂等），或维护不到位导致废气处理设施效率降低等非正常工况，情形如下：</w:t>
            </w:r>
          </w:p>
          <w:p w14:paraId="41E127ED">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①有机废气处理设施故障，导致有机废气非正常排放。</w:t>
            </w:r>
          </w:p>
          <w:p w14:paraId="73B0A67A">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本评价按最不利情况考虑，即废气处理效率降低为0%的情况下污染物排放对周边环境的影响。由于有机废气事故排放效果不显著，短时间内难以发现，非正常工况持续时间按1h计，发生频率按1次/年。非正常工况下废气排放源强核算结果见下表4</w:t>
            </w:r>
            <w:r>
              <w:rPr>
                <w:rFonts w:hint="eastAsia" w:ascii="Times New Roman" w:hAnsi="Times New Roman" w:eastAsia="宋体" w:cs="宋体"/>
                <w:color w:val="auto"/>
                <w:kern w:val="2"/>
                <w:sz w:val="24"/>
                <w:szCs w:val="24"/>
                <w:highlight w:val="none"/>
                <w:lang w:val="en-US" w:eastAsia="zh-CN" w:bidi="ar-SA"/>
              </w:rPr>
              <w:t>.</w:t>
            </w:r>
            <w:r>
              <w:rPr>
                <w:rFonts w:hint="eastAsia" w:cs="宋体"/>
                <w:color w:val="auto"/>
                <w:kern w:val="2"/>
                <w:sz w:val="24"/>
                <w:szCs w:val="24"/>
                <w:highlight w:val="none"/>
                <w:lang w:val="en-US" w:eastAsia="zh-CN" w:bidi="ar-SA"/>
              </w:rPr>
              <w:t>2</w:t>
            </w:r>
            <w:r>
              <w:rPr>
                <w:rFonts w:hint="eastAsia" w:ascii="Times New Roman" w:hAnsi="Times New Roman" w:eastAsia="宋体" w:cs="宋体"/>
                <w:color w:val="auto"/>
                <w:kern w:val="2"/>
                <w:sz w:val="24"/>
                <w:szCs w:val="24"/>
                <w:highlight w:val="none"/>
                <w:lang w:val="en-US" w:eastAsia="zh-CN" w:bidi="ar-SA"/>
              </w:rPr>
              <w:t>-</w:t>
            </w:r>
            <w:r>
              <w:rPr>
                <w:rFonts w:hint="eastAsia" w:cs="宋体"/>
                <w:color w:val="auto"/>
                <w:kern w:val="2"/>
                <w:sz w:val="24"/>
                <w:szCs w:val="24"/>
                <w:highlight w:val="none"/>
                <w:lang w:val="en-US" w:eastAsia="zh-CN" w:bidi="ar-SA"/>
              </w:rPr>
              <w:t>4</w:t>
            </w:r>
            <w:r>
              <w:rPr>
                <w:rFonts w:hint="default" w:ascii="Times New Roman" w:hAnsi="Times New Roman" w:eastAsia="宋体" w:cs="宋体"/>
                <w:color w:val="auto"/>
                <w:kern w:val="2"/>
                <w:sz w:val="24"/>
                <w:szCs w:val="24"/>
                <w:highlight w:val="none"/>
                <w:lang w:val="en-US" w:eastAsia="zh-CN" w:bidi="ar-SA"/>
              </w:rPr>
              <w:t>。</w:t>
            </w:r>
          </w:p>
          <w:p w14:paraId="712050F0">
            <w:pPr>
              <w:pStyle w:val="40"/>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表4.</w:t>
            </w:r>
            <w:r>
              <w:rPr>
                <w:rFonts w:hint="eastAsia"/>
                <w:lang w:val="en-US" w:eastAsia="zh-CN"/>
              </w:rPr>
              <w:t>2</w:t>
            </w:r>
            <w:r>
              <w:rPr>
                <w:rFonts w:hint="default"/>
                <w:lang w:val="en-US" w:eastAsia="zh-CN"/>
              </w:rPr>
              <w:t>-</w:t>
            </w:r>
            <w:r>
              <w:rPr>
                <w:rFonts w:hint="eastAsia"/>
                <w:lang w:val="en-US" w:eastAsia="zh-CN"/>
              </w:rPr>
              <w:t xml:space="preserve">4  </w:t>
            </w:r>
            <w:r>
              <w:rPr>
                <w:rFonts w:hint="default"/>
                <w:lang w:val="en-US" w:eastAsia="zh-CN"/>
              </w:rPr>
              <w:t>污染源非正常排放量核算</w:t>
            </w:r>
          </w:p>
          <w:tbl>
            <w:tblPr>
              <w:tblStyle w:val="30"/>
              <w:tblW w:w="8443" w:type="dxa"/>
              <w:tblInd w:w="-15"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3"/>
              <w:gridCol w:w="838"/>
              <w:gridCol w:w="761"/>
              <w:gridCol w:w="1172"/>
              <w:gridCol w:w="1554"/>
              <w:gridCol w:w="1345"/>
              <w:gridCol w:w="665"/>
              <w:gridCol w:w="617"/>
              <w:gridCol w:w="1018"/>
            </w:tblGrid>
            <w:tr w14:paraId="0B39FCC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473" w:type="dxa"/>
                  <w:tcBorders>
                    <w:top w:val="single" w:color="000000" w:sz="12" w:space="0"/>
                    <w:left w:val="nil"/>
                    <w:tl2br w:val="nil"/>
                  </w:tcBorders>
                  <w:shd w:val="clear" w:color="auto" w:fill="auto"/>
                  <w:vAlign w:val="center"/>
                </w:tcPr>
                <w:p w14:paraId="4936795B">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序号</w:t>
                  </w:r>
                </w:p>
              </w:tc>
              <w:tc>
                <w:tcPr>
                  <w:tcW w:w="838" w:type="dxa"/>
                  <w:tcBorders>
                    <w:top w:val="single" w:color="000000" w:sz="12" w:space="0"/>
                  </w:tcBorders>
                  <w:shd w:val="clear" w:color="auto" w:fill="auto"/>
                  <w:vAlign w:val="center"/>
                </w:tcPr>
                <w:p w14:paraId="30A47A29">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排放源</w:t>
                  </w:r>
                </w:p>
              </w:tc>
              <w:tc>
                <w:tcPr>
                  <w:tcW w:w="761" w:type="dxa"/>
                  <w:tcBorders>
                    <w:top w:val="single" w:color="000000" w:sz="12" w:space="0"/>
                  </w:tcBorders>
                  <w:shd w:val="clear" w:color="auto" w:fill="auto"/>
                  <w:vAlign w:val="center"/>
                </w:tcPr>
                <w:p w14:paraId="4B55126B">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非正常排放原因</w:t>
                  </w:r>
                </w:p>
              </w:tc>
              <w:tc>
                <w:tcPr>
                  <w:tcW w:w="1172" w:type="dxa"/>
                  <w:tcBorders>
                    <w:top w:val="single" w:color="000000" w:sz="12" w:space="0"/>
                  </w:tcBorders>
                  <w:shd w:val="clear" w:color="auto" w:fill="auto"/>
                  <w:vAlign w:val="center"/>
                </w:tcPr>
                <w:p w14:paraId="3D0FBC3B">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污染源</w:t>
                  </w:r>
                </w:p>
              </w:tc>
              <w:tc>
                <w:tcPr>
                  <w:tcW w:w="1554" w:type="dxa"/>
                  <w:tcBorders>
                    <w:top w:val="single" w:color="000000" w:sz="12" w:space="0"/>
                  </w:tcBorders>
                  <w:shd w:val="clear" w:color="auto" w:fill="auto"/>
                  <w:vAlign w:val="center"/>
                </w:tcPr>
                <w:p w14:paraId="6F0B2F55">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非正常排放浓 度（mg/m3）</w:t>
                  </w:r>
                </w:p>
              </w:tc>
              <w:tc>
                <w:tcPr>
                  <w:tcW w:w="1345" w:type="dxa"/>
                  <w:tcBorders>
                    <w:top w:val="single" w:color="000000" w:sz="12" w:space="0"/>
                  </w:tcBorders>
                  <w:shd w:val="clear" w:color="auto" w:fill="auto"/>
                  <w:vAlign w:val="center"/>
                </w:tcPr>
                <w:p w14:paraId="093F673D">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非正常排放速率（kg/h）</w:t>
                  </w:r>
                </w:p>
              </w:tc>
              <w:tc>
                <w:tcPr>
                  <w:tcW w:w="665" w:type="dxa"/>
                  <w:tcBorders>
                    <w:top w:val="single" w:color="000000" w:sz="12" w:space="0"/>
                  </w:tcBorders>
                  <w:shd w:val="clear" w:color="auto" w:fill="auto"/>
                  <w:vAlign w:val="center"/>
                </w:tcPr>
                <w:p w14:paraId="7CB22D36">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单次维持时间</w:t>
                  </w:r>
                </w:p>
              </w:tc>
              <w:tc>
                <w:tcPr>
                  <w:tcW w:w="617" w:type="dxa"/>
                  <w:tcBorders>
                    <w:top w:val="single" w:color="000000" w:sz="12" w:space="0"/>
                  </w:tcBorders>
                  <w:shd w:val="clear" w:color="auto" w:fill="auto"/>
                  <w:vAlign w:val="center"/>
                </w:tcPr>
                <w:p w14:paraId="4BAA753D">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年发生次数</w:t>
                  </w:r>
                </w:p>
              </w:tc>
              <w:tc>
                <w:tcPr>
                  <w:tcW w:w="1018" w:type="dxa"/>
                  <w:tcBorders>
                    <w:top w:val="single" w:color="000000" w:sz="12" w:space="0"/>
                    <w:right w:val="nil"/>
                  </w:tcBorders>
                  <w:shd w:val="clear" w:color="auto" w:fill="auto"/>
                  <w:vAlign w:val="center"/>
                </w:tcPr>
                <w:p w14:paraId="1248D51B">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应对措施</w:t>
                  </w:r>
                </w:p>
              </w:tc>
            </w:tr>
            <w:tr w14:paraId="05B9E74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473" w:type="dxa"/>
                  <w:tcBorders>
                    <w:left w:val="nil"/>
                  </w:tcBorders>
                  <w:shd w:val="clear" w:color="auto" w:fill="auto"/>
                  <w:vAlign w:val="center"/>
                </w:tcPr>
                <w:p w14:paraId="7954BDBE">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1</w:t>
                  </w:r>
                </w:p>
              </w:tc>
              <w:tc>
                <w:tcPr>
                  <w:tcW w:w="838" w:type="dxa"/>
                  <w:vMerge w:val="restart"/>
                  <w:shd w:val="clear" w:color="auto" w:fill="auto"/>
                  <w:vAlign w:val="center"/>
                </w:tcPr>
                <w:p w14:paraId="1BEC74ED">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DA001</w:t>
                  </w:r>
                </w:p>
              </w:tc>
              <w:tc>
                <w:tcPr>
                  <w:tcW w:w="761" w:type="dxa"/>
                  <w:vMerge w:val="restart"/>
                  <w:shd w:val="clear" w:color="auto" w:fill="auto"/>
                  <w:vAlign w:val="center"/>
                </w:tcPr>
                <w:p w14:paraId="00159E07">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废气治理设施故障</w:t>
                  </w:r>
                </w:p>
              </w:tc>
              <w:tc>
                <w:tcPr>
                  <w:tcW w:w="1172" w:type="dxa"/>
                  <w:shd w:val="clear" w:color="auto" w:fill="auto"/>
                  <w:vAlign w:val="center"/>
                </w:tcPr>
                <w:p w14:paraId="7EC87949">
                  <w:pPr>
                    <w:pStyle w:val="39"/>
                    <w:keepNext w:val="0"/>
                    <w:keepLines w:val="0"/>
                    <w:widowControl/>
                    <w:suppressLineNumbers w:val="0"/>
                    <w:spacing w:before="0" w:beforeAutospacing="0" w:after="0" w:afterAutospacing="0"/>
                    <w:ind w:left="0" w:right="0"/>
                    <w:rPr>
                      <w:rFonts w:hint="default"/>
                      <w:szCs w:val="22"/>
                    </w:rPr>
                  </w:pPr>
                  <w:r>
                    <w:rPr>
                      <w:rFonts w:hint="eastAsia"/>
                      <w:szCs w:val="22"/>
                      <w:lang w:val="en-US" w:eastAsia="zh-CN"/>
                    </w:rPr>
                    <w:t>VOCs（以非甲烷总烃计）</w:t>
                  </w:r>
                </w:p>
              </w:tc>
              <w:tc>
                <w:tcPr>
                  <w:tcW w:w="1554" w:type="dxa"/>
                  <w:shd w:val="clear" w:color="auto" w:fill="auto"/>
                  <w:vAlign w:val="center"/>
                </w:tcPr>
                <w:p w14:paraId="22655E18">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5.144</w:t>
                  </w:r>
                </w:p>
              </w:tc>
              <w:tc>
                <w:tcPr>
                  <w:tcW w:w="1345" w:type="dxa"/>
                  <w:shd w:val="clear" w:color="auto" w:fill="auto"/>
                  <w:vAlign w:val="center"/>
                </w:tcPr>
                <w:p w14:paraId="5B2AA4C1">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0.1029</w:t>
                  </w:r>
                </w:p>
              </w:tc>
              <w:tc>
                <w:tcPr>
                  <w:tcW w:w="665" w:type="dxa"/>
                  <w:shd w:val="clear" w:color="auto" w:fill="auto"/>
                  <w:vAlign w:val="center"/>
                </w:tcPr>
                <w:p w14:paraId="13707FC9">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1h</w:t>
                  </w:r>
                </w:p>
              </w:tc>
              <w:tc>
                <w:tcPr>
                  <w:tcW w:w="617" w:type="dxa"/>
                  <w:shd w:val="clear" w:color="auto" w:fill="auto"/>
                  <w:vAlign w:val="center"/>
                </w:tcPr>
                <w:p w14:paraId="62D21875">
                  <w:pPr>
                    <w:pStyle w:val="39"/>
                    <w:keepNext w:val="0"/>
                    <w:keepLines w:val="0"/>
                    <w:widowControl/>
                    <w:suppressLineNumbers w:val="0"/>
                    <w:spacing w:before="0" w:beforeAutospacing="0" w:after="0" w:afterAutospacing="0"/>
                    <w:ind w:left="0" w:right="0"/>
                    <w:rPr>
                      <w:rFonts w:hint="default"/>
                      <w:szCs w:val="22"/>
                    </w:rPr>
                  </w:pPr>
                  <w:r>
                    <w:rPr>
                      <w:rFonts w:hint="eastAsia"/>
                      <w:szCs w:val="22"/>
                      <w:lang w:val="en-US" w:eastAsia="zh-CN"/>
                    </w:rPr>
                    <w:t>1次</w:t>
                  </w:r>
                </w:p>
              </w:tc>
              <w:tc>
                <w:tcPr>
                  <w:tcW w:w="1018" w:type="dxa"/>
                  <w:tcBorders>
                    <w:right w:val="nil"/>
                  </w:tcBorders>
                  <w:shd w:val="clear" w:color="auto" w:fill="auto"/>
                  <w:vAlign w:val="center"/>
                </w:tcPr>
                <w:p w14:paraId="0CF1D84D">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立即停产，修复后生产</w:t>
                  </w:r>
                </w:p>
              </w:tc>
            </w:tr>
            <w:tr w14:paraId="4A1BC10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795" w:hRule="atLeast"/>
              </w:trPr>
              <w:tc>
                <w:tcPr>
                  <w:tcW w:w="473" w:type="dxa"/>
                  <w:tcBorders>
                    <w:left w:val="nil"/>
                  </w:tcBorders>
                  <w:shd w:val="clear" w:color="auto" w:fill="auto"/>
                  <w:vAlign w:val="center"/>
                </w:tcPr>
                <w:p w14:paraId="778E6292">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2</w:t>
                  </w:r>
                </w:p>
              </w:tc>
              <w:tc>
                <w:tcPr>
                  <w:tcW w:w="838" w:type="dxa"/>
                  <w:vMerge w:val="continue"/>
                  <w:shd w:val="clear" w:color="auto" w:fill="auto"/>
                  <w:vAlign w:val="center"/>
                </w:tcPr>
                <w:p w14:paraId="61EDA840">
                  <w:pPr>
                    <w:pStyle w:val="39"/>
                    <w:keepNext w:val="0"/>
                    <w:keepLines w:val="0"/>
                    <w:widowControl/>
                    <w:suppressLineNumbers w:val="0"/>
                    <w:spacing w:before="0" w:beforeAutospacing="0" w:after="0" w:afterAutospacing="0"/>
                    <w:ind w:left="0" w:right="0"/>
                    <w:rPr>
                      <w:rFonts w:hint="default"/>
                      <w:szCs w:val="22"/>
                    </w:rPr>
                  </w:pPr>
                </w:p>
              </w:tc>
              <w:tc>
                <w:tcPr>
                  <w:tcW w:w="761" w:type="dxa"/>
                  <w:vMerge w:val="continue"/>
                  <w:shd w:val="clear" w:color="auto" w:fill="auto"/>
                  <w:vAlign w:val="center"/>
                </w:tcPr>
                <w:p w14:paraId="0469A38B">
                  <w:pPr>
                    <w:pStyle w:val="39"/>
                    <w:keepNext w:val="0"/>
                    <w:keepLines w:val="0"/>
                    <w:widowControl/>
                    <w:suppressLineNumbers w:val="0"/>
                    <w:spacing w:before="0" w:beforeAutospacing="0" w:after="0" w:afterAutospacing="0"/>
                    <w:ind w:left="0" w:right="0"/>
                    <w:rPr>
                      <w:rFonts w:hint="default"/>
                      <w:szCs w:val="22"/>
                    </w:rPr>
                  </w:pPr>
                </w:p>
              </w:tc>
              <w:tc>
                <w:tcPr>
                  <w:tcW w:w="1172" w:type="dxa"/>
                  <w:shd w:val="clear" w:color="auto" w:fill="auto"/>
                  <w:vAlign w:val="center"/>
                </w:tcPr>
                <w:p w14:paraId="1AECAC09">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颗粒物</w:t>
                  </w:r>
                </w:p>
              </w:tc>
              <w:tc>
                <w:tcPr>
                  <w:tcW w:w="1554" w:type="dxa"/>
                  <w:shd w:val="clear" w:color="auto" w:fill="auto"/>
                  <w:vAlign w:val="center"/>
                </w:tcPr>
                <w:p w14:paraId="63206EEC">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3.4648</w:t>
                  </w:r>
                </w:p>
              </w:tc>
              <w:tc>
                <w:tcPr>
                  <w:tcW w:w="1345" w:type="dxa"/>
                  <w:shd w:val="clear" w:color="auto" w:fill="auto"/>
                  <w:vAlign w:val="center"/>
                </w:tcPr>
                <w:p w14:paraId="50F88812">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0.0693</w:t>
                  </w:r>
                </w:p>
              </w:tc>
              <w:tc>
                <w:tcPr>
                  <w:tcW w:w="665" w:type="dxa"/>
                  <w:shd w:val="clear" w:color="auto" w:fill="auto"/>
                  <w:vAlign w:val="center"/>
                </w:tcPr>
                <w:p w14:paraId="6B2CDC0E">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1h</w:t>
                  </w:r>
                </w:p>
              </w:tc>
              <w:tc>
                <w:tcPr>
                  <w:tcW w:w="617" w:type="dxa"/>
                  <w:shd w:val="clear" w:color="auto" w:fill="auto"/>
                  <w:vAlign w:val="center"/>
                </w:tcPr>
                <w:p w14:paraId="706AE067">
                  <w:pPr>
                    <w:pStyle w:val="39"/>
                    <w:keepNext w:val="0"/>
                    <w:keepLines w:val="0"/>
                    <w:widowControl/>
                    <w:suppressLineNumbers w:val="0"/>
                    <w:spacing w:before="0" w:beforeAutospacing="0" w:after="0" w:afterAutospacing="0"/>
                    <w:ind w:left="0" w:right="0"/>
                    <w:rPr>
                      <w:rFonts w:hint="default"/>
                      <w:szCs w:val="22"/>
                    </w:rPr>
                  </w:pPr>
                  <w:r>
                    <w:rPr>
                      <w:rFonts w:hint="eastAsia"/>
                      <w:szCs w:val="22"/>
                      <w:lang w:val="en-US" w:eastAsia="zh-CN"/>
                    </w:rPr>
                    <w:t>1次</w:t>
                  </w:r>
                </w:p>
              </w:tc>
              <w:tc>
                <w:tcPr>
                  <w:tcW w:w="1018" w:type="dxa"/>
                  <w:tcBorders>
                    <w:right w:val="nil"/>
                  </w:tcBorders>
                  <w:shd w:val="clear" w:color="auto" w:fill="auto"/>
                  <w:vAlign w:val="center"/>
                </w:tcPr>
                <w:p w14:paraId="2AC6BB86">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立即停产，修复后生产</w:t>
                  </w:r>
                </w:p>
              </w:tc>
            </w:tr>
            <w:tr w14:paraId="70CA25A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trPr>
              <w:tc>
                <w:tcPr>
                  <w:tcW w:w="473" w:type="dxa"/>
                  <w:tcBorders>
                    <w:left w:val="nil"/>
                  </w:tcBorders>
                  <w:shd w:val="clear" w:color="auto" w:fill="auto"/>
                  <w:vAlign w:val="center"/>
                </w:tcPr>
                <w:p w14:paraId="55062C17">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3</w:t>
                  </w:r>
                </w:p>
              </w:tc>
              <w:tc>
                <w:tcPr>
                  <w:tcW w:w="838" w:type="dxa"/>
                  <w:vMerge w:val="restart"/>
                  <w:shd w:val="clear" w:color="auto" w:fill="auto"/>
                  <w:vAlign w:val="center"/>
                </w:tcPr>
                <w:p w14:paraId="0FEB9F3D">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DA002</w:t>
                  </w:r>
                </w:p>
              </w:tc>
              <w:tc>
                <w:tcPr>
                  <w:tcW w:w="761" w:type="dxa"/>
                  <w:vMerge w:val="continue"/>
                  <w:shd w:val="clear" w:color="auto" w:fill="auto"/>
                  <w:vAlign w:val="center"/>
                </w:tcPr>
                <w:p w14:paraId="5DA4B134">
                  <w:pPr>
                    <w:pStyle w:val="39"/>
                    <w:keepNext w:val="0"/>
                    <w:keepLines w:val="0"/>
                    <w:widowControl/>
                    <w:suppressLineNumbers w:val="0"/>
                    <w:spacing w:before="0" w:beforeAutospacing="0" w:after="0" w:afterAutospacing="0"/>
                    <w:ind w:left="0" w:right="0"/>
                    <w:rPr>
                      <w:rFonts w:hint="default"/>
                      <w:szCs w:val="22"/>
                    </w:rPr>
                  </w:pPr>
                </w:p>
              </w:tc>
              <w:tc>
                <w:tcPr>
                  <w:tcW w:w="1172" w:type="dxa"/>
                  <w:shd w:val="clear" w:color="auto" w:fill="auto"/>
                  <w:vAlign w:val="center"/>
                </w:tcPr>
                <w:p w14:paraId="53280D02">
                  <w:pPr>
                    <w:pStyle w:val="39"/>
                    <w:keepNext w:val="0"/>
                    <w:keepLines w:val="0"/>
                    <w:widowControl/>
                    <w:suppressLineNumbers w:val="0"/>
                    <w:spacing w:before="0" w:beforeAutospacing="0" w:after="0" w:afterAutospacing="0"/>
                    <w:ind w:left="0" w:right="0"/>
                    <w:rPr>
                      <w:rFonts w:hint="default"/>
                      <w:szCs w:val="22"/>
                    </w:rPr>
                  </w:pPr>
                  <w:r>
                    <w:rPr>
                      <w:rFonts w:hint="eastAsia"/>
                      <w:szCs w:val="22"/>
                      <w:lang w:val="en-US" w:eastAsia="zh-CN"/>
                    </w:rPr>
                    <w:t>VOCs（以非甲烷总烃计）</w:t>
                  </w:r>
                </w:p>
              </w:tc>
              <w:tc>
                <w:tcPr>
                  <w:tcW w:w="1554" w:type="dxa"/>
                  <w:shd w:val="clear" w:color="auto" w:fill="auto"/>
                  <w:vAlign w:val="center"/>
                </w:tcPr>
                <w:p w14:paraId="0C49D2C5">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10.288</w:t>
                  </w:r>
                </w:p>
              </w:tc>
              <w:tc>
                <w:tcPr>
                  <w:tcW w:w="1345" w:type="dxa"/>
                  <w:shd w:val="clear" w:color="auto" w:fill="auto"/>
                  <w:vAlign w:val="center"/>
                </w:tcPr>
                <w:p w14:paraId="69E02C47">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0.2058</w:t>
                  </w:r>
                </w:p>
              </w:tc>
              <w:tc>
                <w:tcPr>
                  <w:tcW w:w="665" w:type="dxa"/>
                  <w:shd w:val="clear" w:color="auto" w:fill="auto"/>
                  <w:vAlign w:val="center"/>
                </w:tcPr>
                <w:p w14:paraId="0730C7B2">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1h</w:t>
                  </w:r>
                </w:p>
              </w:tc>
              <w:tc>
                <w:tcPr>
                  <w:tcW w:w="617" w:type="dxa"/>
                  <w:shd w:val="clear" w:color="auto" w:fill="auto"/>
                  <w:vAlign w:val="center"/>
                </w:tcPr>
                <w:p w14:paraId="72AA168A">
                  <w:pPr>
                    <w:pStyle w:val="39"/>
                    <w:keepNext w:val="0"/>
                    <w:keepLines w:val="0"/>
                    <w:widowControl/>
                    <w:suppressLineNumbers w:val="0"/>
                    <w:spacing w:before="0" w:beforeAutospacing="0" w:after="0" w:afterAutospacing="0"/>
                    <w:ind w:left="0" w:right="0"/>
                    <w:rPr>
                      <w:rFonts w:hint="default"/>
                      <w:szCs w:val="22"/>
                    </w:rPr>
                  </w:pPr>
                  <w:r>
                    <w:rPr>
                      <w:rFonts w:hint="eastAsia"/>
                      <w:szCs w:val="22"/>
                      <w:lang w:val="en-US" w:eastAsia="zh-CN"/>
                    </w:rPr>
                    <w:t>1次</w:t>
                  </w:r>
                </w:p>
              </w:tc>
              <w:tc>
                <w:tcPr>
                  <w:tcW w:w="1018" w:type="dxa"/>
                  <w:tcBorders>
                    <w:right w:val="nil"/>
                  </w:tcBorders>
                  <w:shd w:val="clear" w:color="auto" w:fill="auto"/>
                  <w:vAlign w:val="center"/>
                </w:tcPr>
                <w:p w14:paraId="409AF23D">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立即停产，修复后生产</w:t>
                  </w:r>
                </w:p>
              </w:tc>
            </w:tr>
            <w:tr w14:paraId="2C9259B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trPr>
              <w:tc>
                <w:tcPr>
                  <w:tcW w:w="473" w:type="dxa"/>
                  <w:tcBorders>
                    <w:left w:val="nil"/>
                    <w:bottom w:val="single" w:color="000000" w:sz="12" w:space="0"/>
                  </w:tcBorders>
                  <w:shd w:val="clear" w:color="auto" w:fill="auto"/>
                  <w:vAlign w:val="center"/>
                </w:tcPr>
                <w:p w14:paraId="3BB0225B">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4</w:t>
                  </w:r>
                </w:p>
              </w:tc>
              <w:tc>
                <w:tcPr>
                  <w:tcW w:w="838" w:type="dxa"/>
                  <w:vMerge w:val="continue"/>
                  <w:tcBorders>
                    <w:bottom w:val="single" w:color="000000" w:sz="12" w:space="0"/>
                  </w:tcBorders>
                  <w:shd w:val="clear" w:color="auto" w:fill="auto"/>
                  <w:vAlign w:val="center"/>
                </w:tcPr>
                <w:p w14:paraId="046004F1">
                  <w:pPr>
                    <w:pStyle w:val="39"/>
                    <w:keepNext w:val="0"/>
                    <w:keepLines w:val="0"/>
                    <w:widowControl/>
                    <w:suppressLineNumbers w:val="0"/>
                    <w:spacing w:before="0" w:beforeAutospacing="0" w:after="0" w:afterAutospacing="0"/>
                    <w:ind w:left="0" w:right="0"/>
                    <w:rPr>
                      <w:rFonts w:hint="default"/>
                      <w:szCs w:val="22"/>
                    </w:rPr>
                  </w:pPr>
                </w:p>
              </w:tc>
              <w:tc>
                <w:tcPr>
                  <w:tcW w:w="761" w:type="dxa"/>
                  <w:vMerge w:val="continue"/>
                  <w:tcBorders>
                    <w:bottom w:val="single" w:color="000000" w:sz="12" w:space="0"/>
                  </w:tcBorders>
                  <w:shd w:val="clear" w:color="auto" w:fill="auto"/>
                  <w:vAlign w:val="center"/>
                </w:tcPr>
                <w:p w14:paraId="4658F861">
                  <w:pPr>
                    <w:pStyle w:val="39"/>
                    <w:keepNext w:val="0"/>
                    <w:keepLines w:val="0"/>
                    <w:widowControl/>
                    <w:suppressLineNumbers w:val="0"/>
                    <w:spacing w:before="0" w:beforeAutospacing="0" w:after="0" w:afterAutospacing="0"/>
                    <w:ind w:left="0" w:right="0"/>
                    <w:rPr>
                      <w:rFonts w:hint="default"/>
                      <w:szCs w:val="22"/>
                    </w:rPr>
                  </w:pPr>
                </w:p>
              </w:tc>
              <w:tc>
                <w:tcPr>
                  <w:tcW w:w="1172" w:type="dxa"/>
                  <w:tcBorders>
                    <w:bottom w:val="single" w:color="000000" w:sz="12" w:space="0"/>
                  </w:tcBorders>
                  <w:shd w:val="clear" w:color="auto" w:fill="auto"/>
                  <w:vAlign w:val="center"/>
                </w:tcPr>
                <w:p w14:paraId="11B07E5E">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颗粒物</w:t>
                  </w:r>
                </w:p>
              </w:tc>
              <w:tc>
                <w:tcPr>
                  <w:tcW w:w="1554" w:type="dxa"/>
                  <w:tcBorders>
                    <w:bottom w:val="single" w:color="000000" w:sz="12" w:space="0"/>
                  </w:tcBorders>
                  <w:shd w:val="clear" w:color="auto" w:fill="auto"/>
                  <w:vAlign w:val="center"/>
                </w:tcPr>
                <w:p w14:paraId="72AF19D5">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6.9296</w:t>
                  </w:r>
                </w:p>
              </w:tc>
              <w:tc>
                <w:tcPr>
                  <w:tcW w:w="1345" w:type="dxa"/>
                  <w:tcBorders>
                    <w:bottom w:val="single" w:color="000000" w:sz="12" w:space="0"/>
                  </w:tcBorders>
                  <w:shd w:val="clear" w:color="auto" w:fill="auto"/>
                  <w:vAlign w:val="center"/>
                </w:tcPr>
                <w:p w14:paraId="43D29A6F">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0.1386</w:t>
                  </w:r>
                </w:p>
              </w:tc>
              <w:tc>
                <w:tcPr>
                  <w:tcW w:w="665" w:type="dxa"/>
                  <w:tcBorders>
                    <w:bottom w:val="single" w:color="000000" w:sz="12" w:space="0"/>
                  </w:tcBorders>
                  <w:shd w:val="clear" w:color="auto" w:fill="auto"/>
                  <w:vAlign w:val="center"/>
                </w:tcPr>
                <w:p w14:paraId="20F7302B">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1h</w:t>
                  </w:r>
                </w:p>
              </w:tc>
              <w:tc>
                <w:tcPr>
                  <w:tcW w:w="617" w:type="dxa"/>
                  <w:tcBorders>
                    <w:bottom w:val="single" w:color="000000" w:sz="12" w:space="0"/>
                  </w:tcBorders>
                  <w:shd w:val="clear" w:color="auto" w:fill="auto"/>
                  <w:vAlign w:val="center"/>
                </w:tcPr>
                <w:p w14:paraId="17B499AE">
                  <w:pPr>
                    <w:pStyle w:val="39"/>
                    <w:keepNext w:val="0"/>
                    <w:keepLines w:val="0"/>
                    <w:widowControl/>
                    <w:suppressLineNumbers w:val="0"/>
                    <w:spacing w:before="0" w:beforeAutospacing="0" w:after="0" w:afterAutospacing="0"/>
                    <w:ind w:left="0" w:right="0"/>
                    <w:rPr>
                      <w:rFonts w:hint="default"/>
                      <w:szCs w:val="22"/>
                    </w:rPr>
                  </w:pPr>
                  <w:r>
                    <w:rPr>
                      <w:rFonts w:hint="eastAsia"/>
                      <w:szCs w:val="22"/>
                      <w:lang w:val="en-US" w:eastAsia="zh-CN"/>
                    </w:rPr>
                    <w:t>1次</w:t>
                  </w:r>
                </w:p>
              </w:tc>
              <w:tc>
                <w:tcPr>
                  <w:tcW w:w="1018" w:type="dxa"/>
                  <w:tcBorders>
                    <w:bottom w:val="single" w:color="000000" w:sz="12" w:space="0"/>
                    <w:right w:val="nil"/>
                  </w:tcBorders>
                  <w:shd w:val="clear" w:color="auto" w:fill="auto"/>
                  <w:vAlign w:val="center"/>
                </w:tcPr>
                <w:p w14:paraId="3E7B44C3">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立即停产，修复后生产</w:t>
                  </w:r>
                </w:p>
              </w:tc>
            </w:tr>
          </w:tbl>
          <w:p w14:paraId="0BDECDD6">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（2）非正常排放防治措施</w:t>
            </w:r>
          </w:p>
          <w:p w14:paraId="68F72736">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针对以上非正常排放情形，本评价建议建设单位在生产运营期间采取以下控制措施以避免或减少废气非正常排放。</w:t>
            </w:r>
          </w:p>
          <w:p w14:paraId="3FE6178A">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①规范车间生产操作，避免因员工操作不当导致工艺设备、环保设施故障引发废气事故排放。</w:t>
            </w:r>
          </w:p>
          <w:p w14:paraId="2CCFC884">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②定期对生产设施及废气处理设施进行检查维护，杜绝非正常工况发生，避免非正常排放出现后才采取维护措施。</w:t>
            </w:r>
          </w:p>
          <w:p w14:paraId="706D20E5">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综上，项目在采取上述非正常排放防范措施后，非正常排放发生频率较低，非正常排放下污染物排放量较少，非正常工况可及时得到处理，因此本项目废气非正常排放对周边大气环境影响较小。</w:t>
            </w:r>
          </w:p>
          <w:p w14:paraId="622E7A57">
            <w:pPr>
              <w:pStyle w:val="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运营期声环境影响分析和污染防治措施 </w:t>
            </w:r>
          </w:p>
          <w:p w14:paraId="56488E27">
            <w:pPr>
              <w:pStyle w:val="4"/>
              <w:suppressLineNumbers w:val="0"/>
              <w:bidi w:val="0"/>
              <w:spacing w:before="0" w:beforeAutospacing="0" w:after="0" w:afterAutospacing="0"/>
              <w:ind w:left="0" w:right="0"/>
              <w:rPr>
                <w:rFonts w:hint="default"/>
                <w:lang w:val="en-US" w:eastAsia="zh-CN"/>
              </w:rPr>
            </w:pPr>
            <w:r>
              <w:rPr>
                <w:rFonts w:hint="eastAsia"/>
                <w:lang w:val="en-US" w:eastAsia="zh-CN"/>
              </w:rPr>
              <w:t>噪声污染源强分析</w:t>
            </w:r>
          </w:p>
          <w:p w14:paraId="0B21813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本项目主要的噪声污染源为</w:t>
            </w:r>
            <w:r>
              <w:rPr>
                <w:rFonts w:hint="default" w:ascii="Times New Roman" w:hAnsi="Times New Roman" w:eastAsia="宋体" w:cs="Times New Roman"/>
                <w:color w:val="auto"/>
                <w:sz w:val="24"/>
                <w:szCs w:val="24"/>
                <w:highlight w:val="none"/>
                <w:lang w:eastAsia="zh-CN"/>
              </w:rPr>
              <w:t>项目生产设备</w:t>
            </w:r>
            <w:r>
              <w:rPr>
                <w:rFonts w:hint="default" w:ascii="Times New Roman" w:hAnsi="Times New Roman" w:eastAsia="宋体" w:cs="Times New Roman"/>
                <w:color w:val="auto"/>
                <w:sz w:val="24"/>
                <w:szCs w:val="24"/>
                <w:highlight w:val="none"/>
              </w:rPr>
              <w:t>运行</w:t>
            </w:r>
            <w:r>
              <w:rPr>
                <w:rFonts w:hint="default" w:ascii="Times New Roman" w:hAnsi="Times New Roman" w:eastAsia="宋体" w:cs="Times New Roman"/>
                <w:color w:val="auto"/>
                <w:sz w:val="24"/>
                <w:szCs w:val="24"/>
                <w:highlight w:val="none"/>
                <w:lang w:eastAsia="zh-CN"/>
              </w:rPr>
              <w:t>过程中</w:t>
            </w:r>
            <w:r>
              <w:rPr>
                <w:rFonts w:hint="default" w:ascii="Times New Roman" w:hAnsi="Times New Roman" w:eastAsia="宋体" w:cs="Times New Roman"/>
                <w:color w:val="auto"/>
                <w:sz w:val="24"/>
                <w:szCs w:val="24"/>
                <w:highlight w:val="none"/>
              </w:rPr>
              <w:t>产生的噪声，根据类比分析，各设备噪声源强详见表</w:t>
            </w:r>
            <w:r>
              <w:rPr>
                <w:rFonts w:hint="default"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p>
          <w:p w14:paraId="1A674FEB">
            <w:pPr>
              <w:pStyle w:val="40"/>
              <w:keepNext w:val="0"/>
              <w:keepLines w:val="0"/>
              <w:suppressLineNumbers w:val="0"/>
              <w:bidi w:val="0"/>
              <w:spacing w:before="0" w:beforeAutospacing="0" w:after="0" w:afterAutospacing="0"/>
              <w:ind w:left="0" w:right="0"/>
              <w:rPr>
                <w:rFonts w:hint="eastAsia"/>
              </w:rPr>
            </w:pPr>
            <w:r>
              <w:rPr>
                <w:rFonts w:hint="eastAsia"/>
              </w:rPr>
              <w:t>表</w:t>
            </w:r>
            <w:r>
              <w:rPr>
                <w:rFonts w:hint="eastAsia"/>
                <w:lang w:val="en-US" w:eastAsia="zh-CN"/>
              </w:rPr>
              <w:t>4.3-1 项目设备噪声</w:t>
            </w:r>
            <w:r>
              <w:rPr>
                <w:rFonts w:hint="eastAsia"/>
              </w:rPr>
              <w:t>一览表</w:t>
            </w:r>
          </w:p>
          <w:tbl>
            <w:tblPr>
              <w:tblStyle w:val="30"/>
              <w:tblW w:w="4997"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59"/>
              <w:gridCol w:w="1283"/>
              <w:gridCol w:w="517"/>
              <w:gridCol w:w="850"/>
              <w:gridCol w:w="1766"/>
              <w:gridCol w:w="1150"/>
              <w:gridCol w:w="667"/>
              <w:gridCol w:w="717"/>
              <w:gridCol w:w="853"/>
            </w:tblGrid>
            <w:tr w14:paraId="3944388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101" w:type="pct"/>
                  <w:gridSpan w:val="2"/>
                  <w:tcBorders>
                    <w:top w:val="single" w:color="000000" w:sz="12" w:space="0"/>
                    <w:left w:val="nil"/>
                    <w:tl2br w:val="nil"/>
                  </w:tcBorders>
                  <w:shd w:val="clear" w:color="auto" w:fill="auto"/>
                  <w:vAlign w:val="center"/>
                </w:tcPr>
                <w:p w14:paraId="73662900">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噪声源</w:t>
                  </w:r>
                </w:p>
              </w:tc>
              <w:tc>
                <w:tcPr>
                  <w:tcW w:w="309" w:type="pct"/>
                  <w:tcBorders>
                    <w:top w:val="single" w:color="000000" w:sz="12" w:space="0"/>
                  </w:tcBorders>
                  <w:shd w:val="clear" w:color="auto" w:fill="auto"/>
                  <w:vAlign w:val="center"/>
                </w:tcPr>
                <w:p w14:paraId="39AEFBC8">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数量</w:t>
                  </w:r>
                </w:p>
              </w:tc>
              <w:tc>
                <w:tcPr>
                  <w:tcW w:w="508" w:type="pct"/>
                  <w:tcBorders>
                    <w:top w:val="single" w:color="000000" w:sz="12" w:space="0"/>
                  </w:tcBorders>
                  <w:shd w:val="clear" w:color="auto" w:fill="auto"/>
                  <w:vAlign w:val="center"/>
                </w:tcPr>
                <w:p w14:paraId="51951B66">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产生噪声值</w:t>
                  </w:r>
                </w:p>
              </w:tc>
              <w:tc>
                <w:tcPr>
                  <w:tcW w:w="1055" w:type="pct"/>
                  <w:tcBorders>
                    <w:top w:val="single" w:color="000000" w:sz="12" w:space="0"/>
                  </w:tcBorders>
                  <w:shd w:val="clear" w:color="auto" w:fill="auto"/>
                  <w:vAlign w:val="center"/>
                </w:tcPr>
                <w:p w14:paraId="152C7A4F">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经纬度</w:t>
                  </w:r>
                </w:p>
              </w:tc>
              <w:tc>
                <w:tcPr>
                  <w:tcW w:w="687" w:type="pct"/>
                  <w:tcBorders>
                    <w:top w:val="single" w:color="000000" w:sz="12" w:space="0"/>
                  </w:tcBorders>
                  <w:shd w:val="clear" w:color="auto" w:fill="auto"/>
                  <w:vAlign w:val="center"/>
                </w:tcPr>
                <w:p w14:paraId="29ECFABF">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降噪措施</w:t>
                  </w:r>
                </w:p>
              </w:tc>
              <w:tc>
                <w:tcPr>
                  <w:tcW w:w="398" w:type="pct"/>
                  <w:tcBorders>
                    <w:top w:val="single" w:color="000000" w:sz="12" w:space="0"/>
                  </w:tcBorders>
                  <w:shd w:val="clear" w:color="auto" w:fill="auto"/>
                  <w:vAlign w:val="center"/>
                </w:tcPr>
                <w:p w14:paraId="0D2E3208">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持续时间（h）</w:t>
                  </w:r>
                </w:p>
              </w:tc>
              <w:tc>
                <w:tcPr>
                  <w:tcW w:w="428" w:type="pct"/>
                  <w:tcBorders>
                    <w:top w:val="single" w:color="000000" w:sz="12" w:space="0"/>
                  </w:tcBorders>
                  <w:shd w:val="clear" w:color="auto" w:fill="auto"/>
                  <w:vAlign w:val="center"/>
                </w:tcPr>
                <w:p w14:paraId="349B7916">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产生噪声值</w:t>
                  </w:r>
                </w:p>
              </w:tc>
              <w:tc>
                <w:tcPr>
                  <w:tcW w:w="510" w:type="pct"/>
                  <w:tcBorders>
                    <w:top w:val="single" w:color="000000" w:sz="12" w:space="0"/>
                    <w:right w:val="nil"/>
                  </w:tcBorders>
                  <w:shd w:val="clear" w:color="auto" w:fill="auto"/>
                  <w:vAlign w:val="center"/>
                </w:tcPr>
                <w:p w14:paraId="0D4C8B82">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降噪效果dB（A）</w:t>
                  </w:r>
                </w:p>
              </w:tc>
            </w:tr>
            <w:tr w14:paraId="1112A12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34" w:type="pct"/>
                  <w:vMerge w:val="restart"/>
                  <w:tcBorders>
                    <w:left w:val="nil"/>
                  </w:tcBorders>
                  <w:shd w:val="clear" w:color="auto" w:fill="auto"/>
                  <w:vAlign w:val="center"/>
                </w:tcPr>
                <w:p w14:paraId="611369C9">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生产设备</w:t>
                  </w:r>
                </w:p>
              </w:tc>
              <w:tc>
                <w:tcPr>
                  <w:tcW w:w="767" w:type="pct"/>
                  <w:shd w:val="clear" w:color="auto" w:fill="auto"/>
                  <w:vAlign w:val="center"/>
                </w:tcPr>
                <w:p w14:paraId="01765BD0">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水帘柜</w:t>
                  </w:r>
                </w:p>
              </w:tc>
              <w:tc>
                <w:tcPr>
                  <w:tcW w:w="309" w:type="pct"/>
                  <w:shd w:val="clear" w:color="auto" w:fill="auto"/>
                  <w:vAlign w:val="center"/>
                </w:tcPr>
                <w:p w14:paraId="317092C8">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9</w:t>
                  </w:r>
                </w:p>
              </w:tc>
              <w:tc>
                <w:tcPr>
                  <w:tcW w:w="508" w:type="pct"/>
                  <w:shd w:val="clear" w:color="auto" w:fill="auto"/>
                  <w:vAlign w:val="center"/>
                </w:tcPr>
                <w:p w14:paraId="7208F5F0">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70-80</w:t>
                  </w:r>
                </w:p>
              </w:tc>
              <w:tc>
                <w:tcPr>
                  <w:tcW w:w="1055" w:type="pct"/>
                  <w:shd w:val="clear" w:color="auto" w:fill="auto"/>
                  <w:vAlign w:val="center"/>
                </w:tcPr>
                <w:p w14:paraId="399EDB43">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119.4203,25.7648</w:t>
                  </w:r>
                </w:p>
              </w:tc>
              <w:tc>
                <w:tcPr>
                  <w:tcW w:w="687" w:type="pct"/>
                  <w:vMerge w:val="restart"/>
                  <w:shd w:val="clear" w:color="auto" w:fill="auto"/>
                  <w:vAlign w:val="center"/>
                </w:tcPr>
                <w:p w14:paraId="6EAA7F0A">
                  <w:pPr>
                    <w:pStyle w:val="39"/>
                    <w:keepNext w:val="0"/>
                    <w:keepLines w:val="0"/>
                    <w:widowControl/>
                    <w:suppressLineNumbers w:val="0"/>
                    <w:spacing w:before="0" w:beforeAutospacing="0" w:after="0" w:afterAutospacing="0"/>
                    <w:ind w:left="0" w:right="0"/>
                    <w:rPr>
                      <w:rFonts w:hint="eastAsia"/>
                      <w:szCs w:val="22"/>
                    </w:rPr>
                  </w:pPr>
                  <w:r>
                    <w:rPr>
                      <w:rFonts w:hint="eastAsia"/>
                      <w:szCs w:val="22"/>
                      <w:lang w:val="en-US" w:eastAsia="zh-CN"/>
                    </w:rPr>
                    <w:t>高噪声设备基础安装减振，进行装消声器等降噪措施</w:t>
                  </w:r>
                </w:p>
              </w:tc>
              <w:tc>
                <w:tcPr>
                  <w:tcW w:w="398" w:type="pct"/>
                  <w:shd w:val="clear" w:color="auto" w:fill="auto"/>
                  <w:vAlign w:val="center"/>
                </w:tcPr>
                <w:p w14:paraId="0CCB013D">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12</w:t>
                  </w:r>
                </w:p>
              </w:tc>
              <w:tc>
                <w:tcPr>
                  <w:tcW w:w="428" w:type="pct"/>
                  <w:shd w:val="clear" w:color="auto" w:fill="auto"/>
                  <w:vAlign w:val="center"/>
                </w:tcPr>
                <w:p w14:paraId="78B0F648">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75</w:t>
                  </w:r>
                </w:p>
              </w:tc>
              <w:tc>
                <w:tcPr>
                  <w:tcW w:w="510" w:type="pct"/>
                  <w:tcBorders>
                    <w:right w:val="nil"/>
                  </w:tcBorders>
                  <w:shd w:val="clear" w:color="auto" w:fill="auto"/>
                  <w:vAlign w:val="center"/>
                </w:tcPr>
                <w:p w14:paraId="6F5C58BE">
                  <w:pPr>
                    <w:pStyle w:val="39"/>
                    <w:keepNext w:val="0"/>
                    <w:keepLines w:val="0"/>
                    <w:widowControl/>
                    <w:suppressLineNumbers w:val="0"/>
                    <w:spacing w:before="0" w:beforeAutospacing="0" w:after="0" w:afterAutospacing="0"/>
                    <w:ind w:left="0" w:right="0"/>
                    <w:rPr>
                      <w:rFonts w:hint="default"/>
                      <w:szCs w:val="22"/>
                    </w:rPr>
                  </w:pPr>
                  <w:r>
                    <w:rPr>
                      <w:rFonts w:hint="default"/>
                      <w:szCs w:val="22"/>
                      <w:lang w:val="en-US" w:eastAsia="zh-CN"/>
                    </w:rPr>
                    <w:t>45</w:t>
                  </w:r>
                </w:p>
              </w:tc>
            </w:tr>
            <w:tr w14:paraId="4884495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334" w:type="pct"/>
                  <w:vMerge w:val="continue"/>
                  <w:tcBorders>
                    <w:left w:val="nil"/>
                  </w:tcBorders>
                  <w:shd w:val="clear" w:color="auto" w:fill="auto"/>
                  <w:vAlign w:val="center"/>
                </w:tcPr>
                <w:p w14:paraId="47D0858E">
                  <w:pPr>
                    <w:pStyle w:val="39"/>
                    <w:keepNext w:val="0"/>
                    <w:keepLines w:val="0"/>
                    <w:widowControl/>
                    <w:suppressLineNumbers w:val="0"/>
                    <w:spacing w:before="0" w:beforeAutospacing="0" w:after="0" w:afterAutospacing="0"/>
                    <w:ind w:left="0" w:right="0"/>
                    <w:jc w:val="center"/>
                    <w:rPr>
                      <w:rFonts w:hint="eastAsia"/>
                      <w:szCs w:val="22"/>
                    </w:rPr>
                  </w:pPr>
                </w:p>
              </w:tc>
              <w:tc>
                <w:tcPr>
                  <w:tcW w:w="767" w:type="pct"/>
                  <w:shd w:val="clear" w:color="auto" w:fill="auto"/>
                  <w:vAlign w:val="center"/>
                </w:tcPr>
                <w:p w14:paraId="7FCAD464">
                  <w:pPr>
                    <w:pStyle w:val="39"/>
                    <w:keepNext w:val="0"/>
                    <w:keepLines w:val="0"/>
                    <w:widowControl/>
                    <w:suppressLineNumbers w:val="0"/>
                    <w:spacing w:before="0" w:beforeAutospacing="0" w:after="0" w:afterAutospacing="0"/>
                    <w:ind w:left="0" w:right="0"/>
                    <w:jc w:val="center"/>
                    <w:textAlignment w:val="center"/>
                    <w:rPr>
                      <w:rFonts w:hint="eastAsia"/>
                      <w:szCs w:val="22"/>
                    </w:rPr>
                  </w:pPr>
                  <w:r>
                    <w:rPr>
                      <w:rFonts w:hint="eastAsia"/>
                      <w:szCs w:val="22"/>
                      <w:lang w:val="en-US" w:eastAsia="zh-CN"/>
                    </w:rPr>
                    <w:t>喷漆平板线</w:t>
                  </w:r>
                </w:p>
              </w:tc>
              <w:tc>
                <w:tcPr>
                  <w:tcW w:w="309" w:type="pct"/>
                  <w:shd w:val="clear" w:color="auto" w:fill="auto"/>
                  <w:vAlign w:val="center"/>
                </w:tcPr>
                <w:p w14:paraId="620FCAE9">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3</w:t>
                  </w:r>
                </w:p>
              </w:tc>
              <w:tc>
                <w:tcPr>
                  <w:tcW w:w="508" w:type="pct"/>
                  <w:shd w:val="clear" w:color="auto" w:fill="auto"/>
                  <w:vAlign w:val="center"/>
                </w:tcPr>
                <w:p w14:paraId="6E7DC7D2">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75-85</w:t>
                  </w:r>
                </w:p>
              </w:tc>
              <w:tc>
                <w:tcPr>
                  <w:tcW w:w="1055" w:type="pct"/>
                  <w:shd w:val="clear" w:color="auto" w:fill="auto"/>
                  <w:vAlign w:val="center"/>
                </w:tcPr>
                <w:p w14:paraId="7A9F87F5">
                  <w:pPr>
                    <w:pStyle w:val="39"/>
                    <w:keepNext w:val="0"/>
                    <w:keepLines w:val="0"/>
                    <w:widowControl/>
                    <w:suppressLineNumbers w:val="0"/>
                    <w:spacing w:before="0" w:beforeAutospacing="0" w:after="0" w:afterAutospacing="0"/>
                    <w:ind w:left="0" w:right="0"/>
                    <w:jc w:val="center"/>
                    <w:textAlignment w:val="center"/>
                    <w:rPr>
                      <w:rFonts w:hint="eastAsia"/>
                      <w:szCs w:val="22"/>
                    </w:rPr>
                  </w:pPr>
                  <w:r>
                    <w:rPr>
                      <w:rFonts w:hint="eastAsia"/>
                      <w:szCs w:val="22"/>
                      <w:lang w:val="en-US" w:eastAsia="zh-CN"/>
                    </w:rPr>
                    <w:t>119.4203,26.7647</w:t>
                  </w:r>
                </w:p>
              </w:tc>
              <w:tc>
                <w:tcPr>
                  <w:tcW w:w="687" w:type="pct"/>
                  <w:vMerge w:val="continue"/>
                  <w:shd w:val="clear" w:color="auto" w:fill="auto"/>
                  <w:vAlign w:val="center"/>
                </w:tcPr>
                <w:p w14:paraId="016111EF">
                  <w:pPr>
                    <w:pStyle w:val="39"/>
                    <w:keepNext w:val="0"/>
                    <w:keepLines w:val="0"/>
                    <w:widowControl/>
                    <w:suppressLineNumbers w:val="0"/>
                    <w:spacing w:before="0" w:beforeAutospacing="0" w:after="0" w:afterAutospacing="0"/>
                    <w:ind w:left="0" w:right="0"/>
                    <w:jc w:val="center"/>
                    <w:rPr>
                      <w:rFonts w:hint="eastAsia"/>
                      <w:szCs w:val="22"/>
                    </w:rPr>
                  </w:pPr>
                </w:p>
              </w:tc>
              <w:tc>
                <w:tcPr>
                  <w:tcW w:w="398" w:type="pct"/>
                  <w:shd w:val="clear" w:color="auto" w:fill="auto"/>
                  <w:vAlign w:val="center"/>
                </w:tcPr>
                <w:p w14:paraId="08022A2B">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12</w:t>
                  </w:r>
                </w:p>
              </w:tc>
              <w:tc>
                <w:tcPr>
                  <w:tcW w:w="428" w:type="pct"/>
                  <w:shd w:val="clear" w:color="auto" w:fill="auto"/>
                  <w:vAlign w:val="center"/>
                </w:tcPr>
                <w:p w14:paraId="36E22B93">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80</w:t>
                  </w:r>
                </w:p>
              </w:tc>
              <w:tc>
                <w:tcPr>
                  <w:tcW w:w="510" w:type="pct"/>
                  <w:tcBorders>
                    <w:right w:val="nil"/>
                  </w:tcBorders>
                  <w:shd w:val="clear" w:color="auto" w:fill="auto"/>
                  <w:vAlign w:val="center"/>
                </w:tcPr>
                <w:p w14:paraId="0C1AD273">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50</w:t>
                  </w:r>
                </w:p>
              </w:tc>
            </w:tr>
            <w:tr w14:paraId="3591304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4" w:type="pct"/>
                  <w:vMerge w:val="continue"/>
                  <w:tcBorders>
                    <w:left w:val="nil"/>
                  </w:tcBorders>
                  <w:shd w:val="clear" w:color="auto" w:fill="auto"/>
                  <w:vAlign w:val="center"/>
                </w:tcPr>
                <w:p w14:paraId="2C0EDAD5">
                  <w:pPr>
                    <w:pStyle w:val="39"/>
                    <w:keepNext w:val="0"/>
                    <w:keepLines w:val="0"/>
                    <w:widowControl/>
                    <w:suppressLineNumbers w:val="0"/>
                    <w:spacing w:before="0" w:beforeAutospacing="0" w:after="0" w:afterAutospacing="0"/>
                    <w:ind w:left="0" w:right="0"/>
                    <w:jc w:val="center"/>
                    <w:rPr>
                      <w:rFonts w:hint="eastAsia"/>
                      <w:szCs w:val="22"/>
                    </w:rPr>
                  </w:pPr>
                </w:p>
              </w:tc>
              <w:tc>
                <w:tcPr>
                  <w:tcW w:w="767" w:type="pct"/>
                  <w:shd w:val="clear" w:color="auto" w:fill="auto"/>
                  <w:vAlign w:val="center"/>
                </w:tcPr>
                <w:p w14:paraId="3B421390">
                  <w:pPr>
                    <w:pStyle w:val="39"/>
                    <w:keepNext w:val="0"/>
                    <w:keepLines w:val="0"/>
                    <w:widowControl/>
                    <w:suppressLineNumbers w:val="0"/>
                    <w:spacing w:before="0" w:beforeAutospacing="0" w:after="0" w:afterAutospacing="0"/>
                    <w:ind w:left="0" w:right="0"/>
                    <w:jc w:val="center"/>
                    <w:textAlignment w:val="center"/>
                    <w:rPr>
                      <w:rFonts w:hint="eastAsia"/>
                      <w:szCs w:val="22"/>
                    </w:rPr>
                  </w:pPr>
                  <w:r>
                    <w:rPr>
                      <w:rFonts w:hint="eastAsia"/>
                      <w:szCs w:val="22"/>
                      <w:lang w:val="en-US" w:eastAsia="zh-CN"/>
                    </w:rPr>
                    <w:t>抛光机</w:t>
                  </w:r>
                </w:p>
              </w:tc>
              <w:tc>
                <w:tcPr>
                  <w:tcW w:w="309" w:type="pct"/>
                  <w:shd w:val="clear" w:color="auto" w:fill="auto"/>
                  <w:vAlign w:val="center"/>
                </w:tcPr>
                <w:p w14:paraId="6442D020">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30</w:t>
                  </w:r>
                </w:p>
              </w:tc>
              <w:tc>
                <w:tcPr>
                  <w:tcW w:w="508" w:type="pct"/>
                  <w:shd w:val="clear" w:color="auto" w:fill="auto"/>
                  <w:vAlign w:val="center"/>
                </w:tcPr>
                <w:p w14:paraId="396DE7E1">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80-90</w:t>
                  </w:r>
                </w:p>
              </w:tc>
              <w:tc>
                <w:tcPr>
                  <w:tcW w:w="1055" w:type="pct"/>
                  <w:shd w:val="clear" w:color="auto" w:fill="auto"/>
                  <w:vAlign w:val="center"/>
                </w:tcPr>
                <w:p w14:paraId="325CCC6C">
                  <w:pPr>
                    <w:pStyle w:val="39"/>
                    <w:keepNext w:val="0"/>
                    <w:keepLines w:val="0"/>
                    <w:widowControl/>
                    <w:suppressLineNumbers w:val="0"/>
                    <w:spacing w:before="0" w:beforeAutospacing="0" w:after="0" w:afterAutospacing="0"/>
                    <w:ind w:left="0" w:right="0"/>
                    <w:jc w:val="center"/>
                    <w:textAlignment w:val="center"/>
                    <w:rPr>
                      <w:rFonts w:hint="eastAsia"/>
                      <w:szCs w:val="22"/>
                    </w:rPr>
                  </w:pPr>
                  <w:r>
                    <w:rPr>
                      <w:rFonts w:hint="eastAsia"/>
                      <w:szCs w:val="22"/>
                      <w:lang w:val="en-US" w:eastAsia="zh-CN"/>
                    </w:rPr>
                    <w:t>119.4203,26.7647</w:t>
                  </w:r>
                </w:p>
              </w:tc>
              <w:tc>
                <w:tcPr>
                  <w:tcW w:w="687" w:type="pct"/>
                  <w:vMerge w:val="continue"/>
                  <w:shd w:val="clear" w:color="auto" w:fill="auto"/>
                  <w:vAlign w:val="center"/>
                </w:tcPr>
                <w:p w14:paraId="387CF876">
                  <w:pPr>
                    <w:pStyle w:val="39"/>
                    <w:keepNext w:val="0"/>
                    <w:keepLines w:val="0"/>
                    <w:widowControl/>
                    <w:suppressLineNumbers w:val="0"/>
                    <w:spacing w:before="0" w:beforeAutospacing="0" w:after="0" w:afterAutospacing="0"/>
                    <w:ind w:left="0" w:right="0"/>
                    <w:jc w:val="center"/>
                    <w:rPr>
                      <w:rFonts w:hint="eastAsia"/>
                      <w:szCs w:val="22"/>
                    </w:rPr>
                  </w:pPr>
                </w:p>
              </w:tc>
              <w:tc>
                <w:tcPr>
                  <w:tcW w:w="398" w:type="pct"/>
                  <w:shd w:val="clear" w:color="auto" w:fill="auto"/>
                  <w:vAlign w:val="center"/>
                </w:tcPr>
                <w:p w14:paraId="5918ABE1">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12</w:t>
                  </w:r>
                </w:p>
              </w:tc>
              <w:tc>
                <w:tcPr>
                  <w:tcW w:w="428" w:type="pct"/>
                  <w:shd w:val="clear" w:color="auto" w:fill="auto"/>
                  <w:vAlign w:val="center"/>
                </w:tcPr>
                <w:p w14:paraId="481329F9">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85</w:t>
                  </w:r>
                </w:p>
              </w:tc>
              <w:tc>
                <w:tcPr>
                  <w:tcW w:w="510" w:type="pct"/>
                  <w:tcBorders>
                    <w:right w:val="nil"/>
                  </w:tcBorders>
                  <w:shd w:val="clear" w:color="auto" w:fill="auto"/>
                  <w:vAlign w:val="center"/>
                </w:tcPr>
                <w:p w14:paraId="37D61167">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55</w:t>
                  </w:r>
                </w:p>
              </w:tc>
            </w:tr>
            <w:tr w14:paraId="7F6F2A8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4" w:type="pct"/>
                  <w:vMerge w:val="continue"/>
                  <w:tcBorders>
                    <w:left w:val="nil"/>
                  </w:tcBorders>
                  <w:shd w:val="clear" w:color="auto" w:fill="auto"/>
                  <w:vAlign w:val="center"/>
                </w:tcPr>
                <w:p w14:paraId="6FECC580">
                  <w:pPr>
                    <w:pStyle w:val="39"/>
                    <w:keepNext w:val="0"/>
                    <w:keepLines w:val="0"/>
                    <w:widowControl/>
                    <w:suppressLineNumbers w:val="0"/>
                    <w:spacing w:before="0" w:beforeAutospacing="0" w:after="0" w:afterAutospacing="0"/>
                    <w:ind w:left="0" w:right="0"/>
                    <w:jc w:val="center"/>
                    <w:rPr>
                      <w:rFonts w:hint="eastAsia"/>
                      <w:szCs w:val="22"/>
                    </w:rPr>
                  </w:pPr>
                </w:p>
              </w:tc>
              <w:tc>
                <w:tcPr>
                  <w:tcW w:w="767" w:type="pct"/>
                  <w:shd w:val="clear" w:color="auto" w:fill="auto"/>
                  <w:vAlign w:val="center"/>
                </w:tcPr>
                <w:p w14:paraId="25381962">
                  <w:pPr>
                    <w:pStyle w:val="39"/>
                    <w:keepNext w:val="0"/>
                    <w:keepLines w:val="0"/>
                    <w:widowControl/>
                    <w:suppressLineNumbers w:val="0"/>
                    <w:spacing w:before="0" w:beforeAutospacing="0" w:after="0" w:afterAutospacing="0"/>
                    <w:ind w:left="0" w:right="0"/>
                    <w:jc w:val="center"/>
                    <w:textAlignment w:val="center"/>
                    <w:rPr>
                      <w:rFonts w:hint="eastAsia"/>
                      <w:szCs w:val="22"/>
                    </w:rPr>
                  </w:pPr>
                  <w:r>
                    <w:rPr>
                      <w:rFonts w:hint="eastAsia"/>
                      <w:szCs w:val="22"/>
                      <w:lang w:val="en-US" w:eastAsia="zh-CN"/>
                    </w:rPr>
                    <w:t>喷枪</w:t>
                  </w:r>
                </w:p>
              </w:tc>
              <w:tc>
                <w:tcPr>
                  <w:tcW w:w="309" w:type="pct"/>
                  <w:shd w:val="clear" w:color="auto" w:fill="auto"/>
                  <w:vAlign w:val="center"/>
                </w:tcPr>
                <w:p w14:paraId="630BBC6F">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30</w:t>
                  </w:r>
                </w:p>
              </w:tc>
              <w:tc>
                <w:tcPr>
                  <w:tcW w:w="508" w:type="pct"/>
                  <w:shd w:val="clear" w:color="auto" w:fill="auto"/>
                  <w:vAlign w:val="center"/>
                </w:tcPr>
                <w:p w14:paraId="205EF67F">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65-75</w:t>
                  </w:r>
                </w:p>
              </w:tc>
              <w:tc>
                <w:tcPr>
                  <w:tcW w:w="1055" w:type="pct"/>
                  <w:shd w:val="clear" w:color="auto" w:fill="auto"/>
                  <w:vAlign w:val="center"/>
                </w:tcPr>
                <w:p w14:paraId="308C0A06">
                  <w:pPr>
                    <w:pStyle w:val="39"/>
                    <w:keepNext w:val="0"/>
                    <w:keepLines w:val="0"/>
                    <w:widowControl/>
                    <w:suppressLineNumbers w:val="0"/>
                    <w:spacing w:before="0" w:beforeAutospacing="0" w:after="0" w:afterAutospacing="0"/>
                    <w:ind w:left="0" w:right="0"/>
                    <w:jc w:val="center"/>
                    <w:textAlignment w:val="center"/>
                    <w:rPr>
                      <w:rFonts w:hint="eastAsia"/>
                      <w:szCs w:val="22"/>
                    </w:rPr>
                  </w:pPr>
                  <w:r>
                    <w:rPr>
                      <w:rFonts w:hint="eastAsia"/>
                      <w:szCs w:val="22"/>
                      <w:lang w:val="en-US" w:eastAsia="zh-CN"/>
                    </w:rPr>
                    <w:t>119.4203,26.7647</w:t>
                  </w:r>
                </w:p>
              </w:tc>
              <w:tc>
                <w:tcPr>
                  <w:tcW w:w="687" w:type="pct"/>
                  <w:vMerge w:val="continue"/>
                  <w:shd w:val="clear" w:color="auto" w:fill="auto"/>
                  <w:vAlign w:val="center"/>
                </w:tcPr>
                <w:p w14:paraId="138FFA99">
                  <w:pPr>
                    <w:pStyle w:val="39"/>
                    <w:keepNext w:val="0"/>
                    <w:keepLines w:val="0"/>
                    <w:widowControl/>
                    <w:suppressLineNumbers w:val="0"/>
                    <w:spacing w:before="0" w:beforeAutospacing="0" w:after="0" w:afterAutospacing="0"/>
                    <w:ind w:left="0" w:right="0"/>
                    <w:jc w:val="center"/>
                    <w:rPr>
                      <w:rFonts w:hint="eastAsia"/>
                      <w:szCs w:val="22"/>
                    </w:rPr>
                  </w:pPr>
                </w:p>
              </w:tc>
              <w:tc>
                <w:tcPr>
                  <w:tcW w:w="398" w:type="pct"/>
                  <w:shd w:val="clear" w:color="auto" w:fill="auto"/>
                  <w:vAlign w:val="center"/>
                </w:tcPr>
                <w:p w14:paraId="6228F159">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12</w:t>
                  </w:r>
                </w:p>
              </w:tc>
              <w:tc>
                <w:tcPr>
                  <w:tcW w:w="428" w:type="pct"/>
                  <w:shd w:val="clear" w:color="auto" w:fill="auto"/>
                  <w:vAlign w:val="center"/>
                </w:tcPr>
                <w:p w14:paraId="54C19249">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68</w:t>
                  </w:r>
                </w:p>
              </w:tc>
              <w:tc>
                <w:tcPr>
                  <w:tcW w:w="510" w:type="pct"/>
                  <w:tcBorders>
                    <w:right w:val="nil"/>
                  </w:tcBorders>
                  <w:shd w:val="clear" w:color="auto" w:fill="auto"/>
                  <w:vAlign w:val="center"/>
                </w:tcPr>
                <w:p w14:paraId="5BCFC6E6">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38</w:t>
                  </w:r>
                </w:p>
              </w:tc>
            </w:tr>
            <w:tr w14:paraId="7E4C677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4" w:type="pct"/>
                  <w:vMerge w:val="continue"/>
                  <w:tcBorders>
                    <w:left w:val="nil"/>
                  </w:tcBorders>
                  <w:shd w:val="clear" w:color="auto" w:fill="auto"/>
                  <w:vAlign w:val="center"/>
                </w:tcPr>
                <w:p w14:paraId="33EEF719">
                  <w:pPr>
                    <w:pStyle w:val="39"/>
                    <w:keepNext w:val="0"/>
                    <w:keepLines w:val="0"/>
                    <w:widowControl/>
                    <w:suppressLineNumbers w:val="0"/>
                    <w:spacing w:before="0" w:beforeAutospacing="0" w:after="0" w:afterAutospacing="0"/>
                    <w:ind w:left="0" w:right="0"/>
                    <w:jc w:val="center"/>
                    <w:rPr>
                      <w:rFonts w:hint="eastAsia"/>
                      <w:szCs w:val="22"/>
                    </w:rPr>
                  </w:pPr>
                </w:p>
              </w:tc>
              <w:tc>
                <w:tcPr>
                  <w:tcW w:w="767" w:type="pct"/>
                  <w:shd w:val="clear" w:color="auto" w:fill="auto"/>
                  <w:vAlign w:val="center"/>
                </w:tcPr>
                <w:p w14:paraId="45CF8E1B">
                  <w:pPr>
                    <w:pStyle w:val="39"/>
                    <w:keepNext w:val="0"/>
                    <w:keepLines w:val="0"/>
                    <w:widowControl/>
                    <w:suppressLineNumbers w:val="0"/>
                    <w:spacing w:before="0" w:beforeAutospacing="0" w:after="0" w:afterAutospacing="0"/>
                    <w:ind w:left="0" w:right="0"/>
                    <w:jc w:val="center"/>
                    <w:textAlignment w:val="center"/>
                    <w:rPr>
                      <w:rFonts w:hint="eastAsia"/>
                      <w:szCs w:val="22"/>
                    </w:rPr>
                  </w:pPr>
                  <w:r>
                    <w:rPr>
                      <w:rFonts w:hint="eastAsia"/>
                      <w:szCs w:val="22"/>
                      <w:lang w:val="en-US" w:eastAsia="zh-CN"/>
                    </w:rPr>
                    <w:t>电面包炉</w:t>
                  </w:r>
                </w:p>
              </w:tc>
              <w:tc>
                <w:tcPr>
                  <w:tcW w:w="309" w:type="pct"/>
                  <w:shd w:val="clear" w:color="auto" w:fill="auto"/>
                  <w:vAlign w:val="center"/>
                </w:tcPr>
                <w:p w14:paraId="21F8C682">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3</w:t>
                  </w:r>
                </w:p>
              </w:tc>
              <w:tc>
                <w:tcPr>
                  <w:tcW w:w="508" w:type="pct"/>
                  <w:shd w:val="clear" w:color="auto" w:fill="auto"/>
                  <w:vAlign w:val="center"/>
                </w:tcPr>
                <w:p w14:paraId="2AEFD9A8">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60-70</w:t>
                  </w:r>
                </w:p>
              </w:tc>
              <w:tc>
                <w:tcPr>
                  <w:tcW w:w="1055" w:type="pct"/>
                  <w:shd w:val="clear" w:color="auto" w:fill="auto"/>
                  <w:vAlign w:val="center"/>
                </w:tcPr>
                <w:p w14:paraId="64ACE849">
                  <w:pPr>
                    <w:pStyle w:val="39"/>
                    <w:keepNext w:val="0"/>
                    <w:keepLines w:val="0"/>
                    <w:widowControl/>
                    <w:suppressLineNumbers w:val="0"/>
                    <w:spacing w:before="0" w:beforeAutospacing="0" w:after="0" w:afterAutospacing="0"/>
                    <w:ind w:left="0" w:right="0"/>
                    <w:jc w:val="center"/>
                    <w:textAlignment w:val="top"/>
                    <w:rPr>
                      <w:rFonts w:hint="eastAsia"/>
                      <w:szCs w:val="22"/>
                    </w:rPr>
                  </w:pPr>
                  <w:r>
                    <w:rPr>
                      <w:rFonts w:hint="eastAsia"/>
                      <w:szCs w:val="22"/>
                      <w:lang w:val="en-US" w:eastAsia="zh-CN"/>
                    </w:rPr>
                    <w:t>119.4205,25.7650</w:t>
                  </w:r>
                </w:p>
              </w:tc>
              <w:tc>
                <w:tcPr>
                  <w:tcW w:w="687" w:type="pct"/>
                  <w:vMerge w:val="continue"/>
                  <w:shd w:val="clear" w:color="auto" w:fill="auto"/>
                  <w:vAlign w:val="center"/>
                </w:tcPr>
                <w:p w14:paraId="4BB477A9">
                  <w:pPr>
                    <w:pStyle w:val="39"/>
                    <w:keepNext w:val="0"/>
                    <w:keepLines w:val="0"/>
                    <w:widowControl/>
                    <w:suppressLineNumbers w:val="0"/>
                    <w:spacing w:before="0" w:beforeAutospacing="0" w:after="0" w:afterAutospacing="0"/>
                    <w:ind w:left="0" w:right="0"/>
                    <w:jc w:val="center"/>
                    <w:rPr>
                      <w:rFonts w:hint="eastAsia"/>
                      <w:szCs w:val="22"/>
                    </w:rPr>
                  </w:pPr>
                </w:p>
              </w:tc>
              <w:tc>
                <w:tcPr>
                  <w:tcW w:w="398" w:type="pct"/>
                  <w:shd w:val="clear" w:color="auto" w:fill="auto"/>
                  <w:vAlign w:val="center"/>
                </w:tcPr>
                <w:p w14:paraId="24411E2F">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12</w:t>
                  </w:r>
                </w:p>
              </w:tc>
              <w:tc>
                <w:tcPr>
                  <w:tcW w:w="428" w:type="pct"/>
                  <w:shd w:val="clear" w:color="auto" w:fill="auto"/>
                  <w:vAlign w:val="center"/>
                </w:tcPr>
                <w:p w14:paraId="2151D0B7">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65</w:t>
                  </w:r>
                </w:p>
              </w:tc>
              <w:tc>
                <w:tcPr>
                  <w:tcW w:w="510" w:type="pct"/>
                  <w:tcBorders>
                    <w:right w:val="nil"/>
                  </w:tcBorders>
                  <w:shd w:val="clear" w:color="auto" w:fill="auto"/>
                  <w:vAlign w:val="center"/>
                </w:tcPr>
                <w:p w14:paraId="628BC231">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35</w:t>
                  </w:r>
                </w:p>
              </w:tc>
            </w:tr>
            <w:tr w14:paraId="0CFEC1A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334" w:type="pct"/>
                  <w:vMerge w:val="continue"/>
                  <w:tcBorders>
                    <w:left w:val="nil"/>
                  </w:tcBorders>
                  <w:shd w:val="clear" w:color="auto" w:fill="auto"/>
                  <w:vAlign w:val="center"/>
                </w:tcPr>
                <w:p w14:paraId="5F5EC8EA">
                  <w:pPr>
                    <w:pStyle w:val="39"/>
                    <w:keepNext w:val="0"/>
                    <w:keepLines w:val="0"/>
                    <w:widowControl/>
                    <w:suppressLineNumbers w:val="0"/>
                    <w:spacing w:before="0" w:beforeAutospacing="0" w:after="0" w:afterAutospacing="0"/>
                    <w:ind w:left="0" w:right="0"/>
                    <w:jc w:val="center"/>
                    <w:rPr>
                      <w:rFonts w:hint="eastAsia"/>
                      <w:szCs w:val="22"/>
                    </w:rPr>
                  </w:pPr>
                </w:p>
              </w:tc>
              <w:tc>
                <w:tcPr>
                  <w:tcW w:w="767" w:type="pct"/>
                  <w:shd w:val="clear" w:color="auto" w:fill="auto"/>
                  <w:vAlign w:val="center"/>
                </w:tcPr>
                <w:p w14:paraId="44B69B55">
                  <w:pPr>
                    <w:pStyle w:val="39"/>
                    <w:keepNext w:val="0"/>
                    <w:keepLines w:val="0"/>
                    <w:widowControl/>
                    <w:suppressLineNumbers w:val="0"/>
                    <w:spacing w:before="0" w:beforeAutospacing="0" w:after="0" w:afterAutospacing="0"/>
                    <w:ind w:left="0" w:right="0"/>
                    <w:jc w:val="center"/>
                    <w:textAlignment w:val="center"/>
                    <w:rPr>
                      <w:rFonts w:hint="eastAsia"/>
                      <w:szCs w:val="22"/>
                    </w:rPr>
                  </w:pPr>
                  <w:r>
                    <w:rPr>
                      <w:rFonts w:hint="eastAsia"/>
                      <w:szCs w:val="22"/>
                      <w:lang w:val="en-US" w:eastAsia="zh-CN"/>
                    </w:rPr>
                    <w:t>空压机</w:t>
                  </w:r>
                </w:p>
              </w:tc>
              <w:tc>
                <w:tcPr>
                  <w:tcW w:w="309" w:type="pct"/>
                  <w:shd w:val="clear" w:color="auto" w:fill="auto"/>
                  <w:vAlign w:val="center"/>
                </w:tcPr>
                <w:p w14:paraId="208D45F1">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1</w:t>
                  </w:r>
                </w:p>
              </w:tc>
              <w:tc>
                <w:tcPr>
                  <w:tcW w:w="508" w:type="pct"/>
                  <w:shd w:val="clear" w:color="auto" w:fill="auto"/>
                  <w:vAlign w:val="center"/>
                </w:tcPr>
                <w:p w14:paraId="2191AA6C">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85-95</w:t>
                  </w:r>
                </w:p>
              </w:tc>
              <w:tc>
                <w:tcPr>
                  <w:tcW w:w="1055" w:type="pct"/>
                  <w:shd w:val="clear" w:color="auto" w:fill="auto"/>
                  <w:vAlign w:val="center"/>
                </w:tcPr>
                <w:p w14:paraId="4C5A46D1">
                  <w:pPr>
                    <w:pStyle w:val="39"/>
                    <w:keepNext w:val="0"/>
                    <w:keepLines w:val="0"/>
                    <w:widowControl/>
                    <w:suppressLineNumbers w:val="0"/>
                    <w:spacing w:before="0" w:beforeAutospacing="0" w:after="0" w:afterAutospacing="0"/>
                    <w:ind w:left="0" w:right="0"/>
                    <w:jc w:val="center"/>
                    <w:textAlignment w:val="center"/>
                    <w:rPr>
                      <w:rFonts w:hint="eastAsia"/>
                      <w:szCs w:val="22"/>
                    </w:rPr>
                  </w:pPr>
                  <w:r>
                    <w:rPr>
                      <w:rFonts w:hint="eastAsia"/>
                      <w:szCs w:val="22"/>
                      <w:lang w:val="en-US" w:eastAsia="zh-CN"/>
                    </w:rPr>
                    <w:t>119.4204,25.7648</w:t>
                  </w:r>
                </w:p>
              </w:tc>
              <w:tc>
                <w:tcPr>
                  <w:tcW w:w="687" w:type="pct"/>
                  <w:vMerge w:val="continue"/>
                  <w:shd w:val="clear" w:color="auto" w:fill="auto"/>
                  <w:vAlign w:val="center"/>
                </w:tcPr>
                <w:p w14:paraId="7A701908">
                  <w:pPr>
                    <w:pStyle w:val="39"/>
                    <w:keepNext w:val="0"/>
                    <w:keepLines w:val="0"/>
                    <w:widowControl/>
                    <w:suppressLineNumbers w:val="0"/>
                    <w:spacing w:before="0" w:beforeAutospacing="0" w:after="0" w:afterAutospacing="0"/>
                    <w:ind w:left="0" w:right="0"/>
                    <w:jc w:val="center"/>
                    <w:rPr>
                      <w:rFonts w:hint="eastAsia"/>
                      <w:szCs w:val="22"/>
                    </w:rPr>
                  </w:pPr>
                </w:p>
              </w:tc>
              <w:tc>
                <w:tcPr>
                  <w:tcW w:w="398" w:type="pct"/>
                  <w:shd w:val="clear" w:color="auto" w:fill="auto"/>
                  <w:vAlign w:val="center"/>
                </w:tcPr>
                <w:p w14:paraId="508006CB">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12</w:t>
                  </w:r>
                </w:p>
              </w:tc>
              <w:tc>
                <w:tcPr>
                  <w:tcW w:w="428" w:type="pct"/>
                  <w:shd w:val="clear" w:color="auto" w:fill="auto"/>
                  <w:vAlign w:val="center"/>
                </w:tcPr>
                <w:p w14:paraId="603A725A">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90</w:t>
                  </w:r>
                </w:p>
              </w:tc>
              <w:tc>
                <w:tcPr>
                  <w:tcW w:w="510" w:type="pct"/>
                  <w:tcBorders>
                    <w:right w:val="nil"/>
                  </w:tcBorders>
                  <w:shd w:val="clear" w:color="auto" w:fill="auto"/>
                  <w:vAlign w:val="center"/>
                </w:tcPr>
                <w:p w14:paraId="1BC678CE">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60</w:t>
                  </w:r>
                </w:p>
              </w:tc>
            </w:tr>
            <w:tr w14:paraId="44E04E7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34" w:type="pct"/>
                  <w:vMerge w:val="continue"/>
                  <w:tcBorders>
                    <w:left w:val="nil"/>
                    <w:bottom w:val="single" w:color="000000" w:sz="12" w:space="0"/>
                  </w:tcBorders>
                  <w:shd w:val="clear" w:color="auto" w:fill="auto"/>
                  <w:vAlign w:val="center"/>
                </w:tcPr>
                <w:p w14:paraId="2B54D9AE">
                  <w:pPr>
                    <w:pStyle w:val="39"/>
                    <w:keepNext w:val="0"/>
                    <w:keepLines w:val="0"/>
                    <w:widowControl/>
                    <w:suppressLineNumbers w:val="0"/>
                    <w:spacing w:before="0" w:beforeAutospacing="0" w:after="0" w:afterAutospacing="0"/>
                    <w:ind w:left="0" w:right="0"/>
                    <w:jc w:val="center"/>
                    <w:rPr>
                      <w:rFonts w:hint="eastAsia"/>
                      <w:szCs w:val="22"/>
                    </w:rPr>
                  </w:pPr>
                </w:p>
              </w:tc>
              <w:tc>
                <w:tcPr>
                  <w:tcW w:w="767" w:type="pct"/>
                  <w:tcBorders>
                    <w:bottom w:val="single" w:color="000000" w:sz="12" w:space="0"/>
                  </w:tcBorders>
                  <w:shd w:val="clear" w:color="auto" w:fill="auto"/>
                  <w:vAlign w:val="center"/>
                </w:tcPr>
                <w:p w14:paraId="474B364D">
                  <w:pPr>
                    <w:pStyle w:val="39"/>
                    <w:keepNext w:val="0"/>
                    <w:keepLines w:val="0"/>
                    <w:widowControl/>
                    <w:suppressLineNumbers w:val="0"/>
                    <w:spacing w:before="0" w:beforeAutospacing="0" w:after="0" w:afterAutospacing="0"/>
                    <w:ind w:left="0" w:right="0"/>
                    <w:jc w:val="center"/>
                    <w:textAlignment w:val="center"/>
                    <w:rPr>
                      <w:rFonts w:hint="eastAsia"/>
                      <w:szCs w:val="22"/>
                    </w:rPr>
                  </w:pPr>
                  <w:r>
                    <w:rPr>
                      <w:rFonts w:hint="eastAsia"/>
                      <w:szCs w:val="22"/>
                      <w:lang w:val="en-US" w:eastAsia="zh-CN"/>
                    </w:rPr>
                    <w:t>风机</w:t>
                  </w:r>
                </w:p>
              </w:tc>
              <w:tc>
                <w:tcPr>
                  <w:tcW w:w="309" w:type="pct"/>
                  <w:tcBorders>
                    <w:bottom w:val="single" w:color="000000" w:sz="12" w:space="0"/>
                  </w:tcBorders>
                  <w:shd w:val="clear" w:color="auto" w:fill="auto"/>
                  <w:noWrap/>
                  <w:vAlign w:val="center"/>
                </w:tcPr>
                <w:p w14:paraId="44804AF0">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3</w:t>
                  </w:r>
                </w:p>
              </w:tc>
              <w:tc>
                <w:tcPr>
                  <w:tcW w:w="508" w:type="pct"/>
                  <w:tcBorders>
                    <w:bottom w:val="single" w:color="000000" w:sz="12" w:space="0"/>
                  </w:tcBorders>
                  <w:shd w:val="clear" w:color="auto" w:fill="auto"/>
                  <w:vAlign w:val="center"/>
                </w:tcPr>
                <w:p w14:paraId="1AFBB356">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85-90</w:t>
                  </w:r>
                </w:p>
              </w:tc>
              <w:tc>
                <w:tcPr>
                  <w:tcW w:w="1055" w:type="pct"/>
                  <w:tcBorders>
                    <w:bottom w:val="single" w:color="000000" w:sz="12" w:space="0"/>
                  </w:tcBorders>
                  <w:shd w:val="clear" w:color="auto" w:fill="auto"/>
                  <w:vAlign w:val="center"/>
                </w:tcPr>
                <w:p w14:paraId="5F73C2D1">
                  <w:pPr>
                    <w:pStyle w:val="39"/>
                    <w:keepNext w:val="0"/>
                    <w:keepLines w:val="0"/>
                    <w:widowControl/>
                    <w:suppressLineNumbers w:val="0"/>
                    <w:spacing w:before="0" w:beforeAutospacing="0" w:after="0" w:afterAutospacing="0"/>
                    <w:ind w:left="0" w:right="0"/>
                    <w:jc w:val="center"/>
                    <w:textAlignment w:val="center"/>
                    <w:rPr>
                      <w:rFonts w:hint="eastAsia"/>
                      <w:szCs w:val="22"/>
                    </w:rPr>
                  </w:pPr>
                  <w:r>
                    <w:rPr>
                      <w:rFonts w:hint="eastAsia"/>
                      <w:szCs w:val="22"/>
                      <w:lang w:val="en-US" w:eastAsia="zh-CN"/>
                    </w:rPr>
                    <w:t>119.4204,25.7649</w:t>
                  </w:r>
                </w:p>
              </w:tc>
              <w:tc>
                <w:tcPr>
                  <w:tcW w:w="687" w:type="pct"/>
                  <w:vMerge w:val="continue"/>
                  <w:tcBorders>
                    <w:bottom w:val="single" w:color="000000" w:sz="12" w:space="0"/>
                  </w:tcBorders>
                  <w:shd w:val="clear" w:color="auto" w:fill="auto"/>
                  <w:vAlign w:val="center"/>
                </w:tcPr>
                <w:p w14:paraId="7A7186B3">
                  <w:pPr>
                    <w:pStyle w:val="39"/>
                    <w:keepNext w:val="0"/>
                    <w:keepLines w:val="0"/>
                    <w:widowControl/>
                    <w:suppressLineNumbers w:val="0"/>
                    <w:spacing w:before="0" w:beforeAutospacing="0" w:after="0" w:afterAutospacing="0"/>
                    <w:ind w:left="0" w:right="0"/>
                    <w:jc w:val="center"/>
                    <w:rPr>
                      <w:rFonts w:hint="eastAsia"/>
                      <w:szCs w:val="22"/>
                    </w:rPr>
                  </w:pPr>
                </w:p>
              </w:tc>
              <w:tc>
                <w:tcPr>
                  <w:tcW w:w="398" w:type="pct"/>
                  <w:tcBorders>
                    <w:bottom w:val="single" w:color="000000" w:sz="12" w:space="0"/>
                  </w:tcBorders>
                  <w:shd w:val="clear" w:color="auto" w:fill="auto"/>
                  <w:vAlign w:val="center"/>
                </w:tcPr>
                <w:p w14:paraId="4F1B9E3C">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12</w:t>
                  </w:r>
                </w:p>
              </w:tc>
              <w:tc>
                <w:tcPr>
                  <w:tcW w:w="428" w:type="pct"/>
                  <w:tcBorders>
                    <w:bottom w:val="single" w:color="000000" w:sz="12" w:space="0"/>
                  </w:tcBorders>
                  <w:shd w:val="clear" w:color="auto" w:fill="auto"/>
                  <w:vAlign w:val="center"/>
                </w:tcPr>
                <w:p w14:paraId="3B2855C6">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87</w:t>
                  </w:r>
                </w:p>
              </w:tc>
              <w:tc>
                <w:tcPr>
                  <w:tcW w:w="510" w:type="pct"/>
                  <w:tcBorders>
                    <w:bottom w:val="single" w:color="000000" w:sz="12" w:space="0"/>
                    <w:right w:val="nil"/>
                  </w:tcBorders>
                  <w:shd w:val="clear" w:color="auto" w:fill="auto"/>
                  <w:vAlign w:val="center"/>
                </w:tcPr>
                <w:p w14:paraId="3F5463D2">
                  <w:pPr>
                    <w:pStyle w:val="39"/>
                    <w:keepNext w:val="0"/>
                    <w:keepLines w:val="0"/>
                    <w:widowControl/>
                    <w:suppressLineNumbers w:val="0"/>
                    <w:spacing w:before="0" w:beforeAutospacing="0" w:after="0" w:afterAutospacing="0"/>
                    <w:ind w:left="0" w:right="0"/>
                    <w:jc w:val="center"/>
                    <w:textAlignment w:val="center"/>
                    <w:rPr>
                      <w:rFonts w:hint="default"/>
                      <w:szCs w:val="22"/>
                    </w:rPr>
                  </w:pPr>
                  <w:r>
                    <w:rPr>
                      <w:rFonts w:hint="default"/>
                      <w:szCs w:val="22"/>
                      <w:lang w:val="en-US" w:eastAsia="zh-CN"/>
                    </w:rPr>
                    <w:t>57</w:t>
                  </w:r>
                </w:p>
              </w:tc>
            </w:tr>
          </w:tbl>
          <w:p w14:paraId="2E5DBBE0">
            <w:pPr>
              <w:pStyle w:val="4"/>
              <w:suppressLineNumbers w:val="0"/>
              <w:bidi w:val="0"/>
              <w:spacing w:before="0" w:beforeAutospacing="0" w:after="0" w:afterAutospacing="0"/>
              <w:ind w:left="0" w:right="0"/>
              <w:rPr>
                <w:rFonts w:hint="eastAsia"/>
                <w:lang w:val="en-US" w:eastAsia="zh-CN"/>
              </w:rPr>
            </w:pPr>
            <w:r>
              <w:rPr>
                <w:rFonts w:hint="default"/>
              </w:rPr>
              <w:t>运营期声环境影响分析</w:t>
            </w:r>
          </w:p>
          <w:p w14:paraId="4A20D922">
            <w:pPr>
              <w:keepNext w:val="0"/>
              <w:keepLines w:val="0"/>
              <w:suppressLineNumbers w:val="0"/>
              <w:bidi w:val="0"/>
              <w:spacing w:before="0" w:beforeAutospacing="0" w:after="0" w:afterAutospacing="0"/>
              <w:ind w:left="0" w:right="0"/>
              <w:rPr>
                <w:rFonts w:hint="eastAsia"/>
              </w:rPr>
            </w:pPr>
            <w:r>
              <w:rPr>
                <w:rFonts w:hint="eastAsia"/>
              </w:rPr>
              <w:t>本评价将对机械设备产生的噪声值进行衰减预测，根据《环境影响评价技术导则—声环境》（HJ2.4-2021）推荐的预测模式，具体室内等效室外声源声功率计算、户外传播衰减、几何衰减、噪声贡献值叠加等计算模式如下：</w:t>
            </w:r>
          </w:p>
          <w:p w14:paraId="108A27DD">
            <w:pPr>
              <w:keepNext w:val="0"/>
              <w:keepLines w:val="0"/>
              <w:suppressLineNumbers w:val="0"/>
              <w:bidi w:val="0"/>
              <w:spacing w:before="0" w:beforeAutospacing="0" w:after="0" w:afterAutospacing="0"/>
              <w:ind w:left="0" w:right="0"/>
              <w:rPr>
                <w:rFonts w:hint="eastAsia"/>
              </w:rPr>
            </w:pPr>
            <w:r>
              <w:rPr>
                <w:rFonts w:hint="eastAsia"/>
              </w:rPr>
              <w:t>（1）单个室外的点声源在预测点产生的声级计算基本公式</w:t>
            </w:r>
          </w:p>
          <w:p w14:paraId="345F3D48">
            <w:pPr>
              <w:keepNext w:val="0"/>
              <w:keepLines w:val="0"/>
              <w:suppressLineNumbers w:val="0"/>
              <w:bidi w:val="0"/>
              <w:spacing w:before="0" w:beforeAutospacing="0" w:after="0" w:afterAutospacing="0"/>
              <w:ind w:left="0" w:right="0"/>
              <w:rPr>
                <w:rFonts w:hint="eastAsia"/>
              </w:rPr>
            </w:pPr>
            <w:r>
              <w:rPr>
                <w:rFonts w:hint="eastAsia"/>
              </w:rPr>
              <w:t>某个声源在预测点的倍频带声压级的计算公式如下：</w:t>
            </w:r>
          </w:p>
          <w:p w14:paraId="313A14F8">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"C:\\Users\\Admin\\AppData\\Local\\Temp\\ksohtml12936\\wps2.png" \* MERGEFORMATINET </w:instrText>
            </w:r>
            <w:r>
              <w:fldChar w:fldCharType="separate"/>
            </w:r>
            <w:r>
              <w:fldChar w:fldCharType="begin"/>
            </w:r>
            <w:r>
              <w:instrText xml:space="preserve"> INCLUDEPICTURE  "C:\\Users\\Admin\\AppData\\Local\\Temp\\ksohtml12936\\wps2.png" \* MERGEFORMATINET </w:instrText>
            </w:r>
            <w:r>
              <w:fldChar w:fldCharType="separate"/>
            </w:r>
            <w:r>
              <w:fldChar w:fldCharType="begin"/>
            </w:r>
            <w:r>
              <w:instrText xml:space="preserve"> INCLUDEPICTURE  "C:\\Users\\Admin\\AppData\\Local\\Temp\\ksohtml12936\\wps2.png" \* MERGEFORMATINET </w:instrText>
            </w:r>
            <w:r>
              <w:fldChar w:fldCharType="separate"/>
            </w:r>
            <w:r>
              <w:fldChar w:fldCharType="begin"/>
            </w:r>
            <w:r>
              <w:instrText xml:space="preserve"> INCLUDEPICTURE  "C:\\Users\\Admin\\AppData\\Local\\Temp\\ksohtml12936\\wps2.png" \* MERGEFORMATINET </w:instrText>
            </w:r>
            <w:r>
              <w:fldChar w:fldCharType="separate"/>
            </w:r>
            <w:r>
              <w:fldChar w:fldCharType="begin"/>
            </w:r>
            <w:r>
              <w:instrText xml:space="preserve"> INCLUDEPICTURE  "C:\\Users\\Admin\\AppData\\Local\\Temp\\ksohtml12936\\wps2.png" \* MERGEFORMATINET </w:instrText>
            </w:r>
            <w:r>
              <w:fldChar w:fldCharType="separate"/>
            </w:r>
            <w:r>
              <w:fldChar w:fldCharType="begin"/>
            </w:r>
            <w:r>
              <w:instrText xml:space="preserve"> INCLUDEPICTURE  "C:\\Users\\Admin\\AppData\\Local\\Temp\\ksohtml12936\\wps2.png" \* MERGEFORMATINET </w:instrText>
            </w:r>
            <w:r>
              <w:fldChar w:fldCharType="separate"/>
            </w:r>
            <w:r>
              <w:fldChar w:fldCharType="begin"/>
            </w:r>
            <w:r>
              <w:instrText xml:space="preserve"> INCLUDEPICTURE  "C:\\Users\\Admin\\AppData\\Local\\Temp\\ksohtml12936\\wps2.png" \* MERGEFORMATINET </w:instrText>
            </w:r>
            <w:r>
              <w:fldChar w:fldCharType="separate"/>
            </w:r>
            <w:r>
              <w:fldChar w:fldCharType="begin"/>
            </w:r>
            <w:r>
              <w:instrText xml:space="preserve"> INCLUDEPICTURE  "C:\\Users\\Admin\\AppData\\Local\\Temp\\ksohtml12936\\wps2.png" \* MERGEFORMATINET </w:instrText>
            </w:r>
            <w:r>
              <w:fldChar w:fldCharType="separate"/>
            </w:r>
            <w:r>
              <w:drawing>
                <wp:inline distT="0" distB="0" distL="114300" distR="114300">
                  <wp:extent cx="2522220" cy="716280"/>
                  <wp:effectExtent l="0" t="0" r="11430" b="7620"/>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pic:cNvPicPr>
                            <a:picLocks noChangeAspect="1"/>
                          </pic:cNvPicPr>
                        </pic:nvPicPr>
                        <pic:blipFill>
                          <a:blip r:embed="rId26" r:link="rId27"/>
                          <a:stretch>
                            <a:fillRect/>
                          </a:stretch>
                        </pic:blipFill>
                        <pic:spPr>
                          <a:xfrm>
                            <a:off x="0" y="0"/>
                            <a:ext cx="2522220" cy="71628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357C3F45">
            <w:pPr>
              <w:keepNext w:val="0"/>
              <w:keepLines w:val="0"/>
              <w:suppressLineNumbers w:val="0"/>
              <w:bidi w:val="0"/>
              <w:spacing w:before="0" w:beforeAutospacing="0" w:after="0" w:afterAutospacing="0"/>
              <w:ind w:left="0" w:right="0"/>
              <w:rPr>
                <w:rFonts w:hint="eastAsia"/>
              </w:rPr>
            </w:pPr>
            <w:r>
              <w:rPr>
                <w:rFonts w:hint="eastAsia"/>
              </w:rPr>
              <w:t>式中：</w:t>
            </w:r>
          </w:p>
          <w:p w14:paraId="2AC0E511">
            <w:pPr>
              <w:keepNext w:val="0"/>
              <w:keepLines w:val="0"/>
              <w:suppressLineNumbers w:val="0"/>
              <w:bidi w:val="0"/>
              <w:spacing w:before="0" w:beforeAutospacing="0" w:after="0" w:afterAutospacing="0"/>
              <w:ind w:left="0" w:right="0"/>
              <w:rPr>
                <w:rFonts w:hint="eastAsia"/>
              </w:rPr>
            </w:pPr>
            <w:r>
              <w:rPr>
                <w:rFonts w:hint="eastAsia"/>
              </w:rPr>
              <w:t>Lw——倍频带声功率级，dB；</w:t>
            </w:r>
          </w:p>
          <w:p w14:paraId="341A7540">
            <w:pPr>
              <w:keepNext w:val="0"/>
              <w:keepLines w:val="0"/>
              <w:suppressLineNumbers w:val="0"/>
              <w:bidi w:val="0"/>
              <w:spacing w:before="0" w:beforeAutospacing="0" w:after="0" w:afterAutospacing="0"/>
              <w:ind w:left="0" w:right="0"/>
              <w:rPr>
                <w:rFonts w:hint="eastAsia"/>
              </w:rPr>
            </w:pPr>
            <w:r>
              <w:rPr>
                <w:rFonts w:hint="eastAsia"/>
              </w:rPr>
              <w:t>Dc——指向性校正。对辐射到自由空间的全向点声源，Dc=0dB；</w:t>
            </w:r>
          </w:p>
          <w:p w14:paraId="26793876">
            <w:pPr>
              <w:keepNext w:val="0"/>
              <w:keepLines w:val="0"/>
              <w:suppressLineNumbers w:val="0"/>
              <w:bidi w:val="0"/>
              <w:spacing w:before="0" w:beforeAutospacing="0" w:after="0" w:afterAutospacing="0"/>
              <w:ind w:left="0" w:right="0"/>
              <w:rPr>
                <w:rFonts w:hint="eastAsia"/>
              </w:rPr>
            </w:pPr>
            <w:r>
              <w:rPr>
                <w:rFonts w:hint="eastAsia"/>
              </w:rPr>
              <w:t>A—倍频带衰减，dB；</w:t>
            </w:r>
          </w:p>
          <w:p w14:paraId="46225D9D">
            <w:pPr>
              <w:keepNext w:val="0"/>
              <w:keepLines w:val="0"/>
              <w:suppressLineNumbers w:val="0"/>
              <w:bidi w:val="0"/>
              <w:spacing w:before="0" w:beforeAutospacing="0" w:after="0" w:afterAutospacing="0"/>
              <w:ind w:left="0" w:right="0"/>
              <w:rPr>
                <w:rFonts w:hint="eastAsia"/>
              </w:rPr>
            </w:pPr>
            <w:r>
              <w:rPr>
                <w:rFonts w:hint="eastAsia"/>
              </w:rPr>
              <w:t>Adiv—几何发散引起的倍频带衰减，dB；</w:t>
            </w:r>
          </w:p>
          <w:p w14:paraId="58A3A9A6">
            <w:pPr>
              <w:keepNext w:val="0"/>
              <w:keepLines w:val="0"/>
              <w:suppressLineNumbers w:val="0"/>
              <w:bidi w:val="0"/>
              <w:spacing w:before="0" w:beforeAutospacing="0" w:after="0" w:afterAutospacing="0"/>
              <w:ind w:left="0" w:right="0"/>
              <w:rPr>
                <w:rFonts w:hint="eastAsia"/>
              </w:rPr>
            </w:pPr>
            <w:r>
              <w:rPr>
                <w:rFonts w:hint="eastAsia"/>
              </w:rPr>
              <w:t>Aatm—大气吸收引起的倍频带衰减，dB；</w:t>
            </w:r>
          </w:p>
          <w:p w14:paraId="4486FC3E">
            <w:pPr>
              <w:keepNext w:val="0"/>
              <w:keepLines w:val="0"/>
              <w:suppressLineNumbers w:val="0"/>
              <w:bidi w:val="0"/>
              <w:spacing w:before="0" w:beforeAutospacing="0" w:after="0" w:afterAutospacing="0"/>
              <w:ind w:left="0" w:right="0"/>
              <w:rPr>
                <w:rFonts w:hint="eastAsia"/>
              </w:rPr>
            </w:pPr>
            <w:r>
              <w:rPr>
                <w:rFonts w:hint="eastAsia"/>
              </w:rPr>
              <w:t>Agr—地面效应引起的倍频带衰减，dB；</w:t>
            </w:r>
          </w:p>
          <w:p w14:paraId="50655258">
            <w:pPr>
              <w:keepNext w:val="0"/>
              <w:keepLines w:val="0"/>
              <w:suppressLineNumbers w:val="0"/>
              <w:bidi w:val="0"/>
              <w:spacing w:before="0" w:beforeAutospacing="0" w:after="0" w:afterAutospacing="0"/>
              <w:ind w:left="0" w:right="0"/>
              <w:rPr>
                <w:rFonts w:hint="eastAsia"/>
              </w:rPr>
            </w:pPr>
            <w:r>
              <w:rPr>
                <w:rFonts w:hint="eastAsia"/>
              </w:rPr>
              <w:t>Abar—声屏障引起的倍频带衰减，dB；</w:t>
            </w:r>
          </w:p>
          <w:p w14:paraId="28051C95">
            <w:pPr>
              <w:keepNext w:val="0"/>
              <w:keepLines w:val="0"/>
              <w:suppressLineNumbers w:val="0"/>
              <w:bidi w:val="0"/>
              <w:spacing w:before="0" w:beforeAutospacing="0" w:after="0" w:afterAutospacing="0"/>
              <w:ind w:left="0" w:right="0"/>
              <w:rPr>
                <w:rFonts w:hint="eastAsia"/>
              </w:rPr>
            </w:pPr>
            <w:r>
              <w:rPr>
                <w:rFonts w:hint="eastAsia"/>
              </w:rPr>
              <w:t>Amisc—其他多方面效应引起的倍频带衰减，dB。</w:t>
            </w:r>
          </w:p>
          <w:p w14:paraId="38D8C1F8">
            <w:pPr>
              <w:keepNext w:val="0"/>
              <w:keepLines w:val="0"/>
              <w:suppressLineNumbers w:val="0"/>
              <w:bidi w:val="0"/>
              <w:spacing w:before="0" w:beforeAutospacing="0" w:after="0" w:afterAutospacing="0"/>
              <w:ind w:left="0" w:right="0"/>
              <w:rPr>
                <w:rFonts w:hint="eastAsia"/>
              </w:rPr>
            </w:pPr>
            <w:r>
              <w:rPr>
                <w:rFonts w:hint="eastAsia"/>
              </w:rPr>
              <w:t>如已知靠近声源处某点的倍频带声压级Lp（r0）时，相同方向预测点位置的倍频带声压级Lp（r）的计算公式为：</w:t>
            </w:r>
          </w:p>
          <w:p w14:paraId="223B9F1E">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"C:\\Users\\Admin\\AppData\\Local\\Temp\\ksohtml12936\\wps3.png" \* MERGEFORMATINET </w:instrText>
            </w:r>
            <w:r>
              <w:fldChar w:fldCharType="separate"/>
            </w:r>
            <w:r>
              <w:fldChar w:fldCharType="begin"/>
            </w:r>
            <w:r>
              <w:instrText xml:space="preserve"> INCLUDEPICTURE  "C:\\Users\\Admin\\AppData\\Local\\Temp\\ksohtml12936\\wps3.png" \* MERGEFORMATINET </w:instrText>
            </w:r>
            <w:r>
              <w:fldChar w:fldCharType="separate"/>
            </w:r>
            <w:r>
              <w:fldChar w:fldCharType="begin"/>
            </w:r>
            <w:r>
              <w:instrText xml:space="preserve"> INCLUDEPICTURE  "C:\\Users\\Admin\\AppData\\Local\\Temp\\ksohtml12936\\wps3.png" \* MERGEFORMATINET </w:instrText>
            </w:r>
            <w:r>
              <w:fldChar w:fldCharType="separate"/>
            </w:r>
            <w:r>
              <w:fldChar w:fldCharType="begin"/>
            </w:r>
            <w:r>
              <w:instrText xml:space="preserve"> INCLUDEPICTURE  "C:\\Users\\Admin\\AppData\\Local\\Temp\\ksohtml12936\\wps3.png" \* MERGEFORMATINET </w:instrText>
            </w:r>
            <w:r>
              <w:fldChar w:fldCharType="separate"/>
            </w:r>
            <w:r>
              <w:fldChar w:fldCharType="begin"/>
            </w:r>
            <w:r>
              <w:instrText xml:space="preserve"> INCLUDEPICTURE  "C:\\Users\\Admin\\AppData\\Local\\Temp\\ksohtml12936\\wps3.png" \* MERGEFORMATINET </w:instrText>
            </w:r>
            <w:r>
              <w:fldChar w:fldCharType="separate"/>
            </w:r>
            <w:r>
              <w:fldChar w:fldCharType="begin"/>
            </w:r>
            <w:r>
              <w:instrText xml:space="preserve"> INCLUDEPICTURE  "C:\\Users\\Admin\\AppData\\Local\\Temp\\ksohtml12936\\wps3.png" \* MERGEFORMATINET </w:instrText>
            </w:r>
            <w:r>
              <w:fldChar w:fldCharType="separate"/>
            </w:r>
            <w:r>
              <w:fldChar w:fldCharType="begin"/>
            </w:r>
            <w:r>
              <w:instrText xml:space="preserve"> INCLUDEPICTURE  "C:\\Users\\Admin\\AppData\\Local\\Temp\\ksohtml12936\\wps3.png" \* MERGEFORMATINET </w:instrText>
            </w:r>
            <w:r>
              <w:fldChar w:fldCharType="separate"/>
            </w:r>
            <w:r>
              <w:fldChar w:fldCharType="begin"/>
            </w:r>
            <w:r>
              <w:instrText xml:space="preserve"> INCLUDEPICTURE  "C:\\Users\\Admin\\AppData\\Local\\Temp\\ksohtml12936\\wps3.png" \* MERGEFORMATINET </w:instrText>
            </w:r>
            <w:r>
              <w:fldChar w:fldCharType="separate"/>
            </w:r>
            <w:r>
              <w:drawing>
                <wp:inline distT="0" distB="0" distL="114300" distR="114300">
                  <wp:extent cx="1638300" cy="335280"/>
                  <wp:effectExtent l="0" t="0" r="0" b="762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28" r:link="rId29"/>
                          <a:stretch>
                            <a:fillRect/>
                          </a:stretch>
                        </pic:blipFill>
                        <pic:spPr>
                          <a:xfrm>
                            <a:off x="0" y="0"/>
                            <a:ext cx="1638300" cy="33528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30116673">
            <w:pPr>
              <w:keepNext w:val="0"/>
              <w:keepLines w:val="0"/>
              <w:suppressLineNumbers w:val="0"/>
              <w:bidi w:val="0"/>
              <w:spacing w:before="0" w:beforeAutospacing="0" w:after="0" w:afterAutospacing="0"/>
              <w:ind w:left="0" w:right="0"/>
              <w:rPr>
                <w:rFonts w:hint="eastAsia"/>
              </w:rPr>
            </w:pPr>
            <w:r>
              <w:rPr>
                <w:rFonts w:hint="eastAsia"/>
              </w:rPr>
              <w:t>预测点的A声级LA</w:t>
            </w:r>
            <w:r>
              <w:rPr>
                <w:rFonts w:hint="eastAsia"/>
                <w:lang w:eastAsia="zh-CN"/>
              </w:rPr>
              <w:t>（</w:t>
            </w:r>
            <w:r>
              <w:rPr>
                <w:rFonts w:hint="eastAsia"/>
              </w:rPr>
              <w:t>r</w:t>
            </w:r>
            <w:r>
              <w:rPr>
                <w:rFonts w:hint="eastAsia"/>
                <w:lang w:eastAsia="zh-CN"/>
              </w:rPr>
              <w:t>）</w:t>
            </w:r>
            <w:r>
              <w:rPr>
                <w:rFonts w:hint="eastAsia"/>
              </w:rPr>
              <w:t>，可利用8个倍频带的声压级按下式计算：</w:t>
            </w:r>
          </w:p>
          <w:p w14:paraId="08E539DF">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"C:\\Users\\Admin\\AppData\\Local\\Temp\\ksohtml12936\\wps4.png" \* MERGEFORMATINET </w:instrText>
            </w:r>
            <w:r>
              <w:fldChar w:fldCharType="separate"/>
            </w:r>
            <w:r>
              <w:fldChar w:fldCharType="begin"/>
            </w:r>
            <w:r>
              <w:instrText xml:space="preserve"> INCLUDEPICTURE  "C:\\Users\\Admin\\AppData\\Local\\Temp\\ksohtml12936\\wps4.png" \* MERGEFORMATINET </w:instrText>
            </w:r>
            <w:r>
              <w:fldChar w:fldCharType="separate"/>
            </w:r>
            <w:r>
              <w:fldChar w:fldCharType="begin"/>
            </w:r>
            <w:r>
              <w:instrText xml:space="preserve"> INCLUDEPICTURE  "C:\\Users\\Admin\\AppData\\Local\\Temp\\ksohtml12936\\wps4.png" \* MERGEFORMATINET </w:instrText>
            </w:r>
            <w:r>
              <w:fldChar w:fldCharType="separate"/>
            </w:r>
            <w:r>
              <w:fldChar w:fldCharType="begin"/>
            </w:r>
            <w:r>
              <w:instrText xml:space="preserve"> INCLUDEPICTURE  "C:\\Users\\Admin\\AppData\\Local\\Temp\\ksohtml12936\\wps4.png" \* MERGEFORMATINET </w:instrText>
            </w:r>
            <w:r>
              <w:fldChar w:fldCharType="separate"/>
            </w:r>
            <w:r>
              <w:fldChar w:fldCharType="begin"/>
            </w:r>
            <w:r>
              <w:instrText xml:space="preserve"> INCLUDEPICTURE  "C:\\Users\\Admin\\AppData\\Local\\Temp\\ksohtml12936\\wps4.png" \* MERGEFORMATINET </w:instrText>
            </w:r>
            <w:r>
              <w:fldChar w:fldCharType="separate"/>
            </w:r>
            <w:r>
              <w:fldChar w:fldCharType="begin"/>
            </w:r>
            <w:r>
              <w:instrText xml:space="preserve"> INCLUDEPICTURE  "C:\\Users\\Admin\\AppData\\Local\\Temp\\ksohtml12936\\wps4.png" \* MERGEFORMATINET </w:instrText>
            </w:r>
            <w:r>
              <w:fldChar w:fldCharType="separate"/>
            </w:r>
            <w:r>
              <w:fldChar w:fldCharType="begin"/>
            </w:r>
            <w:r>
              <w:instrText xml:space="preserve"> INCLUDEPICTURE  "C:\\Users\\Admin\\AppData\\Local\\Temp\\ksohtml12936\\wps4.png" \* MERGEFORMATINET </w:instrText>
            </w:r>
            <w:r>
              <w:fldChar w:fldCharType="separate"/>
            </w:r>
            <w:r>
              <w:fldChar w:fldCharType="begin"/>
            </w:r>
            <w:r>
              <w:instrText xml:space="preserve"> INCLUDEPICTURE  "C:\\Users\\Admin\\AppData\\Local\\Temp\\ksohtml12936\\wps4.png" \* MERGEFORMATINET </w:instrText>
            </w:r>
            <w:r>
              <w:fldChar w:fldCharType="separate"/>
            </w:r>
            <w:r>
              <w:drawing>
                <wp:inline distT="0" distB="0" distL="114300" distR="114300">
                  <wp:extent cx="2712720" cy="571500"/>
                  <wp:effectExtent l="0" t="0" r="11430" b="0"/>
                  <wp:docPr id="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pic:cNvPicPr>
                            <a:picLocks noChangeAspect="1"/>
                          </pic:cNvPicPr>
                        </pic:nvPicPr>
                        <pic:blipFill>
                          <a:blip r:embed="rId30" r:link="rId31"/>
                          <a:stretch>
                            <a:fillRect/>
                          </a:stretch>
                        </pic:blipFill>
                        <pic:spPr>
                          <a:xfrm>
                            <a:off x="0" y="0"/>
                            <a:ext cx="2712720" cy="57150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3DDF6508">
            <w:pPr>
              <w:keepNext w:val="0"/>
              <w:keepLines w:val="0"/>
              <w:suppressLineNumbers w:val="0"/>
              <w:bidi w:val="0"/>
              <w:spacing w:before="0" w:beforeAutospacing="0" w:after="0" w:afterAutospacing="0"/>
              <w:ind w:left="0" w:right="0"/>
              <w:rPr>
                <w:rFonts w:hint="eastAsia"/>
              </w:rPr>
            </w:pPr>
            <w:r>
              <w:rPr>
                <w:rFonts w:hint="eastAsia"/>
              </w:rPr>
              <w:t>式中：</w:t>
            </w:r>
          </w:p>
          <w:p w14:paraId="71AA6A4F">
            <w:pPr>
              <w:keepNext w:val="0"/>
              <w:keepLines w:val="0"/>
              <w:suppressLineNumbers w:val="0"/>
              <w:bidi w:val="0"/>
              <w:spacing w:before="0" w:beforeAutospacing="0" w:after="0" w:afterAutospacing="0"/>
              <w:ind w:left="0" w:right="0"/>
              <w:rPr>
                <w:rFonts w:hint="eastAsia"/>
              </w:rPr>
            </w:pPr>
            <w:r>
              <w:rPr>
                <w:rFonts w:hint="eastAsia"/>
              </w:rPr>
              <w:t>Lpi</w:t>
            </w:r>
            <w:r>
              <w:rPr>
                <w:rFonts w:hint="eastAsia"/>
                <w:lang w:eastAsia="zh-CN"/>
              </w:rPr>
              <w:t>（</w:t>
            </w:r>
            <w:r>
              <w:rPr>
                <w:rFonts w:hint="eastAsia"/>
              </w:rPr>
              <w:t>r</w:t>
            </w:r>
            <w:r>
              <w:rPr>
                <w:rFonts w:hint="eastAsia"/>
                <w:lang w:eastAsia="zh-CN"/>
              </w:rPr>
              <w:t>）</w:t>
            </w:r>
            <w:r>
              <w:rPr>
                <w:rFonts w:hint="eastAsia"/>
              </w:rPr>
              <w:t>----预测点（r）处，第i倍频带声压级，dB；</w:t>
            </w:r>
          </w:p>
          <w:p w14:paraId="31C6E333">
            <w:pPr>
              <w:keepNext w:val="0"/>
              <w:keepLines w:val="0"/>
              <w:suppressLineNumbers w:val="0"/>
              <w:bidi w:val="0"/>
              <w:spacing w:before="0" w:beforeAutospacing="0" w:after="0" w:afterAutospacing="0"/>
              <w:ind w:left="0" w:right="0"/>
              <w:rPr>
                <w:rFonts w:hint="eastAsia"/>
              </w:rPr>
            </w:pPr>
            <w:r>
              <w:rPr>
                <w:rFonts w:hint="eastAsia"/>
              </w:rPr>
              <w:t>△Li—i倍频带A计算网络修正值，dB（见导则附录B）。</w:t>
            </w:r>
          </w:p>
          <w:p w14:paraId="6FF7936B">
            <w:pPr>
              <w:keepNext w:val="0"/>
              <w:keepLines w:val="0"/>
              <w:suppressLineNumbers w:val="0"/>
              <w:bidi w:val="0"/>
              <w:spacing w:before="0" w:beforeAutospacing="0" w:after="0" w:afterAutospacing="0"/>
              <w:ind w:left="0" w:right="0"/>
              <w:rPr>
                <w:rFonts w:hint="eastAsia"/>
              </w:rPr>
            </w:pPr>
            <w:r>
              <w:rPr>
                <w:rFonts w:hint="eastAsia"/>
              </w:rPr>
              <w:t>（2）室内声源等效室外声源声功率级计算方法</w:t>
            </w:r>
          </w:p>
          <w:p w14:paraId="107B60D7">
            <w:pPr>
              <w:keepNext w:val="0"/>
              <w:keepLines w:val="0"/>
              <w:suppressLineNumbers w:val="0"/>
              <w:bidi w:val="0"/>
              <w:spacing w:before="0" w:beforeAutospacing="0" w:after="0" w:afterAutospacing="0"/>
              <w:ind w:left="0" w:right="0"/>
              <w:rPr>
                <w:rFonts w:hint="eastAsia"/>
              </w:rPr>
            </w:pPr>
            <w:r>
              <w:rPr>
                <w:rFonts w:hint="eastAsia"/>
              </w:rPr>
              <w:t>如下图所示，声源位于室内，室内声源可采用等效室外声源声功率级法进行计算。设靠近开口处（或窗户）室内、室外某倍频带的声压级分别为Lp1和Lp2。若声源所在室内声场为近似扩散声场，则室内的倍频带声压级可按下式近似求出：</w:t>
            </w:r>
          </w:p>
          <w:p w14:paraId="3359F2B8">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"C:\\Users\\Admin\\AppData\\Local\\Temp\\ksohtml12936\\wps5.png" \* MERGEFORMATINET </w:instrText>
            </w:r>
            <w:r>
              <w:fldChar w:fldCharType="separate"/>
            </w:r>
            <w:r>
              <w:fldChar w:fldCharType="begin"/>
            </w:r>
            <w:r>
              <w:instrText xml:space="preserve"> INCLUDEPICTURE  "C:\\Users\\Admin\\AppData\\Local\\Temp\\ksohtml12936\\wps5.png" \* MERGEFORMATINET </w:instrText>
            </w:r>
            <w:r>
              <w:fldChar w:fldCharType="separate"/>
            </w:r>
            <w:r>
              <w:fldChar w:fldCharType="begin"/>
            </w:r>
            <w:r>
              <w:instrText xml:space="preserve"> INCLUDEPICTURE  "C:\\Users\\Admin\\AppData\\Local\\Temp\\ksohtml12936\\wps5.png" \* MERGEFORMATINET </w:instrText>
            </w:r>
            <w:r>
              <w:fldChar w:fldCharType="separate"/>
            </w:r>
            <w:r>
              <w:fldChar w:fldCharType="begin"/>
            </w:r>
            <w:r>
              <w:instrText xml:space="preserve"> INCLUDEPICTURE  "C:\\Users\\Admin\\AppData\\Local\\Temp\\ksohtml12936\\wps5.png" \* MERGEFORMATINET </w:instrText>
            </w:r>
            <w:r>
              <w:fldChar w:fldCharType="separate"/>
            </w:r>
            <w:r>
              <w:fldChar w:fldCharType="begin"/>
            </w:r>
            <w:r>
              <w:instrText xml:space="preserve"> INCLUDEPICTURE  "C:\\Users\\Admin\\AppData\\Local\\Temp\\ksohtml12936\\wps5.png" \* MERGEFORMATINET </w:instrText>
            </w:r>
            <w:r>
              <w:fldChar w:fldCharType="separate"/>
            </w:r>
            <w:r>
              <w:fldChar w:fldCharType="begin"/>
            </w:r>
            <w:r>
              <w:instrText xml:space="preserve"> INCLUDEPICTURE  "C:\\Users\\Admin\\AppData\\Local\\Temp\\ksohtml12936\\wps5.png" \* MERGEFORMATINET </w:instrText>
            </w:r>
            <w:r>
              <w:fldChar w:fldCharType="separate"/>
            </w:r>
            <w:r>
              <w:fldChar w:fldCharType="begin"/>
            </w:r>
            <w:r>
              <w:instrText xml:space="preserve"> INCLUDEPICTURE  "C:\\Users\\Admin\\AppData\\Local\\Temp\\ksohtml12936\\wps5.png" \* MERGEFORMATINET </w:instrText>
            </w:r>
            <w:r>
              <w:fldChar w:fldCharType="separate"/>
            </w:r>
            <w:r>
              <w:fldChar w:fldCharType="begin"/>
            </w:r>
            <w:r>
              <w:instrText xml:space="preserve"> INCLUDEPICTURE  "C:\\Users\\Admin\\AppData\\Local\\Temp\\ksohtml12936\\wps5.png" \* MERGEFORMATINET </w:instrText>
            </w:r>
            <w:r>
              <w:fldChar w:fldCharType="separate"/>
            </w:r>
            <w:r>
              <w:drawing>
                <wp:inline distT="0" distB="0" distL="114300" distR="114300">
                  <wp:extent cx="1752600" cy="381000"/>
                  <wp:effectExtent l="0" t="0" r="0" b="0"/>
                  <wp:docPr id="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
                          <pic:cNvPicPr>
                            <a:picLocks noChangeAspect="1"/>
                          </pic:cNvPicPr>
                        </pic:nvPicPr>
                        <pic:blipFill>
                          <a:blip r:embed="rId32" r:link="rId33"/>
                          <a:stretch>
                            <a:fillRect/>
                          </a:stretch>
                        </pic:blipFill>
                        <pic:spPr>
                          <a:xfrm>
                            <a:off x="0" y="0"/>
                            <a:ext cx="1752600" cy="38100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351A8128">
            <w:pPr>
              <w:keepNext w:val="0"/>
              <w:keepLines w:val="0"/>
              <w:suppressLineNumbers w:val="0"/>
              <w:bidi w:val="0"/>
              <w:spacing w:before="0" w:beforeAutospacing="0" w:after="0" w:afterAutospacing="0"/>
              <w:ind w:left="0" w:right="0"/>
              <w:rPr>
                <w:rFonts w:hint="eastAsia"/>
              </w:rPr>
            </w:pPr>
            <w:r>
              <w:rPr>
                <w:rFonts w:hint="eastAsia"/>
              </w:rPr>
              <w:t>式中：TL-隔墙（或窗户）倍频带的隔声量，dB。</w:t>
            </w:r>
          </w:p>
          <w:p w14:paraId="235B3E85">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"C:\\Users\\Admin\\AppData\\Local\\Temp\\ksohtml12936\\wps6.png" \* MERGEFORMATINET </w:instrText>
            </w:r>
            <w:r>
              <w:fldChar w:fldCharType="separate"/>
            </w:r>
            <w:r>
              <w:fldChar w:fldCharType="begin"/>
            </w:r>
            <w:r>
              <w:instrText xml:space="preserve"> INCLUDEPICTURE  "C:\\Users\\Admin\\AppData\\Local\\Temp\\ksohtml12936\\wps6.png" \* MERGEFORMATINET </w:instrText>
            </w:r>
            <w:r>
              <w:fldChar w:fldCharType="separate"/>
            </w:r>
            <w:r>
              <w:fldChar w:fldCharType="begin"/>
            </w:r>
            <w:r>
              <w:instrText xml:space="preserve"> INCLUDEPICTURE  "C:\\Users\\Admin\\AppData\\Local\\Temp\\ksohtml12936\\wps6.png" \* MERGEFORMATINET </w:instrText>
            </w:r>
            <w:r>
              <w:fldChar w:fldCharType="separate"/>
            </w:r>
            <w:r>
              <w:fldChar w:fldCharType="begin"/>
            </w:r>
            <w:r>
              <w:instrText xml:space="preserve"> INCLUDEPICTURE  "C:\\Users\\Admin\\AppData\\Local\\Temp\\ksohtml12936\\wps6.png" \* MERGEFORMATINET </w:instrText>
            </w:r>
            <w:r>
              <w:fldChar w:fldCharType="separate"/>
            </w:r>
            <w:r>
              <w:fldChar w:fldCharType="begin"/>
            </w:r>
            <w:r>
              <w:instrText xml:space="preserve"> INCLUDEPICTURE  "C:\\Users\\Admin\\AppData\\Local\\Temp\\ksohtml12936\\wps6.png" \* MERGEFORMATINET </w:instrText>
            </w:r>
            <w:r>
              <w:fldChar w:fldCharType="separate"/>
            </w:r>
            <w:r>
              <w:fldChar w:fldCharType="begin"/>
            </w:r>
            <w:r>
              <w:instrText xml:space="preserve"> INCLUDEPICTURE  "C:\\Users\\Admin\\AppData\\Local\\Temp\\ksohtml12936\\wps6.png" \* MERGEFORMATINET </w:instrText>
            </w:r>
            <w:r>
              <w:fldChar w:fldCharType="separate"/>
            </w:r>
            <w:r>
              <w:fldChar w:fldCharType="begin"/>
            </w:r>
            <w:r>
              <w:instrText xml:space="preserve"> INCLUDEPICTURE  "C:\\Users\\Admin\\AppData\\Local\\Temp\\ksohtml12936\\wps6.png" \* MERGEFORMATINET </w:instrText>
            </w:r>
            <w:r>
              <w:fldChar w:fldCharType="separate"/>
            </w:r>
            <w:r>
              <w:fldChar w:fldCharType="begin"/>
            </w:r>
            <w:r>
              <w:instrText xml:space="preserve"> INCLUDEPICTURE  "C:\\Users\\Admin\\AppData\\Local\\Temp\\ksohtml12936\\wps6.png" \* MERGEFORMATINET </w:instrText>
            </w:r>
            <w:r>
              <w:fldChar w:fldCharType="separate"/>
            </w:r>
            <w:r>
              <w:drawing>
                <wp:inline distT="0" distB="0" distL="114300" distR="114300">
                  <wp:extent cx="3025140" cy="1661160"/>
                  <wp:effectExtent l="0" t="0" r="3810" b="15240"/>
                  <wp:docPr id="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
                          <pic:cNvPicPr>
                            <a:picLocks noChangeAspect="1"/>
                          </pic:cNvPicPr>
                        </pic:nvPicPr>
                        <pic:blipFill>
                          <a:blip r:embed="rId34" r:link="rId35"/>
                          <a:stretch>
                            <a:fillRect/>
                          </a:stretch>
                        </pic:blipFill>
                        <pic:spPr>
                          <a:xfrm>
                            <a:off x="0" y="0"/>
                            <a:ext cx="3025140" cy="166116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789CE4D8">
            <w:pPr>
              <w:keepNext w:val="0"/>
              <w:keepLines w:val="0"/>
              <w:suppressLineNumbers w:val="0"/>
              <w:bidi w:val="0"/>
              <w:spacing w:before="0" w:beforeAutospacing="0" w:after="0" w:afterAutospacing="0"/>
              <w:ind w:left="0" w:right="0"/>
              <w:rPr>
                <w:rFonts w:hint="eastAsia"/>
              </w:rPr>
            </w:pPr>
            <w:r>
              <w:rPr>
                <w:rFonts w:hint="eastAsia"/>
              </w:rPr>
              <w:t>按下式计算某一室内声源靠近围护结构处产生的倍频带声压级：</w:t>
            </w:r>
          </w:p>
          <w:p w14:paraId="1075ADA3">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"C:\\Users\\Admin\\AppData\\Local\\Temp\\ksohtml12936\\wps7.png" \* MERGEFORMATINET </w:instrText>
            </w:r>
            <w:r>
              <w:fldChar w:fldCharType="separate"/>
            </w:r>
            <w:r>
              <w:fldChar w:fldCharType="begin"/>
            </w:r>
            <w:r>
              <w:instrText xml:space="preserve"> INCLUDEPICTURE  "C:\\Users\\Admin\\AppData\\Local\\Temp\\ksohtml12936\\wps7.png" \* MERGEFORMATINET </w:instrText>
            </w:r>
            <w:r>
              <w:fldChar w:fldCharType="separate"/>
            </w:r>
            <w:r>
              <w:fldChar w:fldCharType="begin"/>
            </w:r>
            <w:r>
              <w:instrText xml:space="preserve"> INCLUDEPICTURE  "C:\\Users\\Admin\\AppData\\Local\\Temp\\ksohtml12936\\wps7.png" \* MERGEFORMATINET </w:instrText>
            </w:r>
            <w:r>
              <w:fldChar w:fldCharType="separate"/>
            </w:r>
            <w:r>
              <w:fldChar w:fldCharType="begin"/>
            </w:r>
            <w:r>
              <w:instrText xml:space="preserve"> INCLUDEPICTURE  "C:\\Users\\Admin\\AppData\\Local\\Temp\\ksohtml12936\\wps7.png" \* MERGEFORMATINET </w:instrText>
            </w:r>
            <w:r>
              <w:fldChar w:fldCharType="separate"/>
            </w:r>
            <w:r>
              <w:fldChar w:fldCharType="begin"/>
            </w:r>
            <w:r>
              <w:instrText xml:space="preserve"> INCLUDEPICTURE  "C:\\Users\\Admin\\AppData\\Local\\Temp\\ksohtml12936\\wps7.png" \* MERGEFORMATINET </w:instrText>
            </w:r>
            <w:r>
              <w:fldChar w:fldCharType="separate"/>
            </w:r>
            <w:r>
              <w:fldChar w:fldCharType="begin"/>
            </w:r>
            <w:r>
              <w:instrText xml:space="preserve"> INCLUDEPICTURE  "C:\\Users\\Admin\\AppData\\Local\\Temp\\ksohtml12936\\wps7.png" \* MERGEFORMATINET </w:instrText>
            </w:r>
            <w:r>
              <w:fldChar w:fldCharType="separate"/>
            </w:r>
            <w:r>
              <w:fldChar w:fldCharType="begin"/>
            </w:r>
            <w:r>
              <w:instrText xml:space="preserve"> INCLUDEPICTURE  "C:\\Users\\Admin\\AppData\\Local\\Temp\\ksohtml12936\\wps7.png" \* MERGEFORMATINET </w:instrText>
            </w:r>
            <w:r>
              <w:fldChar w:fldCharType="separate"/>
            </w:r>
            <w:r>
              <w:fldChar w:fldCharType="begin"/>
            </w:r>
            <w:r>
              <w:instrText xml:space="preserve"> INCLUDEPICTURE  "C:\\Users\\Admin\\AppData\\Local\\Temp\\ksohtml12936\\wps7.png" \* MERGEFORMATINET </w:instrText>
            </w:r>
            <w:r>
              <w:fldChar w:fldCharType="separate"/>
            </w:r>
            <w:r>
              <w:drawing>
                <wp:inline distT="0" distB="0" distL="114300" distR="114300">
                  <wp:extent cx="2308860" cy="571500"/>
                  <wp:effectExtent l="0" t="0" r="15240" b="0"/>
                  <wp:docPr id="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
                          <pic:cNvPicPr>
                            <a:picLocks noChangeAspect="1"/>
                          </pic:cNvPicPr>
                        </pic:nvPicPr>
                        <pic:blipFill>
                          <a:blip r:embed="rId36" r:link="rId37"/>
                          <a:stretch>
                            <a:fillRect/>
                          </a:stretch>
                        </pic:blipFill>
                        <pic:spPr>
                          <a:xfrm>
                            <a:off x="0" y="0"/>
                            <a:ext cx="2308860" cy="57150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76D60CE8">
            <w:pPr>
              <w:keepNext w:val="0"/>
              <w:keepLines w:val="0"/>
              <w:suppressLineNumbers w:val="0"/>
              <w:bidi w:val="0"/>
              <w:spacing w:before="0" w:beforeAutospacing="0" w:after="0" w:afterAutospacing="0"/>
              <w:ind w:left="0" w:right="0"/>
              <w:rPr>
                <w:rFonts w:hint="eastAsia"/>
              </w:rPr>
            </w:pPr>
            <w:r>
              <w:rPr>
                <w:rFonts w:hint="eastAsia"/>
              </w:rPr>
              <w:t>式中：</w:t>
            </w:r>
          </w:p>
          <w:p w14:paraId="38B92376">
            <w:pPr>
              <w:keepNext w:val="0"/>
              <w:keepLines w:val="0"/>
              <w:suppressLineNumbers w:val="0"/>
              <w:bidi w:val="0"/>
              <w:spacing w:before="0" w:beforeAutospacing="0" w:after="0" w:afterAutospacing="0"/>
              <w:ind w:left="0" w:right="0"/>
              <w:rPr>
                <w:rFonts w:hint="eastAsia"/>
              </w:rPr>
            </w:pPr>
            <w:r>
              <w:rPr>
                <w:rFonts w:hint="eastAsia"/>
              </w:rPr>
              <w:t>Q----指向性因素；通常对无指向性声源，当声源放在房间中心时，Q=1；当放在一面墙的中心时，Q=2；当放在两面墙夹角处时；Q=4；当放在三面墙夹角处时，Q=8。</w:t>
            </w:r>
          </w:p>
          <w:p w14:paraId="1721D21C">
            <w:pPr>
              <w:keepNext w:val="0"/>
              <w:keepLines w:val="0"/>
              <w:suppressLineNumbers w:val="0"/>
              <w:bidi w:val="0"/>
              <w:spacing w:before="0" w:beforeAutospacing="0" w:after="0" w:afterAutospacing="0"/>
              <w:ind w:left="0" w:right="0"/>
              <w:rPr>
                <w:rFonts w:hint="eastAsia"/>
              </w:rPr>
            </w:pPr>
            <w:r>
              <w:rPr>
                <w:rFonts w:hint="eastAsia"/>
              </w:rPr>
              <w:t>R----房间系数；R=S</w:t>
            </w:r>
            <w:r>
              <w:rPr>
                <w:rFonts w:hint="default" w:ascii="Times New Roman" w:hAnsi="Times New Roman" w:cs="Times New Roman"/>
              </w:rPr>
              <w:t>α</w:t>
            </w:r>
            <w:r>
              <w:rPr>
                <w:rFonts w:hint="eastAsia"/>
              </w:rPr>
              <w:t>/</w:t>
            </w:r>
            <w:r>
              <w:rPr>
                <w:rFonts w:hint="eastAsia"/>
                <w:lang w:eastAsia="zh-CN"/>
              </w:rPr>
              <w:t>（</w:t>
            </w:r>
            <w:r>
              <w:rPr>
                <w:rFonts w:hint="eastAsia"/>
              </w:rPr>
              <w:t>1-</w:t>
            </w:r>
            <w:r>
              <w:rPr>
                <w:rFonts w:hint="default" w:ascii="Times New Roman" w:hAnsi="Times New Roman" w:cs="Times New Roman"/>
              </w:rPr>
              <w:t>α</w:t>
            </w:r>
            <w:r>
              <w:rPr>
                <w:rFonts w:hint="eastAsia"/>
                <w:lang w:eastAsia="zh-CN"/>
              </w:rPr>
              <w:t>）</w:t>
            </w:r>
            <w:r>
              <w:rPr>
                <w:rFonts w:hint="eastAsia"/>
              </w:rPr>
              <w:t>，S为房间内表面面积，m</w:t>
            </w:r>
            <w:r>
              <w:rPr>
                <w:rFonts w:hint="eastAsia"/>
                <w:vertAlign w:val="superscript"/>
              </w:rPr>
              <w:t>2</w:t>
            </w:r>
            <w:r>
              <w:rPr>
                <w:rFonts w:hint="eastAsia"/>
              </w:rPr>
              <w:t>；</w:t>
            </w:r>
            <w:r>
              <w:rPr>
                <w:rFonts w:hint="default" w:ascii="Times New Roman" w:hAnsi="Times New Roman" w:cs="Times New Roman"/>
              </w:rPr>
              <w:t>α</w:t>
            </w:r>
            <w:r>
              <w:rPr>
                <w:rFonts w:hint="eastAsia"/>
              </w:rPr>
              <w:t>为平均吸声系数。</w:t>
            </w:r>
          </w:p>
          <w:p w14:paraId="323EB429">
            <w:pPr>
              <w:keepNext w:val="0"/>
              <w:keepLines w:val="0"/>
              <w:suppressLineNumbers w:val="0"/>
              <w:bidi w:val="0"/>
              <w:spacing w:before="0" w:beforeAutospacing="0" w:after="0" w:afterAutospacing="0"/>
              <w:ind w:left="0" w:right="0"/>
              <w:rPr>
                <w:rFonts w:hint="eastAsia"/>
              </w:rPr>
            </w:pPr>
            <w:r>
              <w:rPr>
                <w:rFonts w:hint="eastAsia"/>
              </w:rPr>
              <w:t>r-----声源到靠近围护结构某点处的距离，m。</w:t>
            </w:r>
          </w:p>
          <w:p w14:paraId="42F2EEEC">
            <w:pPr>
              <w:keepNext w:val="0"/>
              <w:keepLines w:val="0"/>
              <w:suppressLineNumbers w:val="0"/>
              <w:bidi w:val="0"/>
              <w:spacing w:before="0" w:beforeAutospacing="0" w:after="0" w:afterAutospacing="0"/>
              <w:ind w:left="0" w:right="0"/>
              <w:rPr>
                <w:rFonts w:hint="eastAsia"/>
              </w:rPr>
            </w:pPr>
            <w:r>
              <w:rPr>
                <w:rFonts w:hint="eastAsia"/>
              </w:rPr>
              <w:t>②计算出所有室内声源在靠近围护结构处产生的i倍频带叠加声压级：</w:t>
            </w:r>
          </w:p>
          <w:p w14:paraId="7E1F4087">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"C:\\Users\\Admin\\AppData\\Local\\Temp\\ksohtml12936\\wps8.png" \* MERGEFORMATINET </w:instrText>
            </w:r>
            <w:r>
              <w:fldChar w:fldCharType="separate"/>
            </w:r>
            <w:r>
              <w:fldChar w:fldCharType="begin"/>
            </w:r>
            <w:r>
              <w:instrText xml:space="preserve"> INCLUDEPICTURE  "C:\\Users\\Admin\\AppData\\Local\\Temp\\ksohtml12936\\wps8.png" \* MERGEFORMATINET </w:instrText>
            </w:r>
            <w:r>
              <w:fldChar w:fldCharType="separate"/>
            </w:r>
            <w:r>
              <w:fldChar w:fldCharType="begin"/>
            </w:r>
            <w:r>
              <w:instrText xml:space="preserve"> INCLUDEPICTURE  "C:\\Users\\Admin\\AppData\\Local\\Temp\\ksohtml12936\\wps8.png" \* MERGEFORMATINET </w:instrText>
            </w:r>
            <w:r>
              <w:fldChar w:fldCharType="separate"/>
            </w:r>
            <w:r>
              <w:fldChar w:fldCharType="begin"/>
            </w:r>
            <w:r>
              <w:instrText xml:space="preserve"> INCLUDEPICTURE  "C:\\Users\\Admin\\AppData\\Local\\Temp\\ksohtml12936\\wps8.png" \* MERGEFORMATINET </w:instrText>
            </w:r>
            <w:r>
              <w:fldChar w:fldCharType="separate"/>
            </w:r>
            <w:r>
              <w:fldChar w:fldCharType="begin"/>
            </w:r>
            <w:r>
              <w:instrText xml:space="preserve"> INCLUDEPICTURE  "C:\\Users\\Admin\\AppData\\Local\\Temp\\ksohtml12936\\wps8.png" \* MERGEFORMATINET </w:instrText>
            </w:r>
            <w:r>
              <w:fldChar w:fldCharType="separate"/>
            </w:r>
            <w:r>
              <w:fldChar w:fldCharType="begin"/>
            </w:r>
            <w:r>
              <w:instrText xml:space="preserve"> INCLUDEPICTURE  "C:\\Users\\Admin\\AppData\\Local\\Temp\\ksohtml12936\\wps8.png" \* MERGEFORMATINET </w:instrText>
            </w:r>
            <w:r>
              <w:fldChar w:fldCharType="separate"/>
            </w:r>
            <w:r>
              <w:fldChar w:fldCharType="begin"/>
            </w:r>
            <w:r>
              <w:instrText xml:space="preserve"> INCLUDEPICTURE  "C:\\Users\\Admin\\AppData\\Local\\Temp\\ksohtml12936\\wps8.png" \* MERGEFORMATINET </w:instrText>
            </w:r>
            <w:r>
              <w:fldChar w:fldCharType="separate"/>
            </w:r>
            <w:r>
              <w:fldChar w:fldCharType="begin"/>
            </w:r>
            <w:r>
              <w:instrText xml:space="preserve"> INCLUDEPICTURE  "C:\\Users\\Admin\\AppData\\Local\\Temp\\ksohtml12936\\wps8.png" \* MERGEFORMATINET </w:instrText>
            </w:r>
            <w:r>
              <w:fldChar w:fldCharType="separate"/>
            </w:r>
            <w:r>
              <w:drawing>
                <wp:inline distT="0" distB="0" distL="114300" distR="114300">
                  <wp:extent cx="2103120" cy="670560"/>
                  <wp:effectExtent l="0" t="0" r="11430" b="15240"/>
                  <wp:docPr id="10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
                          <pic:cNvPicPr>
                            <a:picLocks noChangeAspect="1"/>
                          </pic:cNvPicPr>
                        </pic:nvPicPr>
                        <pic:blipFill>
                          <a:blip r:embed="rId38" r:link="rId39"/>
                          <a:stretch>
                            <a:fillRect/>
                          </a:stretch>
                        </pic:blipFill>
                        <pic:spPr>
                          <a:xfrm>
                            <a:off x="0" y="0"/>
                            <a:ext cx="2103120" cy="67056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53D32BD5">
            <w:pPr>
              <w:keepNext w:val="0"/>
              <w:keepLines w:val="0"/>
              <w:suppressLineNumbers w:val="0"/>
              <w:bidi w:val="0"/>
              <w:spacing w:before="0" w:beforeAutospacing="0" w:after="0" w:afterAutospacing="0"/>
              <w:ind w:left="0" w:right="0"/>
              <w:rPr>
                <w:rFonts w:hint="eastAsia"/>
              </w:rPr>
            </w:pPr>
            <w:r>
              <w:rPr>
                <w:rFonts w:hint="eastAsia"/>
              </w:rPr>
              <w:t>式中：</w:t>
            </w:r>
          </w:p>
          <w:p w14:paraId="21A67D3D">
            <w:pPr>
              <w:keepNext w:val="0"/>
              <w:keepLines w:val="0"/>
              <w:suppressLineNumbers w:val="0"/>
              <w:bidi w:val="0"/>
              <w:spacing w:before="0" w:beforeAutospacing="0" w:after="0" w:afterAutospacing="0"/>
              <w:ind w:left="0" w:right="0"/>
              <w:rPr>
                <w:rFonts w:hint="eastAsia"/>
              </w:rPr>
            </w:pPr>
            <w:r>
              <w:rPr>
                <w:rFonts w:hint="eastAsia"/>
              </w:rPr>
              <w:t>Lp1i</w:t>
            </w:r>
            <w:r>
              <w:rPr>
                <w:rFonts w:hint="eastAsia"/>
                <w:lang w:eastAsia="zh-CN"/>
              </w:rPr>
              <w:t>（</w:t>
            </w:r>
            <w:r>
              <w:rPr>
                <w:rFonts w:hint="eastAsia"/>
              </w:rPr>
              <w:t>T</w:t>
            </w:r>
            <w:r>
              <w:rPr>
                <w:rFonts w:hint="eastAsia"/>
                <w:lang w:eastAsia="zh-CN"/>
              </w:rPr>
              <w:t>）</w:t>
            </w:r>
            <w:r>
              <w:rPr>
                <w:rFonts w:hint="eastAsia"/>
              </w:rPr>
              <w:t>---靠近围护结构处室内N个声源i倍频带的叠加声压级，dB；</w:t>
            </w:r>
          </w:p>
          <w:p w14:paraId="187B30F3">
            <w:pPr>
              <w:keepNext w:val="0"/>
              <w:keepLines w:val="0"/>
              <w:suppressLineNumbers w:val="0"/>
              <w:bidi w:val="0"/>
              <w:spacing w:before="0" w:beforeAutospacing="0" w:after="0" w:afterAutospacing="0"/>
              <w:ind w:left="0" w:right="0"/>
              <w:rPr>
                <w:rFonts w:hint="eastAsia"/>
              </w:rPr>
            </w:pPr>
            <w:r>
              <w:rPr>
                <w:rFonts w:hint="eastAsia"/>
              </w:rPr>
              <w:t>Lp1ij---室内j声源i倍频带的声压级，dB；</w:t>
            </w:r>
          </w:p>
          <w:p w14:paraId="498FE0DE">
            <w:pPr>
              <w:keepNext w:val="0"/>
              <w:keepLines w:val="0"/>
              <w:suppressLineNumbers w:val="0"/>
              <w:bidi w:val="0"/>
              <w:spacing w:before="0" w:beforeAutospacing="0" w:after="0" w:afterAutospacing="0"/>
              <w:ind w:left="0" w:right="0"/>
              <w:rPr>
                <w:rFonts w:hint="eastAsia"/>
              </w:rPr>
            </w:pPr>
            <w:r>
              <w:rPr>
                <w:rFonts w:hint="eastAsia"/>
              </w:rPr>
              <w:t>N---室内声源总数。</w:t>
            </w:r>
          </w:p>
          <w:p w14:paraId="13AFA386">
            <w:pPr>
              <w:keepNext w:val="0"/>
              <w:keepLines w:val="0"/>
              <w:suppressLineNumbers w:val="0"/>
              <w:bidi w:val="0"/>
              <w:spacing w:before="0" w:beforeAutospacing="0" w:after="0" w:afterAutospacing="0"/>
              <w:ind w:left="0" w:right="0"/>
              <w:rPr>
                <w:rFonts w:hint="eastAsia"/>
              </w:rPr>
            </w:pPr>
            <w:r>
              <w:rPr>
                <w:rFonts w:hint="eastAsia"/>
              </w:rPr>
              <w:t>③计算出室外靠近围护结构处的声压级：</w:t>
            </w:r>
          </w:p>
          <w:p w14:paraId="1D43A604">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"C:\\Users\\Admin\\AppData\\Local\\Temp\\ksohtml12936\\wps9.png" \* MERGEFORMATINET </w:instrText>
            </w:r>
            <w:r>
              <w:fldChar w:fldCharType="separate"/>
            </w:r>
            <w:r>
              <w:fldChar w:fldCharType="begin"/>
            </w:r>
            <w:r>
              <w:instrText xml:space="preserve"> INCLUDEPICTURE  "C:\\Users\\Admin\\AppData\\Local\\Temp\\ksohtml12936\\wps9.png" \* MERGEFORMATINET </w:instrText>
            </w:r>
            <w:r>
              <w:fldChar w:fldCharType="separate"/>
            </w:r>
            <w:r>
              <w:fldChar w:fldCharType="begin"/>
            </w:r>
            <w:r>
              <w:instrText xml:space="preserve"> INCLUDEPICTURE  "C:\\Users\\Admin\\AppData\\Local\\Temp\\ksohtml12936\\wps9.png" \* MERGEFORMATINET </w:instrText>
            </w:r>
            <w:r>
              <w:fldChar w:fldCharType="separate"/>
            </w:r>
            <w:r>
              <w:fldChar w:fldCharType="begin"/>
            </w:r>
            <w:r>
              <w:instrText xml:space="preserve"> INCLUDEPICTURE  "C:\\Users\\Admin\\AppData\\Local\\Temp\\ksohtml12936\\wps9.png" \* MERGEFORMATINET </w:instrText>
            </w:r>
            <w:r>
              <w:fldChar w:fldCharType="separate"/>
            </w:r>
            <w:r>
              <w:fldChar w:fldCharType="begin"/>
            </w:r>
            <w:r>
              <w:instrText xml:space="preserve"> INCLUDEPICTURE  "C:\\Users\\Admin\\AppData\\Local\\Temp\\ksohtml12936\\wps9.png" \* MERGEFORMATINET </w:instrText>
            </w:r>
            <w:r>
              <w:fldChar w:fldCharType="separate"/>
            </w:r>
            <w:r>
              <w:fldChar w:fldCharType="begin"/>
            </w:r>
            <w:r>
              <w:instrText xml:space="preserve"> INCLUDEPICTURE  "C:\\Users\\Admin\\AppData\\Local\\Temp\\ksohtml12936\\wps9.png" \* MERGEFORMATINET </w:instrText>
            </w:r>
            <w:r>
              <w:fldChar w:fldCharType="separate"/>
            </w:r>
            <w:r>
              <w:fldChar w:fldCharType="begin"/>
            </w:r>
            <w:r>
              <w:instrText xml:space="preserve"> INCLUDEPICTURE  "C:\\Users\\Admin\\AppData\\Local\\Temp\\ksohtml12936\\wps9.png" \* MERGEFORMATINET </w:instrText>
            </w:r>
            <w:r>
              <w:fldChar w:fldCharType="separate"/>
            </w:r>
            <w:r>
              <w:fldChar w:fldCharType="begin"/>
            </w:r>
            <w:r>
              <w:instrText xml:space="preserve"> INCLUDEPICTURE  "C:\\Users\\Admin\\AppData\\Local\\Temp\\ksohtml12936\\wps9.png" \* MERGEFORMATINET </w:instrText>
            </w:r>
            <w:r>
              <w:fldChar w:fldCharType="separate"/>
            </w:r>
            <w:r>
              <w:drawing>
                <wp:inline distT="0" distB="0" distL="114300" distR="114300">
                  <wp:extent cx="2423160" cy="365760"/>
                  <wp:effectExtent l="0" t="0" r="15240" b="1524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40" r:link="rId41"/>
                          <a:stretch>
                            <a:fillRect/>
                          </a:stretch>
                        </pic:blipFill>
                        <pic:spPr>
                          <a:xfrm>
                            <a:off x="0" y="0"/>
                            <a:ext cx="2423160" cy="36576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3BC073D6">
            <w:pPr>
              <w:keepNext w:val="0"/>
              <w:keepLines w:val="0"/>
              <w:suppressLineNumbers w:val="0"/>
              <w:bidi w:val="0"/>
              <w:spacing w:before="0" w:beforeAutospacing="0" w:after="0" w:afterAutospacing="0"/>
              <w:ind w:left="0" w:right="0"/>
              <w:rPr>
                <w:rFonts w:hint="eastAsia"/>
              </w:rPr>
            </w:pPr>
            <w:r>
              <w:rPr>
                <w:rFonts w:hint="eastAsia"/>
              </w:rPr>
              <w:t>式中：</w:t>
            </w:r>
          </w:p>
          <w:p w14:paraId="62BF0332">
            <w:pPr>
              <w:keepNext w:val="0"/>
              <w:keepLines w:val="0"/>
              <w:suppressLineNumbers w:val="0"/>
              <w:bidi w:val="0"/>
              <w:spacing w:before="0" w:beforeAutospacing="0" w:after="0" w:afterAutospacing="0"/>
              <w:ind w:left="0" w:right="0"/>
              <w:rPr>
                <w:rFonts w:hint="eastAsia"/>
              </w:rPr>
            </w:pPr>
            <w:r>
              <w:rPr>
                <w:rFonts w:hint="eastAsia"/>
              </w:rPr>
              <w:t>Lp2i</w:t>
            </w:r>
            <w:r>
              <w:rPr>
                <w:rFonts w:hint="eastAsia"/>
                <w:lang w:eastAsia="zh-CN"/>
              </w:rPr>
              <w:t>（</w:t>
            </w:r>
            <w:r>
              <w:rPr>
                <w:rFonts w:hint="eastAsia"/>
              </w:rPr>
              <w:t>T</w:t>
            </w:r>
            <w:r>
              <w:rPr>
                <w:rFonts w:hint="eastAsia"/>
                <w:lang w:eastAsia="zh-CN"/>
              </w:rPr>
              <w:t>）</w:t>
            </w:r>
            <w:r>
              <w:rPr>
                <w:rFonts w:hint="eastAsia"/>
              </w:rPr>
              <w:t>---靠近围护结构处室内N个声源i倍频带的叠加声压级，dB；</w:t>
            </w:r>
          </w:p>
          <w:p w14:paraId="5FF34CD0">
            <w:pPr>
              <w:keepNext w:val="0"/>
              <w:keepLines w:val="0"/>
              <w:suppressLineNumbers w:val="0"/>
              <w:bidi w:val="0"/>
              <w:spacing w:before="0" w:beforeAutospacing="0" w:after="0" w:afterAutospacing="0"/>
              <w:ind w:left="0" w:right="0"/>
              <w:rPr>
                <w:rFonts w:hint="eastAsia"/>
              </w:rPr>
            </w:pPr>
            <w:r>
              <w:rPr>
                <w:rFonts w:hint="eastAsia"/>
              </w:rPr>
              <w:t>TLi---围护结构i倍频带的隔声量，dB。</w:t>
            </w:r>
          </w:p>
          <w:p w14:paraId="1EEBD802">
            <w:pPr>
              <w:keepNext w:val="0"/>
              <w:keepLines w:val="0"/>
              <w:suppressLineNumbers w:val="0"/>
              <w:bidi w:val="0"/>
              <w:spacing w:before="0" w:beforeAutospacing="0" w:after="0" w:afterAutospacing="0"/>
              <w:ind w:left="0" w:right="0"/>
              <w:rPr>
                <w:rFonts w:hint="eastAsia"/>
              </w:rPr>
            </w:pPr>
            <w:r>
              <w:rPr>
                <w:rFonts w:hint="eastAsia"/>
              </w:rPr>
              <w:t>④将室外声源的声压级和透声面积换算成等效的室外声源，计算出中心位置位于透声面积（S）处的等效声源的倍频带的声功率级：</w:t>
            </w:r>
          </w:p>
          <w:p w14:paraId="7C9919C4">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"C:\\Users\\Admin\\AppData\\Local\\Temp\\ksohtml12936\\wps10.png" \* MERGEFORMATINET </w:instrText>
            </w:r>
            <w:r>
              <w:fldChar w:fldCharType="separate"/>
            </w:r>
            <w:r>
              <w:fldChar w:fldCharType="begin"/>
            </w:r>
            <w:r>
              <w:instrText xml:space="preserve"> INCLUDEPICTURE  "C:\\Users\\Admin\\AppData\\Local\\Temp\\ksohtml12936\\wps10.png" \* MERGEFORMATINET </w:instrText>
            </w:r>
            <w:r>
              <w:fldChar w:fldCharType="separate"/>
            </w:r>
            <w:r>
              <w:fldChar w:fldCharType="begin"/>
            </w:r>
            <w:r>
              <w:instrText xml:space="preserve"> INCLUDEPICTURE  "C:\\Users\\Admin\\AppData\\Local\\Temp\\ksohtml12936\\wps10.png" \* MERGEFORMATINET </w:instrText>
            </w:r>
            <w:r>
              <w:fldChar w:fldCharType="separate"/>
            </w:r>
            <w:r>
              <w:fldChar w:fldCharType="begin"/>
            </w:r>
            <w:r>
              <w:instrText xml:space="preserve"> INCLUDEPICTURE  "C:\\Users\\Admin\\AppData\\Local\\Temp\\ksohtml12936\\wps10.png" \* MERGEFORMATINET </w:instrText>
            </w:r>
            <w:r>
              <w:fldChar w:fldCharType="separate"/>
            </w:r>
            <w:r>
              <w:fldChar w:fldCharType="begin"/>
            </w:r>
            <w:r>
              <w:instrText xml:space="preserve"> INCLUDEPICTURE  "C:\\Users\\Admin\\AppData\\Local\\Temp\\ksohtml12936\\wps10.png" \* MERGEFORMATINET </w:instrText>
            </w:r>
            <w:r>
              <w:fldChar w:fldCharType="separate"/>
            </w:r>
            <w:r>
              <w:fldChar w:fldCharType="begin"/>
            </w:r>
            <w:r>
              <w:instrText xml:space="preserve"> INCLUDEPICTURE  "C:\\Users\\Admin\\AppData\\Local\\Temp\\ksohtml12936\\wps10.png" \* MERGEFORMATINET </w:instrText>
            </w:r>
            <w:r>
              <w:fldChar w:fldCharType="separate"/>
            </w:r>
            <w:r>
              <w:fldChar w:fldCharType="begin"/>
            </w:r>
            <w:r>
              <w:instrText xml:space="preserve"> INCLUDEPICTURE  "C:\\Users\\Admin\\AppData\\Local\\Temp\\ksohtml12936\\wps10.png" \* MERGEFORMATINET </w:instrText>
            </w:r>
            <w:r>
              <w:fldChar w:fldCharType="separate"/>
            </w:r>
            <w:r>
              <w:fldChar w:fldCharType="begin"/>
            </w:r>
            <w:r>
              <w:instrText xml:space="preserve"> INCLUDEPICTURE  "C:\\Users\\Admin\\AppData\\Local\\Temp\\ksohtml12936\\wps10.png" \* MERGEFORMATINET </w:instrText>
            </w:r>
            <w:r>
              <w:fldChar w:fldCharType="separate"/>
            </w:r>
            <w:r>
              <w:drawing>
                <wp:inline distT="0" distB="0" distL="114300" distR="114300">
                  <wp:extent cx="1798320" cy="426720"/>
                  <wp:effectExtent l="0" t="0" r="11430" b="11430"/>
                  <wp:docPr id="1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
                          <pic:cNvPicPr>
                            <a:picLocks noChangeAspect="1"/>
                          </pic:cNvPicPr>
                        </pic:nvPicPr>
                        <pic:blipFill>
                          <a:blip r:embed="rId42" r:link="rId43"/>
                          <a:stretch>
                            <a:fillRect/>
                          </a:stretch>
                        </pic:blipFill>
                        <pic:spPr>
                          <a:xfrm>
                            <a:off x="0" y="0"/>
                            <a:ext cx="1798320" cy="42672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71991F36">
            <w:pPr>
              <w:keepNext w:val="0"/>
              <w:keepLines w:val="0"/>
              <w:suppressLineNumbers w:val="0"/>
              <w:bidi w:val="0"/>
              <w:spacing w:before="0" w:beforeAutospacing="0" w:after="0" w:afterAutospacing="0"/>
              <w:ind w:left="0" w:right="0"/>
              <w:rPr>
                <w:rFonts w:hint="eastAsia"/>
              </w:rPr>
            </w:pPr>
            <w:r>
              <w:rPr>
                <w:rFonts w:hint="eastAsia"/>
              </w:rPr>
              <w:t>式中：S为透声面积，㎡。</w:t>
            </w:r>
          </w:p>
          <w:p w14:paraId="1A20190C">
            <w:pPr>
              <w:keepNext w:val="0"/>
              <w:keepLines w:val="0"/>
              <w:suppressLineNumbers w:val="0"/>
              <w:bidi w:val="0"/>
              <w:spacing w:before="0" w:beforeAutospacing="0" w:after="0" w:afterAutospacing="0"/>
              <w:ind w:left="0" w:right="0"/>
              <w:rPr>
                <w:rFonts w:hint="eastAsia"/>
              </w:rPr>
            </w:pPr>
            <w:r>
              <w:rPr>
                <w:rFonts w:hint="eastAsia"/>
              </w:rPr>
              <w:t>⑤等效室外声源的位置为围护结构的位置，其倍频带声功率级为Lw，由此按室外声源方法计算等效室外声源在预测点产生的声级。</w:t>
            </w:r>
          </w:p>
          <w:p w14:paraId="54C6DA39">
            <w:pPr>
              <w:keepNext w:val="0"/>
              <w:keepLines w:val="0"/>
              <w:suppressLineNumbers w:val="0"/>
              <w:bidi w:val="0"/>
              <w:spacing w:before="0" w:beforeAutospacing="0" w:after="0" w:afterAutospacing="0"/>
              <w:ind w:left="0" w:right="0"/>
              <w:rPr>
                <w:rFonts w:hint="eastAsia"/>
              </w:rPr>
            </w:pPr>
            <w:r>
              <w:rPr>
                <w:rFonts w:hint="eastAsia"/>
              </w:rPr>
              <w:t>（3）噪声贡献值计算</w:t>
            </w:r>
          </w:p>
          <w:p w14:paraId="3FA5407A">
            <w:pPr>
              <w:keepNext w:val="0"/>
              <w:keepLines w:val="0"/>
              <w:suppressLineNumbers w:val="0"/>
              <w:bidi w:val="0"/>
              <w:spacing w:before="0" w:beforeAutospacing="0" w:after="0" w:afterAutospacing="0"/>
              <w:ind w:left="0" w:right="0"/>
              <w:rPr>
                <w:rFonts w:hint="eastAsia"/>
              </w:rPr>
            </w:pPr>
            <w:r>
              <w:rPr>
                <w:rFonts w:hint="eastAsia"/>
              </w:rPr>
              <w:t>设第i个室外声源在预测点产生的A声级为L</w:t>
            </w:r>
            <w:r>
              <w:rPr>
                <w:rFonts w:hint="eastAsia"/>
                <w:vertAlign w:val="subscript"/>
              </w:rPr>
              <w:t>Ai</w:t>
            </w:r>
            <w:r>
              <w:rPr>
                <w:rFonts w:hint="eastAsia"/>
              </w:rPr>
              <w:t>，在T时间内该声源工作时间为ti；第j个等效室外声源在预测点产生的A声级为L</w:t>
            </w:r>
            <w:r>
              <w:rPr>
                <w:rFonts w:hint="eastAsia"/>
                <w:vertAlign w:val="subscript"/>
              </w:rPr>
              <w:t>Aj</w:t>
            </w:r>
            <w:r>
              <w:rPr>
                <w:rFonts w:hint="eastAsia"/>
              </w:rPr>
              <w:t>，在拟建工程声源对预测点产生的贡献值（Leqg）为：</w:t>
            </w:r>
          </w:p>
          <w:p w14:paraId="4DDF0F4B">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"C:\\Users\\Admin\\AppData\\Local\\Temp\\ksohtml12936\\wps11.png" \* MERGEFORMATINET </w:instrText>
            </w:r>
            <w:r>
              <w:fldChar w:fldCharType="separate"/>
            </w:r>
            <w:r>
              <w:fldChar w:fldCharType="begin"/>
            </w:r>
            <w:r>
              <w:instrText xml:space="preserve"> INCLUDEPICTURE  "C:\\Users\\Admin\\AppData\\Local\\Temp\\ksohtml12936\\wps11.png" \* MERGEFORMATINET </w:instrText>
            </w:r>
            <w:r>
              <w:fldChar w:fldCharType="separate"/>
            </w:r>
            <w:r>
              <w:fldChar w:fldCharType="begin"/>
            </w:r>
            <w:r>
              <w:instrText xml:space="preserve"> INCLUDEPICTURE  "C:\\Users\\Admin\\AppData\\Local\\Temp\\ksohtml12936\\wps11.png" \* MERGEFORMATINET </w:instrText>
            </w:r>
            <w:r>
              <w:fldChar w:fldCharType="separate"/>
            </w:r>
            <w:r>
              <w:fldChar w:fldCharType="begin"/>
            </w:r>
            <w:r>
              <w:instrText xml:space="preserve"> INCLUDEPICTURE  "C:\\Users\\Admin\\AppData\\Local\\Temp\\ksohtml12936\\wps11.png" \* MERGEFORMATINET </w:instrText>
            </w:r>
            <w:r>
              <w:fldChar w:fldCharType="separate"/>
            </w:r>
            <w:r>
              <w:fldChar w:fldCharType="begin"/>
            </w:r>
            <w:r>
              <w:instrText xml:space="preserve"> INCLUDEPICTURE  "C:\\Users\\Admin\\AppData\\Local\\Temp\\ksohtml12936\\wps11.png" \* MERGEFORMATINET </w:instrText>
            </w:r>
            <w:r>
              <w:fldChar w:fldCharType="separate"/>
            </w:r>
            <w:r>
              <w:fldChar w:fldCharType="begin"/>
            </w:r>
            <w:r>
              <w:instrText xml:space="preserve"> INCLUDEPICTURE  "C:\\Users\\Admin\\AppData\\Local\\Temp\\ksohtml12936\\wps11.png" \* MERGEFORMATINET </w:instrText>
            </w:r>
            <w:r>
              <w:fldChar w:fldCharType="separate"/>
            </w:r>
            <w:r>
              <w:fldChar w:fldCharType="begin"/>
            </w:r>
            <w:r>
              <w:instrText xml:space="preserve"> INCLUDEPICTURE  "C:\\Users\\Admin\\AppData\\Local\\Temp\\ksohtml12936\\wps11.png" \* MERGEFORMATINET </w:instrText>
            </w:r>
            <w:r>
              <w:fldChar w:fldCharType="separate"/>
            </w:r>
            <w:r>
              <w:fldChar w:fldCharType="begin"/>
            </w:r>
            <w:r>
              <w:instrText xml:space="preserve"> INCLUDEPICTURE  "C:\\Users\\Admin\\AppData\\Local\\Temp\\ksohtml12936\\wps11.png" \* MERGEFORMATINET </w:instrText>
            </w:r>
            <w:r>
              <w:fldChar w:fldCharType="separate"/>
            </w:r>
            <w:r>
              <w:drawing>
                <wp:inline distT="0" distB="0" distL="114300" distR="114300">
                  <wp:extent cx="3268980" cy="579120"/>
                  <wp:effectExtent l="0" t="0" r="7620" b="11430"/>
                  <wp:docPr id="1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
                          <pic:cNvPicPr>
                            <a:picLocks noChangeAspect="1"/>
                          </pic:cNvPicPr>
                        </pic:nvPicPr>
                        <pic:blipFill>
                          <a:blip r:embed="rId44" r:link="rId45"/>
                          <a:stretch>
                            <a:fillRect/>
                          </a:stretch>
                        </pic:blipFill>
                        <pic:spPr>
                          <a:xfrm>
                            <a:off x="0" y="0"/>
                            <a:ext cx="3268980" cy="57912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4202FB14">
            <w:pPr>
              <w:keepNext w:val="0"/>
              <w:keepLines w:val="0"/>
              <w:suppressLineNumbers w:val="0"/>
              <w:bidi w:val="0"/>
              <w:spacing w:before="0" w:beforeAutospacing="0" w:after="0" w:afterAutospacing="0"/>
              <w:ind w:left="0" w:right="0"/>
              <w:rPr>
                <w:rFonts w:hint="eastAsia"/>
              </w:rPr>
            </w:pPr>
            <w:r>
              <w:rPr>
                <w:rFonts w:hint="eastAsia"/>
              </w:rPr>
              <w:t>式中：</w:t>
            </w:r>
          </w:p>
          <w:p w14:paraId="121B1113">
            <w:pPr>
              <w:keepNext w:val="0"/>
              <w:keepLines w:val="0"/>
              <w:suppressLineNumbers w:val="0"/>
              <w:bidi w:val="0"/>
              <w:spacing w:before="0" w:beforeAutospacing="0" w:after="0" w:afterAutospacing="0"/>
              <w:ind w:left="0" w:right="0"/>
              <w:rPr>
                <w:rFonts w:hint="eastAsia"/>
              </w:rPr>
            </w:pPr>
            <w:r>
              <w:rPr>
                <w:rFonts w:hint="eastAsia"/>
              </w:rPr>
              <w:t>tj---在T时间内j声源工作时间，s；</w:t>
            </w:r>
          </w:p>
          <w:p w14:paraId="3A84E724">
            <w:pPr>
              <w:keepNext w:val="0"/>
              <w:keepLines w:val="0"/>
              <w:suppressLineNumbers w:val="0"/>
              <w:bidi w:val="0"/>
              <w:spacing w:before="0" w:beforeAutospacing="0" w:after="0" w:afterAutospacing="0"/>
              <w:ind w:left="0" w:right="0"/>
              <w:rPr>
                <w:rFonts w:hint="eastAsia"/>
              </w:rPr>
            </w:pPr>
            <w:r>
              <w:rPr>
                <w:rFonts w:hint="eastAsia"/>
              </w:rPr>
              <w:t>ti---在T时间内i声源工作时间，s；</w:t>
            </w:r>
          </w:p>
          <w:p w14:paraId="0A10A270">
            <w:pPr>
              <w:keepNext w:val="0"/>
              <w:keepLines w:val="0"/>
              <w:suppressLineNumbers w:val="0"/>
              <w:bidi w:val="0"/>
              <w:spacing w:before="0" w:beforeAutospacing="0" w:after="0" w:afterAutospacing="0"/>
              <w:ind w:left="0" w:right="0"/>
              <w:rPr>
                <w:rFonts w:hint="eastAsia"/>
              </w:rPr>
            </w:pPr>
            <w:r>
              <w:rPr>
                <w:rFonts w:hint="eastAsia"/>
              </w:rPr>
              <w:t>T---用于计算等效声级的时间，s；</w:t>
            </w:r>
          </w:p>
          <w:p w14:paraId="2C4A3195">
            <w:pPr>
              <w:keepNext w:val="0"/>
              <w:keepLines w:val="0"/>
              <w:suppressLineNumbers w:val="0"/>
              <w:bidi w:val="0"/>
              <w:spacing w:before="0" w:beforeAutospacing="0" w:after="0" w:afterAutospacing="0"/>
              <w:ind w:left="0" w:right="0"/>
              <w:rPr>
                <w:rFonts w:hint="eastAsia"/>
              </w:rPr>
            </w:pPr>
            <w:r>
              <w:rPr>
                <w:rFonts w:hint="eastAsia"/>
              </w:rPr>
              <w:t>N---室外声源个数；</w:t>
            </w:r>
          </w:p>
          <w:p w14:paraId="7E3FD9A6">
            <w:pPr>
              <w:keepNext w:val="0"/>
              <w:keepLines w:val="0"/>
              <w:suppressLineNumbers w:val="0"/>
              <w:bidi w:val="0"/>
              <w:spacing w:before="0" w:beforeAutospacing="0" w:after="0" w:afterAutospacing="0"/>
              <w:ind w:left="0" w:right="0"/>
              <w:rPr>
                <w:rFonts w:hint="eastAsia"/>
              </w:rPr>
            </w:pPr>
            <w:r>
              <w:rPr>
                <w:rFonts w:hint="eastAsia"/>
              </w:rPr>
              <w:t>M---室内声源个数。</w:t>
            </w:r>
          </w:p>
          <w:p w14:paraId="28F63621">
            <w:pPr>
              <w:keepNext w:val="0"/>
              <w:keepLines w:val="0"/>
              <w:suppressLineNumbers w:val="0"/>
              <w:bidi w:val="0"/>
              <w:spacing w:before="0" w:beforeAutospacing="0" w:after="0" w:afterAutospacing="0"/>
              <w:ind w:left="0" w:right="0"/>
              <w:rPr>
                <w:rFonts w:hint="eastAsia"/>
              </w:rPr>
            </w:pPr>
            <w:r>
              <w:rPr>
                <w:rFonts w:hint="eastAsia"/>
              </w:rPr>
              <w:t>（4）预测值计算</w:t>
            </w:r>
          </w:p>
          <w:p w14:paraId="42641D3D">
            <w:pPr>
              <w:keepNext w:val="0"/>
              <w:keepLines w:val="0"/>
              <w:suppressLineNumbers w:val="0"/>
              <w:bidi w:val="0"/>
              <w:spacing w:before="0" w:beforeAutospacing="0" w:after="0" w:afterAutospacing="0"/>
              <w:ind w:left="0" w:right="0"/>
              <w:rPr>
                <w:rFonts w:hint="eastAsia"/>
              </w:rPr>
            </w:pPr>
            <w:r>
              <w:rPr>
                <w:rFonts w:hint="eastAsia"/>
              </w:rPr>
              <w:t>预测点的预测等效声级（Leq）计算公式为：</w:t>
            </w:r>
          </w:p>
          <w:p w14:paraId="49D257D3">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"C:\\Users\\Admin\\AppData\\Local\\Temp\\ksohtml12936\\wps12.png" \* MERGEFORMATINET </w:instrText>
            </w:r>
            <w:r>
              <w:fldChar w:fldCharType="separate"/>
            </w:r>
            <w:r>
              <w:fldChar w:fldCharType="begin"/>
            </w:r>
            <w:r>
              <w:instrText xml:space="preserve"> INCLUDEPICTURE  "C:\\Users\\Admin\\AppData\\Local\\Temp\\ksohtml12936\\wps12.png" \* MERGEFORMATINET </w:instrText>
            </w:r>
            <w:r>
              <w:fldChar w:fldCharType="separate"/>
            </w:r>
            <w:r>
              <w:fldChar w:fldCharType="begin"/>
            </w:r>
            <w:r>
              <w:instrText xml:space="preserve"> INCLUDEPICTURE  "C:\\Users\\Admin\\AppData\\Local\\Temp\\ksohtml12936\\wps12.png" \* MERGEFORMATINET </w:instrText>
            </w:r>
            <w:r>
              <w:fldChar w:fldCharType="separate"/>
            </w:r>
            <w:r>
              <w:fldChar w:fldCharType="begin"/>
            </w:r>
            <w:r>
              <w:instrText xml:space="preserve"> INCLUDEPICTURE  "C:\\Users\\Admin\\AppData\\Local\\Temp\\ksohtml12936\\wps12.png" \* MERGEFORMATINET </w:instrText>
            </w:r>
            <w:r>
              <w:fldChar w:fldCharType="separate"/>
            </w:r>
            <w:r>
              <w:fldChar w:fldCharType="begin"/>
            </w:r>
            <w:r>
              <w:instrText xml:space="preserve"> INCLUDEPICTURE  "C:\\Users\\Admin\\AppData\\Local\\Temp\\ksohtml12936\\wps12.png" \* MERGEFORMATINET </w:instrText>
            </w:r>
            <w:r>
              <w:fldChar w:fldCharType="separate"/>
            </w:r>
            <w:r>
              <w:fldChar w:fldCharType="begin"/>
            </w:r>
            <w:r>
              <w:instrText xml:space="preserve"> INCLUDEPICTURE  "C:\\Users\\Admin\\AppData\\Local\\Temp\\ksohtml12936\\wps12.png" \* MERGEFORMATINET </w:instrText>
            </w:r>
            <w:r>
              <w:fldChar w:fldCharType="separate"/>
            </w:r>
            <w:r>
              <w:fldChar w:fldCharType="begin"/>
            </w:r>
            <w:r>
              <w:instrText xml:space="preserve"> INCLUDEPICTURE  "C:\\Users\\Admin\\AppData\\Local\\Temp\\ksohtml12936\\wps12.png" \* MERGEFORMATINET </w:instrText>
            </w:r>
            <w:r>
              <w:fldChar w:fldCharType="separate"/>
            </w:r>
            <w:r>
              <w:fldChar w:fldCharType="begin"/>
            </w:r>
            <w:r>
              <w:instrText xml:space="preserve"> INCLUDEPICTURE  "C:\\Users\\Admin\\AppData\\Local\\Temp\\ksohtml12936\\wps12.png" \* MERGEFORMATINET </w:instrText>
            </w:r>
            <w:r>
              <w:fldChar w:fldCharType="separate"/>
            </w:r>
            <w:r>
              <w:drawing>
                <wp:inline distT="0" distB="0" distL="114300" distR="114300">
                  <wp:extent cx="2354580" cy="502920"/>
                  <wp:effectExtent l="0" t="0" r="7620" b="11430"/>
                  <wp:docPr id="1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4"/>
                          <pic:cNvPicPr>
                            <a:picLocks noChangeAspect="1"/>
                          </pic:cNvPicPr>
                        </pic:nvPicPr>
                        <pic:blipFill>
                          <a:blip r:embed="rId46" r:link="rId47"/>
                          <a:stretch>
                            <a:fillRect/>
                          </a:stretch>
                        </pic:blipFill>
                        <pic:spPr>
                          <a:xfrm>
                            <a:off x="0" y="0"/>
                            <a:ext cx="2354580" cy="50292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4C7561B2">
            <w:pPr>
              <w:keepNext w:val="0"/>
              <w:keepLines w:val="0"/>
              <w:suppressLineNumbers w:val="0"/>
              <w:bidi w:val="0"/>
              <w:spacing w:before="0" w:beforeAutospacing="0" w:after="0" w:afterAutospacing="0"/>
              <w:ind w:left="0" w:right="0"/>
              <w:rPr>
                <w:rFonts w:hint="eastAsia"/>
              </w:rPr>
            </w:pPr>
            <w:r>
              <w:rPr>
                <w:rFonts w:hint="eastAsia"/>
              </w:rPr>
              <w:t>式中：L</w:t>
            </w:r>
            <w:r>
              <w:rPr>
                <w:rFonts w:hint="eastAsia"/>
                <w:vertAlign w:val="subscript"/>
              </w:rPr>
              <w:t>eqg</w:t>
            </w:r>
            <w:r>
              <w:rPr>
                <w:rFonts w:hint="eastAsia"/>
              </w:rPr>
              <w:t>---建设项目声源在预测点的等效声级贡献值，dB；</w:t>
            </w:r>
          </w:p>
          <w:p w14:paraId="4AFE53E5">
            <w:pPr>
              <w:keepNext w:val="0"/>
              <w:keepLines w:val="0"/>
              <w:suppressLineNumbers w:val="0"/>
              <w:bidi w:val="0"/>
              <w:spacing w:before="0" w:beforeAutospacing="0" w:after="0" w:afterAutospacing="0"/>
              <w:ind w:left="0" w:right="0"/>
              <w:rPr>
                <w:rFonts w:hint="eastAsia"/>
              </w:rPr>
            </w:pPr>
            <w:r>
              <w:rPr>
                <w:rFonts w:hint="eastAsia" w:cs="Times New Roman"/>
                <w:color w:val="auto"/>
                <w:szCs w:val="24"/>
                <w:highlight w:val="none"/>
                <w:shd w:val="clear" w:color="auto" w:fill="FFFFFF"/>
              </w:rPr>
              <w:t>L</w:t>
            </w:r>
            <w:r>
              <w:rPr>
                <w:rFonts w:hint="eastAsia" w:cs="Times New Roman"/>
                <w:color w:val="auto"/>
                <w:szCs w:val="24"/>
                <w:highlight w:val="none"/>
                <w:shd w:val="clear" w:color="auto" w:fill="FFFFFF"/>
                <w:vertAlign w:val="subscript"/>
              </w:rPr>
              <w:t>eqb</w:t>
            </w:r>
            <w:r>
              <w:rPr>
                <w:rFonts w:hint="eastAsia" w:cs="Times New Roman"/>
                <w:color w:val="auto"/>
                <w:szCs w:val="24"/>
                <w:highlight w:val="none"/>
              </w:rPr>
              <w:t>---</w:t>
            </w:r>
            <w:r>
              <w:rPr>
                <w:rFonts w:hint="eastAsia"/>
              </w:rPr>
              <w:t>预测点的背景值，dB。</w:t>
            </w:r>
          </w:p>
          <w:p w14:paraId="64191FC4">
            <w:pPr>
              <w:keepNext w:val="0"/>
              <w:keepLines w:val="0"/>
              <w:suppressLineNumbers w:val="0"/>
              <w:bidi w:val="0"/>
              <w:spacing w:before="0" w:beforeAutospacing="0" w:after="0" w:afterAutospacing="0"/>
              <w:ind w:left="0" w:right="0"/>
              <w:rPr>
                <w:rFonts w:hint="eastAsia"/>
              </w:rPr>
            </w:pPr>
            <w:r>
              <w:rPr>
                <w:rFonts w:hint="eastAsia"/>
              </w:rPr>
              <w:t>（5）隔声量的确定</w:t>
            </w:r>
          </w:p>
          <w:p w14:paraId="4BB1C732">
            <w:pPr>
              <w:keepNext w:val="0"/>
              <w:keepLines w:val="0"/>
              <w:suppressLineNumbers w:val="0"/>
              <w:bidi w:val="0"/>
              <w:spacing w:before="0" w:beforeAutospacing="0" w:after="0" w:afterAutospacing="0"/>
              <w:ind w:left="0" w:right="0"/>
              <w:rPr>
                <w:rFonts w:hint="eastAsia"/>
              </w:rPr>
            </w:pPr>
            <w:r>
              <w:rPr>
                <w:rFonts w:hint="eastAsia"/>
              </w:rPr>
              <w:t>项目主要噪声设备大多设置于各建构筑物内，设备噪声经减震、隔声后，可削减</w:t>
            </w:r>
            <w:r>
              <w:rPr>
                <w:rFonts w:hint="eastAsia"/>
                <w:lang w:val="en-US" w:eastAsia="zh-CN"/>
              </w:rPr>
              <w:t>15</w:t>
            </w:r>
            <w:r>
              <w:rPr>
                <w:rFonts w:hint="eastAsia"/>
              </w:rPr>
              <w:t>dB（A）以上。</w:t>
            </w:r>
          </w:p>
          <w:p w14:paraId="3B679A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（5）厂界</w:t>
            </w:r>
            <w:r>
              <w:rPr>
                <w:rFonts w:hint="default" w:ascii="Times New Roman" w:hAnsi="Times New Roman" w:cs="Times New Roman"/>
                <w:color w:val="auto"/>
                <w:sz w:val="24"/>
                <w:highlight w:val="none"/>
                <w:lang w:val="en-US" w:eastAsia="zh-CN"/>
              </w:rPr>
              <w:t>噪声</w:t>
            </w:r>
            <w:r>
              <w:rPr>
                <w:rFonts w:hint="default" w:ascii="Times New Roman" w:hAnsi="Times New Roman" w:cs="Times New Roman"/>
                <w:color w:val="auto"/>
                <w:sz w:val="24"/>
                <w:szCs w:val="24"/>
                <w:highlight w:val="none"/>
                <w:lang w:val="zh-CN"/>
              </w:rPr>
              <w:t>预测结果分析</w:t>
            </w:r>
          </w:p>
          <w:p w14:paraId="5EE5D5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利用上述模式，本项目各厂界噪声的噪声影响预测</w:t>
            </w:r>
            <w:r>
              <w:rPr>
                <w:rFonts w:hint="eastAsia" w:cs="Times New Roman"/>
                <w:color w:val="auto"/>
                <w:sz w:val="24"/>
                <w:highlight w:val="none"/>
                <w:lang w:val="zh-CN"/>
              </w:rPr>
              <w:t>（</w:t>
            </w:r>
            <w:r>
              <w:rPr>
                <w:rFonts w:hint="default" w:ascii="Times New Roman" w:hAnsi="Times New Roman" w:cs="Times New Roman"/>
                <w:color w:val="auto"/>
                <w:sz w:val="24"/>
                <w:highlight w:val="none"/>
                <w:lang w:val="zh-CN"/>
              </w:rPr>
              <w:t>综合贡献值</w:t>
            </w:r>
            <w:r>
              <w:rPr>
                <w:rFonts w:hint="eastAsia" w:cs="Times New Roman"/>
                <w:color w:val="auto"/>
                <w:sz w:val="24"/>
                <w:highlight w:val="none"/>
                <w:lang w:val="zh-CN"/>
              </w:rPr>
              <w:t>）</w:t>
            </w:r>
            <w:r>
              <w:rPr>
                <w:rFonts w:hint="default" w:ascii="Times New Roman" w:hAnsi="Times New Roman" w:cs="Times New Roman"/>
                <w:color w:val="auto"/>
                <w:sz w:val="24"/>
                <w:highlight w:val="none"/>
                <w:lang w:val="zh-CN"/>
              </w:rPr>
              <w:t>计算结果见表，具体预测结果</w:t>
            </w:r>
            <w:r>
              <w:rPr>
                <w:rFonts w:hint="eastAsia"/>
                <w:color w:val="auto"/>
                <w:sz w:val="24"/>
                <w:szCs w:val="24"/>
                <w:highlight w:val="none"/>
                <w:lang w:val="zh-CN"/>
              </w:rPr>
              <w:t>见</w:t>
            </w:r>
            <w:r>
              <w:rPr>
                <w:rFonts w:hint="eastAsia"/>
                <w:color w:val="auto"/>
                <w:sz w:val="24"/>
                <w:szCs w:val="24"/>
                <w:highlight w:val="none"/>
                <w:lang w:val="en-US" w:eastAsia="zh-CN"/>
              </w:rPr>
              <w:t>下</w:t>
            </w:r>
            <w:r>
              <w:rPr>
                <w:rFonts w:hint="eastAsia"/>
                <w:color w:val="auto"/>
                <w:sz w:val="24"/>
                <w:szCs w:val="24"/>
                <w:highlight w:val="none"/>
                <w:lang w:val="zh-CN"/>
              </w:rPr>
              <w:t>表所示。</w:t>
            </w:r>
          </w:p>
          <w:p w14:paraId="3818373F">
            <w:pPr>
              <w:pStyle w:val="40"/>
              <w:keepNext w:val="0"/>
              <w:keepLines w:val="0"/>
              <w:suppressLineNumbers w:val="0"/>
              <w:bidi w:val="0"/>
              <w:spacing w:before="0" w:beforeAutospacing="0" w:after="0" w:afterAutospacing="0"/>
              <w:ind w:left="0" w:right="0"/>
              <w:rPr>
                <w:rFonts w:hint="eastAsia" w:eastAsia="宋体"/>
                <w:highlight w:val="none"/>
                <w:lang w:eastAsia="zh-CN"/>
              </w:rPr>
            </w:pPr>
            <w:r>
              <w:rPr>
                <w:rFonts w:hint="default"/>
                <w:highlight w:val="none"/>
              </w:rPr>
              <w:t>表</w:t>
            </w:r>
            <w:r>
              <w:rPr>
                <w:rFonts w:hint="default"/>
                <w:highlight w:val="none"/>
                <w:lang w:val="en-US" w:eastAsia="zh-CN"/>
              </w:rPr>
              <w:t>4.</w:t>
            </w:r>
            <w:r>
              <w:rPr>
                <w:rFonts w:hint="eastAsia"/>
                <w:highlight w:val="none"/>
                <w:lang w:val="en-US" w:eastAsia="zh-CN"/>
              </w:rPr>
              <w:t>3</w:t>
            </w:r>
            <w:r>
              <w:rPr>
                <w:rFonts w:hint="default"/>
                <w:highlight w:val="none"/>
                <w:lang w:val="en-US" w:eastAsia="zh-CN"/>
              </w:rPr>
              <w:t>-</w:t>
            </w:r>
            <w:r>
              <w:rPr>
                <w:rFonts w:hint="eastAsia"/>
                <w:highlight w:val="none"/>
                <w:lang w:val="en-US" w:eastAsia="zh-CN"/>
              </w:rPr>
              <w:t>2</w:t>
            </w:r>
            <w:r>
              <w:rPr>
                <w:rFonts w:hint="default"/>
                <w:highlight w:val="none"/>
              </w:rPr>
              <w:t xml:space="preserve"> 厂界噪声预测结果 单位：dB</w:t>
            </w:r>
            <w:r>
              <w:rPr>
                <w:rFonts w:hint="eastAsia"/>
                <w:highlight w:val="none"/>
                <w:lang w:eastAsia="zh-CN"/>
              </w:rPr>
              <w:t>（</w:t>
            </w:r>
            <w:r>
              <w:rPr>
                <w:rFonts w:hint="default"/>
                <w:highlight w:val="none"/>
              </w:rPr>
              <w:t>A</w:t>
            </w:r>
            <w:r>
              <w:rPr>
                <w:rFonts w:hint="eastAsia"/>
                <w:highlight w:val="none"/>
                <w:lang w:eastAsia="zh-CN"/>
              </w:rPr>
              <w:t>）</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30"/>
              <w:gridCol w:w="1524"/>
              <w:gridCol w:w="874"/>
              <w:gridCol w:w="874"/>
              <w:gridCol w:w="930"/>
              <w:gridCol w:w="952"/>
              <w:gridCol w:w="1136"/>
              <w:gridCol w:w="1144"/>
            </w:tblGrid>
            <w:tr w14:paraId="442EE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6" w:type="pct"/>
                  <w:vMerge w:val="restart"/>
                  <w:noWrap w:val="0"/>
                  <w:vAlign w:val="center"/>
                </w:tcPr>
                <w:p w14:paraId="2AF817D2">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编号</w:t>
                  </w:r>
                </w:p>
              </w:tc>
              <w:tc>
                <w:tcPr>
                  <w:tcW w:w="911" w:type="pct"/>
                  <w:vMerge w:val="restart"/>
                  <w:noWrap w:val="0"/>
                  <w:vAlign w:val="center"/>
                </w:tcPr>
                <w:p w14:paraId="6D2D7E11">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测点位置</w:t>
                  </w:r>
                </w:p>
              </w:tc>
              <w:tc>
                <w:tcPr>
                  <w:tcW w:w="1044" w:type="pct"/>
                  <w:gridSpan w:val="2"/>
                  <w:noWrap w:val="0"/>
                  <w:vAlign w:val="center"/>
                </w:tcPr>
                <w:p w14:paraId="3A0AFD4A">
                  <w:pPr>
                    <w:pStyle w:val="39"/>
                    <w:keepNext w:val="0"/>
                    <w:keepLines w:val="0"/>
                    <w:widowControl/>
                    <w:suppressLineNumbers w:val="0"/>
                    <w:bidi w:val="0"/>
                    <w:spacing w:before="0" w:beforeAutospacing="0" w:after="0" w:afterAutospacing="0"/>
                    <w:ind w:left="0" w:right="0"/>
                    <w:rPr>
                      <w:rFonts w:hint="eastAsia" w:eastAsia="宋体"/>
                      <w:szCs w:val="22"/>
                      <w:highlight w:val="none"/>
                      <w:lang w:val="en-US" w:eastAsia="zh-CN"/>
                    </w:rPr>
                  </w:pPr>
                  <w:r>
                    <w:rPr>
                      <w:rFonts w:hint="eastAsia"/>
                      <w:szCs w:val="22"/>
                      <w:highlight w:val="none"/>
                      <w:lang w:val="en-US" w:eastAsia="zh-CN"/>
                    </w:rPr>
                    <w:t>预测值</w:t>
                  </w:r>
                </w:p>
              </w:tc>
              <w:tc>
                <w:tcPr>
                  <w:tcW w:w="1125" w:type="pct"/>
                  <w:gridSpan w:val="2"/>
                  <w:noWrap w:val="0"/>
                  <w:vAlign w:val="center"/>
                </w:tcPr>
                <w:p w14:paraId="03288479">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标准值</w:t>
                  </w:r>
                </w:p>
              </w:tc>
              <w:tc>
                <w:tcPr>
                  <w:tcW w:w="1362" w:type="pct"/>
                  <w:gridSpan w:val="2"/>
                  <w:noWrap w:val="0"/>
                  <w:vAlign w:val="center"/>
                </w:tcPr>
                <w:p w14:paraId="7B8059AE">
                  <w:pPr>
                    <w:pStyle w:val="39"/>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达标情况</w:t>
                  </w:r>
                </w:p>
              </w:tc>
            </w:tr>
            <w:tr w14:paraId="31536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6" w:type="pct"/>
                  <w:vMerge w:val="continue"/>
                  <w:noWrap w:val="0"/>
                  <w:vAlign w:val="center"/>
                </w:tcPr>
                <w:p w14:paraId="0D782855">
                  <w:pPr>
                    <w:pStyle w:val="39"/>
                    <w:keepNext w:val="0"/>
                    <w:keepLines w:val="0"/>
                    <w:widowControl/>
                    <w:suppressLineNumbers w:val="0"/>
                    <w:bidi w:val="0"/>
                    <w:spacing w:before="0" w:beforeAutospacing="0" w:after="0" w:afterAutospacing="0"/>
                    <w:ind w:left="0" w:right="0"/>
                    <w:rPr>
                      <w:rFonts w:hint="default"/>
                      <w:szCs w:val="22"/>
                    </w:rPr>
                  </w:pPr>
                </w:p>
              </w:tc>
              <w:tc>
                <w:tcPr>
                  <w:tcW w:w="911" w:type="pct"/>
                  <w:vMerge w:val="continue"/>
                  <w:noWrap w:val="0"/>
                  <w:vAlign w:val="center"/>
                </w:tcPr>
                <w:p w14:paraId="39052A7C">
                  <w:pPr>
                    <w:pStyle w:val="39"/>
                    <w:keepNext w:val="0"/>
                    <w:keepLines w:val="0"/>
                    <w:widowControl/>
                    <w:suppressLineNumbers w:val="0"/>
                    <w:bidi w:val="0"/>
                    <w:spacing w:before="0" w:beforeAutospacing="0" w:after="0" w:afterAutospacing="0"/>
                    <w:ind w:left="0" w:right="0"/>
                    <w:rPr>
                      <w:rFonts w:hint="default"/>
                      <w:szCs w:val="22"/>
                    </w:rPr>
                  </w:pPr>
                </w:p>
              </w:tc>
              <w:tc>
                <w:tcPr>
                  <w:tcW w:w="522" w:type="pct"/>
                  <w:noWrap w:val="0"/>
                  <w:vAlign w:val="center"/>
                </w:tcPr>
                <w:p w14:paraId="132E8309">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昼间</w:t>
                  </w:r>
                </w:p>
              </w:tc>
              <w:tc>
                <w:tcPr>
                  <w:tcW w:w="522" w:type="pct"/>
                  <w:noWrap w:val="0"/>
                  <w:vAlign w:val="center"/>
                </w:tcPr>
                <w:p w14:paraId="3C26A5D7">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夜间</w:t>
                  </w:r>
                </w:p>
              </w:tc>
              <w:tc>
                <w:tcPr>
                  <w:tcW w:w="556" w:type="pct"/>
                  <w:noWrap w:val="0"/>
                  <w:vAlign w:val="center"/>
                </w:tcPr>
                <w:p w14:paraId="7E7242F6">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昼间</w:t>
                  </w:r>
                </w:p>
              </w:tc>
              <w:tc>
                <w:tcPr>
                  <w:tcW w:w="569" w:type="pct"/>
                  <w:noWrap w:val="0"/>
                  <w:vAlign w:val="center"/>
                </w:tcPr>
                <w:p w14:paraId="02F09213">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夜间</w:t>
                  </w:r>
                </w:p>
              </w:tc>
              <w:tc>
                <w:tcPr>
                  <w:tcW w:w="679" w:type="pct"/>
                  <w:noWrap w:val="0"/>
                  <w:vAlign w:val="center"/>
                </w:tcPr>
                <w:p w14:paraId="33FE7772">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昼间</w:t>
                  </w:r>
                </w:p>
              </w:tc>
              <w:tc>
                <w:tcPr>
                  <w:tcW w:w="682" w:type="pct"/>
                  <w:noWrap w:val="0"/>
                  <w:vAlign w:val="center"/>
                </w:tcPr>
                <w:p w14:paraId="1EEB8AC6">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夜间</w:t>
                  </w:r>
                </w:p>
              </w:tc>
            </w:tr>
            <w:tr w14:paraId="22DF2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56" w:type="pct"/>
                  <w:noWrap w:val="0"/>
                  <w:vAlign w:val="center"/>
                </w:tcPr>
                <w:p w14:paraId="1A8A6DB7">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1</w:t>
                  </w:r>
                </w:p>
              </w:tc>
              <w:tc>
                <w:tcPr>
                  <w:tcW w:w="911" w:type="pct"/>
                  <w:noWrap w:val="0"/>
                  <w:vAlign w:val="center"/>
                </w:tcPr>
                <w:p w14:paraId="0767874E">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厂界东</w:t>
                  </w:r>
                  <w:r>
                    <w:rPr>
                      <w:rFonts w:hint="default"/>
                      <w:szCs w:val="22"/>
                      <w:lang w:val="en-US" w:eastAsia="zh-CN"/>
                    </w:rPr>
                    <w:t>侧</w:t>
                  </w:r>
                </w:p>
              </w:tc>
              <w:tc>
                <w:tcPr>
                  <w:tcW w:w="522" w:type="pct"/>
                  <w:noWrap w:val="0"/>
                  <w:vAlign w:val="center"/>
                </w:tcPr>
                <w:p w14:paraId="599680B3">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53</w:t>
                  </w:r>
                </w:p>
              </w:tc>
              <w:tc>
                <w:tcPr>
                  <w:tcW w:w="522" w:type="pct"/>
                  <w:noWrap w:val="0"/>
                  <w:vAlign w:val="center"/>
                </w:tcPr>
                <w:p w14:paraId="7CF29CFC">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43</w:t>
                  </w:r>
                </w:p>
              </w:tc>
              <w:tc>
                <w:tcPr>
                  <w:tcW w:w="556" w:type="pct"/>
                  <w:vMerge w:val="restart"/>
                  <w:noWrap w:val="0"/>
                  <w:vAlign w:val="center"/>
                </w:tcPr>
                <w:p w14:paraId="37F2DC95">
                  <w:pPr>
                    <w:pStyle w:val="39"/>
                    <w:keepNext w:val="0"/>
                    <w:keepLines w:val="0"/>
                    <w:widowControl/>
                    <w:suppressLineNumbers w:val="0"/>
                    <w:bidi w:val="0"/>
                    <w:spacing w:before="0" w:beforeAutospacing="0" w:after="0" w:afterAutospacing="0"/>
                    <w:ind w:left="0" w:right="0"/>
                    <w:rPr>
                      <w:rFonts w:hint="default"/>
                      <w:szCs w:val="22"/>
                      <w:lang w:val="en-US"/>
                    </w:rPr>
                  </w:pPr>
                  <w:r>
                    <w:rPr>
                      <w:rFonts w:hint="eastAsia"/>
                      <w:szCs w:val="22"/>
                      <w:lang w:val="en-US" w:eastAsia="zh-CN"/>
                    </w:rPr>
                    <w:t>65</w:t>
                  </w:r>
                </w:p>
              </w:tc>
              <w:tc>
                <w:tcPr>
                  <w:tcW w:w="569" w:type="pct"/>
                  <w:vMerge w:val="restart"/>
                  <w:noWrap w:val="0"/>
                  <w:vAlign w:val="center"/>
                </w:tcPr>
                <w:p w14:paraId="2B8E88DF">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55</w:t>
                  </w:r>
                </w:p>
              </w:tc>
              <w:tc>
                <w:tcPr>
                  <w:tcW w:w="679" w:type="pct"/>
                  <w:noWrap w:val="0"/>
                  <w:vAlign w:val="center"/>
                </w:tcPr>
                <w:p w14:paraId="600E61D7">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达标</w:t>
                  </w:r>
                </w:p>
              </w:tc>
              <w:tc>
                <w:tcPr>
                  <w:tcW w:w="1157" w:type="dxa"/>
                  <w:shd w:val="clear" w:color="auto" w:fill="auto"/>
                  <w:noWrap w:val="0"/>
                  <w:vAlign w:val="center"/>
                </w:tcPr>
                <w:p w14:paraId="094B0243">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rPr>
                    <w:t>达标</w:t>
                  </w:r>
                </w:p>
              </w:tc>
            </w:tr>
            <w:tr w14:paraId="6E8FB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2CF6CC95">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2</w:t>
                  </w:r>
                </w:p>
              </w:tc>
              <w:tc>
                <w:tcPr>
                  <w:tcW w:w="911" w:type="pct"/>
                  <w:noWrap w:val="0"/>
                  <w:vAlign w:val="center"/>
                </w:tcPr>
                <w:p w14:paraId="352A0B59">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厂界南</w:t>
                  </w:r>
                  <w:r>
                    <w:rPr>
                      <w:rFonts w:hint="default"/>
                      <w:szCs w:val="22"/>
                      <w:lang w:val="en-US" w:eastAsia="zh-CN"/>
                    </w:rPr>
                    <w:t>侧</w:t>
                  </w:r>
                </w:p>
              </w:tc>
              <w:tc>
                <w:tcPr>
                  <w:tcW w:w="522" w:type="pct"/>
                  <w:noWrap w:val="0"/>
                  <w:vAlign w:val="center"/>
                </w:tcPr>
                <w:p w14:paraId="705C5EDA">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63</w:t>
                  </w:r>
                </w:p>
              </w:tc>
              <w:tc>
                <w:tcPr>
                  <w:tcW w:w="522" w:type="pct"/>
                  <w:noWrap w:val="0"/>
                  <w:vAlign w:val="center"/>
                </w:tcPr>
                <w:p w14:paraId="28FE93BB">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53</w:t>
                  </w:r>
                </w:p>
              </w:tc>
              <w:tc>
                <w:tcPr>
                  <w:tcW w:w="556" w:type="pct"/>
                  <w:vMerge w:val="continue"/>
                  <w:noWrap w:val="0"/>
                  <w:vAlign w:val="center"/>
                </w:tcPr>
                <w:p w14:paraId="2A4C9D0F">
                  <w:pPr>
                    <w:pStyle w:val="39"/>
                    <w:keepNext w:val="0"/>
                    <w:keepLines w:val="0"/>
                    <w:widowControl/>
                    <w:suppressLineNumbers w:val="0"/>
                    <w:bidi w:val="0"/>
                    <w:spacing w:before="0" w:beforeAutospacing="0" w:after="0" w:afterAutospacing="0"/>
                    <w:ind w:left="0" w:right="0"/>
                    <w:rPr>
                      <w:rFonts w:hint="default"/>
                      <w:szCs w:val="22"/>
                    </w:rPr>
                  </w:pPr>
                </w:p>
              </w:tc>
              <w:tc>
                <w:tcPr>
                  <w:tcW w:w="569" w:type="pct"/>
                  <w:vMerge w:val="continue"/>
                  <w:noWrap w:val="0"/>
                  <w:vAlign w:val="center"/>
                </w:tcPr>
                <w:p w14:paraId="36D5CAC7">
                  <w:pPr>
                    <w:pStyle w:val="39"/>
                    <w:keepNext w:val="0"/>
                    <w:keepLines w:val="0"/>
                    <w:widowControl/>
                    <w:suppressLineNumbers w:val="0"/>
                    <w:bidi w:val="0"/>
                    <w:spacing w:before="0" w:beforeAutospacing="0" w:after="0" w:afterAutospacing="0"/>
                    <w:ind w:left="0" w:right="0"/>
                    <w:rPr>
                      <w:rFonts w:hint="default"/>
                      <w:szCs w:val="22"/>
                    </w:rPr>
                  </w:pPr>
                </w:p>
              </w:tc>
              <w:tc>
                <w:tcPr>
                  <w:tcW w:w="679" w:type="pct"/>
                  <w:noWrap w:val="0"/>
                  <w:vAlign w:val="center"/>
                </w:tcPr>
                <w:p w14:paraId="446AD26B">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达标</w:t>
                  </w:r>
                </w:p>
              </w:tc>
              <w:tc>
                <w:tcPr>
                  <w:tcW w:w="1157" w:type="dxa"/>
                  <w:shd w:val="clear" w:color="auto" w:fill="auto"/>
                  <w:noWrap w:val="0"/>
                  <w:vAlign w:val="center"/>
                </w:tcPr>
                <w:p w14:paraId="45C2AA6D">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达标</w:t>
                  </w:r>
                </w:p>
              </w:tc>
            </w:tr>
            <w:tr w14:paraId="7E80D9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6B9CAA22">
                  <w:pPr>
                    <w:pStyle w:val="39"/>
                    <w:keepNext w:val="0"/>
                    <w:keepLines w:val="0"/>
                    <w:widowControl/>
                    <w:suppressLineNumbers w:val="0"/>
                    <w:bidi w:val="0"/>
                    <w:spacing w:before="0" w:beforeAutospacing="0" w:after="0" w:afterAutospacing="0"/>
                    <w:ind w:left="0" w:right="0"/>
                    <w:rPr>
                      <w:rFonts w:hint="default"/>
                      <w:szCs w:val="22"/>
                      <w:lang w:eastAsia="zh-CN"/>
                    </w:rPr>
                  </w:pPr>
                  <w:r>
                    <w:rPr>
                      <w:rFonts w:hint="default"/>
                      <w:szCs w:val="22"/>
                      <w:lang w:val="en-US" w:eastAsia="zh-CN"/>
                    </w:rPr>
                    <w:t>3</w:t>
                  </w:r>
                </w:p>
              </w:tc>
              <w:tc>
                <w:tcPr>
                  <w:tcW w:w="911" w:type="pct"/>
                  <w:noWrap w:val="0"/>
                  <w:vAlign w:val="center"/>
                </w:tcPr>
                <w:p w14:paraId="6F12E642">
                  <w:pPr>
                    <w:pStyle w:val="39"/>
                    <w:keepNext w:val="0"/>
                    <w:keepLines w:val="0"/>
                    <w:widowControl/>
                    <w:suppressLineNumbers w:val="0"/>
                    <w:bidi w:val="0"/>
                    <w:spacing w:before="0" w:beforeAutospacing="0" w:after="0" w:afterAutospacing="0"/>
                    <w:ind w:left="0" w:right="0"/>
                    <w:rPr>
                      <w:rFonts w:hint="default"/>
                      <w:szCs w:val="22"/>
                      <w:lang w:eastAsia="zh-CN"/>
                    </w:rPr>
                  </w:pPr>
                  <w:r>
                    <w:rPr>
                      <w:rFonts w:hint="default"/>
                      <w:szCs w:val="22"/>
                    </w:rPr>
                    <w:t>厂界西</w:t>
                  </w:r>
                  <w:r>
                    <w:rPr>
                      <w:rFonts w:hint="default"/>
                      <w:szCs w:val="22"/>
                      <w:lang w:val="en-US" w:eastAsia="zh-CN"/>
                    </w:rPr>
                    <w:t>侧</w:t>
                  </w:r>
                </w:p>
              </w:tc>
              <w:tc>
                <w:tcPr>
                  <w:tcW w:w="522" w:type="pct"/>
                  <w:noWrap w:val="0"/>
                  <w:vAlign w:val="center"/>
                </w:tcPr>
                <w:p w14:paraId="2C216A92">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63</w:t>
                  </w:r>
                </w:p>
              </w:tc>
              <w:tc>
                <w:tcPr>
                  <w:tcW w:w="522" w:type="pct"/>
                  <w:noWrap w:val="0"/>
                  <w:vAlign w:val="center"/>
                </w:tcPr>
                <w:p w14:paraId="342F268C">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53</w:t>
                  </w:r>
                </w:p>
              </w:tc>
              <w:tc>
                <w:tcPr>
                  <w:tcW w:w="556" w:type="pct"/>
                  <w:vMerge w:val="continue"/>
                  <w:noWrap w:val="0"/>
                  <w:vAlign w:val="center"/>
                </w:tcPr>
                <w:p w14:paraId="40D91122">
                  <w:pPr>
                    <w:pStyle w:val="39"/>
                    <w:keepNext w:val="0"/>
                    <w:keepLines w:val="0"/>
                    <w:widowControl/>
                    <w:suppressLineNumbers w:val="0"/>
                    <w:bidi w:val="0"/>
                    <w:spacing w:before="0" w:beforeAutospacing="0" w:after="0" w:afterAutospacing="0"/>
                    <w:ind w:left="0" w:right="0"/>
                    <w:rPr>
                      <w:rFonts w:hint="default"/>
                      <w:szCs w:val="22"/>
                      <w:lang w:val="en-US" w:eastAsia="zh-CN"/>
                    </w:rPr>
                  </w:pPr>
                </w:p>
              </w:tc>
              <w:tc>
                <w:tcPr>
                  <w:tcW w:w="569" w:type="pct"/>
                  <w:vMerge w:val="continue"/>
                  <w:noWrap w:val="0"/>
                  <w:vAlign w:val="center"/>
                </w:tcPr>
                <w:p w14:paraId="3D7710A2">
                  <w:pPr>
                    <w:pStyle w:val="39"/>
                    <w:keepNext w:val="0"/>
                    <w:keepLines w:val="0"/>
                    <w:widowControl/>
                    <w:suppressLineNumbers w:val="0"/>
                    <w:bidi w:val="0"/>
                    <w:spacing w:before="0" w:beforeAutospacing="0" w:after="0" w:afterAutospacing="0"/>
                    <w:ind w:left="0" w:right="0"/>
                    <w:rPr>
                      <w:rFonts w:hint="default"/>
                      <w:szCs w:val="22"/>
                      <w:lang w:val="en-US" w:eastAsia="zh-CN"/>
                    </w:rPr>
                  </w:pPr>
                </w:p>
              </w:tc>
              <w:tc>
                <w:tcPr>
                  <w:tcW w:w="679" w:type="pct"/>
                  <w:noWrap w:val="0"/>
                  <w:vAlign w:val="center"/>
                </w:tcPr>
                <w:p w14:paraId="68926A85">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达标</w:t>
                  </w:r>
                </w:p>
              </w:tc>
              <w:tc>
                <w:tcPr>
                  <w:tcW w:w="1157" w:type="dxa"/>
                  <w:shd w:val="clear" w:color="auto" w:fill="auto"/>
                  <w:noWrap w:val="0"/>
                  <w:vAlign w:val="center"/>
                </w:tcPr>
                <w:p w14:paraId="5E3F57FC">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达标</w:t>
                  </w:r>
                </w:p>
              </w:tc>
            </w:tr>
            <w:tr w14:paraId="35FDA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3D6DD120">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4</w:t>
                  </w:r>
                </w:p>
              </w:tc>
              <w:tc>
                <w:tcPr>
                  <w:tcW w:w="911" w:type="pct"/>
                  <w:noWrap w:val="0"/>
                  <w:vAlign w:val="center"/>
                </w:tcPr>
                <w:p w14:paraId="4BD03E24">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rPr>
                    <w:t>厂界北</w:t>
                  </w:r>
                  <w:r>
                    <w:rPr>
                      <w:rFonts w:hint="default"/>
                      <w:szCs w:val="22"/>
                      <w:lang w:val="en-US" w:eastAsia="zh-CN"/>
                    </w:rPr>
                    <w:t>侧</w:t>
                  </w:r>
                </w:p>
              </w:tc>
              <w:tc>
                <w:tcPr>
                  <w:tcW w:w="522" w:type="pct"/>
                  <w:noWrap w:val="0"/>
                  <w:vAlign w:val="center"/>
                </w:tcPr>
                <w:p w14:paraId="41073AD7">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54</w:t>
                  </w:r>
                </w:p>
              </w:tc>
              <w:tc>
                <w:tcPr>
                  <w:tcW w:w="522" w:type="pct"/>
                  <w:noWrap w:val="0"/>
                  <w:vAlign w:val="center"/>
                </w:tcPr>
                <w:p w14:paraId="21A6F4A1">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44</w:t>
                  </w:r>
                </w:p>
              </w:tc>
              <w:tc>
                <w:tcPr>
                  <w:tcW w:w="556" w:type="pct"/>
                  <w:vMerge w:val="continue"/>
                  <w:noWrap w:val="0"/>
                  <w:vAlign w:val="center"/>
                </w:tcPr>
                <w:p w14:paraId="1E7F5ED2">
                  <w:pPr>
                    <w:pStyle w:val="39"/>
                    <w:keepNext w:val="0"/>
                    <w:keepLines w:val="0"/>
                    <w:widowControl/>
                    <w:suppressLineNumbers w:val="0"/>
                    <w:bidi w:val="0"/>
                    <w:spacing w:before="0" w:beforeAutospacing="0" w:after="0" w:afterAutospacing="0"/>
                    <w:ind w:left="0" w:right="0"/>
                    <w:rPr>
                      <w:rFonts w:hint="default"/>
                      <w:szCs w:val="22"/>
                      <w:lang w:val="en-US" w:eastAsia="zh-CN"/>
                    </w:rPr>
                  </w:pPr>
                </w:p>
              </w:tc>
              <w:tc>
                <w:tcPr>
                  <w:tcW w:w="569" w:type="pct"/>
                  <w:vMerge w:val="continue"/>
                  <w:noWrap w:val="0"/>
                  <w:vAlign w:val="center"/>
                </w:tcPr>
                <w:p w14:paraId="42CBE761">
                  <w:pPr>
                    <w:pStyle w:val="39"/>
                    <w:keepNext w:val="0"/>
                    <w:keepLines w:val="0"/>
                    <w:widowControl/>
                    <w:suppressLineNumbers w:val="0"/>
                    <w:bidi w:val="0"/>
                    <w:spacing w:before="0" w:beforeAutospacing="0" w:after="0" w:afterAutospacing="0"/>
                    <w:ind w:left="0" w:right="0"/>
                    <w:rPr>
                      <w:rFonts w:hint="default"/>
                      <w:szCs w:val="22"/>
                      <w:lang w:val="en-US" w:eastAsia="zh-CN"/>
                    </w:rPr>
                  </w:pPr>
                </w:p>
              </w:tc>
              <w:tc>
                <w:tcPr>
                  <w:tcW w:w="679" w:type="pct"/>
                  <w:noWrap w:val="0"/>
                  <w:vAlign w:val="center"/>
                </w:tcPr>
                <w:p w14:paraId="486EEACF">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达标</w:t>
                  </w:r>
                </w:p>
              </w:tc>
              <w:tc>
                <w:tcPr>
                  <w:tcW w:w="1157" w:type="dxa"/>
                  <w:shd w:val="clear" w:color="auto" w:fill="auto"/>
                  <w:noWrap w:val="0"/>
                  <w:vAlign w:val="center"/>
                </w:tcPr>
                <w:p w14:paraId="75FA0602">
                  <w:pPr>
                    <w:pStyle w:val="39"/>
                    <w:keepNext w:val="0"/>
                    <w:keepLines w:val="0"/>
                    <w:widowControl/>
                    <w:suppressLineNumbers w:val="0"/>
                    <w:bidi w:val="0"/>
                    <w:spacing w:before="0" w:beforeAutospacing="0" w:after="0" w:afterAutospacing="0"/>
                    <w:ind w:left="0" w:right="0"/>
                    <w:rPr>
                      <w:rFonts w:hint="default" w:ascii="Times New Roman" w:hAnsi="Times New Roman" w:eastAsia="宋体" w:cs="Times New Roman"/>
                      <w:kern w:val="2"/>
                      <w:sz w:val="21"/>
                      <w:szCs w:val="22"/>
                      <w:lang w:val="en-US" w:eastAsia="zh-CN" w:bidi="ar-SA"/>
                    </w:rPr>
                  </w:pPr>
                  <w:r>
                    <w:rPr>
                      <w:rFonts w:hint="default"/>
                      <w:szCs w:val="22"/>
                    </w:rPr>
                    <w:t>达标</w:t>
                  </w:r>
                </w:p>
              </w:tc>
            </w:tr>
          </w:tbl>
          <w:p w14:paraId="2A4D5A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highlight w:val="none"/>
              </w:rPr>
              <w:t>厂界达标分析：</w:t>
            </w:r>
            <w:r>
              <w:rPr>
                <w:rFonts w:hint="eastAsia" w:ascii="Times New Roman" w:hAnsi="Times New Roman" w:eastAsia="宋体" w:cs="Times New Roman"/>
                <w:color w:val="auto"/>
                <w:sz w:val="24"/>
                <w:highlight w:val="none"/>
                <w:lang w:val="en-US" w:eastAsia="zh-CN"/>
              </w:rPr>
              <w:t>项目不涉及夜间生产，</w:t>
            </w:r>
            <w:r>
              <w:rPr>
                <w:rFonts w:hint="default" w:ascii="Times New Roman" w:hAnsi="Times New Roman" w:eastAsia="宋体" w:cs="Times New Roman"/>
                <w:color w:val="auto"/>
                <w:sz w:val="24"/>
                <w:highlight w:val="none"/>
              </w:rPr>
              <w:t>根据表</w:t>
            </w:r>
            <w:r>
              <w:rPr>
                <w:rFonts w:hint="default"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预测结果表明，项目主要噪声源在采取有效的降噪措施前提下，项目厂界噪声均可满足</w:t>
            </w:r>
            <w:r>
              <w:rPr>
                <w:rFonts w:hint="default" w:ascii="Times New Roman" w:hAnsi="Times New Roman" w:eastAsia="宋体" w:cs="Times New Roman"/>
                <w:color w:val="auto"/>
                <w:kern w:val="0"/>
                <w:sz w:val="24"/>
                <w:szCs w:val="24"/>
                <w:highlight w:val="none"/>
                <w:lang w:val="en-US" w:eastAsia="zh-CN" w:bidi="ar"/>
              </w:rPr>
              <w:t>《工业企业厂界环境噪声排放标准》（GB12348-2008）中的</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类标准，即昼间≤</w:t>
            </w:r>
            <w:r>
              <w:rPr>
                <w:rFonts w:hint="eastAsia" w:cs="Times New Roman"/>
                <w:color w:val="auto"/>
                <w:kern w:val="0"/>
                <w:sz w:val="24"/>
                <w:szCs w:val="24"/>
                <w:highlight w:val="none"/>
                <w:lang w:val="en-US" w:eastAsia="zh-CN" w:bidi="ar"/>
              </w:rPr>
              <w:t>65</w:t>
            </w:r>
            <w:r>
              <w:rPr>
                <w:rFonts w:hint="default" w:ascii="Times New Roman" w:hAnsi="Times New Roman" w:eastAsia="宋体" w:cs="Times New Roman"/>
                <w:color w:val="auto"/>
                <w:kern w:val="0"/>
                <w:sz w:val="24"/>
                <w:szCs w:val="24"/>
                <w:highlight w:val="none"/>
                <w:lang w:val="en-US" w:eastAsia="zh-CN" w:bidi="ar"/>
              </w:rPr>
              <w:t>dB</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A</w:t>
            </w:r>
            <w:r>
              <w:rPr>
                <w:rFonts w:hint="eastAsia" w:cs="Times New Roman"/>
                <w:color w:val="auto"/>
                <w:kern w:val="0"/>
                <w:sz w:val="24"/>
                <w:szCs w:val="24"/>
                <w:highlight w:val="none"/>
                <w:lang w:val="en-US" w:eastAsia="zh-CN" w:bidi="ar"/>
              </w:rPr>
              <w:t>），夜间</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55</w:t>
            </w:r>
            <w:r>
              <w:rPr>
                <w:rFonts w:hint="default" w:ascii="Times New Roman" w:hAnsi="Times New Roman" w:eastAsia="宋体" w:cs="Times New Roman"/>
                <w:color w:val="auto"/>
                <w:kern w:val="0"/>
                <w:sz w:val="24"/>
                <w:szCs w:val="24"/>
                <w:highlight w:val="none"/>
                <w:lang w:val="en-US" w:eastAsia="zh-CN" w:bidi="ar"/>
              </w:rPr>
              <w:t>dB</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A</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p>
          <w:p w14:paraId="4D93FE4B">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0"/>
                <w:sz w:val="24"/>
                <w:szCs w:val="24"/>
                <w:lang w:val="zh-CN" w:eastAsia="zh-CN" w:bidi="ar-SA"/>
              </w:rPr>
            </w:pPr>
            <w:r>
              <w:rPr>
                <w:rFonts w:hint="eastAsia" w:ascii="Times New Roman" w:hAnsi="Times New Roman" w:eastAsia="宋体" w:cs="Times New Roman"/>
                <w:color w:val="auto"/>
                <w:sz w:val="24"/>
                <w:highlight w:val="none"/>
                <w:lang w:val="en-US" w:eastAsia="zh-CN"/>
              </w:rPr>
              <w:t>（6）</w:t>
            </w:r>
            <w:r>
              <w:rPr>
                <w:rFonts w:hint="eastAsia" w:ascii="Times New Roman" w:hAnsi="Times New Roman" w:eastAsia="宋体" w:cs="Times New Roman"/>
                <w:color w:val="auto"/>
                <w:kern w:val="0"/>
                <w:sz w:val="24"/>
                <w:szCs w:val="24"/>
                <w:lang w:val="zh-CN" w:eastAsia="zh-CN" w:bidi="ar-SA"/>
              </w:rPr>
              <w:t>敏感点噪声预测结果分析</w:t>
            </w:r>
          </w:p>
          <w:p w14:paraId="533746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lang w:val="zh-CN"/>
              </w:rPr>
              <w:t>根据现场勘查，项目周边</w:t>
            </w:r>
            <w:r>
              <w:rPr>
                <w:rFonts w:hint="eastAsia" w:ascii="Times New Roman" w:hAnsi="Times New Roman" w:eastAsia="宋体" w:cs="Times New Roman"/>
                <w:color w:val="auto"/>
                <w:sz w:val="24"/>
              </w:rPr>
              <w:t>50m范围内无声环境保护目标</w:t>
            </w:r>
            <w:r>
              <w:rPr>
                <w:rFonts w:hint="eastAsia" w:ascii="Times New Roman" w:hAnsi="Times New Roman" w:eastAsia="宋体" w:cs="Times New Roman"/>
                <w:color w:val="auto"/>
                <w:sz w:val="24"/>
                <w:lang w:val="zh-CN"/>
              </w:rPr>
              <w:t>。</w:t>
            </w:r>
          </w:p>
          <w:p w14:paraId="4F07A87A">
            <w:pPr>
              <w:pStyle w:val="4"/>
              <w:suppressLineNumbers w:val="0"/>
              <w:bidi w:val="0"/>
              <w:spacing w:before="0" w:beforeAutospacing="0" w:after="0" w:afterAutospacing="0"/>
              <w:ind w:left="0" w:right="0"/>
              <w:rPr>
                <w:rFonts w:hint="default"/>
                <w:color w:val="auto"/>
                <w:szCs w:val="24"/>
                <w:highlight w:val="none"/>
                <w:lang w:val="en-US"/>
              </w:rPr>
            </w:pPr>
            <w:r>
              <w:rPr>
                <w:rFonts w:hint="default" w:ascii="Times New Roman" w:hAnsi="Times New Roman" w:eastAsia="宋体" w:cs="Times New Roman"/>
                <w:b/>
                <w:bCs/>
                <w:color w:val="auto"/>
                <w:kern w:val="0"/>
                <w:sz w:val="24"/>
                <w:highlight w:val="none"/>
              </w:rPr>
              <w:t>运营期噪声防治措施</w:t>
            </w:r>
            <w:r>
              <w:rPr>
                <w:rFonts w:hint="eastAsia" w:ascii="Times New Roman" w:hAnsi="Times New Roman" w:eastAsia="宋体" w:cs="Times New Roman"/>
                <w:b/>
                <w:bCs/>
                <w:color w:val="auto"/>
                <w:kern w:val="0"/>
                <w:sz w:val="28"/>
                <w:szCs w:val="28"/>
                <w:highlight w:val="none"/>
                <w:lang w:val="en-US" w:eastAsia="zh-CN" w:bidi="ar"/>
              </w:rPr>
              <w:t xml:space="preserve"> </w:t>
            </w:r>
          </w:p>
          <w:p w14:paraId="40BFDF32">
            <w:pPr>
              <w:keepNext w:val="0"/>
              <w:keepLines w:val="0"/>
              <w:suppressLineNumbers w:val="0"/>
              <w:bidi w:val="0"/>
              <w:spacing w:before="0" w:beforeAutospacing="0" w:after="0" w:afterAutospacing="0"/>
              <w:ind w:left="0" w:right="0"/>
              <w:rPr>
                <w:rFonts w:hint="eastAsia"/>
              </w:rPr>
            </w:pPr>
            <w:r>
              <w:rPr>
                <w:rFonts w:hint="eastAsia"/>
              </w:rPr>
              <w:t>为了确保厂界噪声达到《工业企业厂界环境噪声排放标准》</w:t>
            </w:r>
            <w:r>
              <w:rPr>
                <w:rFonts w:hint="eastAsia"/>
                <w:lang w:val="en-US" w:eastAsia="zh-CN"/>
              </w:rPr>
              <w:t>（</w:t>
            </w:r>
            <w:r>
              <w:rPr>
                <w:rFonts w:hint="eastAsia"/>
              </w:rPr>
              <w:t>GB 12348-2008</w:t>
            </w:r>
            <w:r>
              <w:rPr>
                <w:rFonts w:hint="eastAsia"/>
                <w:lang w:val="en-US" w:eastAsia="zh-CN"/>
              </w:rPr>
              <w:t>）</w:t>
            </w:r>
            <w:r>
              <w:rPr>
                <w:rFonts w:hint="eastAsia"/>
              </w:rPr>
              <w:t>中</w:t>
            </w:r>
            <w:r>
              <w:rPr>
                <w:rFonts w:hint="eastAsia"/>
                <w:lang w:val="en-US" w:eastAsia="zh-CN"/>
              </w:rPr>
              <w:t>3</w:t>
            </w:r>
            <w:r>
              <w:rPr>
                <w:rFonts w:hint="eastAsia"/>
              </w:rPr>
              <w:t>类标准，本报告建议采用以下降噪措施：</w:t>
            </w:r>
          </w:p>
          <w:p w14:paraId="385ECD0E">
            <w:pPr>
              <w:keepNext w:val="0"/>
              <w:keepLines w:val="0"/>
              <w:suppressLineNumbers w:val="0"/>
              <w:bidi w:val="0"/>
              <w:spacing w:before="0" w:beforeAutospacing="0" w:after="0" w:afterAutospacing="0"/>
              <w:ind w:left="0" w:right="0"/>
              <w:rPr>
                <w:rFonts w:hint="eastAsia"/>
              </w:rPr>
            </w:pPr>
            <w:r>
              <w:rPr>
                <w:rFonts w:hint="eastAsia"/>
              </w:rPr>
              <w:t>（1）项目选用低噪声生产设备，从源头上降低噪声源强。</w:t>
            </w:r>
          </w:p>
          <w:p w14:paraId="0EE3D69B">
            <w:pPr>
              <w:keepNext w:val="0"/>
              <w:keepLines w:val="0"/>
              <w:suppressLineNumbers w:val="0"/>
              <w:bidi w:val="0"/>
              <w:spacing w:before="0" w:beforeAutospacing="0" w:after="0" w:afterAutospacing="0"/>
              <w:ind w:left="0" w:right="0"/>
              <w:rPr>
                <w:rFonts w:hint="eastAsia"/>
              </w:rPr>
            </w:pPr>
            <w:r>
              <w:rPr>
                <w:rFonts w:hint="eastAsia"/>
              </w:rPr>
              <w:t>（2）加强车间内的噪声治理，对厂区高噪声设备采用隔声、消声、吸声、减振等有效措施，以有效降低车间噪声。</w:t>
            </w:r>
          </w:p>
          <w:p w14:paraId="4A71CBE5">
            <w:pPr>
              <w:keepNext w:val="0"/>
              <w:keepLines w:val="0"/>
              <w:suppressLineNumbers w:val="0"/>
              <w:bidi w:val="0"/>
              <w:spacing w:before="0" w:beforeAutospacing="0" w:after="0" w:afterAutospacing="0"/>
              <w:ind w:left="0" w:right="0"/>
              <w:rPr>
                <w:rFonts w:hint="eastAsia"/>
                <w:lang w:eastAsia="zh-CN"/>
              </w:rPr>
            </w:pPr>
            <w:r>
              <w:rPr>
                <w:rFonts w:hint="eastAsia"/>
              </w:rPr>
              <w:t>（3）加强对设备的管理和维护，在有关环保人员的统一管理下，定期检查、监测，发现噪声超标要及时治理并增加相关操作岗位工人的个体防护</w:t>
            </w:r>
            <w:r>
              <w:rPr>
                <w:rFonts w:hint="eastAsia"/>
                <w:lang w:eastAsia="zh-CN"/>
              </w:rPr>
              <w:t>。</w:t>
            </w:r>
          </w:p>
          <w:p w14:paraId="05D8D63D">
            <w:pPr>
              <w:keepNext w:val="0"/>
              <w:keepLines w:val="0"/>
              <w:suppressLineNumbers w:val="0"/>
              <w:bidi w:val="0"/>
              <w:spacing w:before="0" w:beforeAutospacing="0" w:after="0" w:afterAutospacing="0"/>
              <w:ind w:left="0" w:right="0"/>
              <w:rPr>
                <w:rFonts w:hint="eastAsia"/>
                <w:lang w:eastAsia="zh-CN"/>
              </w:rPr>
            </w:pPr>
            <w:r>
              <w:rPr>
                <w:rFonts w:hint="eastAsia"/>
              </w:rPr>
              <w:t>（</w:t>
            </w:r>
            <w:r>
              <w:rPr>
                <w:rFonts w:hint="eastAsia"/>
                <w:lang w:val="en-US" w:eastAsia="zh-CN"/>
              </w:rPr>
              <w:t>4</w:t>
            </w:r>
            <w:r>
              <w:rPr>
                <w:rFonts w:hint="eastAsia"/>
              </w:rPr>
              <w:t>）</w:t>
            </w:r>
            <w:r>
              <w:rPr>
                <w:rFonts w:hint="eastAsia"/>
                <w:lang w:eastAsia="zh-CN"/>
              </w:rPr>
              <w:t>车辆运输物料时，在靠近居民点等对声环境质量要求较高的地方，应减小车速，禁止或尽量少鸣喇叭。</w:t>
            </w:r>
          </w:p>
          <w:p w14:paraId="7A0A7BCA">
            <w:pPr>
              <w:keepNext w:val="0"/>
              <w:keepLines w:val="0"/>
              <w:suppressLineNumbers w:val="0"/>
              <w:bidi w:val="0"/>
              <w:spacing w:before="0" w:beforeAutospacing="0" w:after="0" w:afterAutospacing="0"/>
              <w:ind w:left="0" w:right="0"/>
              <w:rPr>
                <w:rFonts w:hint="eastAsia"/>
              </w:rPr>
            </w:pPr>
            <w:r>
              <w:rPr>
                <w:rFonts w:hint="eastAsia"/>
              </w:rPr>
              <w:t>通过以上降噪措施，有效降低设备噪声对厂界影响程度，确保厂界噪声符合《工业企业厂界环境噪声排放标准》</w:t>
            </w:r>
            <w:r>
              <w:rPr>
                <w:rFonts w:hint="eastAsia"/>
                <w:lang w:val="en-US" w:eastAsia="zh-CN"/>
              </w:rPr>
              <w:t>（</w:t>
            </w:r>
            <w:r>
              <w:rPr>
                <w:rFonts w:hint="eastAsia"/>
              </w:rPr>
              <w:t>GB12348-2008</w:t>
            </w:r>
            <w:r>
              <w:rPr>
                <w:rFonts w:hint="eastAsia"/>
                <w:lang w:val="en-US" w:eastAsia="zh-CN"/>
              </w:rPr>
              <w:t>）</w:t>
            </w:r>
            <w:r>
              <w:rPr>
                <w:rFonts w:hint="eastAsia"/>
              </w:rPr>
              <w:t>中的</w:t>
            </w:r>
            <w:r>
              <w:rPr>
                <w:rFonts w:hint="eastAsia"/>
                <w:lang w:val="en-US" w:eastAsia="zh-CN"/>
              </w:rPr>
              <w:t>3</w:t>
            </w:r>
            <w:r>
              <w:rPr>
                <w:rFonts w:hint="eastAsia"/>
              </w:rPr>
              <w:t>类标准</w:t>
            </w:r>
            <w:r>
              <w:rPr>
                <w:rFonts w:hint="eastAsia"/>
                <w:lang w:eastAsia="zh-CN"/>
              </w:rPr>
              <w:t>，</w:t>
            </w:r>
            <w:r>
              <w:rPr>
                <w:rFonts w:hint="eastAsia"/>
              </w:rPr>
              <w:t>措施可行。</w:t>
            </w:r>
          </w:p>
          <w:p w14:paraId="49E63C25">
            <w:pPr>
              <w:pStyle w:val="3"/>
              <w:keepNext w:val="0"/>
              <w:keepLines w:val="0"/>
              <w:suppressLineNumbers w:val="0"/>
              <w:bidi w:val="0"/>
              <w:spacing w:before="0" w:beforeAutospacing="0" w:after="0" w:afterAutospacing="0"/>
              <w:ind w:left="0" w:right="0"/>
              <w:rPr>
                <w:rFonts w:hint="default"/>
              </w:rPr>
            </w:pPr>
            <w:bookmarkStart w:id="30" w:name="_Toc31957"/>
            <w:bookmarkStart w:id="31" w:name="_Toc19128"/>
            <w:bookmarkStart w:id="32" w:name="_Toc3323"/>
            <w:r>
              <w:rPr>
                <w:rFonts w:hint="default"/>
              </w:rPr>
              <w:t>运营期固体废物影响分析和污染防治措施</w:t>
            </w:r>
            <w:bookmarkEnd w:id="30"/>
            <w:bookmarkEnd w:id="31"/>
            <w:bookmarkEnd w:id="32"/>
          </w:p>
          <w:p w14:paraId="75E6A07F">
            <w:pPr>
              <w:pStyle w:val="4"/>
              <w:suppressLineNumbers w:val="0"/>
              <w:bidi w:val="0"/>
              <w:spacing w:before="0" w:beforeAutospacing="0" w:after="0" w:afterAutospacing="0"/>
              <w:ind w:left="0" w:right="0"/>
              <w:rPr>
                <w:rFonts w:hint="eastAsia"/>
              </w:rPr>
            </w:pPr>
            <w:r>
              <w:rPr>
                <w:rFonts w:hint="default"/>
              </w:rPr>
              <w:t>运营期</w:t>
            </w:r>
            <w:r>
              <w:rPr>
                <w:rFonts w:hint="eastAsia"/>
                <w:lang w:val="en-US" w:eastAsia="zh-CN"/>
              </w:rPr>
              <w:t>固体</w:t>
            </w:r>
            <w:r>
              <w:rPr>
                <w:rFonts w:hint="default"/>
              </w:rPr>
              <w:t>废物源强核算</w:t>
            </w:r>
          </w:p>
          <w:p w14:paraId="3BB5E3F0">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本项目</w:t>
            </w:r>
            <w:r>
              <w:rPr>
                <w:rFonts w:hint="eastAsia" w:ascii="Times New Roman" w:hAnsi="Times New Roman" w:eastAsia="宋体" w:cs="Times New Roman"/>
                <w:bCs/>
                <w:color w:val="auto"/>
                <w:sz w:val="24"/>
                <w:highlight w:val="none"/>
              </w:rPr>
              <w:t>运营期</w:t>
            </w:r>
            <w:r>
              <w:rPr>
                <w:rFonts w:hint="eastAsia" w:ascii="Times New Roman" w:hAnsi="Times New Roman" w:eastAsia="宋体" w:cs="Times New Roman"/>
                <w:bCs/>
                <w:color w:val="auto"/>
                <w:sz w:val="24"/>
                <w:highlight w:val="none"/>
                <w:lang w:val="en-US" w:eastAsia="zh-CN"/>
              </w:rPr>
              <w:t>固体废物主要为不合格成品、废油性漆桶、废水性漆桶</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bCs/>
                <w:color w:val="auto"/>
                <w:sz w:val="24"/>
                <w:highlight w:val="none"/>
                <w:lang w:val="en-US" w:eastAsia="zh-CN"/>
              </w:rPr>
              <w:t>废漆渣、水帘柜废液、</w:t>
            </w:r>
            <w:r>
              <w:rPr>
                <w:rFonts w:hint="eastAsia" w:ascii="Times New Roman" w:hAnsi="Times New Roman" w:eastAsia="宋体" w:cs="Times New Roman"/>
                <w:color w:val="auto"/>
                <w:kern w:val="2"/>
                <w:sz w:val="24"/>
                <w:szCs w:val="24"/>
                <w:lang w:val="en-US" w:eastAsia="zh-CN" w:bidi="ar-SA"/>
              </w:rPr>
              <w:t>废过滤棉、</w:t>
            </w:r>
            <w:r>
              <w:rPr>
                <w:rFonts w:hint="eastAsia" w:ascii="Times New Roman" w:hAnsi="Times New Roman" w:eastAsia="宋体" w:cs="Times New Roman"/>
                <w:bCs/>
                <w:color w:val="auto"/>
                <w:sz w:val="24"/>
                <w:highlight w:val="none"/>
                <w:lang w:val="en-US" w:eastAsia="zh-CN"/>
              </w:rPr>
              <w:t>废活性炭、废机油及</w:t>
            </w:r>
            <w:r>
              <w:rPr>
                <w:rFonts w:hint="eastAsia" w:ascii="Times New Roman" w:hAnsi="Times New Roman" w:eastAsia="宋体" w:cs="Times New Roman"/>
                <w:color w:val="auto"/>
                <w:kern w:val="2"/>
                <w:sz w:val="24"/>
                <w:szCs w:val="24"/>
                <w:lang w:val="en-US" w:eastAsia="zh-CN" w:bidi="ar-SA"/>
              </w:rPr>
              <w:t>生活垃圾</w:t>
            </w:r>
            <w:r>
              <w:rPr>
                <w:rFonts w:hint="eastAsia" w:ascii="Times New Roman" w:hAnsi="Times New Roman" w:eastAsia="宋体" w:cs="Times New Roman"/>
                <w:bCs/>
                <w:color w:val="auto"/>
                <w:sz w:val="24"/>
                <w:highlight w:val="none"/>
              </w:rPr>
              <w:t>。</w:t>
            </w:r>
          </w:p>
          <w:p w14:paraId="21AF37B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（1）一般工业固废</w:t>
            </w:r>
          </w:p>
          <w:p w14:paraId="7DD2905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ja-JP"/>
              </w:rPr>
            </w:pPr>
            <w:r>
              <w:rPr>
                <w:rFonts w:hint="eastAsia" w:ascii="Times New Roman" w:hAnsi="Times New Roman" w:eastAsia="宋体" w:cs="Times New Roman"/>
                <w:bCs/>
                <w:color w:val="auto"/>
                <w:sz w:val="24"/>
                <w:highlight w:val="none"/>
              </w:rPr>
              <w:t>①</w:t>
            </w:r>
            <w:r>
              <w:rPr>
                <w:rFonts w:hint="eastAsia" w:ascii="Times New Roman" w:hAnsi="Times New Roman" w:eastAsia="宋体" w:cs="Times New Roman"/>
                <w:color w:val="auto"/>
                <w:kern w:val="2"/>
                <w:sz w:val="24"/>
                <w:szCs w:val="24"/>
                <w:lang w:val="en-US" w:eastAsia="zh-CN" w:bidi="ar-SA"/>
              </w:rPr>
              <w:t>不合格成品</w:t>
            </w:r>
          </w:p>
          <w:p w14:paraId="46BE372E">
            <w:pPr>
              <w:keepNext w:val="0"/>
              <w:keepLines w:val="0"/>
              <w:suppressLineNumbers w:val="0"/>
              <w:spacing w:before="0" w:beforeAutospacing="0" w:after="0" w:afterAutospacing="0" w:line="360" w:lineRule="auto"/>
              <w:ind w:left="0" w:right="0" w:firstLine="480" w:firstLineChars="200"/>
              <w:rPr>
                <w:rFonts w:hint="default"/>
                <w:color w:val="auto"/>
              </w:rPr>
            </w:pPr>
            <w:r>
              <w:rPr>
                <w:rFonts w:hint="eastAsia" w:ascii="Times New Roman" w:hAnsi="Times New Roman" w:eastAsia="宋体" w:cs="Times New Roman"/>
                <w:bCs/>
                <w:color w:val="auto"/>
                <w:sz w:val="24"/>
                <w:highlight w:val="none"/>
                <w:lang w:val="en-US" w:eastAsia="ja-JP"/>
              </w:rPr>
              <w:t>本项目</w:t>
            </w:r>
            <w:r>
              <w:rPr>
                <w:rFonts w:hint="eastAsia" w:ascii="Times New Roman" w:hAnsi="Times New Roman" w:eastAsia="宋体" w:cs="Times New Roman"/>
                <w:bCs/>
                <w:color w:val="auto"/>
                <w:sz w:val="24"/>
                <w:highlight w:val="none"/>
                <w:lang w:val="en-US" w:eastAsia="zh-CN"/>
              </w:rPr>
              <w:t>检验工序产生</w:t>
            </w:r>
            <w:r>
              <w:rPr>
                <w:rFonts w:hint="eastAsia" w:ascii="Times New Roman" w:hAnsi="Times New Roman" w:eastAsia="宋体" w:cs="Times New Roman"/>
                <w:bCs/>
                <w:color w:val="auto"/>
                <w:sz w:val="24"/>
                <w:szCs w:val="24"/>
                <w:highlight w:val="none"/>
                <w:lang w:val="en-US" w:eastAsia="zh-CN"/>
              </w:rPr>
              <w:t>不合格成品，根据建设单位提供的资料可知，不合格成品约为待加工件的3%，年产</w:t>
            </w:r>
            <w:r>
              <w:rPr>
                <w:rFonts w:hint="eastAsia"/>
                <w:color w:val="auto"/>
                <w:sz w:val="24"/>
                <w:szCs w:val="24"/>
                <w:lang w:val="en-US" w:eastAsia="zh-CN"/>
              </w:rPr>
              <w:t>铝合金不合格产品0.618万套，塑胶件不合格产品0.927万套，钣金件不合格产品0.309万套，</w:t>
            </w:r>
            <w:r>
              <w:rPr>
                <w:rFonts w:hint="eastAsia" w:ascii="Times New Roman" w:hAnsi="Times New Roman" w:eastAsia="宋体" w:cs="Times New Roman"/>
                <w:bCs/>
                <w:color w:val="auto"/>
                <w:sz w:val="24"/>
                <w:szCs w:val="24"/>
                <w:highlight w:val="none"/>
                <w:lang w:val="en-US" w:eastAsia="zh-CN"/>
              </w:rPr>
              <w:t>即不合格成品产生量为</w:t>
            </w:r>
            <w:r>
              <w:rPr>
                <w:rFonts w:hint="eastAsia" w:cs="Times New Roman"/>
                <w:bCs/>
                <w:color w:val="auto"/>
                <w:sz w:val="24"/>
                <w:szCs w:val="24"/>
                <w:highlight w:val="none"/>
                <w:lang w:val="en-US" w:eastAsia="zh-CN"/>
              </w:rPr>
              <w:t>1.854</w:t>
            </w:r>
            <w:r>
              <w:rPr>
                <w:rFonts w:hint="eastAsia" w:ascii="Times New Roman" w:hAnsi="Times New Roman" w:eastAsia="宋体" w:cs="Times New Roman"/>
                <w:bCs/>
                <w:color w:val="auto"/>
                <w:sz w:val="24"/>
                <w:szCs w:val="24"/>
                <w:highlight w:val="none"/>
                <w:lang w:val="en-US" w:eastAsia="zh-CN"/>
              </w:rPr>
              <w:t>万套/年，集中收集后退回待加工厂综合利用。</w:t>
            </w:r>
          </w:p>
          <w:p w14:paraId="1AD8A47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rPr>
            </w:pPr>
            <w:r>
              <w:rPr>
                <w:rFonts w:hint="default" w:ascii="Times New Roman" w:hAnsi="Times New Roman" w:cs="Times New Roman"/>
                <w:color w:val="auto"/>
                <w:sz w:val="24"/>
                <w:highlight w:val="none"/>
              </w:rPr>
              <w:t>（2）危险废物</w:t>
            </w:r>
          </w:p>
          <w:p w14:paraId="298C88D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highlight w:val="none"/>
              </w:rPr>
              <w:t>①</w:t>
            </w:r>
            <w:r>
              <w:rPr>
                <w:rFonts w:hint="eastAsia" w:ascii="Times New Roman" w:hAnsi="Times New Roman" w:eastAsia="宋体" w:cs="Times New Roman"/>
                <w:bCs/>
                <w:color w:val="auto"/>
                <w:sz w:val="24"/>
                <w:highlight w:val="none"/>
                <w:lang w:val="en-US" w:eastAsia="zh-CN"/>
              </w:rPr>
              <w:t>水帘柜废液</w:t>
            </w:r>
          </w:p>
          <w:p w14:paraId="279BDA3E">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highlight w:val="none"/>
                <w:lang w:val="en-US" w:eastAsia="zh-CN"/>
              </w:rPr>
              <w:t>根据建设单位提供的资料可知，</w:t>
            </w:r>
            <w:r>
              <w:rPr>
                <w:rFonts w:hint="eastAsia" w:ascii="Times New Roman" w:hAnsi="Times New Roman" w:eastAsia="宋体" w:cs="Times New Roman"/>
                <w:bCs/>
                <w:color w:val="auto"/>
                <w:sz w:val="24"/>
                <w:highlight w:val="none"/>
                <w:lang w:eastAsia="ja-JP"/>
              </w:rPr>
              <w:t>项目水帘柜废液产生量约为</w:t>
            </w:r>
            <w:r>
              <w:rPr>
                <w:rFonts w:hint="eastAsia" w:cs="Times New Roman"/>
                <w:bCs/>
                <w:color w:val="auto"/>
                <w:sz w:val="24"/>
                <w:highlight w:val="none"/>
                <w:lang w:val="en-US" w:eastAsia="zh-CN"/>
              </w:rPr>
              <w:t>1.35</w:t>
            </w:r>
            <w:r>
              <w:rPr>
                <w:rFonts w:hint="eastAsia" w:ascii="Times New Roman" w:hAnsi="Times New Roman" w:eastAsia="宋体" w:cs="Times New Roman"/>
                <w:bCs/>
                <w:color w:val="auto"/>
                <w:sz w:val="24"/>
                <w:highlight w:val="none"/>
                <w:lang w:eastAsia="ja-JP"/>
              </w:rPr>
              <w:t>t/a，根据</w:t>
            </w:r>
            <w:r>
              <w:rPr>
                <w:rFonts w:hint="eastAsia" w:cs="宋体"/>
                <w:color w:val="auto"/>
              </w:rPr>
              <w:t>《国家危险废物名录》（2025年版）</w:t>
            </w:r>
            <w:r>
              <w:rPr>
                <w:rFonts w:hint="eastAsia" w:cs="宋体"/>
                <w:color w:val="auto"/>
                <w:lang w:eastAsia="zh-CN"/>
              </w:rPr>
              <w:t>，</w:t>
            </w:r>
            <w:r>
              <w:rPr>
                <w:rFonts w:hint="eastAsia" w:cs="宋体"/>
                <w:color w:val="auto"/>
                <w:lang w:val="en-US" w:eastAsia="zh-CN"/>
              </w:rPr>
              <w:t>水帘柜废液属于</w:t>
            </w:r>
            <w:r>
              <w:rPr>
                <w:rFonts w:hint="eastAsia" w:cs="宋体"/>
                <w:color w:val="auto"/>
              </w:rPr>
              <w:t>HW12染料、涂料废物</w:t>
            </w:r>
            <w:r>
              <w:rPr>
                <w:rFonts w:hint="eastAsia" w:ascii="Times New Roman" w:hAnsi="Times New Roman" w:eastAsia="宋体" w:cs="Times New Roman"/>
                <w:bCs/>
                <w:color w:val="auto"/>
                <w:sz w:val="24"/>
                <w:highlight w:val="none"/>
                <w:lang w:eastAsia="ja-JP"/>
              </w:rPr>
              <w:t>，废物代码：900-252-12</w:t>
            </w:r>
            <w:r>
              <w:rPr>
                <w:rFonts w:hint="eastAsia" w:cs="Times New Roman"/>
                <w:bCs/>
                <w:color w:val="auto"/>
                <w:sz w:val="24"/>
                <w:highlight w:val="none"/>
                <w:lang w:val="en-US" w:eastAsia="zh-CN"/>
              </w:rPr>
              <w:t xml:space="preserve"> 使用油漆（不包括水性漆）、有机溶剂进行喷漆、上漆过程中通过喷漆雾湿法捕集产生的漆渣，以及喷涂工位和管道清理过程中产生的落地漆渣</w:t>
            </w:r>
            <w:r>
              <w:rPr>
                <w:rFonts w:hint="eastAsia" w:ascii="Times New Roman" w:hAnsi="Times New Roman" w:eastAsia="宋体" w:cs="Times New Roman"/>
                <w:bCs/>
                <w:color w:val="auto"/>
                <w:sz w:val="24"/>
                <w:highlight w:val="none"/>
                <w:lang w:eastAsia="ja-JP"/>
              </w:rPr>
              <w:t>，水帘柜废液</w:t>
            </w:r>
            <w:r>
              <w:rPr>
                <w:rFonts w:hint="default" w:ascii="Times New Roman" w:hAnsi="Times New Roman" w:eastAsia="宋体" w:cs="Times New Roman"/>
                <w:color w:val="auto"/>
                <w:kern w:val="0"/>
                <w:sz w:val="24"/>
                <w:szCs w:val="24"/>
                <w:highlight w:val="none"/>
                <w:lang w:val="en-US" w:eastAsia="zh-CN" w:bidi="ar"/>
              </w:rPr>
              <w:t>妥善收集后</w:t>
            </w:r>
            <w:r>
              <w:rPr>
                <w:rFonts w:hint="eastAsia" w:ascii="Times New Roman" w:hAnsi="Times New Roman" w:eastAsia="宋体" w:cs="Times New Roman"/>
                <w:bCs/>
                <w:color w:val="auto"/>
                <w:sz w:val="24"/>
              </w:rPr>
              <w:t>暂存于</w:t>
            </w:r>
            <w:r>
              <w:rPr>
                <w:rFonts w:hint="eastAsia" w:cs="Times New Roman"/>
                <w:bCs/>
                <w:color w:val="auto"/>
                <w:sz w:val="24"/>
                <w:lang w:eastAsia="zh-CN"/>
              </w:rPr>
              <w:t>危废贮存库</w:t>
            </w:r>
            <w:r>
              <w:rPr>
                <w:rFonts w:hint="eastAsia" w:ascii="Times New Roman" w:hAnsi="Times New Roman" w:eastAsia="宋体" w:cs="Times New Roman"/>
                <w:bCs/>
                <w:color w:val="auto"/>
                <w:sz w:val="24"/>
              </w:rPr>
              <w:t>，定期委托有资质单位处置。</w:t>
            </w:r>
          </w:p>
          <w:p w14:paraId="459D2FA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eastAsia="ja-JP"/>
              </w:rPr>
              <w:t>②</w:t>
            </w:r>
            <w:r>
              <w:rPr>
                <w:rFonts w:hint="eastAsia" w:ascii="Times New Roman" w:hAnsi="Times New Roman" w:eastAsia="宋体" w:cs="Times New Roman"/>
                <w:bCs/>
                <w:color w:val="auto"/>
                <w:sz w:val="24"/>
                <w:highlight w:val="none"/>
                <w:lang w:val="en-US" w:eastAsia="zh-CN"/>
              </w:rPr>
              <w:t>废漆渣</w:t>
            </w:r>
          </w:p>
          <w:p w14:paraId="1BA42447">
            <w:pPr>
              <w:keepNext w:val="0"/>
              <w:keepLines w:val="0"/>
              <w:suppressLineNumbers w:val="0"/>
              <w:bidi w:val="0"/>
              <w:spacing w:before="0" w:beforeAutospacing="0" w:after="0" w:afterAutospacing="0"/>
              <w:ind w:left="0" w:right="0"/>
              <w:rPr>
                <w:rFonts w:hint="eastAsia"/>
                <w:lang w:val="en-US" w:eastAsia="ja-JP"/>
              </w:rPr>
            </w:pPr>
            <w:r>
              <w:rPr>
                <w:rFonts w:hint="eastAsia"/>
                <w:color w:val="auto"/>
                <w:highlight w:val="none"/>
              </w:rPr>
              <w:t>本项目漆渣主要为水帘柜循环池沉淀的漆渣，喷漆工序漆雾产生量为0.</w:t>
            </w:r>
            <w:r>
              <w:rPr>
                <w:rFonts w:hint="eastAsia"/>
                <w:color w:val="auto"/>
                <w:highlight w:val="none"/>
                <w:lang w:val="en-US" w:eastAsia="zh-CN"/>
              </w:rPr>
              <w:t>8622</w:t>
            </w:r>
            <w:r>
              <w:rPr>
                <w:rFonts w:hint="eastAsia"/>
                <w:color w:val="auto"/>
                <w:highlight w:val="none"/>
              </w:rPr>
              <w:t>t/a，水帘柜处理效率为80%，则漆渣产生量为</w:t>
            </w:r>
            <w:r>
              <w:rPr>
                <w:rFonts w:hint="eastAsia"/>
                <w:color w:val="auto"/>
                <w:highlight w:val="none"/>
                <w:lang w:val="en-US" w:eastAsia="zh-CN"/>
              </w:rPr>
              <w:t>0.8622</w:t>
            </w:r>
            <w:r>
              <w:rPr>
                <w:rFonts w:hint="eastAsia"/>
                <w:color w:val="auto"/>
                <w:highlight w:val="none"/>
              </w:rPr>
              <w:t>×0.8≈</w:t>
            </w:r>
            <w:r>
              <w:rPr>
                <w:rFonts w:hint="eastAsia"/>
                <w:color w:val="auto"/>
                <w:highlight w:val="none"/>
                <w:lang w:val="en-US" w:eastAsia="zh-CN"/>
              </w:rPr>
              <w:t>0.69</w:t>
            </w:r>
            <w:r>
              <w:rPr>
                <w:rFonts w:hint="eastAsia"/>
                <w:color w:val="auto"/>
                <w:highlight w:val="none"/>
              </w:rPr>
              <w:t>t/a，属</w:t>
            </w:r>
            <w:r>
              <w:rPr>
                <w:rFonts w:hint="eastAsia"/>
              </w:rPr>
              <w:t>于《国家危险废物名录》（2025年版）中的HW12染料、涂料废物，代码为900-252-12的危险废物，需定期交由有危险废物处理资质的单位外运处理。</w:t>
            </w:r>
          </w:p>
          <w:p w14:paraId="08F9B441">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eastAsia="ja-JP"/>
              </w:rPr>
              <w:t>③</w:t>
            </w:r>
            <w:r>
              <w:rPr>
                <w:rFonts w:hint="eastAsia" w:ascii="Times New Roman" w:hAnsi="Times New Roman" w:eastAsia="宋体" w:cs="Times New Roman"/>
                <w:bCs/>
                <w:color w:val="auto"/>
                <w:sz w:val="24"/>
                <w:highlight w:val="none"/>
                <w:lang w:val="en-US" w:eastAsia="zh-CN"/>
              </w:rPr>
              <w:t>废水性漆桶</w:t>
            </w:r>
          </w:p>
          <w:p w14:paraId="77A5316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kern w:val="2"/>
                <w:sz w:val="24"/>
                <w:szCs w:val="24"/>
                <w:highlight w:val="none"/>
                <w:lang w:val="en-US" w:eastAsia="zh-CN" w:bidi="ar-SA"/>
              </w:rPr>
              <w:t>项目喷漆工序使用的漆料由外部供应商供应，采用普通漆桶封装，到场后</w:t>
            </w:r>
            <w:r>
              <w:rPr>
                <w:rFonts w:hint="eastAsia" w:cs="Times New Roman"/>
                <w:bCs/>
                <w:color w:val="auto"/>
                <w:kern w:val="2"/>
                <w:sz w:val="24"/>
                <w:szCs w:val="24"/>
                <w:highlight w:val="none"/>
                <w:lang w:val="en-US" w:eastAsia="zh-CN" w:bidi="ar-SA"/>
              </w:rPr>
              <w:t>再进</w:t>
            </w:r>
            <w:r>
              <w:rPr>
                <w:rFonts w:hint="eastAsia" w:ascii="Times New Roman" w:hAnsi="Times New Roman" w:eastAsia="宋体" w:cs="Times New Roman"/>
                <w:bCs/>
                <w:color w:val="auto"/>
                <w:kern w:val="2"/>
                <w:sz w:val="24"/>
                <w:szCs w:val="24"/>
                <w:highlight w:val="none"/>
                <w:lang w:val="en-US" w:eastAsia="zh-CN" w:bidi="ar-SA"/>
              </w:rPr>
              <w:t>行拆封使用，因此会产生一定量的废原料桶。参考普通漆桶的规格，漆桶皮重一般为漆使用量的0.5%～1%，本次评价按1%估算，本项目使用水性漆漆料</w:t>
            </w:r>
            <w:r>
              <w:rPr>
                <w:rFonts w:hint="eastAsia" w:cs="Times New Roman"/>
                <w:bCs/>
                <w:color w:val="auto"/>
                <w:kern w:val="2"/>
                <w:sz w:val="24"/>
                <w:szCs w:val="24"/>
                <w:highlight w:val="none"/>
                <w:lang w:val="en-US" w:eastAsia="zh-CN" w:bidi="ar-SA"/>
              </w:rPr>
              <w:t>1</w:t>
            </w:r>
            <w:r>
              <w:rPr>
                <w:rFonts w:hint="eastAsia" w:ascii="Times New Roman" w:hAnsi="Times New Roman" w:eastAsia="宋体" w:cs="Times New Roman"/>
                <w:bCs/>
                <w:color w:val="auto"/>
                <w:kern w:val="2"/>
                <w:sz w:val="24"/>
                <w:szCs w:val="24"/>
                <w:highlight w:val="none"/>
                <w:lang w:val="en-US" w:eastAsia="zh-CN" w:bidi="ar-SA"/>
              </w:rPr>
              <w:t>t/a，则废</w:t>
            </w:r>
            <w:r>
              <w:rPr>
                <w:rFonts w:hint="eastAsia" w:ascii="Times New Roman" w:hAnsi="Times New Roman" w:eastAsia="宋体" w:cs="Times New Roman"/>
                <w:bCs/>
                <w:color w:val="auto"/>
                <w:sz w:val="24"/>
                <w:highlight w:val="none"/>
                <w:lang w:val="en-US" w:eastAsia="zh-CN"/>
              </w:rPr>
              <w:t>油</w:t>
            </w:r>
            <w:r>
              <w:rPr>
                <w:rFonts w:hint="eastAsia" w:ascii="Times New Roman" w:hAnsi="Times New Roman" w:eastAsia="宋体" w:cs="Times New Roman"/>
                <w:bCs/>
                <w:color w:val="auto"/>
                <w:kern w:val="2"/>
                <w:sz w:val="24"/>
                <w:szCs w:val="24"/>
                <w:highlight w:val="none"/>
                <w:lang w:val="en-US" w:eastAsia="zh-CN" w:bidi="ar-SA"/>
              </w:rPr>
              <w:t>漆桶产生量为</w:t>
            </w:r>
            <w:r>
              <w:rPr>
                <w:rFonts w:hint="eastAsia" w:cs="Times New Roman"/>
                <w:bCs/>
                <w:color w:val="auto"/>
                <w:kern w:val="2"/>
                <w:sz w:val="24"/>
                <w:szCs w:val="24"/>
                <w:highlight w:val="none"/>
                <w:lang w:val="en-US" w:eastAsia="zh-CN" w:bidi="ar-SA"/>
              </w:rPr>
              <w:t>0.01</w:t>
            </w:r>
            <w:r>
              <w:rPr>
                <w:rFonts w:hint="eastAsia" w:ascii="Times New Roman" w:hAnsi="Times New Roman" w:eastAsia="宋体" w:cs="Times New Roman"/>
                <w:bCs/>
                <w:color w:val="auto"/>
                <w:kern w:val="2"/>
                <w:sz w:val="24"/>
                <w:szCs w:val="24"/>
                <w:highlight w:val="none"/>
                <w:lang w:val="en-US" w:eastAsia="zh-CN" w:bidi="ar-SA"/>
              </w:rPr>
              <w:t>t/a。</w:t>
            </w:r>
            <w:r>
              <w:rPr>
                <w:rFonts w:hint="default" w:ascii="Times New Roman" w:hAnsi="Times New Roman" w:eastAsia="宋体" w:cs="Times New Roman"/>
                <w:bCs/>
                <w:color w:val="auto"/>
                <w:sz w:val="24"/>
                <w:lang w:val="en-US" w:eastAsia="zh-CN"/>
              </w:rPr>
              <w:t>根据《固体废物鉴别标准通则》（GB34330-2017），本项目水性</w:t>
            </w:r>
            <w:r>
              <w:rPr>
                <w:rFonts w:hint="eastAsia" w:ascii="Times New Roman" w:hAnsi="Times New Roman" w:eastAsia="宋体" w:cs="Times New Roman"/>
                <w:bCs/>
                <w:color w:val="auto"/>
                <w:sz w:val="24"/>
                <w:lang w:val="en-US" w:eastAsia="zh-CN"/>
              </w:rPr>
              <w:t>漆</w:t>
            </w:r>
            <w:r>
              <w:rPr>
                <w:rFonts w:hint="default" w:ascii="Times New Roman" w:hAnsi="Times New Roman" w:eastAsia="宋体" w:cs="Times New Roman"/>
                <w:bCs/>
                <w:color w:val="auto"/>
                <w:sz w:val="24"/>
                <w:lang w:val="en-US" w:eastAsia="zh-CN"/>
              </w:rPr>
              <w:t>包装桶不需要修复和加工即可用于原始用途，可不作为固体废物管理，但为控制回收过程中可能发生的环境风险，应当按照危险废物管理。为控制回收过程中可能发生的环境风险，废弃空桶在收集、储存过</w:t>
            </w:r>
            <w:r>
              <w:rPr>
                <w:rFonts w:hint="eastAsia" w:cs="Times New Roman"/>
                <w:bCs/>
                <w:color w:val="auto"/>
                <w:sz w:val="24"/>
                <w:lang w:val="en-US" w:eastAsia="zh-CN"/>
              </w:rPr>
              <w:t>程中</w:t>
            </w:r>
            <w:r>
              <w:rPr>
                <w:rFonts w:hint="default" w:ascii="Times New Roman" w:hAnsi="Times New Roman" w:eastAsia="宋体" w:cs="Times New Roman"/>
                <w:bCs/>
                <w:color w:val="auto"/>
                <w:sz w:val="24"/>
                <w:lang w:val="en-US" w:eastAsia="zh-CN"/>
              </w:rPr>
              <w:t>应参照危险废物管理</w:t>
            </w:r>
            <w:r>
              <w:rPr>
                <w:rFonts w:hint="eastAsia" w:cs="Times New Roman"/>
                <w:bCs/>
                <w:color w:val="auto"/>
                <w:sz w:val="24"/>
                <w:lang w:val="en-US" w:eastAsia="zh-CN"/>
              </w:rPr>
              <w:t>，参照</w:t>
            </w:r>
            <w:r>
              <w:rPr>
                <w:rFonts w:hint="eastAsia"/>
              </w:rPr>
              <w:t>《国家危险废物名录》（2025年版）</w:t>
            </w:r>
            <w:r>
              <w:rPr>
                <w:rFonts w:hint="eastAsia"/>
                <w:lang w:val="en-US" w:eastAsia="zh-CN"/>
              </w:rPr>
              <w:t>中的</w:t>
            </w:r>
            <w:r>
              <w:rPr>
                <w:rFonts w:hint="eastAsia" w:ascii="Times New Roman" w:hAnsi="Times New Roman" w:eastAsia="宋体" w:cs="Times New Roman"/>
                <w:bCs/>
                <w:color w:val="auto"/>
                <w:kern w:val="2"/>
                <w:sz w:val="24"/>
                <w:szCs w:val="24"/>
                <w:highlight w:val="none"/>
                <w:lang w:val="en-US" w:eastAsia="zh-CN" w:bidi="ar-SA"/>
              </w:rPr>
              <w:t>HW49 其他废物，废物代码900-041-49</w:t>
            </w:r>
            <w:r>
              <w:rPr>
                <w:rFonts w:hint="eastAsia" w:cs="Times New Roman"/>
                <w:bCs/>
                <w:color w:val="auto"/>
                <w:kern w:val="2"/>
                <w:sz w:val="24"/>
                <w:szCs w:val="24"/>
                <w:highlight w:val="none"/>
                <w:lang w:val="en-US" w:eastAsia="zh-CN" w:bidi="ar-SA"/>
              </w:rPr>
              <w:t xml:space="preserve"> 含有或者沾染毒性、感染性危险废物的废弃的包装物、容器、过滤吸附介质，</w:t>
            </w:r>
            <w:r>
              <w:rPr>
                <w:rFonts w:hint="eastAsia" w:ascii="Times New Roman" w:hAnsi="Times New Roman" w:eastAsia="宋体" w:cs="Times New Roman"/>
                <w:bCs/>
                <w:color w:val="auto"/>
                <w:sz w:val="24"/>
                <w:lang w:val="en-US" w:eastAsia="zh-CN"/>
              </w:rPr>
              <w:t>设置</w:t>
            </w:r>
            <w:r>
              <w:rPr>
                <w:rFonts w:hint="eastAsia" w:cs="Times New Roman"/>
                <w:bCs/>
                <w:color w:val="auto"/>
                <w:sz w:val="24"/>
                <w:lang w:val="en-US" w:eastAsia="zh-CN"/>
              </w:rPr>
              <w:t>危废贮存库</w:t>
            </w:r>
            <w:r>
              <w:rPr>
                <w:rFonts w:hint="default" w:ascii="Times New Roman" w:hAnsi="Times New Roman" w:eastAsia="宋体" w:cs="Times New Roman"/>
                <w:bCs/>
                <w:color w:val="auto"/>
                <w:sz w:val="24"/>
                <w:lang w:val="en-US" w:eastAsia="zh-CN"/>
              </w:rPr>
              <w:t>暂存后委托有资质单位处置。</w:t>
            </w:r>
          </w:p>
          <w:p w14:paraId="788CA2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rPr>
              <w:t>④</w:t>
            </w:r>
            <w:r>
              <w:rPr>
                <w:rFonts w:hint="eastAsia" w:ascii="Times New Roman" w:hAnsi="Times New Roman" w:eastAsia="宋体" w:cs="Times New Roman"/>
                <w:bCs/>
                <w:color w:val="auto"/>
                <w:sz w:val="24"/>
                <w:highlight w:val="none"/>
                <w:lang w:val="en-US" w:eastAsia="zh-CN"/>
              </w:rPr>
              <w:t>废油性漆桶</w:t>
            </w:r>
          </w:p>
          <w:p w14:paraId="0B8B977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kern w:val="2"/>
                <w:sz w:val="24"/>
                <w:szCs w:val="24"/>
                <w:highlight w:val="none"/>
                <w:lang w:val="en-US" w:eastAsia="zh-CN" w:bidi="ar-SA"/>
              </w:rPr>
              <w:t>项目喷漆工序使用的漆料由外部供应商供应，采用普通漆桶封装，到场后</w:t>
            </w:r>
            <w:r>
              <w:rPr>
                <w:rFonts w:hint="eastAsia" w:cs="Times New Roman"/>
                <w:bCs/>
                <w:color w:val="auto"/>
                <w:kern w:val="2"/>
                <w:sz w:val="24"/>
                <w:szCs w:val="24"/>
                <w:highlight w:val="none"/>
                <w:lang w:val="en-US" w:eastAsia="zh-CN" w:bidi="ar-SA"/>
              </w:rPr>
              <w:t>再进</w:t>
            </w:r>
            <w:r>
              <w:rPr>
                <w:rFonts w:hint="eastAsia" w:ascii="Times New Roman" w:hAnsi="Times New Roman" w:eastAsia="宋体" w:cs="Times New Roman"/>
                <w:bCs/>
                <w:color w:val="auto"/>
                <w:kern w:val="2"/>
                <w:sz w:val="24"/>
                <w:szCs w:val="24"/>
                <w:highlight w:val="none"/>
                <w:lang w:val="en-US" w:eastAsia="zh-CN" w:bidi="ar-SA"/>
              </w:rPr>
              <w:t>行拆封使用，会产生一定量的废原料桶。参考普通漆桶的规格，漆桶皮重一般为漆使用量的0.5%～1%，本次评价按1%估算，本项目使用油性漆料共</w:t>
            </w:r>
            <w:r>
              <w:rPr>
                <w:rFonts w:hint="eastAsia" w:cs="Times New Roman"/>
                <w:bCs/>
                <w:color w:val="auto"/>
                <w:kern w:val="2"/>
                <w:sz w:val="24"/>
                <w:szCs w:val="24"/>
                <w:highlight w:val="none"/>
                <w:lang w:val="en-US" w:eastAsia="zh-CN" w:bidi="ar-SA"/>
              </w:rPr>
              <w:t>4</w:t>
            </w:r>
            <w:r>
              <w:rPr>
                <w:rFonts w:hint="eastAsia" w:ascii="Times New Roman" w:hAnsi="Times New Roman" w:eastAsia="宋体" w:cs="Times New Roman"/>
                <w:bCs/>
                <w:color w:val="auto"/>
                <w:kern w:val="2"/>
                <w:sz w:val="24"/>
                <w:szCs w:val="24"/>
                <w:highlight w:val="none"/>
                <w:lang w:val="en-US" w:eastAsia="zh-CN" w:bidi="ar-SA"/>
              </w:rPr>
              <w:t>t/a，则废</w:t>
            </w:r>
            <w:r>
              <w:rPr>
                <w:rFonts w:hint="eastAsia" w:ascii="Times New Roman" w:hAnsi="Times New Roman" w:eastAsia="宋体" w:cs="Times New Roman"/>
                <w:bCs/>
                <w:color w:val="auto"/>
                <w:sz w:val="24"/>
                <w:highlight w:val="none"/>
                <w:lang w:val="en-US" w:eastAsia="zh-CN"/>
              </w:rPr>
              <w:t>油</w:t>
            </w:r>
            <w:r>
              <w:rPr>
                <w:rFonts w:hint="eastAsia" w:ascii="Times New Roman" w:hAnsi="Times New Roman" w:eastAsia="宋体" w:cs="Times New Roman"/>
                <w:bCs/>
                <w:color w:val="auto"/>
                <w:kern w:val="2"/>
                <w:sz w:val="24"/>
                <w:szCs w:val="24"/>
                <w:highlight w:val="none"/>
                <w:lang w:val="en-US" w:eastAsia="zh-CN" w:bidi="ar-SA"/>
              </w:rPr>
              <w:t>漆桶产生量为0.0</w:t>
            </w:r>
            <w:r>
              <w:rPr>
                <w:rFonts w:hint="eastAsia" w:cs="Times New Roman"/>
                <w:bCs/>
                <w:color w:val="auto"/>
                <w:kern w:val="2"/>
                <w:sz w:val="24"/>
                <w:szCs w:val="24"/>
                <w:highlight w:val="none"/>
                <w:lang w:val="en-US" w:eastAsia="zh-CN" w:bidi="ar-SA"/>
              </w:rPr>
              <w:t>4</w:t>
            </w:r>
            <w:r>
              <w:rPr>
                <w:rFonts w:hint="eastAsia" w:ascii="Times New Roman" w:hAnsi="Times New Roman" w:eastAsia="宋体" w:cs="Times New Roman"/>
                <w:bCs/>
                <w:color w:val="auto"/>
                <w:kern w:val="2"/>
                <w:sz w:val="24"/>
                <w:szCs w:val="24"/>
                <w:highlight w:val="none"/>
                <w:lang w:val="en-US" w:eastAsia="zh-CN" w:bidi="ar-SA"/>
              </w:rPr>
              <w:t>t/a；</w:t>
            </w:r>
            <w:r>
              <w:rPr>
                <w:rFonts w:hint="eastAsia" w:ascii="Times New Roman" w:hAnsi="Times New Roman" w:eastAsia="宋体" w:cs="Times New Roman"/>
                <w:bCs/>
                <w:color w:val="auto"/>
                <w:sz w:val="24"/>
                <w:highlight w:val="none"/>
                <w:lang w:val="en-US" w:eastAsia="zh-CN"/>
              </w:rPr>
              <w:t>废油性漆桶</w:t>
            </w:r>
            <w:r>
              <w:rPr>
                <w:rFonts w:hint="eastAsia" w:ascii="Times New Roman" w:hAnsi="Times New Roman" w:eastAsia="宋体" w:cs="Times New Roman"/>
                <w:bCs/>
                <w:color w:val="auto"/>
                <w:kern w:val="2"/>
                <w:sz w:val="24"/>
                <w:szCs w:val="24"/>
                <w:highlight w:val="none"/>
                <w:lang w:val="en-US" w:eastAsia="zh-CN" w:bidi="ar-SA"/>
              </w:rPr>
              <w:t>属于危险废物，</w:t>
            </w:r>
            <w:r>
              <w:rPr>
                <w:rFonts w:hint="eastAsia"/>
                <w:color w:val="auto"/>
                <w:highlight w:val="none"/>
              </w:rPr>
              <w:t>属</w:t>
            </w:r>
            <w:r>
              <w:rPr>
                <w:rFonts w:hint="eastAsia"/>
              </w:rPr>
              <w:t>于《国家危险废物名录》（2025年版）中的</w:t>
            </w:r>
            <w:r>
              <w:rPr>
                <w:rFonts w:hint="eastAsia" w:ascii="Times New Roman" w:hAnsi="Times New Roman" w:eastAsia="宋体" w:cs="Times New Roman"/>
                <w:bCs/>
                <w:color w:val="auto"/>
                <w:kern w:val="2"/>
                <w:sz w:val="24"/>
                <w:szCs w:val="24"/>
                <w:highlight w:val="none"/>
                <w:lang w:val="en-US" w:eastAsia="zh-CN" w:bidi="ar-SA"/>
              </w:rPr>
              <w:t>HW49 其他废物，废物代码900-041-49</w:t>
            </w:r>
            <w:r>
              <w:rPr>
                <w:rFonts w:hint="eastAsia" w:cs="Times New Roman"/>
                <w:bCs/>
                <w:color w:val="auto"/>
                <w:kern w:val="2"/>
                <w:sz w:val="24"/>
                <w:szCs w:val="24"/>
                <w:highlight w:val="none"/>
                <w:lang w:val="en-US" w:eastAsia="zh-CN" w:bidi="ar-SA"/>
              </w:rPr>
              <w:t xml:space="preserve"> 含有或者沾染毒性、感染性危险废物的废弃的包装物、容器、过滤吸附介质</w:t>
            </w:r>
            <w:r>
              <w:rPr>
                <w:rFonts w:hint="eastAsia" w:ascii="Times New Roman" w:hAnsi="Times New Roman" w:eastAsia="宋体" w:cs="Times New Roman"/>
                <w:bCs/>
                <w:color w:val="auto"/>
                <w:kern w:val="2"/>
                <w:sz w:val="24"/>
                <w:szCs w:val="24"/>
                <w:highlight w:val="none"/>
                <w:lang w:val="en-US" w:eastAsia="zh-CN" w:bidi="ar-SA"/>
              </w:rPr>
              <w:t>。</w:t>
            </w:r>
            <w:r>
              <w:rPr>
                <w:rFonts w:hint="eastAsia" w:ascii="Times New Roman" w:hAnsi="Times New Roman" w:eastAsia="宋体" w:cs="Times New Roman"/>
                <w:bCs/>
                <w:color w:val="auto"/>
                <w:sz w:val="24"/>
                <w:highlight w:val="none"/>
                <w:lang w:val="en-US" w:eastAsia="zh-CN"/>
              </w:rPr>
              <w:t>废油性漆桶</w:t>
            </w:r>
            <w:r>
              <w:rPr>
                <w:rFonts w:hint="default" w:ascii="Times New Roman" w:hAnsi="Times New Roman" w:eastAsia="宋体" w:cs="Times New Roman"/>
                <w:color w:val="auto"/>
                <w:kern w:val="0"/>
                <w:sz w:val="24"/>
                <w:szCs w:val="24"/>
                <w:highlight w:val="none"/>
                <w:lang w:val="en-US" w:eastAsia="zh-CN" w:bidi="ar"/>
              </w:rPr>
              <w:t>妥善收集后</w:t>
            </w:r>
            <w:r>
              <w:rPr>
                <w:rFonts w:hint="eastAsia" w:ascii="Times New Roman" w:hAnsi="Times New Roman" w:eastAsia="宋体" w:cs="Times New Roman"/>
                <w:bCs/>
                <w:color w:val="auto"/>
                <w:sz w:val="24"/>
              </w:rPr>
              <w:t>暂存于</w:t>
            </w:r>
            <w:r>
              <w:rPr>
                <w:rFonts w:hint="eastAsia" w:cs="Times New Roman"/>
                <w:bCs/>
                <w:color w:val="auto"/>
                <w:sz w:val="24"/>
                <w:lang w:eastAsia="zh-CN"/>
              </w:rPr>
              <w:t>危废贮存库</w:t>
            </w:r>
            <w:r>
              <w:rPr>
                <w:rFonts w:hint="eastAsia" w:ascii="Times New Roman" w:hAnsi="Times New Roman" w:eastAsia="宋体" w:cs="Times New Roman"/>
                <w:bCs/>
                <w:color w:val="auto"/>
                <w:sz w:val="24"/>
              </w:rPr>
              <w:t>，定期委托有资质单位处置。</w:t>
            </w:r>
          </w:p>
          <w:p w14:paraId="693EDC0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ja-JP"/>
              </w:rPr>
              <w:t>⑤</w:t>
            </w:r>
            <w:r>
              <w:rPr>
                <w:rFonts w:hint="eastAsia" w:ascii="Times New Roman" w:hAnsi="Times New Roman" w:eastAsia="宋体" w:cs="Times New Roman"/>
                <w:bCs/>
                <w:color w:val="auto"/>
                <w:sz w:val="24"/>
                <w:highlight w:val="none"/>
              </w:rPr>
              <w:t>废活性炭</w:t>
            </w:r>
          </w:p>
          <w:p w14:paraId="52D41150">
            <w:pPr>
              <w:keepNext w:val="0"/>
              <w:keepLines w:val="0"/>
              <w:suppressLineNumbers w:val="0"/>
              <w:spacing w:before="0" w:beforeAutospacing="0" w:after="0" w:afterAutospacing="0"/>
              <w:ind w:left="0" w:right="0" w:firstLine="480" w:firstLineChars="200"/>
              <w:rPr>
                <w:rFonts w:hint="eastAsia" w:cs="Times New Roman"/>
                <w:bCs/>
                <w:color w:val="0000FF"/>
                <w:sz w:val="24"/>
                <w:highlight w:val="none"/>
                <w:lang w:val="en-US" w:eastAsia="zh-CN"/>
              </w:rPr>
            </w:pPr>
            <w:r>
              <w:rPr>
                <w:rFonts w:hint="default" w:ascii="Times New Roman" w:hAnsi="Times New Roman" w:eastAsia="宋体" w:cs="Times New Roman"/>
                <w:bCs/>
                <w:color w:val="auto"/>
                <w:sz w:val="24"/>
                <w:lang w:val="en-US" w:eastAsia="zh-CN"/>
              </w:rPr>
              <w:t>根据中国建筑出版社</w:t>
            </w: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1997</w:t>
            </w: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出版的《简明通风设计手册》第十章中关于活性吸附处理治理废气的方法中提供的数据：每1.0kg活性炭吸附有机废气的平衡量为0.43～0.61kg，本项目按1t活性炭吸附0.</w:t>
            </w:r>
            <w:r>
              <w:rPr>
                <w:rFonts w:hint="eastAsia" w:ascii="Times New Roman" w:hAnsi="Times New Roman" w:eastAsia="宋体" w:cs="Times New Roman"/>
                <w:bCs/>
                <w:color w:val="auto"/>
                <w:sz w:val="24"/>
                <w:lang w:val="en-US" w:eastAsia="zh-CN"/>
              </w:rPr>
              <w:t>3</w:t>
            </w:r>
            <w:r>
              <w:rPr>
                <w:rFonts w:hint="default" w:ascii="Times New Roman" w:hAnsi="Times New Roman" w:eastAsia="宋体" w:cs="Times New Roman"/>
                <w:bCs/>
                <w:color w:val="auto"/>
                <w:sz w:val="24"/>
                <w:lang w:val="en-US" w:eastAsia="zh-CN"/>
              </w:rPr>
              <w:t>t有机废气计算，</w:t>
            </w:r>
            <w:r>
              <w:rPr>
                <w:rFonts w:hint="default" w:ascii="Times New Roman" w:hAnsi="Times New Roman" w:eastAsia="宋体" w:cs="Times New Roman"/>
                <w:bCs/>
                <w:color w:val="auto"/>
                <w:sz w:val="24"/>
                <w:lang w:val="zh-CN" w:eastAsia="zh-CN"/>
              </w:rPr>
              <w:t>根据前文产排污分析可知，项目有组织有机废气</w:t>
            </w:r>
            <w:r>
              <w:rPr>
                <w:rFonts w:hint="default" w:ascii="Times New Roman" w:hAnsi="Times New Roman" w:eastAsia="宋体" w:cs="Times New Roman"/>
                <w:bCs/>
                <w:color w:val="auto"/>
                <w:sz w:val="24"/>
                <w:lang w:val="en-US" w:eastAsia="zh-CN"/>
              </w:rPr>
              <w:t>净化了</w:t>
            </w:r>
            <w:r>
              <w:rPr>
                <w:rFonts w:hint="eastAsia" w:cs="Times New Roman"/>
                <w:bCs/>
                <w:color w:val="auto"/>
                <w:sz w:val="24"/>
                <w:lang w:val="en-US" w:eastAsia="zh-CN"/>
              </w:rPr>
              <w:t>0.3458</w:t>
            </w:r>
            <w:r>
              <w:rPr>
                <w:rFonts w:hint="default" w:ascii="Times New Roman" w:hAnsi="Times New Roman" w:eastAsia="宋体" w:cs="Times New Roman"/>
                <w:bCs/>
                <w:color w:val="auto"/>
                <w:sz w:val="24"/>
                <w:lang w:val="en-US" w:eastAsia="zh-CN"/>
              </w:rPr>
              <w:t>t/a</w:t>
            </w:r>
            <w:r>
              <w:rPr>
                <w:rFonts w:hint="default" w:ascii="Times New Roman" w:hAnsi="Times New Roman" w:eastAsia="宋体" w:cs="Times New Roman"/>
                <w:bCs/>
                <w:color w:val="auto"/>
                <w:sz w:val="24"/>
                <w:lang w:val="zh-CN" w:eastAsia="zh-CN"/>
              </w:rPr>
              <w:t>，本项目有机废气采用</w:t>
            </w:r>
            <w:r>
              <w:rPr>
                <w:rFonts w:hint="eastAsia" w:cs="Times New Roman"/>
                <w:bCs/>
                <w:color w:val="auto"/>
                <w:sz w:val="24"/>
                <w:lang w:val="en-US" w:eastAsia="zh-CN"/>
              </w:rPr>
              <w:t>二级活性炭</w:t>
            </w:r>
            <w:r>
              <w:rPr>
                <w:rFonts w:hint="default" w:ascii="Times New Roman" w:hAnsi="Times New Roman" w:eastAsia="宋体" w:cs="Times New Roman"/>
                <w:bCs/>
                <w:color w:val="auto"/>
                <w:sz w:val="24"/>
                <w:lang w:val="en-US" w:eastAsia="zh-CN"/>
              </w:rPr>
              <w:t>吸附装置净化处理，则预计项目年消耗</w:t>
            </w:r>
            <w:r>
              <w:rPr>
                <w:rFonts w:hint="eastAsia" w:cs="Times New Roman"/>
                <w:bCs/>
                <w:color w:val="auto"/>
                <w:sz w:val="24"/>
                <w:lang w:val="en-US" w:eastAsia="zh-CN"/>
              </w:rPr>
              <w:t>二级活性炭</w:t>
            </w:r>
            <w:r>
              <w:rPr>
                <w:rFonts w:hint="default" w:ascii="Times New Roman" w:hAnsi="Times New Roman" w:eastAsia="宋体" w:cs="Times New Roman"/>
                <w:bCs/>
                <w:color w:val="auto"/>
                <w:sz w:val="24"/>
                <w:lang w:val="en-US" w:eastAsia="zh-CN"/>
              </w:rPr>
              <w:t>量为</w:t>
            </w:r>
            <w:r>
              <w:rPr>
                <w:rFonts w:hint="eastAsia" w:cs="Times New Roman"/>
                <w:bCs/>
                <w:color w:val="auto"/>
                <w:sz w:val="24"/>
                <w:lang w:val="en-US" w:eastAsia="zh-CN"/>
              </w:rPr>
              <w:t>1.15</w:t>
            </w:r>
            <w:r>
              <w:rPr>
                <w:rFonts w:hint="default" w:ascii="Times New Roman" w:hAnsi="Times New Roman" w:eastAsia="宋体" w:cs="Times New Roman"/>
                <w:bCs/>
                <w:color w:val="auto"/>
                <w:sz w:val="24"/>
                <w:lang w:val="en-US" w:eastAsia="zh-CN"/>
              </w:rPr>
              <w:t>t，</w:t>
            </w:r>
            <w:r>
              <w:rPr>
                <w:rFonts w:hint="eastAsia" w:ascii="Times New Roman" w:hAnsi="Times New Roman" w:eastAsia="宋体" w:cs="Times New Roman"/>
                <w:bCs/>
                <w:color w:val="auto"/>
                <w:sz w:val="24"/>
                <w:lang w:val="en-US" w:eastAsia="zh-CN"/>
              </w:rPr>
              <w:t>本项目活性炭一年更换</w:t>
            </w:r>
            <w:r>
              <w:rPr>
                <w:rFonts w:hint="eastAsia" w:cs="Times New Roman"/>
                <w:bCs/>
                <w:color w:val="auto"/>
                <w:sz w:val="24"/>
                <w:lang w:val="en-US" w:eastAsia="zh-CN"/>
              </w:rPr>
              <w:t>4</w:t>
            </w:r>
            <w:r>
              <w:rPr>
                <w:rFonts w:hint="eastAsia" w:ascii="Times New Roman" w:hAnsi="Times New Roman" w:eastAsia="宋体" w:cs="Times New Roman"/>
                <w:bCs/>
                <w:color w:val="auto"/>
                <w:sz w:val="24"/>
                <w:lang w:val="en-US" w:eastAsia="zh-CN"/>
              </w:rPr>
              <w:t>次，</w:t>
            </w:r>
            <w:r>
              <w:rPr>
                <w:rFonts w:hint="default" w:ascii="Times New Roman" w:hAnsi="Times New Roman" w:eastAsia="宋体" w:cs="Times New Roman"/>
                <w:bCs/>
                <w:color w:val="auto"/>
                <w:sz w:val="24"/>
                <w:lang w:val="en-US" w:eastAsia="zh-CN"/>
              </w:rPr>
              <w:t>则项目每年产生的</w:t>
            </w:r>
            <w:r>
              <w:rPr>
                <w:rFonts w:hint="eastAsia" w:ascii="Times New Roman" w:hAnsi="Times New Roman" w:eastAsia="宋体" w:cs="Times New Roman"/>
                <w:bCs/>
                <w:color w:val="auto"/>
                <w:sz w:val="24"/>
                <w:lang w:val="en-US" w:eastAsia="zh-CN"/>
              </w:rPr>
              <w:t>废活性炭</w:t>
            </w:r>
            <w:r>
              <w:rPr>
                <w:rFonts w:hint="default" w:ascii="Times New Roman" w:hAnsi="Times New Roman" w:eastAsia="宋体" w:cs="Times New Roman"/>
                <w:bCs/>
                <w:color w:val="auto"/>
                <w:sz w:val="24"/>
                <w:lang w:val="en-US" w:eastAsia="zh-CN"/>
              </w:rPr>
              <w:t>量约为</w:t>
            </w:r>
            <w:r>
              <w:rPr>
                <w:rFonts w:hint="eastAsia" w:cs="Times New Roman"/>
                <w:bCs/>
                <w:color w:val="auto"/>
                <w:sz w:val="24"/>
                <w:lang w:val="en-US" w:eastAsia="zh-CN"/>
              </w:rPr>
              <w:t>4.95</w:t>
            </w:r>
            <w:r>
              <w:rPr>
                <w:rFonts w:hint="default" w:ascii="Times New Roman" w:hAnsi="Times New Roman" w:eastAsia="宋体" w:cs="Times New Roman"/>
                <w:bCs/>
                <w:color w:val="auto"/>
                <w:sz w:val="24"/>
                <w:lang w:val="en-US" w:eastAsia="zh-CN"/>
              </w:rPr>
              <w:t>t/a</w:t>
            </w:r>
            <w:r>
              <w:rPr>
                <w:rFonts w:hint="eastAsia" w:ascii="Times New Roman" w:hAnsi="Times New Roman" w:eastAsia="宋体" w:cs="Times New Roman"/>
                <w:bCs/>
                <w:color w:val="auto"/>
                <w:sz w:val="24"/>
                <w:lang w:val="zh-CN" w:eastAsia="zh-CN"/>
              </w:rPr>
              <w:t>。</w:t>
            </w:r>
            <w:r>
              <w:rPr>
                <w:rFonts w:hint="default" w:ascii="Times New Roman" w:hAnsi="Times New Roman" w:eastAsia="宋体" w:cs="Times New Roman"/>
                <w:bCs/>
                <w:color w:val="auto"/>
                <w:sz w:val="24"/>
                <w:highlight w:val="none"/>
                <w:lang w:val="en-US" w:eastAsia="zh-CN"/>
              </w:rPr>
              <w:t>根据</w:t>
            </w:r>
            <w:r>
              <w:rPr>
                <w:rFonts w:hint="eastAsia" w:cs="Times New Roman"/>
                <w:bCs/>
                <w:color w:val="auto"/>
                <w:sz w:val="24"/>
                <w:highlight w:val="none"/>
                <w:lang w:val="en-US" w:eastAsia="zh-CN"/>
              </w:rPr>
              <w:t>《国家危险废物名录》（2025年版）</w:t>
            </w:r>
            <w:r>
              <w:rPr>
                <w:rFonts w:hint="default" w:ascii="Times New Roman" w:hAnsi="Times New Roman" w:eastAsia="宋体" w:cs="Times New Roman"/>
                <w:bCs/>
                <w:color w:val="auto"/>
                <w:sz w:val="24"/>
                <w:highlight w:val="none"/>
                <w:lang w:val="en-US" w:eastAsia="zh-CN"/>
              </w:rPr>
              <w:t>，废活性炭属于危险废物，废物类别为HW49其他废物，废物代码900-039-49</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妥善收集后</w:t>
            </w:r>
            <w:r>
              <w:rPr>
                <w:rFonts w:hint="eastAsia" w:ascii="Times New Roman" w:hAnsi="Times New Roman" w:eastAsia="宋体" w:cs="Times New Roman"/>
                <w:bCs/>
                <w:color w:val="auto"/>
                <w:sz w:val="24"/>
                <w:highlight w:val="none"/>
              </w:rPr>
              <w:t>暂存于</w:t>
            </w:r>
            <w:r>
              <w:rPr>
                <w:rFonts w:hint="eastAsia" w:cs="Times New Roman"/>
                <w:bCs/>
                <w:color w:val="auto"/>
                <w:sz w:val="24"/>
                <w:highlight w:val="none"/>
                <w:lang w:eastAsia="zh-CN"/>
              </w:rPr>
              <w:t>危废贮存库</w:t>
            </w:r>
            <w:r>
              <w:rPr>
                <w:rFonts w:hint="eastAsia" w:ascii="Times New Roman" w:hAnsi="Times New Roman" w:eastAsia="宋体" w:cs="Times New Roman"/>
                <w:bCs/>
                <w:color w:val="auto"/>
                <w:sz w:val="24"/>
                <w:highlight w:val="none"/>
              </w:rPr>
              <w:t>，定期委托有资质单位处置。</w:t>
            </w:r>
          </w:p>
          <w:p w14:paraId="5CD181DD">
            <w:pPr>
              <w:keepNext w:val="0"/>
              <w:keepLines w:val="0"/>
              <w:suppressLineNumbers w:val="0"/>
              <w:tabs>
                <w:tab w:val="left" w:pos="7436"/>
              </w:tabs>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highlight w:val="none"/>
                <w:lang w:eastAsia="ja-JP"/>
              </w:rPr>
              <w:t>⑥</w:t>
            </w:r>
            <w:r>
              <w:rPr>
                <w:rFonts w:hint="eastAsia" w:ascii="Times New Roman" w:hAnsi="Times New Roman" w:eastAsia="宋体" w:cs="Times New Roman"/>
                <w:bCs/>
                <w:color w:val="auto"/>
                <w:sz w:val="24"/>
              </w:rPr>
              <w:t>废过滤棉</w:t>
            </w:r>
            <w:r>
              <w:rPr>
                <w:rFonts w:hint="eastAsia" w:ascii="Times New Roman" w:hAnsi="Times New Roman" w:eastAsia="宋体" w:cs="Times New Roman"/>
                <w:bCs/>
                <w:color w:val="auto"/>
                <w:sz w:val="24"/>
                <w:lang w:eastAsia="zh-CN"/>
              </w:rPr>
              <w:tab/>
            </w:r>
          </w:p>
          <w:p w14:paraId="5BB5344B">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rPr>
              <w:t>项目废气治理设施使用过程会产生废过滤棉，根据类比同行业分析，产生量约0.</w:t>
            </w:r>
            <w:r>
              <w:rPr>
                <w:rFonts w:hint="eastAsia" w:cs="Times New Roman"/>
                <w:bCs/>
                <w:color w:val="auto"/>
                <w:sz w:val="24"/>
                <w:lang w:val="en-US" w:eastAsia="zh-CN"/>
              </w:rPr>
              <w:t>2</w:t>
            </w:r>
            <w:r>
              <w:rPr>
                <w:rFonts w:hint="eastAsia" w:ascii="Times New Roman" w:hAnsi="Times New Roman" w:eastAsia="宋体" w:cs="Times New Roman"/>
                <w:bCs/>
                <w:color w:val="auto"/>
                <w:sz w:val="24"/>
              </w:rPr>
              <w:t>t/a，根据</w:t>
            </w:r>
            <w:r>
              <w:rPr>
                <w:rFonts w:hint="eastAsia" w:cs="Times New Roman"/>
                <w:bCs/>
                <w:color w:val="auto"/>
                <w:sz w:val="24"/>
                <w:lang w:eastAsia="zh-CN"/>
              </w:rPr>
              <w:t>《国家危险废物名录》（2025年版）</w:t>
            </w:r>
            <w:r>
              <w:rPr>
                <w:rFonts w:hint="eastAsia" w:ascii="Times New Roman" w:hAnsi="Times New Roman" w:eastAsia="宋体" w:cs="Times New Roman"/>
                <w:bCs/>
                <w:color w:val="auto"/>
                <w:sz w:val="24"/>
              </w:rPr>
              <w:t>，废过滤棉属</w:t>
            </w:r>
            <w:r>
              <w:rPr>
                <w:rFonts w:hint="eastAsia" w:ascii="Times New Roman" w:hAnsi="Times New Roman" w:eastAsia="宋体" w:cs="Times New Roman"/>
                <w:bCs/>
                <w:color w:val="auto"/>
                <w:sz w:val="24"/>
                <w:lang w:val="en-US" w:eastAsia="zh-CN"/>
              </w:rPr>
              <w:t>于</w:t>
            </w:r>
            <w:r>
              <w:rPr>
                <w:rFonts w:hint="eastAsia" w:ascii="Times New Roman" w:hAnsi="Times New Roman" w:eastAsia="宋体" w:cs="Times New Roman"/>
                <w:bCs/>
                <w:color w:val="auto"/>
                <w:sz w:val="24"/>
              </w:rPr>
              <w:t>危险废物，其危险废物类别为HW49（900-041-49），</w:t>
            </w:r>
            <w:r>
              <w:rPr>
                <w:rFonts w:hint="default" w:ascii="Times New Roman" w:hAnsi="Times New Roman" w:eastAsia="宋体" w:cs="Times New Roman"/>
                <w:color w:val="auto"/>
                <w:kern w:val="0"/>
                <w:sz w:val="24"/>
                <w:szCs w:val="24"/>
                <w:highlight w:val="none"/>
                <w:lang w:val="en-US" w:eastAsia="zh-CN" w:bidi="ar"/>
              </w:rPr>
              <w:t>妥善收集后</w:t>
            </w:r>
            <w:r>
              <w:rPr>
                <w:rFonts w:hint="eastAsia" w:ascii="Times New Roman" w:hAnsi="Times New Roman" w:eastAsia="宋体" w:cs="Times New Roman"/>
                <w:bCs/>
                <w:color w:val="auto"/>
                <w:sz w:val="24"/>
              </w:rPr>
              <w:t>暂存于</w:t>
            </w:r>
            <w:r>
              <w:rPr>
                <w:rFonts w:hint="eastAsia" w:cs="Times New Roman"/>
                <w:bCs/>
                <w:color w:val="auto"/>
                <w:sz w:val="24"/>
                <w:lang w:eastAsia="zh-CN"/>
              </w:rPr>
              <w:t>危废贮存库</w:t>
            </w:r>
            <w:r>
              <w:rPr>
                <w:rFonts w:hint="eastAsia" w:ascii="Times New Roman" w:hAnsi="Times New Roman" w:eastAsia="宋体" w:cs="Times New Roman"/>
                <w:bCs/>
                <w:color w:val="auto"/>
                <w:sz w:val="24"/>
              </w:rPr>
              <w:t>，定期委托有资质单位处置。</w:t>
            </w:r>
          </w:p>
          <w:p w14:paraId="79934DE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rPr>
              <w:t>⑦</w:t>
            </w:r>
            <w:r>
              <w:rPr>
                <w:rFonts w:hint="default" w:ascii="Times New Roman" w:hAnsi="Times New Roman" w:cs="Times New Roman"/>
                <w:color w:val="auto"/>
                <w:sz w:val="24"/>
                <w:highlight w:val="none"/>
              </w:rPr>
              <w:t>废机油</w:t>
            </w:r>
          </w:p>
          <w:p w14:paraId="6C8180D6">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auto"/>
                <w:sz w:val="24"/>
              </w:rPr>
            </w:pPr>
            <w:r>
              <w:rPr>
                <w:rFonts w:hint="eastAsia" w:ascii="Times New Roman" w:hAnsi="Times New Roman" w:eastAsia="宋体" w:cs="Times New Roman"/>
                <w:color w:val="auto"/>
                <w:kern w:val="0"/>
                <w:sz w:val="24"/>
                <w:szCs w:val="24"/>
                <w:highlight w:val="none"/>
                <w:lang w:val="en-US" w:eastAsia="zh-CN" w:bidi="ar"/>
              </w:rPr>
              <w:t>本项目在设备保养、检修等过程中会产生</w:t>
            </w:r>
            <w:r>
              <w:rPr>
                <w:rFonts w:hint="eastAsia" w:ascii="Times New Roman" w:hAnsi="Times New Roman" w:eastAsia="宋体" w:cs="Times New Roman"/>
                <w:color w:val="auto"/>
                <w:sz w:val="24"/>
                <w:szCs w:val="22"/>
                <w:highlight w:val="none"/>
                <w:lang w:val="en-US" w:eastAsia="zh-CN"/>
              </w:rPr>
              <w:t>废机油，产生量为0.01t/a，</w:t>
            </w:r>
            <w:r>
              <w:rPr>
                <w:rFonts w:hint="eastAsia" w:cs="Times New Roman"/>
                <w:color w:val="auto"/>
                <w:sz w:val="24"/>
                <w:szCs w:val="22"/>
                <w:highlight w:val="none"/>
                <w:lang w:val="en-US" w:eastAsia="zh-CN"/>
              </w:rPr>
              <w:t>根据</w:t>
            </w:r>
            <w:r>
              <w:rPr>
                <w:rFonts w:hint="eastAsia" w:cs="Times New Roman"/>
                <w:color w:val="auto"/>
                <w:sz w:val="24"/>
                <w:highlight w:val="none"/>
                <w:lang w:val="en-US" w:eastAsia="zh-CN"/>
              </w:rPr>
              <w:t>《国家危险废物名录》（2025年版）</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szCs w:val="22"/>
                <w:highlight w:val="none"/>
                <w:lang w:val="en-US" w:eastAsia="zh-CN"/>
              </w:rPr>
              <w:t>废机油</w:t>
            </w:r>
            <w:r>
              <w:rPr>
                <w:rFonts w:hint="eastAsia" w:ascii="Times New Roman" w:hAnsi="Times New Roman" w:cs="Times New Roman"/>
                <w:color w:val="auto"/>
                <w:sz w:val="24"/>
                <w:highlight w:val="none"/>
                <w:lang w:val="en-US" w:eastAsia="zh-CN"/>
              </w:rPr>
              <w:t>属于危险废物，废物类别为HW08废矿物油与含矿物油废物，废物代码为</w:t>
            </w:r>
            <w:r>
              <w:rPr>
                <w:rFonts w:hint="default" w:ascii="Times New Roman" w:hAnsi="Times New Roman" w:eastAsia="宋体" w:cs="Times New Roman"/>
                <w:color w:val="auto"/>
                <w:kern w:val="0"/>
                <w:sz w:val="24"/>
                <w:szCs w:val="24"/>
                <w:highlight w:val="none"/>
                <w:lang w:val="en-US" w:eastAsia="zh-CN" w:bidi="ar"/>
              </w:rPr>
              <w:t>900-2</w:t>
            </w:r>
            <w:r>
              <w:rPr>
                <w:rFonts w:hint="eastAsia" w:ascii="Times New Roman" w:hAnsi="Times New Roman" w:eastAsia="宋体" w:cs="Times New Roman"/>
                <w:color w:val="auto"/>
                <w:kern w:val="0"/>
                <w:sz w:val="24"/>
                <w:szCs w:val="24"/>
                <w:highlight w:val="none"/>
                <w:lang w:val="en-US" w:eastAsia="zh-CN" w:bidi="ar"/>
              </w:rPr>
              <w:t>49</w:t>
            </w:r>
            <w:r>
              <w:rPr>
                <w:rFonts w:hint="default" w:ascii="Times New Roman" w:hAnsi="Times New Roman" w:eastAsia="宋体" w:cs="Times New Roman"/>
                <w:color w:val="auto"/>
                <w:kern w:val="0"/>
                <w:sz w:val="24"/>
                <w:szCs w:val="24"/>
                <w:highlight w:val="none"/>
                <w:lang w:val="en-US" w:eastAsia="zh-CN" w:bidi="ar"/>
              </w:rPr>
              <w:t>-08</w:t>
            </w:r>
            <w:r>
              <w:rPr>
                <w:rFonts w:hint="eastAsia" w:cs="Times New Roman"/>
                <w:color w:val="auto"/>
                <w:kern w:val="0"/>
                <w:sz w:val="24"/>
                <w:szCs w:val="24"/>
                <w:highlight w:val="none"/>
                <w:lang w:val="en-US" w:eastAsia="zh-CN" w:bidi="ar"/>
              </w:rPr>
              <w:t xml:space="preserve"> 其他生产、销售、使用过程中产生的废矿物油及沾染矿物油的废弃包装物</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妥善收集后暂存于</w:t>
            </w:r>
            <w:r>
              <w:rPr>
                <w:rFonts w:hint="eastAsia" w:cs="Times New Roman"/>
                <w:color w:val="auto"/>
                <w:kern w:val="0"/>
                <w:sz w:val="24"/>
                <w:szCs w:val="24"/>
                <w:highlight w:val="none"/>
                <w:lang w:val="en-US" w:eastAsia="zh-CN" w:bidi="ar"/>
              </w:rPr>
              <w:t>危废贮存库</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bCs/>
                <w:color w:val="auto"/>
                <w:sz w:val="24"/>
                <w:highlight w:val="none"/>
              </w:rPr>
              <w:t>定期</w:t>
            </w:r>
            <w:r>
              <w:rPr>
                <w:rFonts w:hint="default" w:ascii="Times New Roman" w:hAnsi="Times New Roman" w:eastAsia="宋体" w:cs="Times New Roman"/>
                <w:color w:val="auto"/>
                <w:sz w:val="24"/>
                <w:highlight w:val="none"/>
                <w:lang w:val="en-US" w:eastAsia="zh-CN"/>
              </w:rPr>
              <w:t>委托有资质单位处理。</w:t>
            </w:r>
          </w:p>
          <w:p w14:paraId="4F1F3D5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rPr>
              <w:t>⑧</w:t>
            </w:r>
            <w:r>
              <w:rPr>
                <w:rFonts w:hint="eastAsia" w:ascii="Times New Roman" w:hAnsi="Times New Roman" w:eastAsia="宋体" w:cs="Times New Roman"/>
                <w:bCs/>
                <w:color w:val="auto"/>
                <w:sz w:val="24"/>
                <w:highlight w:val="none"/>
              </w:rPr>
              <w:t>生活垃圾</w:t>
            </w:r>
          </w:p>
          <w:p w14:paraId="2DB55779">
            <w:pPr>
              <w:keepNext w:val="0"/>
              <w:keepLines w:val="0"/>
              <w:suppressLineNumbers w:val="0"/>
              <w:spacing w:before="0" w:beforeAutospacing="0" w:after="0" w:afterAutospacing="0"/>
              <w:ind w:left="0" w:right="0" w:firstLine="480" w:firstLineChars="200"/>
              <w:rPr>
                <w:rFonts w:hint="eastAsia"/>
                <w:color w:val="auto"/>
              </w:rPr>
            </w:pPr>
            <w:r>
              <w:rPr>
                <w:rFonts w:hint="eastAsia" w:cs="宋体"/>
                <w:color w:val="auto"/>
              </w:rPr>
              <w:t>本项目员工共</w:t>
            </w:r>
            <w:r>
              <w:rPr>
                <w:rFonts w:hint="eastAsia" w:cs="宋体"/>
                <w:color w:val="auto"/>
                <w:lang w:val="en-US" w:eastAsia="zh-CN"/>
              </w:rPr>
              <w:t>13</w:t>
            </w:r>
            <w:r>
              <w:rPr>
                <w:rFonts w:hint="eastAsia" w:cs="宋体"/>
                <w:color w:val="auto"/>
              </w:rPr>
              <w:t>人，均不住厂，不住厂员工生活垃圾产生系数按0.5kg/人·天计，年工作天数为</w:t>
            </w:r>
            <w:r>
              <w:rPr>
                <w:rFonts w:hint="eastAsia" w:cs="宋体"/>
                <w:color w:val="auto"/>
                <w:lang w:val="en-US" w:eastAsia="zh-CN"/>
              </w:rPr>
              <w:t>300</w:t>
            </w:r>
            <w:r>
              <w:rPr>
                <w:rFonts w:hint="eastAsia" w:cs="宋体"/>
                <w:color w:val="auto"/>
              </w:rPr>
              <w:t>天，则员工生活垃圾产生量为</w:t>
            </w:r>
            <w:r>
              <w:rPr>
                <w:rFonts w:hint="eastAsia" w:cs="宋体"/>
                <w:color w:val="auto"/>
                <w:lang w:val="en-US" w:eastAsia="zh-CN"/>
              </w:rPr>
              <w:t>1.95</w:t>
            </w:r>
            <w:r>
              <w:rPr>
                <w:rFonts w:hint="eastAsia" w:cs="宋体"/>
                <w:color w:val="auto"/>
              </w:rPr>
              <w:t>t/a。生活垃圾统一收集后委托当地环卫部门处置。</w:t>
            </w:r>
          </w:p>
          <w:p w14:paraId="6D6898B0">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综上分析，项目运营期各类固体废物产生及处置情况详见表</w:t>
            </w:r>
            <w:r>
              <w:rPr>
                <w:rFonts w:hint="eastAsia" w:ascii="Times New Roman" w:hAnsi="Times New Roman" w:eastAsia="宋体" w:cs="Times New Roman"/>
                <w:bCs/>
                <w:color w:val="auto"/>
                <w:sz w:val="24"/>
                <w:highlight w:val="none"/>
                <w:lang w:val="en-US" w:eastAsia="zh-CN"/>
              </w:rPr>
              <w:t>4.4-1</w:t>
            </w:r>
            <w:r>
              <w:rPr>
                <w:rFonts w:hint="eastAsia" w:ascii="Times New Roman" w:hAnsi="Times New Roman" w:eastAsia="宋体" w:cs="Times New Roman"/>
                <w:bCs/>
                <w:color w:val="auto"/>
                <w:sz w:val="24"/>
                <w:highlight w:val="none"/>
              </w:rPr>
              <w:t>。</w:t>
            </w:r>
          </w:p>
          <w:p w14:paraId="54F477D6">
            <w:pPr>
              <w:pStyle w:val="40"/>
              <w:keepNext w:val="0"/>
              <w:keepLines w:val="0"/>
              <w:suppressLineNumbers w:val="0"/>
              <w:bidi w:val="0"/>
              <w:spacing w:before="0" w:beforeAutospacing="0" w:after="0" w:afterAutospacing="0"/>
              <w:ind w:left="0" w:right="0"/>
              <w:rPr>
                <w:rFonts w:hint="default"/>
                <w:lang w:val="en-US" w:eastAsia="zh-CN"/>
              </w:rPr>
            </w:pPr>
            <w:r>
              <w:rPr>
                <w:rFonts w:hint="default"/>
                <w:lang w:val="zh-CN"/>
              </w:rPr>
              <w:t>表</w:t>
            </w:r>
            <w:r>
              <w:rPr>
                <w:rFonts w:hint="eastAsia"/>
                <w:lang w:val="en-US" w:eastAsia="zh-CN"/>
              </w:rPr>
              <w:t>4.4-1</w:t>
            </w:r>
            <w:r>
              <w:rPr>
                <w:rFonts w:hint="default"/>
                <w:lang w:val="en-US" w:eastAsia="zh-CN"/>
              </w:rPr>
              <w:t xml:space="preserve">  项目固废产生及处置情况汇总表</w:t>
            </w:r>
          </w:p>
          <w:tbl>
            <w:tblPr>
              <w:tblStyle w:val="30"/>
              <w:tblW w:w="0" w:type="auto"/>
              <w:tblInd w:w="-15"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14"/>
              <w:gridCol w:w="689"/>
              <w:gridCol w:w="1270"/>
              <w:gridCol w:w="1155"/>
              <w:gridCol w:w="1440"/>
              <w:gridCol w:w="960"/>
              <w:gridCol w:w="2408"/>
            </w:tblGrid>
            <w:tr w14:paraId="27C2E68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14" w:type="dxa"/>
                  <w:tcBorders>
                    <w:top w:val="single" w:color="000000" w:sz="12" w:space="0"/>
                    <w:left w:val="nil"/>
                    <w:tl2br w:val="nil"/>
                  </w:tcBorders>
                  <w:shd w:val="clear" w:color="auto" w:fill="auto"/>
                  <w:vAlign w:val="center"/>
                </w:tcPr>
                <w:p w14:paraId="1C05327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序号</w:t>
                  </w:r>
                </w:p>
              </w:tc>
              <w:tc>
                <w:tcPr>
                  <w:tcW w:w="689" w:type="dxa"/>
                  <w:tcBorders>
                    <w:top w:val="single" w:color="000000" w:sz="12" w:space="0"/>
                  </w:tcBorders>
                  <w:shd w:val="clear" w:color="auto" w:fill="auto"/>
                  <w:vAlign w:val="center"/>
                </w:tcPr>
                <w:p w14:paraId="5CA2CE2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分类</w:t>
                  </w:r>
                </w:p>
              </w:tc>
              <w:tc>
                <w:tcPr>
                  <w:tcW w:w="1270" w:type="dxa"/>
                  <w:tcBorders>
                    <w:top w:val="single" w:color="000000" w:sz="12" w:space="0"/>
                  </w:tcBorders>
                  <w:shd w:val="clear" w:color="auto" w:fill="auto"/>
                  <w:vAlign w:val="center"/>
                </w:tcPr>
                <w:p w14:paraId="43A2808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固废名称</w:t>
                  </w:r>
                </w:p>
              </w:tc>
              <w:tc>
                <w:tcPr>
                  <w:tcW w:w="1155" w:type="dxa"/>
                  <w:tcBorders>
                    <w:top w:val="single" w:color="000000" w:sz="12" w:space="0"/>
                  </w:tcBorders>
                  <w:shd w:val="clear" w:color="auto" w:fill="auto"/>
                  <w:vAlign w:val="center"/>
                </w:tcPr>
                <w:p w14:paraId="1D43531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废物</w:t>
                  </w:r>
                </w:p>
              </w:tc>
              <w:tc>
                <w:tcPr>
                  <w:tcW w:w="1440" w:type="dxa"/>
                  <w:tcBorders>
                    <w:top w:val="single" w:color="000000" w:sz="12" w:space="0"/>
                  </w:tcBorders>
                  <w:shd w:val="clear" w:color="auto" w:fill="auto"/>
                  <w:vAlign w:val="center"/>
                </w:tcPr>
                <w:p w14:paraId="24BD022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废物代码</w:t>
                  </w:r>
                </w:p>
              </w:tc>
              <w:tc>
                <w:tcPr>
                  <w:tcW w:w="960" w:type="dxa"/>
                  <w:tcBorders>
                    <w:top w:val="single" w:color="000000" w:sz="12" w:space="0"/>
                  </w:tcBorders>
                  <w:shd w:val="clear" w:color="auto" w:fill="auto"/>
                  <w:vAlign w:val="center"/>
                </w:tcPr>
                <w:p w14:paraId="529C8C8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产生量t/a</w:t>
                  </w:r>
                </w:p>
              </w:tc>
              <w:tc>
                <w:tcPr>
                  <w:tcW w:w="2408" w:type="dxa"/>
                  <w:tcBorders>
                    <w:top w:val="single" w:color="000000" w:sz="12" w:space="0"/>
                    <w:right w:val="nil"/>
                  </w:tcBorders>
                  <w:shd w:val="clear" w:color="auto" w:fill="auto"/>
                  <w:vAlign w:val="center"/>
                </w:tcPr>
                <w:p w14:paraId="4DB3F25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处置方式</w:t>
                  </w:r>
                </w:p>
              </w:tc>
            </w:tr>
            <w:tr w14:paraId="6D9212A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14" w:type="dxa"/>
                  <w:tcBorders>
                    <w:left w:val="nil"/>
                  </w:tcBorders>
                  <w:shd w:val="clear" w:color="auto" w:fill="auto"/>
                  <w:vAlign w:val="center"/>
                </w:tcPr>
                <w:p w14:paraId="445B9BCC">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w:t>
                  </w:r>
                </w:p>
              </w:tc>
              <w:tc>
                <w:tcPr>
                  <w:tcW w:w="689" w:type="dxa"/>
                  <w:shd w:val="clear" w:color="auto" w:fill="auto"/>
                  <w:vAlign w:val="center"/>
                </w:tcPr>
                <w:p w14:paraId="3EDF272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一般固废</w:t>
                  </w:r>
                </w:p>
              </w:tc>
              <w:tc>
                <w:tcPr>
                  <w:tcW w:w="1270" w:type="dxa"/>
                  <w:shd w:val="clear" w:color="auto" w:fill="auto"/>
                  <w:vAlign w:val="center"/>
                </w:tcPr>
                <w:p w14:paraId="6A65D94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不合格产品</w:t>
                  </w:r>
                </w:p>
              </w:tc>
              <w:tc>
                <w:tcPr>
                  <w:tcW w:w="1155" w:type="dxa"/>
                  <w:shd w:val="clear" w:color="auto" w:fill="auto"/>
                  <w:vAlign w:val="center"/>
                </w:tcPr>
                <w:p w14:paraId="0AA93E7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w:t>
                  </w:r>
                </w:p>
              </w:tc>
              <w:tc>
                <w:tcPr>
                  <w:tcW w:w="1440" w:type="dxa"/>
                  <w:shd w:val="clear" w:color="auto" w:fill="auto"/>
                  <w:vAlign w:val="center"/>
                </w:tcPr>
                <w:p w14:paraId="6EB7513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w:t>
                  </w:r>
                </w:p>
              </w:tc>
              <w:tc>
                <w:tcPr>
                  <w:tcW w:w="960" w:type="dxa"/>
                  <w:shd w:val="clear" w:color="auto" w:fill="auto"/>
                  <w:vAlign w:val="center"/>
                </w:tcPr>
                <w:p w14:paraId="65A8425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1.854万套/年</w:t>
                  </w:r>
                </w:p>
              </w:tc>
              <w:tc>
                <w:tcPr>
                  <w:tcW w:w="2408" w:type="dxa"/>
                  <w:tcBorders>
                    <w:right w:val="nil"/>
                  </w:tcBorders>
                  <w:shd w:val="clear" w:color="auto" w:fill="auto"/>
                  <w:noWrap/>
                  <w:vAlign w:val="center"/>
                </w:tcPr>
                <w:p w14:paraId="3CB99A18">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退回待加工厂综合利用</w:t>
                  </w:r>
                </w:p>
              </w:tc>
            </w:tr>
            <w:tr w14:paraId="47AAF1A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14" w:type="dxa"/>
                  <w:tcBorders>
                    <w:left w:val="nil"/>
                  </w:tcBorders>
                  <w:shd w:val="clear" w:color="auto" w:fill="auto"/>
                  <w:vAlign w:val="center"/>
                </w:tcPr>
                <w:p w14:paraId="49867805">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2</w:t>
                  </w:r>
                </w:p>
              </w:tc>
              <w:tc>
                <w:tcPr>
                  <w:tcW w:w="689" w:type="dxa"/>
                  <w:vMerge w:val="restart"/>
                  <w:shd w:val="clear" w:color="auto" w:fill="auto"/>
                  <w:vAlign w:val="center"/>
                </w:tcPr>
                <w:p w14:paraId="21E4CD8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危险废物</w:t>
                  </w:r>
                </w:p>
              </w:tc>
              <w:tc>
                <w:tcPr>
                  <w:tcW w:w="1270" w:type="dxa"/>
                  <w:shd w:val="clear" w:color="auto" w:fill="auto"/>
                  <w:vAlign w:val="center"/>
                </w:tcPr>
                <w:p w14:paraId="35395C3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水帘柜废液</w:t>
                  </w:r>
                </w:p>
              </w:tc>
              <w:tc>
                <w:tcPr>
                  <w:tcW w:w="1155" w:type="dxa"/>
                  <w:shd w:val="clear" w:color="auto" w:fill="auto"/>
                  <w:vAlign w:val="center"/>
                </w:tcPr>
                <w:p w14:paraId="62BF98E2">
                  <w:pPr>
                    <w:pStyle w:val="39"/>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HW12</w:t>
                  </w:r>
                </w:p>
              </w:tc>
              <w:tc>
                <w:tcPr>
                  <w:tcW w:w="1440" w:type="dxa"/>
                  <w:shd w:val="clear" w:color="auto" w:fill="auto"/>
                  <w:vAlign w:val="center"/>
                </w:tcPr>
                <w:p w14:paraId="58922F9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900-252-12</w:t>
                  </w:r>
                </w:p>
              </w:tc>
              <w:tc>
                <w:tcPr>
                  <w:tcW w:w="960" w:type="dxa"/>
                  <w:shd w:val="clear" w:color="auto" w:fill="auto"/>
                  <w:vAlign w:val="center"/>
                </w:tcPr>
                <w:p w14:paraId="382668DD">
                  <w:pPr>
                    <w:pStyle w:val="39"/>
                    <w:keepNext w:val="0"/>
                    <w:keepLines w:val="0"/>
                    <w:widowControl/>
                    <w:suppressLineNumbers w:val="0"/>
                    <w:bidi w:val="0"/>
                    <w:spacing w:before="0" w:beforeAutospacing="0" w:after="0" w:afterAutospacing="0"/>
                    <w:ind w:left="0" w:right="0"/>
                    <w:rPr>
                      <w:rFonts w:hint="default"/>
                      <w:szCs w:val="22"/>
                      <w:lang w:val="en-US"/>
                    </w:rPr>
                  </w:pPr>
                  <w:r>
                    <w:rPr>
                      <w:rFonts w:hint="eastAsia"/>
                      <w:szCs w:val="22"/>
                      <w:lang w:val="en-US" w:eastAsia="zh-CN"/>
                    </w:rPr>
                    <w:t>1.35</w:t>
                  </w:r>
                </w:p>
              </w:tc>
              <w:tc>
                <w:tcPr>
                  <w:tcW w:w="2408" w:type="dxa"/>
                  <w:vMerge w:val="restart"/>
                  <w:tcBorders>
                    <w:right w:val="nil"/>
                  </w:tcBorders>
                  <w:shd w:val="clear" w:color="auto" w:fill="auto"/>
                  <w:vAlign w:val="center"/>
                </w:tcPr>
                <w:p w14:paraId="2D2CAA9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暂存于危废贮存库内，定期委托有资质的单位处置</w:t>
                  </w:r>
                </w:p>
              </w:tc>
            </w:tr>
            <w:tr w14:paraId="2014EA6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14" w:type="dxa"/>
                  <w:tcBorders>
                    <w:left w:val="nil"/>
                  </w:tcBorders>
                  <w:shd w:val="clear" w:color="auto" w:fill="auto"/>
                  <w:vAlign w:val="center"/>
                </w:tcPr>
                <w:p w14:paraId="09A4C3B6">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3</w:t>
                  </w:r>
                </w:p>
              </w:tc>
              <w:tc>
                <w:tcPr>
                  <w:tcW w:w="689" w:type="dxa"/>
                  <w:vMerge w:val="continue"/>
                  <w:shd w:val="clear" w:color="auto" w:fill="auto"/>
                  <w:vAlign w:val="center"/>
                </w:tcPr>
                <w:p w14:paraId="20BCC8E6">
                  <w:pPr>
                    <w:pStyle w:val="39"/>
                    <w:keepNext w:val="0"/>
                    <w:keepLines w:val="0"/>
                    <w:widowControl/>
                    <w:suppressLineNumbers w:val="0"/>
                    <w:bidi w:val="0"/>
                    <w:spacing w:before="0" w:beforeAutospacing="0" w:after="0" w:afterAutospacing="0"/>
                    <w:ind w:left="0" w:right="0"/>
                    <w:rPr>
                      <w:rFonts w:hint="eastAsia"/>
                      <w:szCs w:val="22"/>
                    </w:rPr>
                  </w:pPr>
                </w:p>
              </w:tc>
              <w:tc>
                <w:tcPr>
                  <w:tcW w:w="1270" w:type="dxa"/>
                  <w:shd w:val="clear" w:color="auto" w:fill="auto"/>
                  <w:vAlign w:val="center"/>
                </w:tcPr>
                <w:p w14:paraId="0BC62AF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废漆渣</w:t>
                  </w:r>
                </w:p>
              </w:tc>
              <w:tc>
                <w:tcPr>
                  <w:tcW w:w="1155" w:type="dxa"/>
                  <w:shd w:val="clear" w:color="auto" w:fill="auto"/>
                  <w:vAlign w:val="center"/>
                </w:tcPr>
                <w:p w14:paraId="5ECA939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HW12</w:t>
                  </w:r>
                </w:p>
              </w:tc>
              <w:tc>
                <w:tcPr>
                  <w:tcW w:w="1440" w:type="dxa"/>
                  <w:shd w:val="clear" w:color="auto" w:fill="auto"/>
                  <w:vAlign w:val="center"/>
                </w:tcPr>
                <w:p w14:paraId="052C5F9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900-252-12</w:t>
                  </w:r>
                </w:p>
              </w:tc>
              <w:tc>
                <w:tcPr>
                  <w:tcW w:w="960" w:type="dxa"/>
                  <w:shd w:val="clear" w:color="auto" w:fill="auto"/>
                  <w:vAlign w:val="center"/>
                </w:tcPr>
                <w:p w14:paraId="65AE57E2">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0.69</w:t>
                  </w:r>
                </w:p>
              </w:tc>
              <w:tc>
                <w:tcPr>
                  <w:tcW w:w="2408" w:type="dxa"/>
                  <w:vMerge w:val="continue"/>
                  <w:tcBorders>
                    <w:right w:val="nil"/>
                  </w:tcBorders>
                  <w:shd w:val="clear" w:color="auto" w:fill="auto"/>
                  <w:vAlign w:val="center"/>
                </w:tcPr>
                <w:p w14:paraId="3A00EE75">
                  <w:pPr>
                    <w:pStyle w:val="39"/>
                    <w:keepNext w:val="0"/>
                    <w:keepLines w:val="0"/>
                    <w:widowControl/>
                    <w:suppressLineNumbers w:val="0"/>
                    <w:bidi w:val="0"/>
                    <w:spacing w:before="0" w:beforeAutospacing="0" w:after="0" w:afterAutospacing="0"/>
                    <w:ind w:left="0" w:right="0"/>
                    <w:rPr>
                      <w:rFonts w:hint="eastAsia"/>
                      <w:szCs w:val="22"/>
                    </w:rPr>
                  </w:pPr>
                </w:p>
              </w:tc>
            </w:tr>
            <w:tr w14:paraId="2C63D06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14" w:type="dxa"/>
                  <w:tcBorders>
                    <w:left w:val="nil"/>
                  </w:tcBorders>
                  <w:shd w:val="clear" w:color="auto" w:fill="auto"/>
                  <w:vAlign w:val="center"/>
                </w:tcPr>
                <w:p w14:paraId="7FAFEFC3">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4</w:t>
                  </w:r>
                </w:p>
              </w:tc>
              <w:tc>
                <w:tcPr>
                  <w:tcW w:w="689" w:type="dxa"/>
                  <w:vMerge w:val="continue"/>
                  <w:shd w:val="clear" w:color="auto" w:fill="auto"/>
                  <w:vAlign w:val="center"/>
                </w:tcPr>
                <w:p w14:paraId="207CC154">
                  <w:pPr>
                    <w:pStyle w:val="39"/>
                    <w:keepNext w:val="0"/>
                    <w:keepLines w:val="0"/>
                    <w:widowControl/>
                    <w:suppressLineNumbers w:val="0"/>
                    <w:bidi w:val="0"/>
                    <w:spacing w:before="0" w:beforeAutospacing="0" w:after="0" w:afterAutospacing="0"/>
                    <w:ind w:left="0" w:right="0"/>
                    <w:rPr>
                      <w:rFonts w:hint="eastAsia"/>
                      <w:szCs w:val="22"/>
                    </w:rPr>
                  </w:pPr>
                </w:p>
              </w:tc>
              <w:tc>
                <w:tcPr>
                  <w:tcW w:w="1270" w:type="dxa"/>
                  <w:shd w:val="clear" w:color="auto" w:fill="auto"/>
                  <w:vAlign w:val="center"/>
                </w:tcPr>
                <w:p w14:paraId="4BC3566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废水性漆桶</w:t>
                  </w:r>
                </w:p>
              </w:tc>
              <w:tc>
                <w:tcPr>
                  <w:tcW w:w="1155" w:type="dxa"/>
                  <w:shd w:val="clear" w:color="auto" w:fill="auto"/>
                  <w:vAlign w:val="center"/>
                </w:tcPr>
                <w:p w14:paraId="43445CF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HW49</w:t>
                  </w:r>
                </w:p>
              </w:tc>
              <w:tc>
                <w:tcPr>
                  <w:tcW w:w="1440" w:type="dxa"/>
                  <w:shd w:val="clear" w:color="auto" w:fill="auto"/>
                  <w:vAlign w:val="center"/>
                </w:tcPr>
                <w:p w14:paraId="75A0199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900-041-49</w:t>
                  </w:r>
                </w:p>
              </w:tc>
              <w:tc>
                <w:tcPr>
                  <w:tcW w:w="960" w:type="dxa"/>
                  <w:shd w:val="clear" w:color="auto" w:fill="auto"/>
                  <w:vAlign w:val="center"/>
                </w:tcPr>
                <w:p w14:paraId="43344D19">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0.01</w:t>
                  </w:r>
                </w:p>
              </w:tc>
              <w:tc>
                <w:tcPr>
                  <w:tcW w:w="2408" w:type="dxa"/>
                  <w:vMerge w:val="continue"/>
                  <w:tcBorders>
                    <w:right w:val="nil"/>
                  </w:tcBorders>
                  <w:shd w:val="clear" w:color="auto" w:fill="auto"/>
                  <w:vAlign w:val="center"/>
                </w:tcPr>
                <w:p w14:paraId="24B74FA4">
                  <w:pPr>
                    <w:pStyle w:val="39"/>
                    <w:keepNext w:val="0"/>
                    <w:keepLines w:val="0"/>
                    <w:widowControl/>
                    <w:suppressLineNumbers w:val="0"/>
                    <w:bidi w:val="0"/>
                    <w:spacing w:before="0" w:beforeAutospacing="0" w:after="0" w:afterAutospacing="0"/>
                    <w:ind w:left="0" w:right="0"/>
                    <w:rPr>
                      <w:rFonts w:hint="eastAsia"/>
                      <w:szCs w:val="22"/>
                    </w:rPr>
                  </w:pPr>
                </w:p>
              </w:tc>
            </w:tr>
            <w:tr w14:paraId="6DBC231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14" w:type="dxa"/>
                  <w:tcBorders>
                    <w:left w:val="nil"/>
                  </w:tcBorders>
                  <w:shd w:val="clear" w:color="auto" w:fill="auto"/>
                  <w:vAlign w:val="center"/>
                </w:tcPr>
                <w:p w14:paraId="5D45BA4D">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5</w:t>
                  </w:r>
                </w:p>
              </w:tc>
              <w:tc>
                <w:tcPr>
                  <w:tcW w:w="689" w:type="dxa"/>
                  <w:vMerge w:val="continue"/>
                  <w:shd w:val="clear" w:color="auto" w:fill="auto"/>
                  <w:vAlign w:val="center"/>
                </w:tcPr>
                <w:p w14:paraId="1697811A">
                  <w:pPr>
                    <w:pStyle w:val="39"/>
                    <w:keepNext w:val="0"/>
                    <w:keepLines w:val="0"/>
                    <w:widowControl/>
                    <w:suppressLineNumbers w:val="0"/>
                    <w:bidi w:val="0"/>
                    <w:spacing w:before="0" w:beforeAutospacing="0" w:after="0" w:afterAutospacing="0"/>
                    <w:ind w:left="0" w:right="0"/>
                    <w:rPr>
                      <w:rFonts w:hint="eastAsia"/>
                      <w:szCs w:val="22"/>
                    </w:rPr>
                  </w:pPr>
                </w:p>
              </w:tc>
              <w:tc>
                <w:tcPr>
                  <w:tcW w:w="1270" w:type="dxa"/>
                  <w:shd w:val="clear" w:color="auto" w:fill="auto"/>
                  <w:vAlign w:val="center"/>
                </w:tcPr>
                <w:p w14:paraId="1DEBED9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废油性漆桶</w:t>
                  </w:r>
                </w:p>
              </w:tc>
              <w:tc>
                <w:tcPr>
                  <w:tcW w:w="1155" w:type="dxa"/>
                  <w:shd w:val="clear" w:color="auto" w:fill="auto"/>
                  <w:vAlign w:val="center"/>
                </w:tcPr>
                <w:p w14:paraId="7F1711C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HW49</w:t>
                  </w:r>
                </w:p>
              </w:tc>
              <w:tc>
                <w:tcPr>
                  <w:tcW w:w="1440" w:type="dxa"/>
                  <w:shd w:val="clear" w:color="auto" w:fill="auto"/>
                  <w:vAlign w:val="center"/>
                </w:tcPr>
                <w:p w14:paraId="31FD0FA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900-041-49</w:t>
                  </w:r>
                </w:p>
              </w:tc>
              <w:tc>
                <w:tcPr>
                  <w:tcW w:w="960" w:type="dxa"/>
                  <w:shd w:val="clear" w:color="auto" w:fill="auto"/>
                  <w:vAlign w:val="center"/>
                </w:tcPr>
                <w:p w14:paraId="28458846">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0.04</w:t>
                  </w:r>
                </w:p>
              </w:tc>
              <w:tc>
                <w:tcPr>
                  <w:tcW w:w="2408" w:type="dxa"/>
                  <w:vMerge w:val="continue"/>
                  <w:tcBorders>
                    <w:right w:val="nil"/>
                  </w:tcBorders>
                  <w:shd w:val="clear" w:color="auto" w:fill="auto"/>
                  <w:vAlign w:val="center"/>
                </w:tcPr>
                <w:p w14:paraId="3BEABCDC">
                  <w:pPr>
                    <w:pStyle w:val="39"/>
                    <w:keepNext w:val="0"/>
                    <w:keepLines w:val="0"/>
                    <w:widowControl/>
                    <w:suppressLineNumbers w:val="0"/>
                    <w:bidi w:val="0"/>
                    <w:spacing w:before="0" w:beforeAutospacing="0" w:after="0" w:afterAutospacing="0"/>
                    <w:ind w:left="0" w:right="0"/>
                    <w:rPr>
                      <w:rFonts w:hint="eastAsia"/>
                      <w:szCs w:val="22"/>
                    </w:rPr>
                  </w:pPr>
                </w:p>
              </w:tc>
            </w:tr>
            <w:tr w14:paraId="65CAB56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514" w:type="dxa"/>
                  <w:tcBorders>
                    <w:left w:val="nil"/>
                  </w:tcBorders>
                  <w:shd w:val="clear" w:color="auto" w:fill="auto"/>
                  <w:vAlign w:val="center"/>
                </w:tcPr>
                <w:p w14:paraId="5E70ADDC">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6</w:t>
                  </w:r>
                </w:p>
              </w:tc>
              <w:tc>
                <w:tcPr>
                  <w:tcW w:w="689" w:type="dxa"/>
                  <w:vMerge w:val="continue"/>
                  <w:shd w:val="clear" w:color="auto" w:fill="auto"/>
                  <w:vAlign w:val="center"/>
                </w:tcPr>
                <w:p w14:paraId="70794C5C">
                  <w:pPr>
                    <w:pStyle w:val="39"/>
                    <w:keepNext w:val="0"/>
                    <w:keepLines w:val="0"/>
                    <w:widowControl/>
                    <w:suppressLineNumbers w:val="0"/>
                    <w:bidi w:val="0"/>
                    <w:spacing w:before="0" w:beforeAutospacing="0" w:after="0" w:afterAutospacing="0"/>
                    <w:ind w:left="0" w:right="0"/>
                    <w:rPr>
                      <w:rFonts w:hint="eastAsia"/>
                      <w:szCs w:val="22"/>
                    </w:rPr>
                  </w:pPr>
                </w:p>
              </w:tc>
              <w:tc>
                <w:tcPr>
                  <w:tcW w:w="1270" w:type="dxa"/>
                  <w:shd w:val="clear" w:color="auto" w:fill="auto"/>
                  <w:vAlign w:val="center"/>
                </w:tcPr>
                <w:p w14:paraId="24581C7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废活性炭</w:t>
                  </w:r>
                </w:p>
              </w:tc>
              <w:tc>
                <w:tcPr>
                  <w:tcW w:w="1155" w:type="dxa"/>
                  <w:shd w:val="clear" w:color="auto" w:fill="auto"/>
                  <w:vAlign w:val="center"/>
                </w:tcPr>
                <w:p w14:paraId="3BD6090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HW49</w:t>
                  </w:r>
                </w:p>
              </w:tc>
              <w:tc>
                <w:tcPr>
                  <w:tcW w:w="1440" w:type="dxa"/>
                  <w:shd w:val="clear" w:color="auto" w:fill="auto"/>
                  <w:vAlign w:val="center"/>
                </w:tcPr>
                <w:p w14:paraId="5B53D0D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900-039-49</w:t>
                  </w:r>
                </w:p>
              </w:tc>
              <w:tc>
                <w:tcPr>
                  <w:tcW w:w="960" w:type="dxa"/>
                  <w:shd w:val="clear" w:color="auto" w:fill="auto"/>
                  <w:vAlign w:val="center"/>
                </w:tcPr>
                <w:p w14:paraId="617CA361">
                  <w:pPr>
                    <w:pStyle w:val="39"/>
                    <w:keepNext w:val="0"/>
                    <w:keepLines w:val="0"/>
                    <w:widowControl/>
                    <w:suppressLineNumbers w:val="0"/>
                    <w:bidi w:val="0"/>
                    <w:spacing w:before="0" w:beforeAutospacing="0" w:after="0" w:afterAutospacing="0"/>
                    <w:ind w:left="0" w:right="0"/>
                    <w:rPr>
                      <w:rFonts w:hint="default"/>
                      <w:szCs w:val="22"/>
                      <w:lang w:val="en-US"/>
                    </w:rPr>
                  </w:pPr>
                  <w:r>
                    <w:rPr>
                      <w:rFonts w:hint="eastAsia"/>
                      <w:szCs w:val="22"/>
                      <w:lang w:val="en-US" w:eastAsia="zh-CN"/>
                    </w:rPr>
                    <w:t>4.95</w:t>
                  </w:r>
                </w:p>
              </w:tc>
              <w:tc>
                <w:tcPr>
                  <w:tcW w:w="2408" w:type="dxa"/>
                  <w:vMerge w:val="continue"/>
                  <w:tcBorders>
                    <w:right w:val="nil"/>
                  </w:tcBorders>
                  <w:shd w:val="clear" w:color="auto" w:fill="auto"/>
                  <w:vAlign w:val="center"/>
                </w:tcPr>
                <w:p w14:paraId="0959992D">
                  <w:pPr>
                    <w:pStyle w:val="39"/>
                    <w:keepNext w:val="0"/>
                    <w:keepLines w:val="0"/>
                    <w:widowControl/>
                    <w:suppressLineNumbers w:val="0"/>
                    <w:bidi w:val="0"/>
                    <w:spacing w:before="0" w:beforeAutospacing="0" w:after="0" w:afterAutospacing="0"/>
                    <w:ind w:left="0" w:right="0"/>
                    <w:rPr>
                      <w:rFonts w:hint="eastAsia"/>
                      <w:szCs w:val="22"/>
                    </w:rPr>
                  </w:pPr>
                </w:p>
              </w:tc>
            </w:tr>
            <w:tr w14:paraId="271C317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14" w:type="dxa"/>
                  <w:tcBorders>
                    <w:left w:val="nil"/>
                  </w:tcBorders>
                  <w:shd w:val="clear" w:color="auto" w:fill="auto"/>
                  <w:vAlign w:val="center"/>
                </w:tcPr>
                <w:p w14:paraId="0DE42C62">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7</w:t>
                  </w:r>
                </w:p>
              </w:tc>
              <w:tc>
                <w:tcPr>
                  <w:tcW w:w="689" w:type="dxa"/>
                  <w:vMerge w:val="continue"/>
                  <w:shd w:val="clear" w:color="auto" w:fill="auto"/>
                  <w:vAlign w:val="center"/>
                </w:tcPr>
                <w:p w14:paraId="37176744">
                  <w:pPr>
                    <w:pStyle w:val="39"/>
                    <w:keepNext w:val="0"/>
                    <w:keepLines w:val="0"/>
                    <w:widowControl/>
                    <w:suppressLineNumbers w:val="0"/>
                    <w:bidi w:val="0"/>
                    <w:spacing w:before="0" w:beforeAutospacing="0" w:after="0" w:afterAutospacing="0"/>
                    <w:ind w:left="0" w:right="0"/>
                    <w:rPr>
                      <w:rFonts w:hint="eastAsia"/>
                      <w:szCs w:val="22"/>
                    </w:rPr>
                  </w:pPr>
                </w:p>
              </w:tc>
              <w:tc>
                <w:tcPr>
                  <w:tcW w:w="1270" w:type="dxa"/>
                  <w:shd w:val="clear" w:color="auto" w:fill="auto"/>
                  <w:vAlign w:val="center"/>
                </w:tcPr>
                <w:p w14:paraId="2FB8B11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废过滤棉</w:t>
                  </w:r>
                </w:p>
              </w:tc>
              <w:tc>
                <w:tcPr>
                  <w:tcW w:w="1155" w:type="dxa"/>
                  <w:shd w:val="clear" w:color="auto" w:fill="auto"/>
                  <w:vAlign w:val="center"/>
                </w:tcPr>
                <w:p w14:paraId="73F5FDE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HW49</w:t>
                  </w:r>
                </w:p>
              </w:tc>
              <w:tc>
                <w:tcPr>
                  <w:tcW w:w="1440" w:type="dxa"/>
                  <w:shd w:val="clear" w:color="auto" w:fill="auto"/>
                  <w:vAlign w:val="center"/>
                </w:tcPr>
                <w:p w14:paraId="1C897FF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900-041-49</w:t>
                  </w:r>
                </w:p>
              </w:tc>
              <w:tc>
                <w:tcPr>
                  <w:tcW w:w="960" w:type="dxa"/>
                  <w:shd w:val="clear" w:color="auto" w:fill="auto"/>
                  <w:vAlign w:val="center"/>
                </w:tcPr>
                <w:p w14:paraId="091C6E89">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0.2</w:t>
                  </w:r>
                </w:p>
              </w:tc>
              <w:tc>
                <w:tcPr>
                  <w:tcW w:w="2408" w:type="dxa"/>
                  <w:vMerge w:val="continue"/>
                  <w:tcBorders>
                    <w:right w:val="nil"/>
                  </w:tcBorders>
                  <w:shd w:val="clear" w:color="auto" w:fill="auto"/>
                  <w:vAlign w:val="center"/>
                </w:tcPr>
                <w:p w14:paraId="23E46DA0">
                  <w:pPr>
                    <w:pStyle w:val="39"/>
                    <w:keepNext w:val="0"/>
                    <w:keepLines w:val="0"/>
                    <w:widowControl/>
                    <w:suppressLineNumbers w:val="0"/>
                    <w:bidi w:val="0"/>
                    <w:spacing w:before="0" w:beforeAutospacing="0" w:after="0" w:afterAutospacing="0"/>
                    <w:ind w:left="0" w:right="0"/>
                    <w:rPr>
                      <w:rFonts w:hint="eastAsia"/>
                      <w:szCs w:val="22"/>
                    </w:rPr>
                  </w:pPr>
                </w:p>
              </w:tc>
            </w:tr>
            <w:tr w14:paraId="280C4A3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14" w:type="dxa"/>
                  <w:tcBorders>
                    <w:left w:val="nil"/>
                  </w:tcBorders>
                  <w:shd w:val="clear" w:color="auto" w:fill="auto"/>
                  <w:vAlign w:val="center"/>
                </w:tcPr>
                <w:p w14:paraId="39A8C123">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8</w:t>
                  </w:r>
                </w:p>
              </w:tc>
              <w:tc>
                <w:tcPr>
                  <w:tcW w:w="689" w:type="dxa"/>
                  <w:vMerge w:val="continue"/>
                  <w:shd w:val="clear" w:color="auto" w:fill="auto"/>
                  <w:vAlign w:val="center"/>
                </w:tcPr>
                <w:p w14:paraId="598832A6">
                  <w:pPr>
                    <w:pStyle w:val="39"/>
                    <w:keepNext w:val="0"/>
                    <w:keepLines w:val="0"/>
                    <w:widowControl/>
                    <w:suppressLineNumbers w:val="0"/>
                    <w:bidi w:val="0"/>
                    <w:spacing w:before="0" w:beforeAutospacing="0" w:after="0" w:afterAutospacing="0"/>
                    <w:ind w:left="0" w:right="0"/>
                    <w:rPr>
                      <w:rFonts w:hint="eastAsia"/>
                      <w:szCs w:val="22"/>
                    </w:rPr>
                  </w:pPr>
                </w:p>
              </w:tc>
              <w:tc>
                <w:tcPr>
                  <w:tcW w:w="1270" w:type="dxa"/>
                  <w:shd w:val="clear" w:color="auto" w:fill="auto"/>
                  <w:vAlign w:val="center"/>
                </w:tcPr>
                <w:p w14:paraId="543082A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废机油</w:t>
                  </w:r>
                </w:p>
              </w:tc>
              <w:tc>
                <w:tcPr>
                  <w:tcW w:w="1155" w:type="dxa"/>
                  <w:shd w:val="clear" w:color="auto" w:fill="auto"/>
                  <w:vAlign w:val="center"/>
                </w:tcPr>
                <w:p w14:paraId="47C69E6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HW08</w:t>
                  </w:r>
                </w:p>
              </w:tc>
              <w:tc>
                <w:tcPr>
                  <w:tcW w:w="1440" w:type="dxa"/>
                  <w:shd w:val="clear" w:color="auto" w:fill="auto"/>
                  <w:vAlign w:val="center"/>
                </w:tcPr>
                <w:p w14:paraId="24FF6C9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900-249-08</w:t>
                  </w:r>
                </w:p>
              </w:tc>
              <w:tc>
                <w:tcPr>
                  <w:tcW w:w="960" w:type="dxa"/>
                  <w:shd w:val="clear" w:color="auto" w:fill="auto"/>
                  <w:vAlign w:val="center"/>
                </w:tcPr>
                <w:p w14:paraId="750E666A">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0.01</w:t>
                  </w:r>
                </w:p>
              </w:tc>
              <w:tc>
                <w:tcPr>
                  <w:tcW w:w="2408" w:type="dxa"/>
                  <w:vMerge w:val="continue"/>
                  <w:tcBorders>
                    <w:right w:val="nil"/>
                  </w:tcBorders>
                  <w:shd w:val="clear" w:color="auto" w:fill="auto"/>
                  <w:vAlign w:val="center"/>
                </w:tcPr>
                <w:p w14:paraId="285F877F">
                  <w:pPr>
                    <w:pStyle w:val="39"/>
                    <w:keepNext w:val="0"/>
                    <w:keepLines w:val="0"/>
                    <w:widowControl/>
                    <w:suppressLineNumbers w:val="0"/>
                    <w:bidi w:val="0"/>
                    <w:spacing w:before="0" w:beforeAutospacing="0" w:after="0" w:afterAutospacing="0"/>
                    <w:ind w:left="0" w:right="0"/>
                    <w:rPr>
                      <w:rFonts w:hint="eastAsia"/>
                      <w:szCs w:val="22"/>
                    </w:rPr>
                  </w:pPr>
                </w:p>
              </w:tc>
            </w:tr>
            <w:tr w14:paraId="19BC97E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14" w:type="dxa"/>
                  <w:tcBorders>
                    <w:left w:val="nil"/>
                    <w:bottom w:val="single" w:color="000000" w:sz="12" w:space="0"/>
                  </w:tcBorders>
                  <w:shd w:val="clear" w:color="auto" w:fill="auto"/>
                  <w:vAlign w:val="center"/>
                </w:tcPr>
                <w:p w14:paraId="5AA1F715">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9</w:t>
                  </w:r>
                </w:p>
              </w:tc>
              <w:tc>
                <w:tcPr>
                  <w:tcW w:w="1959" w:type="dxa"/>
                  <w:gridSpan w:val="2"/>
                  <w:tcBorders>
                    <w:bottom w:val="single" w:color="000000" w:sz="12" w:space="0"/>
                  </w:tcBorders>
                  <w:shd w:val="clear" w:color="auto" w:fill="auto"/>
                  <w:vAlign w:val="center"/>
                </w:tcPr>
                <w:p w14:paraId="6281F24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生活垃圾</w:t>
                  </w:r>
                </w:p>
              </w:tc>
              <w:tc>
                <w:tcPr>
                  <w:tcW w:w="1155" w:type="dxa"/>
                  <w:tcBorders>
                    <w:bottom w:val="single" w:color="000000" w:sz="12" w:space="0"/>
                  </w:tcBorders>
                  <w:shd w:val="clear" w:color="auto" w:fill="auto"/>
                  <w:vAlign w:val="center"/>
                </w:tcPr>
                <w:p w14:paraId="2B04281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w:t>
                  </w:r>
                </w:p>
              </w:tc>
              <w:tc>
                <w:tcPr>
                  <w:tcW w:w="1440" w:type="dxa"/>
                  <w:tcBorders>
                    <w:bottom w:val="single" w:color="000000" w:sz="12" w:space="0"/>
                  </w:tcBorders>
                  <w:shd w:val="clear" w:color="auto" w:fill="auto"/>
                  <w:vAlign w:val="center"/>
                </w:tcPr>
                <w:p w14:paraId="665F416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w:t>
                  </w:r>
                </w:p>
              </w:tc>
              <w:tc>
                <w:tcPr>
                  <w:tcW w:w="960" w:type="dxa"/>
                  <w:tcBorders>
                    <w:bottom w:val="single" w:color="000000" w:sz="12" w:space="0"/>
                  </w:tcBorders>
                  <w:shd w:val="clear" w:color="auto" w:fill="auto"/>
                  <w:vAlign w:val="center"/>
                </w:tcPr>
                <w:p w14:paraId="7A0CF5BD">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1.95</w:t>
                  </w:r>
                </w:p>
              </w:tc>
              <w:tc>
                <w:tcPr>
                  <w:tcW w:w="2408" w:type="dxa"/>
                  <w:tcBorders>
                    <w:bottom w:val="single" w:color="000000" w:sz="12" w:space="0"/>
                    <w:right w:val="nil"/>
                  </w:tcBorders>
                  <w:shd w:val="clear" w:color="auto" w:fill="auto"/>
                  <w:vAlign w:val="center"/>
                </w:tcPr>
                <w:p w14:paraId="519E363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分类收集后交由环卫部门统一清运处置</w:t>
                  </w:r>
                </w:p>
              </w:tc>
            </w:tr>
          </w:tbl>
          <w:p w14:paraId="5B0FF209">
            <w:pPr>
              <w:pStyle w:val="4"/>
              <w:suppressLineNumbers w:val="0"/>
              <w:bidi w:val="0"/>
              <w:spacing w:before="0" w:beforeAutospacing="0" w:after="0" w:afterAutospacing="0"/>
              <w:ind w:left="0" w:right="0"/>
              <w:rPr>
                <w:rFonts w:hint="eastAsia"/>
                <w:lang w:val="en-US" w:eastAsia="zh-CN"/>
              </w:rPr>
            </w:pPr>
            <w:r>
              <w:rPr>
                <w:rFonts w:hint="eastAsia"/>
                <w:lang w:val="en-US" w:eastAsia="zh-CN"/>
              </w:rPr>
              <w:t>固体废物管理要求</w:t>
            </w:r>
          </w:p>
          <w:p w14:paraId="10CA0263">
            <w:pPr>
              <w:pStyle w:val="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一般工业固废</w:t>
            </w:r>
          </w:p>
          <w:p w14:paraId="6DDF53F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本项目在生产过程中产生</w:t>
            </w:r>
            <w:r>
              <w:rPr>
                <w:rFonts w:hint="eastAsia" w:ascii="Times New Roman" w:hAnsi="Times New Roman" w:eastAsia="宋体" w:cs="Times New Roman"/>
                <w:color w:val="auto"/>
                <w:sz w:val="24"/>
                <w:szCs w:val="24"/>
                <w:highlight w:val="none"/>
                <w:lang w:val="en-US" w:eastAsia="zh-CN"/>
              </w:rPr>
              <w:t>的一般固废为：</w:t>
            </w:r>
            <w:r>
              <w:rPr>
                <w:rFonts w:hint="eastAsia" w:cs="Times New Roman"/>
                <w:color w:val="auto"/>
                <w:sz w:val="24"/>
                <w:highlight w:val="none"/>
                <w:lang w:val="en-US" w:eastAsia="zh-CN"/>
              </w:rPr>
              <w:t>不合格产品</w:t>
            </w:r>
            <w:r>
              <w:rPr>
                <w:rFonts w:hint="eastAsia" w:ascii="Times New Roman" w:hAnsi="Times New Roman" w:eastAsia="宋体" w:cs="Times New Roman"/>
                <w:color w:val="auto"/>
                <w:sz w:val="24"/>
                <w:highlight w:val="none"/>
                <w:lang w:val="en-US" w:eastAsia="zh-CN"/>
              </w:rPr>
              <w:t>等</w:t>
            </w:r>
            <w:r>
              <w:rPr>
                <w:rFonts w:hint="eastAsia" w:ascii="Times New Roman" w:hAnsi="Times New Roman" w:eastAsia="宋体" w:cs="Times New Roman"/>
                <w:bCs/>
                <w:color w:val="auto"/>
                <w:sz w:val="24"/>
                <w:highlight w:val="none"/>
                <w:lang w:val="en-US" w:eastAsia="zh-CN"/>
              </w:rPr>
              <w:t>集中收集后回用于生产。</w:t>
            </w:r>
            <w:r>
              <w:rPr>
                <w:rFonts w:hint="default" w:ascii="Times New Roman" w:hAnsi="Times New Roman" w:eastAsia="宋体" w:cs="Times New Roman"/>
                <w:color w:val="auto"/>
                <w:sz w:val="24"/>
                <w:szCs w:val="24"/>
                <w:highlight w:val="none"/>
              </w:rPr>
              <w:t>本评价要求项目</w:t>
            </w:r>
            <w:r>
              <w:rPr>
                <w:rFonts w:hint="eastAsia" w:ascii="Times New Roman" w:hAnsi="Times New Roman" w:eastAsia="宋体" w:cs="Times New Roman"/>
                <w:color w:val="auto"/>
                <w:sz w:val="24"/>
                <w:szCs w:val="24"/>
                <w:highlight w:val="none"/>
                <w:lang w:eastAsia="zh-CN"/>
              </w:rPr>
              <w:t>产生的</w:t>
            </w:r>
            <w:r>
              <w:rPr>
                <w:rFonts w:hint="default" w:ascii="Times New Roman" w:hAnsi="Times New Roman" w:eastAsia="宋体" w:cs="Times New Roman"/>
                <w:color w:val="auto"/>
                <w:sz w:val="24"/>
                <w:szCs w:val="24"/>
                <w:highlight w:val="none"/>
              </w:rPr>
              <w:t>一般工业固废</w:t>
            </w:r>
            <w:r>
              <w:rPr>
                <w:rFonts w:hint="eastAsia" w:ascii="Times New Roman" w:hAnsi="Times New Roman" w:eastAsia="宋体" w:cs="Times New Roman"/>
                <w:color w:val="auto"/>
                <w:sz w:val="24"/>
                <w:szCs w:val="24"/>
                <w:highlight w:val="none"/>
                <w:lang w:eastAsia="zh-CN"/>
              </w:rPr>
              <w:t>应按</w:t>
            </w:r>
            <w:r>
              <w:rPr>
                <w:rFonts w:hint="default" w:ascii="Times New Roman" w:hAnsi="Times New Roman" w:eastAsia="宋体" w:cs="Times New Roman"/>
                <w:color w:val="auto"/>
                <w:sz w:val="24"/>
                <w:szCs w:val="24"/>
                <w:highlight w:val="none"/>
              </w:rPr>
              <w:t>《一般工业固体废物贮存和填埋污染控制标准》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GB18599-20</w:t>
            </w:r>
            <w:r>
              <w:rPr>
                <w:rFonts w:hint="eastAsia" w:ascii="Times New Roman" w:hAnsi="Times New Roman" w:eastAsia="宋体" w:cs="Times New Roman"/>
                <w:color w:val="auto"/>
                <w:sz w:val="24"/>
                <w:szCs w:val="24"/>
                <w:highlight w:val="none"/>
                <w:lang w:val="en-US" w:eastAsia="zh-CN"/>
              </w:rPr>
              <w:t>20</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中要求</w:t>
            </w:r>
            <w:r>
              <w:rPr>
                <w:rFonts w:hint="eastAsia" w:ascii="Times New Roman" w:hAnsi="Times New Roman" w:eastAsia="宋体" w:cs="Times New Roman"/>
                <w:color w:val="auto"/>
                <w:sz w:val="24"/>
                <w:szCs w:val="24"/>
                <w:highlight w:val="none"/>
                <w:lang w:eastAsia="zh-CN"/>
              </w:rPr>
              <w:t>进行规范化的处理处置</w:t>
            </w:r>
            <w:r>
              <w:rPr>
                <w:rFonts w:hint="default" w:ascii="Times New Roman" w:hAnsi="Times New Roman" w:eastAsia="宋体" w:cs="Times New Roman"/>
                <w:color w:val="auto"/>
                <w:sz w:val="24"/>
                <w:szCs w:val="24"/>
                <w:highlight w:val="none"/>
              </w:rPr>
              <w:t>，并做好</w:t>
            </w:r>
            <w:r>
              <w:rPr>
                <w:rFonts w:hint="default" w:ascii="Times New Roman" w:hAnsi="Times New Roman" w:eastAsia="宋体" w:cs="Times New Roman"/>
                <w:color w:val="auto"/>
                <w:sz w:val="24"/>
                <w:szCs w:val="24"/>
                <w:highlight w:val="none"/>
                <w:lang w:val="en-US" w:eastAsia="zh-CN"/>
              </w:rPr>
              <w:t>防风、防雨、防晒、防渗漏</w:t>
            </w:r>
            <w:r>
              <w:rPr>
                <w:rFonts w:hint="eastAsia"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rPr>
              <w:t>措施。</w:t>
            </w:r>
          </w:p>
          <w:p w14:paraId="4F505FE2">
            <w:pPr>
              <w:pStyle w:val="5"/>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危险废物</w:t>
            </w:r>
          </w:p>
          <w:p w14:paraId="35A3FA8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rPr>
              <w:t>建设单位拟在厂</w:t>
            </w:r>
            <w:r>
              <w:rPr>
                <w:rFonts w:hint="eastAsia" w:ascii="Times New Roman" w:hAnsi="Times New Roman" w:eastAsia="宋体" w:cs="Times New Roman"/>
                <w:bCs/>
                <w:color w:val="auto"/>
                <w:sz w:val="24"/>
                <w:highlight w:val="none"/>
                <w:lang w:val="en-US" w:eastAsia="zh-CN"/>
              </w:rPr>
              <w:t>区</w:t>
            </w:r>
            <w:r>
              <w:rPr>
                <w:rFonts w:hint="default" w:ascii="Times New Roman" w:hAnsi="Times New Roman" w:eastAsia="宋体" w:cs="Times New Roman"/>
                <w:bCs/>
                <w:color w:val="auto"/>
                <w:sz w:val="24"/>
                <w:highlight w:val="none"/>
                <w:lang w:val="en-US"/>
              </w:rPr>
              <w:t>内设置一处</w:t>
            </w:r>
            <w:r>
              <w:rPr>
                <w:rFonts w:hint="eastAsia" w:cs="Times New Roman"/>
                <w:bCs/>
                <w:color w:val="auto"/>
                <w:sz w:val="24"/>
                <w:highlight w:val="none"/>
                <w:lang w:val="en-US" w:eastAsia="zh-CN"/>
              </w:rPr>
              <w:t>危废贮存库</w:t>
            </w:r>
            <w:r>
              <w:rPr>
                <w:rFonts w:hint="default" w:ascii="Times New Roman" w:hAnsi="Times New Roman" w:eastAsia="宋体" w:cs="Times New Roman"/>
                <w:bCs/>
                <w:color w:val="auto"/>
                <w:sz w:val="24"/>
                <w:highlight w:val="none"/>
                <w:lang w:val="en-US"/>
              </w:rPr>
              <w:t>，危险废物收集后分类分区贮存于</w:t>
            </w:r>
            <w:r>
              <w:rPr>
                <w:rFonts w:hint="eastAsia" w:cs="Times New Roman"/>
                <w:bCs/>
                <w:color w:val="auto"/>
                <w:sz w:val="24"/>
                <w:highlight w:val="none"/>
                <w:lang w:val="en-US" w:eastAsia="zh-CN"/>
              </w:rPr>
              <w:t>危废贮存库</w:t>
            </w:r>
            <w:r>
              <w:rPr>
                <w:rFonts w:hint="default" w:ascii="Times New Roman" w:hAnsi="Times New Roman" w:eastAsia="宋体" w:cs="Times New Roman"/>
                <w:bCs/>
                <w:color w:val="auto"/>
                <w:sz w:val="24"/>
                <w:highlight w:val="none"/>
                <w:lang w:val="en-US"/>
              </w:rPr>
              <w:t>并委托有资质单位处置。危险废物在厂区内贮存执行《危险废物贮存污染</w:t>
            </w:r>
            <w:r>
              <w:rPr>
                <w:rFonts w:hint="eastAsia" w:cs="Times New Roman"/>
                <w:bCs/>
                <w:color w:val="auto"/>
                <w:sz w:val="24"/>
                <w:highlight w:val="none"/>
                <w:lang w:val="en-US" w:eastAsia="zh-CN"/>
              </w:rPr>
              <w:t>控制</w:t>
            </w:r>
            <w:r>
              <w:rPr>
                <w:rFonts w:hint="default" w:ascii="Times New Roman" w:hAnsi="Times New Roman" w:eastAsia="宋体" w:cs="Times New Roman"/>
                <w:bCs/>
                <w:color w:val="auto"/>
                <w:sz w:val="24"/>
                <w:highlight w:val="none"/>
                <w:lang w:val="en-US"/>
              </w:rPr>
              <w:t>标准》（GB18597-2023）</w:t>
            </w:r>
            <w:r>
              <w:rPr>
                <w:rFonts w:hint="eastAsia" w:ascii="Times New Roman" w:hAnsi="Times New Roman" w:eastAsia="宋体" w:cs="Times New Roman"/>
                <w:bCs/>
                <w:color w:val="auto"/>
                <w:sz w:val="24"/>
                <w:highlight w:val="none"/>
                <w:lang w:val="en-US" w:eastAsia="zh-CN"/>
              </w:rPr>
              <w:t>。</w:t>
            </w:r>
          </w:p>
          <w:p w14:paraId="62E8D85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①危险废物的收集和临时贮存要求</w:t>
            </w:r>
          </w:p>
          <w:p w14:paraId="1D678C7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eastAsia" w:cs="Times New Roman"/>
                <w:bCs/>
                <w:color w:val="auto"/>
                <w:sz w:val="24"/>
                <w:highlight w:val="none"/>
                <w:lang w:val="en-US" w:eastAsia="zh-CN"/>
              </w:rPr>
              <w:t>危废贮存库</w:t>
            </w:r>
            <w:r>
              <w:rPr>
                <w:rFonts w:hint="default" w:ascii="Times New Roman" w:hAnsi="Times New Roman" w:eastAsia="宋体" w:cs="Times New Roman"/>
                <w:bCs/>
                <w:color w:val="auto"/>
                <w:sz w:val="24"/>
                <w:highlight w:val="none"/>
                <w:lang w:val="en-US"/>
              </w:rPr>
              <w:t>应严格按照《危险废物贮存污染控制标准》（GB18597-2023）中的有关规定执行及建设，同时还需委托有资质的单位处置。根据《中华人民共和国固体废物污染环境防治法</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rPr>
              <w:t>危险废物收集、贮存、运输技术规范》（HJ2025-2012）、《危险废物贮存污染控制标准》</w:t>
            </w:r>
            <w:r>
              <w:rPr>
                <w:rFonts w:hint="eastAsia" w:cs="Times New Roman"/>
                <w:color w:val="auto"/>
                <w:kern w:val="0"/>
                <w:highlight w:val="none"/>
              </w:rPr>
              <w:t>（GB18597-2023）</w:t>
            </w:r>
            <w:r>
              <w:rPr>
                <w:rFonts w:hint="default" w:ascii="Times New Roman" w:hAnsi="Times New Roman" w:eastAsia="宋体" w:cs="Times New Roman"/>
                <w:bCs/>
                <w:color w:val="auto"/>
                <w:sz w:val="24"/>
                <w:highlight w:val="none"/>
                <w:lang w:val="en-US"/>
              </w:rPr>
              <w:t>，项目在运营过程中，按照以下要求管理危险废物：</w:t>
            </w:r>
          </w:p>
          <w:p w14:paraId="02F9FCB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a.加强危险废物管理，制定危险废物管理计划，并报当地生态环境部门备案。对员工进行培训，提高全体人员对危险废物管理的认识。确保相关管理人员和从事危废收集、运送、贮存等工作的人员掌握国家相关法律法规、规章和有关规范性文件的规定，熟悉本单位制定的危险废物管理规章制度、工作流程等各项工作要求；掌握危险废物分类收集、运送、贮存的正确方法和操作程序，提高安全防护和应急处置能力。</w:t>
            </w:r>
          </w:p>
          <w:p w14:paraId="4B317DB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b.建设单位必须严格按照《危险废物收集贮存运输技术规范》（HJ2025-2012）的</w:t>
            </w:r>
            <w:r>
              <w:rPr>
                <w:rFonts w:hint="eastAsia" w:cs="Times New Roman"/>
                <w:bCs/>
                <w:color w:val="auto"/>
                <w:sz w:val="24"/>
                <w:highlight w:val="none"/>
                <w:lang w:val="en-US" w:eastAsia="zh-CN"/>
              </w:rPr>
              <w:t>要求</w:t>
            </w:r>
            <w:r>
              <w:rPr>
                <w:rFonts w:hint="default" w:ascii="Times New Roman" w:hAnsi="Times New Roman" w:eastAsia="宋体" w:cs="Times New Roman"/>
                <w:bCs/>
                <w:color w:val="auto"/>
                <w:sz w:val="24"/>
                <w:highlight w:val="none"/>
                <w:lang w:val="en-US"/>
              </w:rPr>
              <w:t>进行危险废物的收集、贮存和运输。危险废物的收集、贮存，须按照其特性分类进行。禁止混合收集、贮存、运输、处置性质不相容而未经安全性处置的危废。盛装危废的容器和包装物，要确保无破损、泄漏和其他缺陷，并依据《危险废物贮存污染控制标准》（GB18597-2023）的规范建设危废贮存场所并设置危废标识。危险废物运输应由持有危险废物经营许可证的单位按照其许可证的经营范围组织实施，承担危险废物运输的单位应获得交通运输部门颁发的危险货物运输资质。</w:t>
            </w:r>
          </w:p>
          <w:p w14:paraId="3FE9F66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c.规范建设</w:t>
            </w:r>
            <w:r>
              <w:rPr>
                <w:rFonts w:hint="eastAsia" w:cs="Times New Roman"/>
                <w:bCs/>
                <w:color w:val="auto"/>
                <w:sz w:val="24"/>
                <w:highlight w:val="none"/>
                <w:lang w:val="en-US" w:eastAsia="zh-CN"/>
              </w:rPr>
              <w:t>危废贮存库</w:t>
            </w:r>
            <w:r>
              <w:rPr>
                <w:rFonts w:hint="default" w:ascii="Times New Roman" w:hAnsi="Times New Roman" w:eastAsia="宋体" w:cs="Times New Roman"/>
                <w:bCs/>
                <w:color w:val="auto"/>
                <w:sz w:val="24"/>
                <w:highlight w:val="none"/>
                <w:lang w:val="en-US"/>
              </w:rPr>
              <w:t>。</w:t>
            </w:r>
            <w:r>
              <w:rPr>
                <w:rFonts w:hint="eastAsia" w:cs="Times New Roman"/>
                <w:bCs/>
                <w:color w:val="auto"/>
                <w:sz w:val="24"/>
                <w:highlight w:val="none"/>
                <w:lang w:val="en-US" w:eastAsia="zh-CN"/>
              </w:rPr>
              <w:t>危废贮存库</w:t>
            </w:r>
            <w:r>
              <w:rPr>
                <w:rFonts w:hint="default" w:ascii="Times New Roman" w:hAnsi="Times New Roman" w:eastAsia="宋体" w:cs="Times New Roman"/>
                <w:bCs/>
                <w:color w:val="auto"/>
                <w:sz w:val="24"/>
                <w:highlight w:val="none"/>
                <w:lang w:val="en-US"/>
              </w:rPr>
              <w:t>应设置明显标志，并对地面进行硬化，并具有防雨淋、防日晒、防渗漏、密闭等措施，并建立健全危险废物管理台账、专人管理。禁止将危废混入非危险废物中贮存。并且，贮存时间不得超过一年。</w:t>
            </w:r>
          </w:p>
          <w:p w14:paraId="412E2F7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d.严格执行危险废物转移管理制度，禁止将危险废物提供或委托给无危险废物经营许可证的单位从事收集、贮存、利用、处置等经营活动。</w:t>
            </w:r>
          </w:p>
          <w:p w14:paraId="07EDFDB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②危险废物规范化管理要求</w:t>
            </w:r>
          </w:p>
          <w:p w14:paraId="6BB35AC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根据《危险废物规范化管理指标体系》的规定，本项目在生产中产生的危险废物具体管理要求如下：</w:t>
            </w:r>
          </w:p>
          <w:p w14:paraId="08869EC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a.污染防治责任制度：</w:t>
            </w:r>
          </w:p>
          <w:p w14:paraId="0B7A43C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在危废暂存场所的显著位置张贴危险废物污染防治责任信息</w:t>
            </w:r>
            <w:r>
              <w:rPr>
                <w:rFonts w:hint="eastAsia" w:cs="Times New Roman"/>
                <w:bCs/>
                <w:color w:val="auto"/>
                <w:sz w:val="24"/>
                <w:highlight w:val="none"/>
                <w:lang w:val="en-US" w:eastAsia="zh-CN"/>
              </w:rPr>
              <w:t>且</w:t>
            </w:r>
            <w:r>
              <w:rPr>
                <w:rFonts w:hint="default" w:ascii="Times New Roman" w:hAnsi="Times New Roman" w:eastAsia="宋体" w:cs="Times New Roman"/>
                <w:bCs/>
                <w:color w:val="auto"/>
                <w:sz w:val="24"/>
                <w:highlight w:val="none"/>
                <w:lang w:val="en-US"/>
              </w:rPr>
              <w:t>张贴信息能够表明危险废物产生环节、危险特性、去向及责任人等。</w:t>
            </w:r>
          </w:p>
          <w:p w14:paraId="332FE82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b.标识制度：</w:t>
            </w:r>
          </w:p>
          <w:p w14:paraId="320187A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rPr>
              <w:t>危险废物标签、贮存分区标志和物贮存、利用、处置设施等标志根据《危险废物识别标志设置技术规范</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rPr>
              <w:t>（HJ 1276—2022）的要求设置。危险废物标签应以醒目的字样标注</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rPr>
              <w:t>危险废物</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rPr>
              <w:t>危险废物标签应包含废物名称、废物类别、废物代码、废物形态、危险特性、主要成分、有害成分、注意事项、产生/收集单位名称、联系人、联系方式、产生日期、废物重量和备注</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rPr>
              <w:t>危险废物标签宜设置危险废物数字识别码和二维码</w:t>
            </w:r>
            <w:r>
              <w:rPr>
                <w:rFonts w:hint="eastAsia" w:ascii="Times New Roman" w:hAnsi="Times New Roman" w:eastAsia="宋体" w:cs="Times New Roman"/>
                <w:bCs/>
                <w:color w:val="auto"/>
                <w:sz w:val="24"/>
                <w:highlight w:val="none"/>
                <w:lang w:val="en-US" w:eastAsia="zh-CN"/>
              </w:rPr>
              <w:t>。</w:t>
            </w:r>
          </w:p>
          <w:p w14:paraId="37EE9B2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c.管理计划制度：</w:t>
            </w:r>
          </w:p>
          <w:p w14:paraId="383EC83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制定危险废物管理计划。管理计划应包括减少危险废物产生量和危害性的措施，以及危险废物贮存、利用、处置措施；报当地环保部门备案，若管理计划内容有重大改变，及时报当地环保部门重新备案。管理计划内容有重大改变的情形包括：①变更法人名称、法定代表人和地址；②增加或减少危险废物产生类别；③危险废物产生数量变化幅度超过20%；④新、改、扩建或拆除原有危险废物贮存、利用和处置设施。</w:t>
            </w:r>
          </w:p>
          <w:p w14:paraId="1636492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d.申报登记制度：</w:t>
            </w:r>
          </w:p>
          <w:p w14:paraId="7E41B14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eastAsia" w:cs="Times New Roman"/>
                <w:bCs/>
                <w:color w:val="auto"/>
                <w:sz w:val="24"/>
                <w:highlight w:val="none"/>
                <w:lang w:val="en-US" w:eastAsia="zh-CN"/>
              </w:rPr>
              <w:t>如实</w:t>
            </w:r>
            <w:r>
              <w:rPr>
                <w:rFonts w:hint="default" w:ascii="Times New Roman" w:hAnsi="Times New Roman" w:eastAsia="宋体" w:cs="Times New Roman"/>
                <w:bCs/>
                <w:color w:val="auto"/>
                <w:sz w:val="24"/>
                <w:highlight w:val="none"/>
                <w:lang w:val="en-US"/>
              </w:rPr>
              <w:t>向当地生态环境部门申报危险废物的种类、产生量、流向、贮存、处置等有关资料。可提供证明材料，如环评文件、竣工验收文件、危险废物管理台账、危险废物转移联单、危险废物处置利用合同、财务数据等；申报事项有重大改变的，应当及时申报；按照危险废物特性分类进行收集</w:t>
            </w:r>
            <w:r>
              <w:rPr>
                <w:rFonts w:hint="eastAsia" w:cs="Times New Roman"/>
                <w:bCs/>
                <w:color w:val="auto"/>
                <w:sz w:val="24"/>
                <w:highlight w:val="none"/>
                <w:lang w:val="en-US" w:eastAsia="zh-CN"/>
              </w:rPr>
              <w:t>且</w:t>
            </w:r>
            <w:r>
              <w:rPr>
                <w:rFonts w:hint="default" w:ascii="Times New Roman" w:hAnsi="Times New Roman" w:eastAsia="宋体" w:cs="Times New Roman"/>
                <w:bCs/>
                <w:color w:val="auto"/>
                <w:sz w:val="24"/>
                <w:highlight w:val="none"/>
                <w:lang w:val="en-US"/>
              </w:rPr>
              <w:t>不同类废</w:t>
            </w:r>
            <w:r>
              <w:rPr>
                <w:rFonts w:hint="eastAsia" w:cs="Times New Roman"/>
                <w:bCs/>
                <w:color w:val="auto"/>
                <w:sz w:val="24"/>
                <w:highlight w:val="none"/>
                <w:lang w:val="en-US" w:eastAsia="zh-CN"/>
              </w:rPr>
              <w:t>物之</w:t>
            </w:r>
            <w:r>
              <w:rPr>
                <w:rFonts w:hint="default" w:ascii="Times New Roman" w:hAnsi="Times New Roman" w:eastAsia="宋体" w:cs="Times New Roman"/>
                <w:bCs/>
                <w:color w:val="auto"/>
                <w:sz w:val="24"/>
                <w:highlight w:val="none"/>
                <w:lang w:val="en-US"/>
              </w:rPr>
              <w:t>间有明显的间隔（如过道等）；危险废物转移采取网上申报；对管理人员和从事危险废物收集、运输、暂存、利用和处置等工作的人员进行了培训；参加培训人员对本单位的危险废物管理制度、工作流程等各项要求，掌握危险废物分类收集、运输、暂存的正确方法和操作程序；贮存场所地面硬化及防渗处理</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rPr>
              <w:t>装载危险废物的容器完好无损；建立危险废物贮存台账，并</w:t>
            </w:r>
            <w:r>
              <w:rPr>
                <w:rFonts w:hint="eastAsia" w:cs="Times New Roman"/>
                <w:bCs/>
                <w:color w:val="auto"/>
                <w:sz w:val="24"/>
                <w:highlight w:val="none"/>
                <w:lang w:val="en-US" w:eastAsia="zh-CN"/>
              </w:rPr>
              <w:t>如实</w:t>
            </w:r>
            <w:r>
              <w:rPr>
                <w:rFonts w:hint="default" w:ascii="Times New Roman" w:hAnsi="Times New Roman" w:eastAsia="宋体" w:cs="Times New Roman"/>
                <w:bCs/>
                <w:color w:val="auto"/>
                <w:sz w:val="24"/>
                <w:highlight w:val="none"/>
                <w:lang w:val="en-US"/>
              </w:rPr>
              <w:t>规范记录危险废物贮存情况。</w:t>
            </w:r>
          </w:p>
          <w:p w14:paraId="3174ADD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③危险废物转移</w:t>
            </w:r>
          </w:p>
          <w:p w14:paraId="1967CF9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建设单位按照危废转移要求，在转移危废前通过登录福建省固体废物环境监管平台申请电子转移联单，申报转移计划。</w:t>
            </w:r>
          </w:p>
          <w:p w14:paraId="650191E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④制定危险废物管理计划和危险废物台账管理</w:t>
            </w:r>
          </w:p>
          <w:p w14:paraId="61F7299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建设单位按照《危险废物管理计划和管理台账制定技术导则》（HJ 1259 —2022）制定危险废物管理计划和危险废物台账管理。</w:t>
            </w:r>
          </w:p>
          <w:p w14:paraId="336809A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a.建设单位制定年度危险废物管理计划，危险废物管理计划中记录了上年度产生的和本年度计划产生的危险废物名称、危废代码、废物类别、有害物质名称、危险特性、危废产生来源及生产工序。</w:t>
            </w:r>
          </w:p>
          <w:p w14:paraId="26D4094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b.制定危险废物减量化的计划和措施。</w:t>
            </w:r>
          </w:p>
          <w:p w14:paraId="7B7ACF5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c.填报危险废物转移情况，包括危险废物贮存措施、运输措施和转移计划等。</w:t>
            </w:r>
          </w:p>
          <w:p w14:paraId="2E368DF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d.填报危险废物委托利用或处置措施。</w:t>
            </w:r>
          </w:p>
          <w:p w14:paraId="2D40E213">
            <w:pPr>
              <w:pStyle w:val="5"/>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生活垃圾</w:t>
            </w:r>
          </w:p>
          <w:p w14:paraId="05E2032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w:t>
            </w:r>
            <w:r>
              <w:rPr>
                <w:rFonts w:hint="eastAsia" w:ascii="Times New Roman" w:hAnsi="Times New Roman" w:eastAsia="宋体" w:cs="Times New Roman"/>
                <w:bCs/>
                <w:color w:val="auto"/>
                <w:sz w:val="24"/>
                <w:highlight w:val="none"/>
                <w:lang w:val="en-US" w:eastAsia="zh-CN"/>
              </w:rPr>
              <w:t>运营期</w:t>
            </w:r>
            <w:r>
              <w:rPr>
                <w:rFonts w:hint="default" w:ascii="Times New Roman" w:hAnsi="Times New Roman" w:eastAsia="宋体" w:cs="Times New Roman"/>
                <w:bCs/>
                <w:color w:val="auto"/>
                <w:sz w:val="24"/>
                <w:highlight w:val="none"/>
              </w:rPr>
              <w:t>职工产生的生活垃圾应采取分类收集，并委托环卫部门统一外运处置。</w:t>
            </w:r>
          </w:p>
          <w:p w14:paraId="0BFF1F84">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highlight w:val="none"/>
              </w:rPr>
            </w:pPr>
            <w:r>
              <w:rPr>
                <w:rFonts w:hint="default" w:ascii="Times New Roman" w:hAnsi="Times New Roman" w:eastAsia="宋体" w:cs="Times New Roman"/>
                <w:bCs/>
                <w:color w:val="auto"/>
                <w:sz w:val="24"/>
                <w:highlight w:val="none"/>
                <w:lang w:val="en-US"/>
              </w:rPr>
              <w:t>综上所述，本项目只要加强对固体废物的收集和分类管理，并做到及时清运处置和综合利用后，对区域内自然环境、生态等造成的影响较小。</w:t>
            </w:r>
            <w:r>
              <w:rPr>
                <w:rFonts w:hint="eastAsia" w:ascii="宋体" w:hAnsi="宋体" w:eastAsia="宋体" w:cs="宋体"/>
                <w:color w:val="auto"/>
                <w:kern w:val="0"/>
                <w:sz w:val="24"/>
                <w:szCs w:val="24"/>
                <w:highlight w:val="none"/>
                <w:lang w:val="en-US" w:eastAsia="zh-CN" w:bidi="ar"/>
              </w:rPr>
              <w:t xml:space="preserve"> </w:t>
            </w:r>
          </w:p>
          <w:p w14:paraId="5A866293">
            <w:pPr>
              <w:pStyle w:val="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地下水、土壤环境影响和保护措施</w:t>
            </w:r>
          </w:p>
          <w:p w14:paraId="1DBA16CE">
            <w:pPr>
              <w:pStyle w:val="4"/>
              <w:suppressLineNumbers w:val="0"/>
              <w:bidi w:val="0"/>
              <w:spacing w:before="0" w:beforeAutospacing="0" w:after="0" w:afterAutospacing="0"/>
              <w:ind w:left="0" w:right="0"/>
              <w:rPr>
                <w:rFonts w:hint="default"/>
                <w:lang w:val="en-US" w:eastAsia="zh-CN"/>
              </w:rPr>
            </w:pPr>
            <w:r>
              <w:rPr>
                <w:rFonts w:hint="default"/>
                <w:lang w:val="en-US" w:eastAsia="zh-CN"/>
              </w:rPr>
              <w:t>地下水、土壤环境影响分析</w:t>
            </w:r>
          </w:p>
          <w:p w14:paraId="4727E36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（1）</w:t>
            </w:r>
            <w:r>
              <w:rPr>
                <w:rFonts w:hint="default" w:ascii="Times New Roman" w:hAnsi="Times New Roman" w:eastAsia="宋体" w:cs="Times New Roman"/>
                <w:bCs/>
                <w:color w:val="auto"/>
                <w:sz w:val="24"/>
                <w:highlight w:val="none"/>
                <w:lang w:val="en-US" w:eastAsia="zh-CN"/>
              </w:rPr>
              <w:t>地下水环境</w:t>
            </w:r>
          </w:p>
          <w:p w14:paraId="0F42CDF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活污水经化粪池处理后通过厂区污水总排放口排入市政污水管网，送往福清市融元污水处理厂集中处理。正常工况下化粪池及污水管道均采取严格的防渗、防溢流等措施，废水不易渗漏和进入地下水。根据现场调查，项目评价区域无饮用水水源地，阳下街道玉岭村已全部开通自来水管网、生活用水采用自来水。</w:t>
            </w:r>
          </w:p>
          <w:p w14:paraId="60EF20B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项目一般工业固废暂存场所及</w:t>
            </w:r>
            <w:r>
              <w:rPr>
                <w:rFonts w:hint="eastAsia" w:cs="Times New Roman"/>
                <w:bCs/>
                <w:color w:val="auto"/>
                <w:sz w:val="24"/>
                <w:highlight w:val="none"/>
                <w:lang w:val="en-US" w:eastAsia="zh-CN"/>
              </w:rPr>
              <w:t>危废贮存库</w:t>
            </w:r>
            <w:r>
              <w:rPr>
                <w:rFonts w:hint="default" w:ascii="Times New Roman" w:hAnsi="Times New Roman" w:eastAsia="宋体" w:cs="Times New Roman"/>
                <w:bCs/>
                <w:color w:val="auto"/>
                <w:sz w:val="24"/>
                <w:highlight w:val="none"/>
                <w:lang w:val="en-US" w:eastAsia="zh-CN"/>
              </w:rPr>
              <w:t>严格按照《一般工业固体废物贮存和填埋污染控制标准》</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GB18599-2020</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中固废临时贮存场所的要求及《危险废物贮存污染控制标准》</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GB18597-20</w:t>
            </w:r>
            <w:r>
              <w:rPr>
                <w:rFonts w:hint="eastAsia" w:ascii="Times New Roman" w:hAnsi="Times New Roman" w:eastAsia="宋体" w:cs="Times New Roman"/>
                <w:bCs/>
                <w:color w:val="auto"/>
                <w:sz w:val="24"/>
                <w:highlight w:val="none"/>
                <w:lang w:val="en-US" w:eastAsia="zh-CN"/>
              </w:rPr>
              <w:t>23</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要求进行建设，具备防风、防雨、防晒、防渗漏等要求。在正常工况，不会对评价区地下水产生明显影响，其影响程度是可接受的。</w:t>
            </w:r>
          </w:p>
          <w:p w14:paraId="2AFBC1B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项目使用的原料均属于无毒或低毒的化学品的使用，在做好厂房防渗情况下，不会产生危险化学品进入地下污染地下水的情况。</w:t>
            </w:r>
          </w:p>
          <w:p w14:paraId="1B2502D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综上所述</w:t>
            </w:r>
            <w:r>
              <w:rPr>
                <w:rFonts w:hint="default" w:ascii="Times New Roman" w:hAnsi="Times New Roman" w:eastAsia="宋体" w:cs="Times New Roman"/>
                <w:bCs/>
                <w:color w:val="auto"/>
                <w:sz w:val="24"/>
                <w:highlight w:val="none"/>
                <w:lang w:val="en-US" w:eastAsia="zh-CN"/>
              </w:rPr>
              <w:t>，项目在正常运行工况下，项目对地下水影响不大。但公司应加强管理，杜绝防渗层破裂等事故影响。</w:t>
            </w:r>
          </w:p>
          <w:p w14:paraId="68F0DC1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val="en-US" w:eastAsia="zh-CN"/>
              </w:rPr>
              <w:t>土壤环境</w:t>
            </w:r>
          </w:p>
          <w:p w14:paraId="17459923">
            <w:pPr>
              <w:keepNext w:val="0"/>
              <w:keepLines w:val="0"/>
              <w:suppressLineNumbers w:val="0"/>
              <w:spacing w:before="0" w:beforeAutospacing="0" w:after="0" w:afterAutospacing="0" w:line="360" w:lineRule="auto"/>
              <w:ind w:left="0" w:right="0" w:firstLine="480" w:firstLineChars="200"/>
              <w:rPr>
                <w:rFonts w:hint="eastAsia"/>
              </w:rPr>
            </w:pPr>
            <w:r>
              <w:rPr>
                <w:rFonts w:hint="eastAsia" w:ascii="Times New Roman" w:hAnsi="Times New Roman" w:eastAsia="宋体" w:cs="Times New Roman"/>
                <w:color w:val="auto"/>
                <w:sz w:val="24"/>
              </w:rPr>
              <w:t>对照《环境影响评价技术导则土壤环境》（HJ 964-2018）附录A，本项目属于制造业中</w:t>
            </w:r>
            <w:r>
              <w:rPr>
                <w:rFonts w:hint="eastAsia" w:cs="Times New Roman"/>
                <w:color w:val="auto"/>
                <w:sz w:val="24"/>
                <w:lang w:eastAsia="zh-CN"/>
              </w:rPr>
              <w:t>“</w:t>
            </w:r>
            <w:r>
              <w:rPr>
                <w:rFonts w:hint="eastAsia" w:ascii="Times New Roman" w:hAnsi="Times New Roman" w:eastAsia="宋体" w:cs="Times New Roman"/>
                <w:color w:val="auto"/>
                <w:sz w:val="24"/>
              </w:rPr>
              <w:t>设备制造、金属制品、汽车制造及其他用品制造</w:t>
            </w:r>
            <w:r>
              <w:rPr>
                <w:rFonts w:hint="eastAsia" w:cs="Times New Roman"/>
                <w:color w:val="auto"/>
                <w:sz w:val="24"/>
                <w:lang w:eastAsia="zh-CN"/>
              </w:rPr>
              <w:t>”</w:t>
            </w:r>
            <w:r>
              <w:rPr>
                <w:rFonts w:hint="eastAsia" w:ascii="Times New Roman" w:hAnsi="Times New Roman" w:eastAsia="宋体" w:cs="Times New Roman"/>
                <w:color w:val="auto"/>
                <w:sz w:val="24"/>
              </w:rPr>
              <w:t>的</w:t>
            </w:r>
            <w:r>
              <w:rPr>
                <w:rFonts w:hint="eastAsia" w:cs="Times New Roman"/>
                <w:color w:val="auto"/>
                <w:sz w:val="24"/>
                <w:lang w:eastAsia="zh-CN"/>
              </w:rPr>
              <w:t>“</w:t>
            </w:r>
            <w:r>
              <w:rPr>
                <w:rFonts w:hint="eastAsia" w:ascii="Times New Roman" w:hAnsi="Times New Roman" w:eastAsia="宋体" w:cs="Times New Roman"/>
                <w:color w:val="auto"/>
                <w:sz w:val="24"/>
              </w:rPr>
              <w:t>其他</w:t>
            </w:r>
            <w:r>
              <w:rPr>
                <w:rFonts w:hint="eastAsia" w:cs="Times New Roman"/>
                <w:color w:val="auto"/>
                <w:sz w:val="24"/>
                <w:lang w:eastAsia="zh-CN"/>
              </w:rPr>
              <w:t>”</w:t>
            </w:r>
            <w:r>
              <w:rPr>
                <w:rFonts w:hint="eastAsia" w:ascii="Times New Roman" w:hAnsi="Times New Roman" w:eastAsia="宋体" w:cs="Times New Roman"/>
                <w:color w:val="auto"/>
                <w:sz w:val="24"/>
              </w:rPr>
              <w:t>，本项目的土壤环境影响评价项目类别为Ⅲ类。项目周边不存在土壤环境敏感目标，占地规模为小型，因此，对照污染影响</w:t>
            </w:r>
            <w:r>
              <w:rPr>
                <w:rFonts w:hint="eastAsia" w:cs="Times New Roman"/>
                <w:color w:val="auto"/>
                <w:sz w:val="24"/>
                <w:lang w:eastAsia="zh-CN"/>
              </w:rPr>
              <w:t>性</w:t>
            </w:r>
            <w:r>
              <w:rPr>
                <w:rFonts w:hint="eastAsia" w:ascii="Times New Roman" w:hAnsi="Times New Roman" w:eastAsia="宋体" w:cs="Times New Roman"/>
                <w:color w:val="auto"/>
                <w:sz w:val="24"/>
              </w:rPr>
              <w:t>评价工作等级划分表（详见表4.</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-1），本项目可不开展土壤环境影响评价工作。</w:t>
            </w:r>
          </w:p>
          <w:p w14:paraId="16B2B6B6">
            <w:pPr>
              <w:pStyle w:val="40"/>
              <w:keepNext w:val="0"/>
              <w:keepLines w:val="0"/>
              <w:suppressLineNumbers w:val="0"/>
              <w:bidi w:val="0"/>
              <w:spacing w:before="0" w:beforeAutospacing="0" w:after="0" w:afterAutospacing="0"/>
              <w:ind w:left="0" w:right="0"/>
              <w:rPr>
                <w:rFonts w:hint="eastAsia"/>
              </w:rPr>
            </w:pPr>
            <w:r>
              <w:rPr>
                <w:rFonts w:hint="eastAsia"/>
              </w:rPr>
              <w:t>表4.</w:t>
            </w:r>
            <w:r>
              <w:rPr>
                <w:rFonts w:hint="eastAsia"/>
                <w:lang w:val="en-US" w:eastAsia="zh-CN"/>
              </w:rPr>
              <w:t>5</w:t>
            </w:r>
            <w:r>
              <w:rPr>
                <w:rFonts w:hint="eastAsia"/>
              </w:rPr>
              <w:t>-1  土壤污染影响型评价工作等级划分表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563"/>
              <w:gridCol w:w="785"/>
              <w:gridCol w:w="740"/>
              <w:gridCol w:w="771"/>
              <w:gridCol w:w="815"/>
              <w:gridCol w:w="693"/>
              <w:gridCol w:w="773"/>
              <w:gridCol w:w="733"/>
              <w:gridCol w:w="731"/>
              <w:gridCol w:w="763"/>
            </w:tblGrid>
            <w:tr w14:paraId="424B9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934" w:type="pct"/>
                  <w:vMerge w:val="restart"/>
                  <w:noWrap w:val="0"/>
                  <w:vAlign w:val="center"/>
                </w:tcPr>
                <w:p w14:paraId="16F66C8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mc:AlternateContent>
                      <mc:Choice Requires="wps">
                        <w:drawing>
                          <wp:anchor distT="0" distB="0" distL="114300" distR="114300" simplePos="0" relativeHeight="251664384" behindDoc="0" locked="0" layoutInCell="1" allowOverlap="1">
                            <wp:simplePos x="0" y="0"/>
                            <wp:positionH relativeFrom="column">
                              <wp:posOffset>339725</wp:posOffset>
                            </wp:positionH>
                            <wp:positionV relativeFrom="paragraph">
                              <wp:posOffset>-8255</wp:posOffset>
                            </wp:positionV>
                            <wp:extent cx="614680" cy="689610"/>
                            <wp:effectExtent l="3810" t="3175" r="10160" b="12065"/>
                            <wp:wrapNone/>
                            <wp:docPr id="56" name="直接连接符 2"/>
                            <wp:cNvGraphicFramePr/>
                            <a:graphic xmlns:a="http://schemas.openxmlformats.org/drawingml/2006/main">
                              <a:graphicData uri="http://schemas.microsoft.com/office/word/2010/wordprocessingShape">
                                <wps:wsp>
                                  <wps:cNvCnPr/>
                                  <wps:spPr>
                                    <a:xfrm flipH="1" flipV="1">
                                      <a:off x="0" y="0"/>
                                      <a:ext cx="614680" cy="6896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2" o:spid="_x0000_s1026" o:spt="20" style="position:absolute;left:0pt;flip:x y;margin-left:26.75pt;margin-top:-0.65pt;height:54.3pt;width:48.4pt;z-index:251664384;mso-width-relative:page;mso-height-relative:page;" filled="f" stroked="t" coordsize="21600,21600" o:gfxdata="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xqGrtQAAAAJAQAADwAAAAAAAAABACAAAAAiAAAAZHJz&#10;L2Rvd25yZXYueG1sUEsBAhQAFAAAAAgAh07iQBhrz1oIAgAA/QMAAA4AAAAAAAAAAQAgAAAAIwEA&#10;AGRycy9lMm9Eb2MueG1sUEsFBgAAAAAGAAYAWQEAAJ0FAAAAAA==&#10;">
                            <v:fill on="f" focussize="0,0"/>
                            <v:stroke color="#000000" joinstyle="round"/>
                            <v:imagedata o:title=""/>
                            <o:lock v:ext="edit" aspectratio="f"/>
                          </v:line>
                        </w:pict>
                      </mc:Fallback>
                    </mc:AlternateContent>
                  </w:r>
                  <w:r>
                    <w:rPr>
                      <w:rFonts w:hint="eastAsia"/>
                      <w:szCs w:val="22"/>
                    </w:rPr>
                    <w:t>评价   占地</w:t>
                  </w:r>
                </w:p>
                <w:p w14:paraId="00BF2ED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mc:AlternateContent>
                      <mc:Choice Requires="wps">
                        <w:drawing>
                          <wp:anchor distT="0" distB="0" distL="114300" distR="114300" simplePos="0" relativeHeight="251665408" behindDoc="0" locked="0" layoutInCell="1" allowOverlap="1">
                            <wp:simplePos x="0" y="0"/>
                            <wp:positionH relativeFrom="column">
                              <wp:posOffset>-37465</wp:posOffset>
                            </wp:positionH>
                            <wp:positionV relativeFrom="paragraph">
                              <wp:posOffset>147955</wp:posOffset>
                            </wp:positionV>
                            <wp:extent cx="1000125" cy="373380"/>
                            <wp:effectExtent l="1905" t="4445" r="7620" b="22225"/>
                            <wp:wrapNone/>
                            <wp:docPr id="57" name="直接连接符 3"/>
                            <wp:cNvGraphicFramePr/>
                            <a:graphic xmlns:a="http://schemas.openxmlformats.org/drawingml/2006/main">
                              <a:graphicData uri="http://schemas.microsoft.com/office/word/2010/wordprocessingShape">
                                <wps:wsp>
                                  <wps:cNvCnPr/>
                                  <wps:spPr>
                                    <a:xfrm flipH="1" flipV="1">
                                      <a:off x="0" y="0"/>
                                      <a:ext cx="1000125" cy="3733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3" o:spid="_x0000_s1026" o:spt="20" style="position:absolute;left:0pt;flip:x y;margin-left:-2.95pt;margin-top:11.65pt;height:29.4pt;width:78.75pt;z-index:251665408;mso-width-relative:page;mso-height-relative:page;" filled="f" stroked="t" coordsize="21600,21600" o:gfxdata="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wu781AAAAAgBAAAPAAAAAAAAAAEAIAAAACIAAABkcnMv&#10;ZG93bnJldi54bWxQSwECFAAUAAAACACHTuJA2uTkawcCAAD+AwAADgAAAAAAAAABACAAAAAjAQAA&#10;ZHJzL2Uyb0RvYy54bWxQSwUGAAAAAAYABgBZAQAAnAUAAAAA&#10;">
                            <v:fill on="f" focussize="0,0"/>
                            <v:stroke color="#000000" joinstyle="round"/>
                            <v:imagedata o:title=""/>
                            <o:lock v:ext="edit" aspectratio="f"/>
                          </v:line>
                        </w:pict>
                      </mc:Fallback>
                    </mc:AlternateContent>
                  </w:r>
                  <w:r>
                    <w:rPr>
                      <w:rFonts w:hint="eastAsia"/>
                      <w:szCs w:val="22"/>
                    </w:rPr>
                    <w:t>工作   规模</w:t>
                  </w:r>
                </w:p>
                <w:p w14:paraId="0C2F0A50">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等级</w:t>
                  </w:r>
                </w:p>
                <w:p w14:paraId="7B2BC9A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敏感程度</w:t>
                  </w:r>
                </w:p>
              </w:tc>
              <w:tc>
                <w:tcPr>
                  <w:tcW w:w="1372" w:type="pct"/>
                  <w:gridSpan w:val="3"/>
                  <w:noWrap w:val="0"/>
                  <w:vAlign w:val="center"/>
                </w:tcPr>
                <w:p w14:paraId="54B0EC4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Ⅰ类</w:t>
                  </w:r>
                </w:p>
              </w:tc>
              <w:tc>
                <w:tcPr>
                  <w:tcW w:w="1363" w:type="pct"/>
                  <w:gridSpan w:val="3"/>
                  <w:noWrap w:val="0"/>
                  <w:vAlign w:val="center"/>
                </w:tcPr>
                <w:p w14:paraId="566A2FC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Ⅱ类</w:t>
                  </w:r>
                </w:p>
              </w:tc>
              <w:tc>
                <w:tcPr>
                  <w:tcW w:w="1329" w:type="pct"/>
                  <w:gridSpan w:val="3"/>
                  <w:noWrap w:val="0"/>
                  <w:vAlign w:val="center"/>
                </w:tcPr>
                <w:p w14:paraId="7EAB754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Ⅲ类</w:t>
                  </w:r>
                </w:p>
              </w:tc>
            </w:tr>
            <w:tr w14:paraId="63523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934" w:type="pct"/>
                  <w:vMerge w:val="continue"/>
                  <w:noWrap w:val="0"/>
                  <w:vAlign w:val="center"/>
                </w:tcPr>
                <w:p w14:paraId="149B6940">
                  <w:pPr>
                    <w:pStyle w:val="39"/>
                    <w:keepNext w:val="0"/>
                    <w:keepLines w:val="0"/>
                    <w:widowControl/>
                    <w:suppressLineNumbers w:val="0"/>
                    <w:bidi w:val="0"/>
                    <w:spacing w:before="0" w:beforeAutospacing="0" w:after="0" w:afterAutospacing="0"/>
                    <w:ind w:left="0" w:right="0"/>
                    <w:rPr>
                      <w:rFonts w:hint="eastAsia"/>
                      <w:szCs w:val="22"/>
                    </w:rPr>
                  </w:pPr>
                </w:p>
              </w:tc>
              <w:tc>
                <w:tcPr>
                  <w:tcW w:w="469" w:type="pct"/>
                  <w:noWrap w:val="0"/>
                  <w:vAlign w:val="center"/>
                </w:tcPr>
                <w:p w14:paraId="57F993A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大</w:t>
                  </w:r>
                </w:p>
              </w:tc>
              <w:tc>
                <w:tcPr>
                  <w:tcW w:w="442" w:type="pct"/>
                  <w:noWrap w:val="0"/>
                  <w:vAlign w:val="center"/>
                </w:tcPr>
                <w:p w14:paraId="7AB934A8">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中</w:t>
                  </w:r>
                </w:p>
              </w:tc>
              <w:tc>
                <w:tcPr>
                  <w:tcW w:w="461" w:type="pct"/>
                  <w:noWrap w:val="0"/>
                  <w:vAlign w:val="center"/>
                </w:tcPr>
                <w:p w14:paraId="4CA975F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小</w:t>
                  </w:r>
                </w:p>
              </w:tc>
              <w:tc>
                <w:tcPr>
                  <w:tcW w:w="487" w:type="pct"/>
                  <w:noWrap w:val="0"/>
                  <w:vAlign w:val="center"/>
                </w:tcPr>
                <w:p w14:paraId="562AF39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大</w:t>
                  </w:r>
                </w:p>
              </w:tc>
              <w:tc>
                <w:tcPr>
                  <w:tcW w:w="414" w:type="pct"/>
                  <w:noWrap w:val="0"/>
                  <w:vAlign w:val="center"/>
                </w:tcPr>
                <w:p w14:paraId="6E81841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中</w:t>
                  </w:r>
                </w:p>
              </w:tc>
              <w:tc>
                <w:tcPr>
                  <w:tcW w:w="461" w:type="pct"/>
                  <w:noWrap w:val="0"/>
                  <w:vAlign w:val="center"/>
                </w:tcPr>
                <w:p w14:paraId="753E3960">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小</w:t>
                  </w:r>
                </w:p>
              </w:tc>
              <w:tc>
                <w:tcPr>
                  <w:tcW w:w="438" w:type="pct"/>
                  <w:noWrap w:val="0"/>
                  <w:vAlign w:val="center"/>
                </w:tcPr>
                <w:p w14:paraId="647CBBB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大</w:t>
                  </w:r>
                </w:p>
              </w:tc>
              <w:tc>
                <w:tcPr>
                  <w:tcW w:w="437" w:type="pct"/>
                  <w:noWrap w:val="0"/>
                  <w:vAlign w:val="center"/>
                </w:tcPr>
                <w:p w14:paraId="15C8468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中</w:t>
                  </w:r>
                </w:p>
              </w:tc>
              <w:tc>
                <w:tcPr>
                  <w:tcW w:w="453" w:type="pct"/>
                  <w:noWrap w:val="0"/>
                  <w:vAlign w:val="center"/>
                </w:tcPr>
                <w:p w14:paraId="6751EDDC">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小</w:t>
                  </w:r>
                </w:p>
              </w:tc>
            </w:tr>
            <w:tr w14:paraId="62E23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934" w:type="pct"/>
                  <w:noWrap w:val="0"/>
                  <w:vAlign w:val="center"/>
                </w:tcPr>
                <w:p w14:paraId="6FC3F653">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敏感</w:t>
                  </w:r>
                </w:p>
              </w:tc>
              <w:tc>
                <w:tcPr>
                  <w:tcW w:w="469" w:type="pct"/>
                  <w:noWrap w:val="0"/>
                  <w:vAlign w:val="center"/>
                </w:tcPr>
                <w:p w14:paraId="35966C5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一级</w:t>
                  </w:r>
                </w:p>
              </w:tc>
              <w:tc>
                <w:tcPr>
                  <w:tcW w:w="442" w:type="pct"/>
                  <w:noWrap w:val="0"/>
                  <w:vAlign w:val="center"/>
                </w:tcPr>
                <w:p w14:paraId="0542ECB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一级</w:t>
                  </w:r>
                </w:p>
              </w:tc>
              <w:tc>
                <w:tcPr>
                  <w:tcW w:w="461" w:type="pct"/>
                  <w:noWrap w:val="0"/>
                  <w:vAlign w:val="center"/>
                </w:tcPr>
                <w:p w14:paraId="57A5203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一级</w:t>
                  </w:r>
                </w:p>
              </w:tc>
              <w:tc>
                <w:tcPr>
                  <w:tcW w:w="487" w:type="pct"/>
                  <w:noWrap w:val="0"/>
                  <w:vAlign w:val="center"/>
                </w:tcPr>
                <w:p w14:paraId="245A2F1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14" w:type="pct"/>
                  <w:noWrap w:val="0"/>
                  <w:vAlign w:val="center"/>
                </w:tcPr>
                <w:p w14:paraId="4B83CB3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61" w:type="pct"/>
                  <w:noWrap w:val="0"/>
                  <w:vAlign w:val="center"/>
                </w:tcPr>
                <w:p w14:paraId="00939568">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38" w:type="pct"/>
                  <w:noWrap w:val="0"/>
                  <w:vAlign w:val="center"/>
                </w:tcPr>
                <w:p w14:paraId="624341A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c>
                <w:tcPr>
                  <w:tcW w:w="437" w:type="pct"/>
                  <w:noWrap w:val="0"/>
                  <w:vAlign w:val="center"/>
                </w:tcPr>
                <w:p w14:paraId="46C3D2D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c>
                <w:tcPr>
                  <w:tcW w:w="453" w:type="pct"/>
                  <w:noWrap w:val="0"/>
                  <w:vAlign w:val="center"/>
                </w:tcPr>
                <w:p w14:paraId="49C0A8A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r>
            <w:tr w14:paraId="021D5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934" w:type="pct"/>
                  <w:noWrap w:val="0"/>
                  <w:vAlign w:val="center"/>
                </w:tcPr>
                <w:p w14:paraId="1EA9B90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较敏感</w:t>
                  </w:r>
                </w:p>
              </w:tc>
              <w:tc>
                <w:tcPr>
                  <w:tcW w:w="469" w:type="pct"/>
                  <w:noWrap w:val="0"/>
                  <w:vAlign w:val="center"/>
                </w:tcPr>
                <w:p w14:paraId="05C48F5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一级</w:t>
                  </w:r>
                </w:p>
              </w:tc>
              <w:tc>
                <w:tcPr>
                  <w:tcW w:w="442" w:type="pct"/>
                  <w:noWrap w:val="0"/>
                  <w:vAlign w:val="center"/>
                </w:tcPr>
                <w:p w14:paraId="7399C43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一级</w:t>
                  </w:r>
                </w:p>
              </w:tc>
              <w:tc>
                <w:tcPr>
                  <w:tcW w:w="461" w:type="pct"/>
                  <w:noWrap w:val="0"/>
                  <w:vAlign w:val="center"/>
                </w:tcPr>
                <w:p w14:paraId="7B8F3138">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87" w:type="pct"/>
                  <w:noWrap w:val="0"/>
                  <w:vAlign w:val="center"/>
                </w:tcPr>
                <w:p w14:paraId="4F1B14F8">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14" w:type="pct"/>
                  <w:noWrap w:val="0"/>
                  <w:vAlign w:val="center"/>
                </w:tcPr>
                <w:p w14:paraId="1F45469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61" w:type="pct"/>
                  <w:noWrap w:val="0"/>
                  <w:vAlign w:val="center"/>
                </w:tcPr>
                <w:p w14:paraId="4187E751">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c>
                <w:tcPr>
                  <w:tcW w:w="438" w:type="pct"/>
                  <w:noWrap w:val="0"/>
                  <w:vAlign w:val="center"/>
                </w:tcPr>
                <w:p w14:paraId="06F85646">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c>
                <w:tcPr>
                  <w:tcW w:w="437" w:type="pct"/>
                  <w:noWrap w:val="0"/>
                  <w:vAlign w:val="center"/>
                </w:tcPr>
                <w:p w14:paraId="543F370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c>
                <w:tcPr>
                  <w:tcW w:w="453" w:type="pct"/>
                  <w:tcBorders>
                    <w:bottom w:val="single" w:color="auto" w:sz="4" w:space="0"/>
                  </w:tcBorders>
                  <w:noWrap w:val="0"/>
                  <w:vAlign w:val="center"/>
                </w:tcPr>
                <w:p w14:paraId="4FF3DC24">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w:t>
                  </w:r>
                </w:p>
              </w:tc>
            </w:tr>
            <w:tr w14:paraId="76592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934" w:type="pct"/>
                  <w:shd w:val="clear" w:color="auto" w:fill="auto"/>
                  <w:noWrap w:val="0"/>
                  <w:vAlign w:val="center"/>
                </w:tcPr>
                <w:p w14:paraId="7C1759C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不敏感</w:t>
                  </w:r>
                </w:p>
              </w:tc>
              <w:tc>
                <w:tcPr>
                  <w:tcW w:w="469" w:type="pct"/>
                  <w:shd w:val="clear" w:color="auto" w:fill="auto"/>
                  <w:noWrap w:val="0"/>
                  <w:vAlign w:val="center"/>
                </w:tcPr>
                <w:p w14:paraId="54DCA63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一级</w:t>
                  </w:r>
                </w:p>
              </w:tc>
              <w:tc>
                <w:tcPr>
                  <w:tcW w:w="442" w:type="pct"/>
                  <w:shd w:val="clear" w:color="auto" w:fill="auto"/>
                  <w:noWrap w:val="0"/>
                  <w:vAlign w:val="center"/>
                </w:tcPr>
                <w:p w14:paraId="69A4681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61" w:type="pct"/>
                  <w:shd w:val="clear" w:color="auto" w:fill="auto"/>
                  <w:noWrap w:val="0"/>
                  <w:vAlign w:val="center"/>
                </w:tcPr>
                <w:p w14:paraId="5C618B95">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87" w:type="pct"/>
                  <w:shd w:val="clear" w:color="auto" w:fill="auto"/>
                  <w:noWrap w:val="0"/>
                  <w:vAlign w:val="center"/>
                </w:tcPr>
                <w:p w14:paraId="0DDD866E">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14" w:type="pct"/>
                  <w:shd w:val="clear" w:color="auto" w:fill="auto"/>
                  <w:noWrap w:val="0"/>
                  <w:vAlign w:val="center"/>
                </w:tcPr>
                <w:p w14:paraId="02C59E0B">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c>
                <w:tcPr>
                  <w:tcW w:w="461" w:type="pct"/>
                  <w:shd w:val="clear" w:color="auto" w:fill="auto"/>
                  <w:noWrap w:val="0"/>
                  <w:vAlign w:val="center"/>
                </w:tcPr>
                <w:p w14:paraId="0B585A4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c>
                <w:tcPr>
                  <w:tcW w:w="438" w:type="pct"/>
                  <w:shd w:val="clear" w:color="auto" w:fill="auto"/>
                  <w:noWrap w:val="0"/>
                  <w:vAlign w:val="center"/>
                </w:tcPr>
                <w:p w14:paraId="6A53B0D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c>
                <w:tcPr>
                  <w:tcW w:w="437" w:type="pct"/>
                  <w:shd w:val="clear" w:color="auto" w:fill="auto"/>
                  <w:noWrap w:val="0"/>
                  <w:vAlign w:val="center"/>
                </w:tcPr>
                <w:p w14:paraId="12653A62">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w:t>
                  </w:r>
                </w:p>
              </w:tc>
              <w:tc>
                <w:tcPr>
                  <w:tcW w:w="453" w:type="pct"/>
                  <w:tcBorders>
                    <w:top w:val="single" w:color="auto" w:sz="4" w:space="0"/>
                    <w:bottom w:val="single" w:color="auto" w:sz="4" w:space="0"/>
                  </w:tcBorders>
                  <w:shd w:val="clear" w:color="auto" w:fill="C0C0C0"/>
                  <w:noWrap w:val="0"/>
                  <w:vAlign w:val="center"/>
                </w:tcPr>
                <w:p w14:paraId="438D50DF">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w:t>
                  </w:r>
                </w:p>
              </w:tc>
            </w:tr>
            <w:tr w14:paraId="243F8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5000" w:type="pct"/>
                  <w:gridSpan w:val="10"/>
                  <w:noWrap w:val="0"/>
                  <w:vAlign w:val="center"/>
                </w:tcPr>
                <w:p w14:paraId="604CC2A9">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注：</w:t>
                  </w:r>
                  <w:r>
                    <w:rPr>
                      <w:rFonts w:hint="eastAsia"/>
                      <w:szCs w:val="22"/>
                      <w:lang w:eastAsia="zh-CN"/>
                    </w:rPr>
                    <w:t>“</w:t>
                  </w:r>
                  <w:r>
                    <w:rPr>
                      <w:rFonts w:hint="eastAsia"/>
                      <w:szCs w:val="22"/>
                    </w:rPr>
                    <w:t>-</w:t>
                  </w:r>
                  <w:r>
                    <w:rPr>
                      <w:rFonts w:hint="eastAsia"/>
                      <w:szCs w:val="22"/>
                      <w:lang w:eastAsia="zh-CN"/>
                    </w:rPr>
                    <w:t>”</w:t>
                  </w:r>
                  <w:r>
                    <w:rPr>
                      <w:rFonts w:hint="eastAsia"/>
                      <w:szCs w:val="22"/>
                    </w:rPr>
                    <w:t>表示可不开展土壤环境影响评价工作。</w:t>
                  </w:r>
                </w:p>
              </w:tc>
            </w:tr>
          </w:tbl>
          <w:p w14:paraId="4BB2B52C">
            <w:pPr>
              <w:pStyle w:val="4"/>
              <w:suppressLineNumbers w:val="0"/>
              <w:bidi w:val="0"/>
              <w:spacing w:before="0" w:beforeAutospacing="0" w:after="0" w:afterAutospacing="0"/>
              <w:ind w:left="0" w:right="0"/>
              <w:rPr>
                <w:rFonts w:hint="eastAsia"/>
                <w:lang w:val="en-US" w:eastAsia="zh-CN"/>
              </w:rPr>
            </w:pPr>
            <w:r>
              <w:rPr>
                <w:rFonts w:hint="default"/>
                <w:lang w:val="en-US" w:eastAsia="zh-CN"/>
              </w:rPr>
              <w:t>地下水、土壤环境防控措施</w:t>
            </w:r>
          </w:p>
          <w:p w14:paraId="5580C45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1</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防渗措施</w:t>
            </w:r>
          </w:p>
          <w:p w14:paraId="48448AE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①合理进行防渗区域划分</w:t>
            </w:r>
          </w:p>
          <w:p w14:paraId="6230A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根据本项目厂区可能泄漏至地面区域污染物的性质和生产单元的构筑方式，将厂区划分为重点污染防治区、一般污染防治区，针对不同的区域提出相应的防渗要求。结合项目的特点，项目防渗防治分区见表4.</w:t>
            </w:r>
            <w:r>
              <w:rPr>
                <w:rFonts w:hint="eastAsia" w:ascii="Times New Roman" w:hAnsi="Times New Roman" w:eastAsia="宋体" w:cs="Times New Roman"/>
                <w:bCs/>
                <w:color w:val="auto"/>
                <w:sz w:val="24"/>
                <w:highlight w:val="none"/>
                <w:lang w:val="en-US" w:eastAsia="zh-CN"/>
              </w:rPr>
              <w:t>5</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val="en-US" w:eastAsia="zh-CN"/>
              </w:rPr>
              <w:t>。</w:t>
            </w:r>
          </w:p>
          <w:p w14:paraId="4BC581F8">
            <w:pPr>
              <w:pStyle w:val="40"/>
              <w:keepNext w:val="0"/>
              <w:keepLines w:val="0"/>
              <w:suppressLineNumbers w:val="0"/>
              <w:bidi w:val="0"/>
              <w:spacing w:before="0" w:beforeAutospacing="0" w:after="0" w:afterAutospacing="0"/>
              <w:ind w:left="0" w:right="0"/>
              <w:rPr>
                <w:rFonts w:hint="default"/>
              </w:rPr>
            </w:pPr>
            <w:r>
              <w:rPr>
                <w:rFonts w:hint="default"/>
              </w:rPr>
              <w:t>表</w:t>
            </w:r>
            <w:r>
              <w:rPr>
                <w:rFonts w:hint="default"/>
                <w:lang w:val="en-US" w:eastAsia="zh-CN"/>
              </w:rPr>
              <w:t>4.</w:t>
            </w:r>
            <w:r>
              <w:rPr>
                <w:rFonts w:hint="eastAsia"/>
                <w:lang w:val="en-US" w:eastAsia="zh-CN"/>
              </w:rPr>
              <w:t>5</w:t>
            </w:r>
            <w:r>
              <w:rPr>
                <w:rFonts w:hint="default"/>
                <w:lang w:val="en-US" w:eastAsia="zh-CN"/>
              </w:rPr>
              <w:t>-</w:t>
            </w:r>
            <w:r>
              <w:rPr>
                <w:rFonts w:hint="eastAsia"/>
                <w:lang w:val="en-US" w:eastAsia="zh-CN"/>
              </w:rPr>
              <w:t>2</w:t>
            </w:r>
            <w:r>
              <w:rPr>
                <w:rFonts w:hint="default"/>
                <w:lang w:val="en-US" w:eastAsia="zh-CN"/>
              </w:rPr>
              <w:t xml:space="preserve"> </w:t>
            </w:r>
            <w:r>
              <w:rPr>
                <w:rFonts w:hint="default"/>
              </w:rPr>
              <w:t xml:space="preserve"> </w:t>
            </w:r>
            <w:r>
              <w:rPr>
                <w:rFonts w:hint="default"/>
                <w:lang w:eastAsia="zh-CN"/>
              </w:rPr>
              <w:t>土壤</w:t>
            </w:r>
            <w:r>
              <w:rPr>
                <w:rFonts w:hint="default"/>
              </w:rPr>
              <w:t>污染防治分区一览表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47"/>
              <w:gridCol w:w="1078"/>
              <w:gridCol w:w="3904"/>
              <w:gridCol w:w="1735"/>
            </w:tblGrid>
            <w:tr w14:paraId="2A5F2A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4" w:type="pct"/>
                  <w:tcBorders>
                    <w:top w:val="single" w:color="auto" w:sz="12" w:space="0"/>
                  </w:tcBorders>
                  <w:noWrap w:val="0"/>
                  <w:vAlign w:val="center"/>
                </w:tcPr>
                <w:p w14:paraId="50AA15F7">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防治分区</w:t>
                  </w:r>
                </w:p>
              </w:tc>
              <w:tc>
                <w:tcPr>
                  <w:tcW w:w="644" w:type="pct"/>
                  <w:tcBorders>
                    <w:top w:val="single" w:color="auto" w:sz="12" w:space="0"/>
                  </w:tcBorders>
                  <w:noWrap w:val="0"/>
                  <w:vAlign w:val="center"/>
                </w:tcPr>
                <w:p w14:paraId="2C32B23E">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序号</w:t>
                  </w:r>
                </w:p>
              </w:tc>
              <w:tc>
                <w:tcPr>
                  <w:tcW w:w="2333" w:type="pct"/>
                  <w:tcBorders>
                    <w:top w:val="single" w:color="auto" w:sz="12" w:space="0"/>
                  </w:tcBorders>
                  <w:noWrap w:val="0"/>
                  <w:vAlign w:val="center"/>
                </w:tcPr>
                <w:p w14:paraId="5851C089">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装置或者构筑物名称</w:t>
                  </w:r>
                </w:p>
              </w:tc>
              <w:tc>
                <w:tcPr>
                  <w:tcW w:w="1037" w:type="pct"/>
                  <w:tcBorders>
                    <w:top w:val="single" w:color="auto" w:sz="12" w:space="0"/>
                  </w:tcBorders>
                  <w:noWrap w:val="0"/>
                  <w:vAlign w:val="center"/>
                </w:tcPr>
                <w:p w14:paraId="3C92398B">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防渗区域</w:t>
                  </w:r>
                </w:p>
              </w:tc>
            </w:tr>
            <w:tr w14:paraId="035498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4" w:type="pct"/>
                  <w:noWrap w:val="0"/>
                  <w:vAlign w:val="center"/>
                </w:tcPr>
                <w:p w14:paraId="02781F16">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重点污染防</w:t>
                  </w:r>
                </w:p>
                <w:p w14:paraId="5AEEE549">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治区</w:t>
                  </w:r>
                </w:p>
              </w:tc>
              <w:tc>
                <w:tcPr>
                  <w:tcW w:w="644" w:type="pct"/>
                  <w:noWrap w:val="0"/>
                  <w:vAlign w:val="center"/>
                </w:tcPr>
                <w:p w14:paraId="147D8CE4">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1</w:t>
                  </w:r>
                </w:p>
              </w:tc>
              <w:tc>
                <w:tcPr>
                  <w:tcW w:w="2333" w:type="pct"/>
                  <w:noWrap w:val="0"/>
                  <w:vAlign w:val="center"/>
                </w:tcPr>
                <w:p w14:paraId="2921D6B7">
                  <w:pPr>
                    <w:pStyle w:val="39"/>
                    <w:keepNext w:val="0"/>
                    <w:keepLines w:val="0"/>
                    <w:widowControl/>
                    <w:suppressLineNumbers w:val="0"/>
                    <w:bidi w:val="0"/>
                    <w:spacing w:before="0" w:beforeAutospacing="0" w:after="0" w:afterAutospacing="0"/>
                    <w:ind w:left="0" w:right="0"/>
                    <w:rPr>
                      <w:rFonts w:hint="eastAsia" w:eastAsia="宋体"/>
                      <w:szCs w:val="22"/>
                      <w:lang w:val="en-US" w:eastAsia="zh-CN"/>
                    </w:rPr>
                  </w:pPr>
                  <w:r>
                    <w:rPr>
                      <w:rFonts w:hint="eastAsia"/>
                      <w:szCs w:val="22"/>
                      <w:lang w:eastAsia="zh-CN"/>
                    </w:rPr>
                    <w:t>危废贮存库</w:t>
                  </w:r>
                </w:p>
              </w:tc>
              <w:tc>
                <w:tcPr>
                  <w:tcW w:w="1037" w:type="pct"/>
                  <w:noWrap w:val="0"/>
                  <w:vAlign w:val="center"/>
                </w:tcPr>
                <w:p w14:paraId="43035BBD">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rPr>
                    <w:t>地面</w:t>
                  </w:r>
                </w:p>
              </w:tc>
            </w:tr>
            <w:tr w14:paraId="6C05B6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4" w:type="pct"/>
                  <w:tcBorders>
                    <w:bottom w:val="single" w:color="auto" w:sz="12" w:space="0"/>
                  </w:tcBorders>
                  <w:noWrap w:val="0"/>
                  <w:vAlign w:val="center"/>
                </w:tcPr>
                <w:p w14:paraId="4B8D3C06">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一般污染防</w:t>
                  </w:r>
                </w:p>
                <w:p w14:paraId="2E22EEB6">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治区</w:t>
                  </w:r>
                </w:p>
              </w:tc>
              <w:tc>
                <w:tcPr>
                  <w:tcW w:w="644" w:type="pct"/>
                  <w:tcBorders>
                    <w:bottom w:val="single" w:color="auto" w:sz="12" w:space="0"/>
                  </w:tcBorders>
                  <w:noWrap w:val="0"/>
                  <w:vAlign w:val="center"/>
                </w:tcPr>
                <w:p w14:paraId="6322B845">
                  <w:pPr>
                    <w:pStyle w:val="39"/>
                    <w:keepNext w:val="0"/>
                    <w:keepLines w:val="0"/>
                    <w:widowControl/>
                    <w:suppressLineNumbers w:val="0"/>
                    <w:bidi w:val="0"/>
                    <w:spacing w:before="0" w:beforeAutospacing="0" w:after="0" w:afterAutospacing="0"/>
                    <w:ind w:left="0" w:right="0"/>
                    <w:rPr>
                      <w:rFonts w:hint="default"/>
                      <w:szCs w:val="22"/>
                      <w:lang w:eastAsia="zh-CN"/>
                    </w:rPr>
                  </w:pPr>
                  <w:r>
                    <w:rPr>
                      <w:rFonts w:hint="eastAsia"/>
                      <w:szCs w:val="22"/>
                      <w:lang w:val="en-US" w:eastAsia="zh-CN"/>
                    </w:rPr>
                    <w:t>2</w:t>
                  </w:r>
                </w:p>
              </w:tc>
              <w:tc>
                <w:tcPr>
                  <w:tcW w:w="2333" w:type="pct"/>
                  <w:tcBorders>
                    <w:bottom w:val="single" w:color="auto" w:sz="12" w:space="0"/>
                  </w:tcBorders>
                  <w:noWrap w:val="0"/>
                  <w:vAlign w:val="center"/>
                </w:tcPr>
                <w:p w14:paraId="1C1DC5B4">
                  <w:pPr>
                    <w:pStyle w:val="39"/>
                    <w:keepNext w:val="0"/>
                    <w:keepLines w:val="0"/>
                    <w:widowControl/>
                    <w:suppressLineNumbers w:val="0"/>
                    <w:bidi w:val="0"/>
                    <w:spacing w:before="0" w:beforeAutospacing="0" w:after="0" w:afterAutospacing="0"/>
                    <w:ind w:left="0" w:right="0"/>
                    <w:rPr>
                      <w:rFonts w:hint="default"/>
                      <w:szCs w:val="22"/>
                      <w:lang w:eastAsia="zh-CN"/>
                    </w:rPr>
                  </w:pPr>
                  <w:r>
                    <w:rPr>
                      <w:rFonts w:hint="default"/>
                      <w:szCs w:val="22"/>
                      <w:lang w:eastAsia="zh-CN"/>
                    </w:rPr>
                    <w:t>一般工业固废</w:t>
                  </w:r>
                  <w:r>
                    <w:rPr>
                      <w:rFonts w:hint="eastAsia"/>
                      <w:szCs w:val="22"/>
                      <w:lang w:val="en-US" w:eastAsia="zh-CN"/>
                    </w:rPr>
                    <w:t>区</w:t>
                  </w:r>
                  <w:r>
                    <w:rPr>
                      <w:rFonts w:hint="default"/>
                      <w:szCs w:val="22"/>
                      <w:lang w:eastAsia="zh-CN"/>
                    </w:rPr>
                    <w:t>、项目生产车间</w:t>
                  </w:r>
                </w:p>
              </w:tc>
              <w:tc>
                <w:tcPr>
                  <w:tcW w:w="1037" w:type="pct"/>
                  <w:tcBorders>
                    <w:bottom w:val="single" w:color="auto" w:sz="12" w:space="0"/>
                  </w:tcBorders>
                  <w:noWrap w:val="0"/>
                  <w:vAlign w:val="center"/>
                </w:tcPr>
                <w:p w14:paraId="5DA91A51">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地面</w:t>
                  </w:r>
                </w:p>
              </w:tc>
            </w:tr>
          </w:tbl>
          <w:p w14:paraId="318235F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②防渗要求</w:t>
            </w:r>
          </w:p>
          <w:p w14:paraId="7D49E9F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重点污染区防渗要求：根据《环境影响评价技术导则地下水环境》</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HJ610-2016</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的要求，重点防渗区的防渗性能应等效黏土防渗层≥6.0m，渗透系数≤1.0×10</w:t>
            </w:r>
            <w:r>
              <w:rPr>
                <w:rFonts w:hint="default" w:ascii="Times New Roman" w:hAnsi="Times New Roman" w:eastAsia="宋体" w:cs="Times New Roman"/>
                <w:bCs/>
                <w:color w:val="auto"/>
                <w:sz w:val="24"/>
                <w:highlight w:val="none"/>
                <w:vertAlign w:val="superscript"/>
                <w:lang w:val="en-US" w:eastAsia="zh-CN"/>
              </w:rPr>
              <w:t>-7</w:t>
            </w:r>
            <w:r>
              <w:rPr>
                <w:rFonts w:hint="default" w:ascii="Times New Roman" w:hAnsi="Times New Roman" w:eastAsia="宋体" w:cs="Times New Roman"/>
                <w:bCs/>
                <w:color w:val="auto"/>
                <w:sz w:val="24"/>
                <w:highlight w:val="none"/>
                <w:lang w:val="en-US" w:eastAsia="zh-CN"/>
              </w:rPr>
              <w:t>cm/s。危险废物暂存场重点防渗区应按照《危险废物污染防治技术政策》及《危险废物贮存污染控制标准》</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GB18597-20</w:t>
            </w:r>
            <w:r>
              <w:rPr>
                <w:rFonts w:hint="eastAsia" w:ascii="Times New Roman" w:hAnsi="Times New Roman" w:eastAsia="宋体" w:cs="Times New Roman"/>
                <w:bCs/>
                <w:color w:val="auto"/>
                <w:sz w:val="24"/>
                <w:highlight w:val="none"/>
                <w:lang w:val="en-US" w:eastAsia="zh-CN"/>
              </w:rPr>
              <w:t>23</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等危险废物处理的相关标准、法律法规的要求；一般污染区防渗要求：根据《环境影响评价技术导则地下水环境》</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HJ610-2016</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，一般防渗区的防渗性能等效黏土防渗层≥1.5m，渗透系数≤1.0×10</w:t>
            </w:r>
            <w:r>
              <w:rPr>
                <w:rFonts w:hint="default" w:ascii="Times New Roman" w:hAnsi="Times New Roman" w:eastAsia="宋体" w:cs="Times New Roman"/>
                <w:bCs/>
                <w:color w:val="auto"/>
                <w:sz w:val="24"/>
                <w:highlight w:val="none"/>
                <w:vertAlign w:val="superscript"/>
                <w:lang w:val="en-US" w:eastAsia="zh-CN"/>
              </w:rPr>
              <w:t>-7</w:t>
            </w:r>
            <w:r>
              <w:rPr>
                <w:rFonts w:hint="default" w:ascii="Times New Roman" w:hAnsi="Times New Roman" w:eastAsia="宋体" w:cs="Times New Roman"/>
                <w:bCs/>
                <w:color w:val="auto"/>
                <w:sz w:val="24"/>
                <w:highlight w:val="none"/>
                <w:lang w:val="en-US" w:eastAsia="zh-CN"/>
              </w:rPr>
              <w:t>cm/s。一般工业固体废物暂存场一般防渗区应按照《一般工业固体废物贮存处置场污染控制标准》</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GB18599-2020</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 xml:space="preserve"> Ⅱ类场进行设计</w:t>
            </w:r>
            <w:r>
              <w:rPr>
                <w:rFonts w:hint="eastAsia" w:cs="Times New Roman"/>
                <w:bCs/>
                <w:color w:val="auto"/>
                <w:sz w:val="24"/>
                <w:highlight w:val="none"/>
                <w:lang w:val="en-US" w:eastAsia="zh-CN"/>
              </w:rPr>
              <w:t>且</w:t>
            </w:r>
            <w:r>
              <w:rPr>
                <w:rFonts w:hint="default" w:ascii="Times New Roman" w:hAnsi="Times New Roman" w:eastAsia="宋体" w:cs="Times New Roman"/>
                <w:bCs/>
                <w:color w:val="auto"/>
                <w:sz w:val="24"/>
                <w:highlight w:val="none"/>
                <w:lang w:val="en-US" w:eastAsia="zh-CN"/>
              </w:rPr>
              <w:t>具有防雨、防渗、防风、防日晒的功能。</w:t>
            </w:r>
          </w:p>
          <w:p w14:paraId="12857D5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val="en-US" w:eastAsia="zh-CN"/>
              </w:rPr>
              <w:t>监控措施</w:t>
            </w:r>
          </w:p>
          <w:p w14:paraId="4F3313D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①项目</w:t>
            </w:r>
            <w:r>
              <w:rPr>
                <w:rFonts w:hint="eastAsia" w:cs="Times New Roman"/>
                <w:bCs/>
                <w:color w:val="auto"/>
                <w:sz w:val="24"/>
                <w:highlight w:val="none"/>
                <w:lang w:val="en-US" w:eastAsia="zh-CN"/>
              </w:rPr>
              <w:t>危废贮存库</w:t>
            </w:r>
            <w:r>
              <w:rPr>
                <w:rFonts w:hint="default" w:ascii="Times New Roman" w:hAnsi="Times New Roman" w:eastAsia="宋体" w:cs="Times New Roman"/>
                <w:bCs/>
                <w:color w:val="auto"/>
                <w:sz w:val="24"/>
                <w:highlight w:val="none"/>
                <w:lang w:val="en-US" w:eastAsia="zh-CN"/>
              </w:rPr>
              <w:t>四周建设导流沟装置，防止危险废物等泄漏时四处扩散，并可及时移除或者清理污染源；</w:t>
            </w:r>
          </w:p>
          <w:p w14:paraId="1D977A0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②建立健全环境管理和监测制度，保证各环保设施正常运转，同时强化风险防范意识，如遇环保设施不能正常运转，应立即停产检修；</w:t>
            </w:r>
          </w:p>
          <w:p w14:paraId="4AD91E9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③若发生危险废物泄漏等，必要时委托有资质的单位对厂址周边地下水、土壤等进行跟踪监测，掌握厂址周边污染变化趋势。</w:t>
            </w:r>
          </w:p>
          <w:p w14:paraId="453F160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④在今后的生产活动中，做好设备的维护、检修，杜绝跑、冒、滴、漏现象。同时，加强污染物产生主要环节的收集治理，加强厂区的安全防护、环境风险防范措施，以便及时发现事故隐患，及时采取有效的应对措施。</w:t>
            </w:r>
          </w:p>
          <w:p w14:paraId="075B5F7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⑤项目生产经营用地的用途变更或者在其土地使用权收回、转让前，应当由土地使用权人按照规定进行土壤污染状况调查。</w:t>
            </w:r>
          </w:p>
          <w:p w14:paraId="295530F9">
            <w:pPr>
              <w:pStyle w:val="4"/>
              <w:suppressLineNumbers w:val="0"/>
              <w:bidi w:val="0"/>
              <w:spacing w:before="0" w:beforeAutospacing="0" w:after="0" w:afterAutospacing="0"/>
              <w:ind w:left="0" w:right="0"/>
              <w:rPr>
                <w:rFonts w:hint="default"/>
                <w:lang w:val="en-US" w:eastAsia="zh-CN"/>
              </w:rPr>
            </w:pPr>
            <w:r>
              <w:rPr>
                <w:rFonts w:hint="default"/>
                <w:lang w:val="en-US" w:eastAsia="zh-CN"/>
              </w:rPr>
              <w:t>跟踪监测要求</w:t>
            </w:r>
          </w:p>
          <w:p w14:paraId="27ED3A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本项目选址于</w:t>
            </w:r>
            <w:r>
              <w:rPr>
                <w:rFonts w:hint="eastAsia"/>
                <w:lang w:val="en-US" w:eastAsia="zh-CN"/>
              </w:rPr>
              <w:t>福清融侨经济技术开发区（租赁福清洪添科技有限公司车间2第3层）</w:t>
            </w:r>
            <w:r>
              <w:rPr>
                <w:rFonts w:hint="default" w:ascii="Times New Roman" w:hAnsi="Times New Roman" w:eastAsia="宋体" w:cs="Times New Roman"/>
                <w:bCs/>
                <w:color w:val="auto"/>
                <w:kern w:val="2"/>
                <w:sz w:val="24"/>
                <w:szCs w:val="24"/>
                <w:highlight w:val="none"/>
                <w:lang w:val="en-US" w:eastAsia="zh-CN" w:bidi="ar-SA"/>
              </w:rPr>
              <w:t>，周边以工业企业为主，项目周边地下水、土壤环境相对不敏感，采取有效的防渗措施后，项目对地下水、土壤环境影响很小，本评价不对项目地下水、土壤环境进行跟踪监测。</w:t>
            </w:r>
          </w:p>
          <w:p w14:paraId="57F911A9">
            <w:pPr>
              <w:pStyle w:val="3"/>
              <w:keepNext w:val="0"/>
              <w:keepLines w:val="0"/>
              <w:suppressLineNumbers w:val="0"/>
              <w:tabs>
                <w:tab w:val="left" w:pos="420"/>
                <w:tab w:val="clear" w:pos="0"/>
              </w:tabs>
              <w:bidi w:val="0"/>
              <w:spacing w:before="0" w:beforeAutospacing="0" w:after="0" w:afterAutospacing="0"/>
              <w:ind w:left="0" w:right="0"/>
              <w:rPr>
                <w:rFonts w:hint="eastAsia"/>
              </w:rPr>
            </w:pPr>
            <w:bookmarkStart w:id="33" w:name="_Toc2618"/>
            <w:bookmarkStart w:id="34" w:name="_Toc14009"/>
            <w:bookmarkStart w:id="35" w:name="_Toc4247_WPSOffice_Level2"/>
            <w:r>
              <w:rPr>
                <w:rFonts w:hint="eastAsia"/>
              </w:rPr>
              <w:t>运营期环境风险影响和保护措施</w:t>
            </w:r>
            <w:bookmarkEnd w:id="33"/>
          </w:p>
          <w:bookmarkEnd w:id="34"/>
          <w:bookmarkEnd w:id="35"/>
          <w:p w14:paraId="46E2B447">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项目原辅材料存在的危险物质主要为</w:t>
            </w:r>
            <w:r>
              <w:rPr>
                <w:rFonts w:hint="eastAsia" w:ascii="Times New Roman" w:hAnsi="Times New Roman" w:cs="Times New Roman"/>
                <w:b w:val="0"/>
                <w:bCs w:val="0"/>
                <w:iCs w:val="0"/>
                <w:color w:val="auto"/>
                <w:sz w:val="24"/>
                <w:lang w:eastAsia="zh-CN"/>
              </w:rPr>
              <w:t>生产过程中设备进行保养维修</w:t>
            </w:r>
            <w:r>
              <w:rPr>
                <w:rFonts w:hint="eastAsia" w:cs="Times New Roman"/>
                <w:b w:val="0"/>
                <w:bCs w:val="0"/>
                <w:iCs w:val="0"/>
                <w:color w:val="auto"/>
                <w:sz w:val="24"/>
                <w:lang w:eastAsia="zh-CN"/>
              </w:rPr>
              <w:t>使用</w:t>
            </w:r>
            <w:r>
              <w:rPr>
                <w:rFonts w:hint="eastAsia" w:cs="Times New Roman"/>
                <w:b w:val="0"/>
                <w:bCs w:val="0"/>
                <w:iCs w:val="0"/>
                <w:color w:val="auto"/>
                <w:sz w:val="24"/>
                <w:lang w:val="en-US" w:eastAsia="zh-CN"/>
              </w:rPr>
              <w:t>后产生</w:t>
            </w:r>
            <w:r>
              <w:rPr>
                <w:rFonts w:hint="eastAsia" w:ascii="Times New Roman" w:hAnsi="Times New Roman" w:cs="Times New Roman"/>
                <w:b w:val="0"/>
                <w:bCs w:val="0"/>
                <w:iCs w:val="0"/>
                <w:color w:val="auto"/>
                <w:sz w:val="24"/>
                <w:lang w:eastAsia="zh-CN"/>
              </w:rPr>
              <w:t>的</w:t>
            </w:r>
            <w:r>
              <w:rPr>
                <w:rFonts w:hint="eastAsia" w:ascii="Times New Roman" w:hAnsi="Times New Roman" w:cs="Times New Roman"/>
                <w:b w:val="0"/>
                <w:bCs w:val="0"/>
                <w:iCs w:val="0"/>
                <w:color w:val="auto"/>
                <w:sz w:val="24"/>
                <w:lang w:val="en-US" w:eastAsia="zh-CN"/>
              </w:rPr>
              <w:t>废机油。原辅材料</w:t>
            </w:r>
            <w:r>
              <w:rPr>
                <w:rFonts w:hint="eastAsia" w:cs="宋体"/>
                <w:b w:val="0"/>
                <w:bCs w:val="0"/>
                <w:iCs w:val="0"/>
                <w:color w:val="auto"/>
              </w:rPr>
              <w:t>存放于原材料仓库</w:t>
            </w:r>
            <w:r>
              <w:rPr>
                <w:rFonts w:hint="eastAsia" w:cs="宋体"/>
                <w:b w:val="0"/>
                <w:bCs w:val="0"/>
                <w:iCs w:val="0"/>
                <w:color w:val="auto"/>
                <w:lang w:eastAsia="zh-CN"/>
              </w:rPr>
              <w:t>且</w:t>
            </w:r>
            <w:r>
              <w:rPr>
                <w:rFonts w:hint="eastAsia" w:cs="宋体"/>
                <w:b w:val="0"/>
                <w:bCs w:val="0"/>
                <w:iCs w:val="0"/>
                <w:color w:val="auto"/>
              </w:rPr>
              <w:t>该部分原料在非取用时为密闭包装状态。项目产生的危险废物暂存于</w:t>
            </w:r>
            <w:r>
              <w:rPr>
                <w:rFonts w:hint="eastAsia" w:cs="宋体"/>
                <w:b w:val="0"/>
                <w:bCs w:val="0"/>
                <w:iCs w:val="0"/>
                <w:color w:val="auto"/>
                <w:lang w:eastAsia="zh-CN"/>
              </w:rPr>
              <w:t>危废贮存库</w:t>
            </w:r>
            <w:r>
              <w:rPr>
                <w:rFonts w:hint="eastAsia" w:cs="宋体"/>
                <w:b w:val="0"/>
                <w:bCs w:val="0"/>
                <w:iCs w:val="0"/>
                <w:color w:val="auto"/>
              </w:rPr>
              <w:t>。</w:t>
            </w:r>
          </w:p>
          <w:p w14:paraId="022AE2D6">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lang w:val="zh-CN"/>
              </w:rPr>
              <w:t>根据</w:t>
            </w:r>
            <w:r>
              <w:rPr>
                <w:rFonts w:hint="eastAsia" w:cs="宋体"/>
                <w:b w:val="0"/>
                <w:bCs w:val="0"/>
                <w:iCs w:val="0"/>
                <w:color w:val="auto"/>
              </w:rPr>
              <w:t>《建设项目环境风险评价技术导则》（HJ169-2018）附录C，计算所涉及的每种危险物质在厂界内的最大存在总量与其在《建设项目环境风险评价技术导则》（HJ169-2018）附录B中对应临界量的比值Q。在不同厂区的同一种物质，按其在厂界内的最大存在总量计算。当企业只涉及一种风险物质时，该物质的数量与其临界量的比值，即为Q。当企业存在多种化学物质时，则按下式计算物质总量与其临界量比值（Q）：</w:t>
            </w:r>
          </w:p>
          <w:p w14:paraId="424CD374">
            <w:pPr>
              <w:pStyle w:val="15"/>
              <w:keepNext w:val="0"/>
              <w:keepLines w:val="0"/>
              <w:suppressLineNumbers w:val="0"/>
              <w:bidi w:val="0"/>
              <w:spacing w:before="0" w:beforeAutospacing="0" w:after="0" w:afterAutospacing="0"/>
              <w:ind w:left="0" w:right="0"/>
              <w:jc w:val="center"/>
            </w:pPr>
            <w:r>
              <w:drawing>
                <wp:inline distT="0" distB="0" distL="114300" distR="114300">
                  <wp:extent cx="1903730" cy="464185"/>
                  <wp:effectExtent l="0" t="0" r="1270" b="12065"/>
                  <wp:docPr id="128" name="图片 3" descr="C:\Users\admin\AppData\Roaming\Tencent\Users\506048567\QQ\WinTemp\RichOle\`_O{@QX45~6E2EU4~BK~(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descr="C:\Users\admin\AppData\Roaming\Tencent\Users\506048567\QQ\WinTemp\RichOle\`_O{@QX45~6E2EU4~BK~(ZR.png"/>
                          <pic:cNvPicPr>
                            <a:picLocks noChangeAspect="1"/>
                          </pic:cNvPicPr>
                        </pic:nvPicPr>
                        <pic:blipFill>
                          <a:blip r:embed="rId48" cstate="email"/>
                          <a:stretch>
                            <a:fillRect/>
                          </a:stretch>
                        </pic:blipFill>
                        <pic:spPr>
                          <a:xfrm>
                            <a:off x="0" y="0"/>
                            <a:ext cx="1903730" cy="464185"/>
                          </a:xfrm>
                          <a:prstGeom prst="rect">
                            <a:avLst/>
                          </a:prstGeom>
                          <a:noFill/>
                          <a:ln>
                            <a:noFill/>
                          </a:ln>
                        </pic:spPr>
                      </pic:pic>
                    </a:graphicData>
                  </a:graphic>
                </wp:inline>
              </w:drawing>
            </w:r>
          </w:p>
          <w:p w14:paraId="1858ED53">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式中：q</w:t>
            </w:r>
            <w:r>
              <w:rPr>
                <w:rFonts w:hint="eastAsia" w:cs="宋体"/>
                <w:b w:val="0"/>
                <w:bCs w:val="0"/>
                <w:iCs w:val="0"/>
                <w:color w:val="auto"/>
                <w:vertAlign w:val="subscript"/>
              </w:rPr>
              <w:t>1</w:t>
            </w:r>
            <w:r>
              <w:rPr>
                <w:rFonts w:hint="eastAsia" w:cs="宋体"/>
                <w:b w:val="0"/>
                <w:bCs w:val="0"/>
                <w:iCs w:val="0"/>
                <w:color w:val="auto"/>
              </w:rPr>
              <w:t>，q</w:t>
            </w:r>
            <w:r>
              <w:rPr>
                <w:rFonts w:hint="eastAsia" w:cs="宋体"/>
                <w:b w:val="0"/>
                <w:bCs w:val="0"/>
                <w:iCs w:val="0"/>
                <w:color w:val="auto"/>
                <w:vertAlign w:val="subscript"/>
              </w:rPr>
              <w:t>2</w:t>
            </w:r>
            <w:r>
              <w:rPr>
                <w:rFonts w:hint="eastAsia" w:cs="宋体"/>
                <w:b w:val="0"/>
                <w:bCs w:val="0"/>
                <w:iCs w:val="0"/>
                <w:color w:val="auto"/>
              </w:rPr>
              <w:t>，...，q</w:t>
            </w:r>
            <w:r>
              <w:rPr>
                <w:rFonts w:hint="eastAsia" w:cs="宋体"/>
                <w:b w:val="0"/>
                <w:bCs w:val="0"/>
                <w:iCs w:val="0"/>
                <w:color w:val="auto"/>
                <w:vertAlign w:val="subscript"/>
              </w:rPr>
              <w:t>n</w:t>
            </w:r>
            <w:r>
              <w:rPr>
                <w:rFonts w:hint="eastAsia" w:cs="宋体"/>
                <w:b w:val="0"/>
                <w:bCs w:val="0"/>
                <w:iCs w:val="0"/>
                <w:color w:val="auto"/>
              </w:rPr>
              <w:t>——每种风险物质的存在量，t；</w:t>
            </w:r>
          </w:p>
          <w:p w14:paraId="26954E03">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Q</w:t>
            </w:r>
            <w:r>
              <w:rPr>
                <w:rFonts w:hint="eastAsia" w:cs="宋体"/>
                <w:b w:val="0"/>
                <w:bCs w:val="0"/>
                <w:iCs w:val="0"/>
                <w:color w:val="auto"/>
                <w:vertAlign w:val="subscript"/>
              </w:rPr>
              <w:t>1</w:t>
            </w:r>
            <w:r>
              <w:rPr>
                <w:rFonts w:hint="eastAsia" w:cs="宋体"/>
                <w:b w:val="0"/>
                <w:bCs w:val="0"/>
                <w:iCs w:val="0"/>
                <w:color w:val="auto"/>
              </w:rPr>
              <w:t>，Q</w:t>
            </w:r>
            <w:r>
              <w:rPr>
                <w:rFonts w:hint="eastAsia" w:cs="宋体"/>
                <w:b w:val="0"/>
                <w:bCs w:val="0"/>
                <w:iCs w:val="0"/>
                <w:color w:val="auto"/>
                <w:vertAlign w:val="subscript"/>
              </w:rPr>
              <w:t>2</w:t>
            </w:r>
            <w:r>
              <w:rPr>
                <w:rFonts w:hint="eastAsia" w:cs="宋体"/>
                <w:b w:val="0"/>
                <w:bCs w:val="0"/>
                <w:iCs w:val="0"/>
                <w:color w:val="auto"/>
              </w:rPr>
              <w:t>，...，Q</w:t>
            </w:r>
            <w:r>
              <w:rPr>
                <w:rFonts w:hint="eastAsia" w:cs="宋体"/>
                <w:b w:val="0"/>
                <w:bCs w:val="0"/>
                <w:iCs w:val="0"/>
                <w:color w:val="auto"/>
                <w:vertAlign w:val="subscript"/>
              </w:rPr>
              <w:t>n</w:t>
            </w:r>
            <w:r>
              <w:rPr>
                <w:rFonts w:hint="eastAsia" w:cs="宋体"/>
                <w:b w:val="0"/>
                <w:bCs w:val="0"/>
                <w:iCs w:val="0"/>
                <w:color w:val="auto"/>
              </w:rPr>
              <w:t>——每种风险物质的临界量，t。</w:t>
            </w:r>
          </w:p>
          <w:p w14:paraId="48DEA028">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当Q＜1时，该项目环境风险潜势为</w:t>
            </w:r>
            <w:r>
              <w:rPr>
                <w:rFonts w:hint="eastAsia" w:cs="宋体"/>
                <w:b w:val="0"/>
                <w:bCs w:val="0"/>
                <w:iCs w:val="0"/>
                <w:color w:val="auto"/>
              </w:rPr>
              <w:fldChar w:fldCharType="begin"/>
            </w:r>
            <w:r>
              <w:rPr>
                <w:rFonts w:hint="eastAsia" w:cs="宋体"/>
                <w:b w:val="0"/>
                <w:bCs w:val="0"/>
                <w:iCs w:val="0"/>
                <w:color w:val="auto"/>
              </w:rPr>
              <w:instrText xml:space="preserve"> = 1 \* ROMAN </w:instrText>
            </w:r>
            <w:r>
              <w:rPr>
                <w:rFonts w:hint="eastAsia" w:cs="宋体"/>
                <w:b w:val="0"/>
                <w:bCs w:val="0"/>
                <w:iCs w:val="0"/>
                <w:color w:val="auto"/>
              </w:rPr>
              <w:fldChar w:fldCharType="separate"/>
            </w:r>
            <w:r>
              <w:rPr>
                <w:rFonts w:hint="eastAsia" w:cs="宋体"/>
                <w:b w:val="0"/>
                <w:bCs w:val="0"/>
                <w:iCs w:val="0"/>
                <w:color w:val="auto"/>
              </w:rPr>
              <w:t>I</w:t>
            </w:r>
            <w:r>
              <w:rPr>
                <w:rFonts w:hint="eastAsia" w:cs="宋体"/>
                <w:b w:val="0"/>
                <w:bCs w:val="0"/>
                <w:iCs w:val="0"/>
                <w:color w:val="auto"/>
              </w:rPr>
              <w:fldChar w:fldCharType="end"/>
            </w:r>
            <w:r>
              <w:rPr>
                <w:rFonts w:hint="eastAsia" w:cs="宋体"/>
                <w:b w:val="0"/>
                <w:bCs w:val="0"/>
                <w:iCs w:val="0"/>
                <w:color w:val="auto"/>
              </w:rPr>
              <w:t>。</w:t>
            </w:r>
          </w:p>
          <w:p w14:paraId="1FB2FAEC">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当Q≥1时，将Q值划分为：（1）1≤Q＜10；（2）10≤Q＜100；（3）Q≥100。</w:t>
            </w:r>
          </w:p>
          <w:p w14:paraId="3050E1CA">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lang w:val="zh-CN"/>
              </w:rPr>
              <w:t>本项目涉及的危险物质情况及临界量比值详见表</w:t>
            </w:r>
            <w:r>
              <w:rPr>
                <w:rFonts w:hint="eastAsia" w:cs="宋体"/>
                <w:b w:val="0"/>
                <w:bCs w:val="0"/>
                <w:iCs w:val="0"/>
                <w:color w:val="auto"/>
              </w:rPr>
              <w:t>4.6-</w:t>
            </w:r>
            <w:r>
              <w:rPr>
                <w:rFonts w:hint="eastAsia" w:cs="宋体"/>
                <w:b w:val="0"/>
                <w:bCs w:val="0"/>
                <w:iCs w:val="0"/>
                <w:color w:val="auto"/>
                <w:lang w:val="en-US" w:eastAsia="zh-CN"/>
              </w:rPr>
              <w:t>1</w:t>
            </w:r>
            <w:r>
              <w:rPr>
                <w:rFonts w:hint="eastAsia" w:cs="宋体"/>
                <w:b w:val="0"/>
                <w:bCs w:val="0"/>
                <w:iCs w:val="0"/>
                <w:color w:val="auto"/>
                <w:lang w:val="zh-CN"/>
              </w:rPr>
              <w:t>。</w:t>
            </w:r>
          </w:p>
          <w:p w14:paraId="29F2C2BF">
            <w:pPr>
              <w:pStyle w:val="40"/>
              <w:keepNext w:val="0"/>
              <w:keepLines w:val="0"/>
              <w:suppressLineNumbers w:val="0"/>
              <w:bidi w:val="0"/>
              <w:spacing w:before="0" w:beforeAutospacing="0" w:after="0" w:afterAutospacing="0"/>
              <w:ind w:left="0" w:right="0"/>
              <w:rPr>
                <w:rFonts w:hint="eastAsia"/>
              </w:rPr>
            </w:pPr>
            <w:r>
              <w:rPr>
                <w:rFonts w:hint="eastAsia"/>
              </w:rPr>
              <w:t>表4.6-</w:t>
            </w:r>
            <w:r>
              <w:rPr>
                <w:rFonts w:hint="eastAsia"/>
                <w:lang w:val="en-US" w:eastAsia="zh-CN"/>
              </w:rPr>
              <w:t>1</w:t>
            </w:r>
            <w:r>
              <w:rPr>
                <w:rFonts w:hint="eastAsia"/>
              </w:rPr>
              <w:t xml:space="preserve">  危险物质储存情况及临界量比值</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429"/>
              <w:gridCol w:w="784"/>
              <w:gridCol w:w="1091"/>
              <w:gridCol w:w="1491"/>
              <w:gridCol w:w="712"/>
              <w:gridCol w:w="910"/>
              <w:gridCol w:w="1093"/>
            </w:tblGrid>
            <w:tr w14:paraId="5768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dxa"/>
                  <w:tcBorders>
                    <w:top w:val="single" w:color="000000" w:sz="12" w:space="0"/>
                    <w:left w:val="nil"/>
                    <w:bottom w:val="single" w:color="auto" w:sz="4" w:space="0"/>
                    <w:right w:val="single" w:color="auto" w:sz="4" w:space="0"/>
                    <w:tl2br w:val="nil"/>
                  </w:tcBorders>
                  <w:shd w:val="clear" w:color="auto" w:fill="auto"/>
                  <w:vAlign w:val="center"/>
                </w:tcPr>
                <w:p w14:paraId="7D866542">
                  <w:pPr>
                    <w:pStyle w:val="39"/>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序号</w:t>
                  </w:r>
                </w:p>
              </w:tc>
              <w:tc>
                <w:tcPr>
                  <w:tcW w:w="1429" w:type="dxa"/>
                  <w:tcBorders>
                    <w:top w:val="single" w:color="000000" w:sz="12" w:space="0"/>
                    <w:left w:val="single" w:color="auto" w:sz="4" w:space="0"/>
                    <w:bottom w:val="single" w:color="auto" w:sz="4" w:space="0"/>
                    <w:right w:val="single" w:color="auto" w:sz="4" w:space="0"/>
                  </w:tcBorders>
                  <w:shd w:val="clear" w:color="auto" w:fill="auto"/>
                  <w:vAlign w:val="center"/>
                </w:tcPr>
                <w:p w14:paraId="6334F28A">
                  <w:pPr>
                    <w:pStyle w:val="39"/>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风险物质</w:t>
                  </w:r>
                </w:p>
              </w:tc>
              <w:tc>
                <w:tcPr>
                  <w:tcW w:w="784" w:type="dxa"/>
                  <w:tcBorders>
                    <w:top w:val="single" w:color="000000" w:sz="12" w:space="0"/>
                    <w:left w:val="single" w:color="auto" w:sz="4" w:space="0"/>
                    <w:bottom w:val="single" w:color="auto" w:sz="4" w:space="0"/>
                    <w:right w:val="single" w:color="auto" w:sz="4" w:space="0"/>
                  </w:tcBorders>
                  <w:shd w:val="clear" w:color="auto" w:fill="auto"/>
                  <w:vAlign w:val="center"/>
                </w:tcPr>
                <w:p w14:paraId="4D1B108E">
                  <w:pPr>
                    <w:pStyle w:val="39"/>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危险物质成分</w:t>
                  </w:r>
                </w:p>
              </w:tc>
              <w:tc>
                <w:tcPr>
                  <w:tcW w:w="1091" w:type="dxa"/>
                  <w:tcBorders>
                    <w:top w:val="single" w:color="000000" w:sz="12" w:space="0"/>
                    <w:left w:val="single" w:color="auto" w:sz="4" w:space="0"/>
                    <w:bottom w:val="single" w:color="auto" w:sz="4" w:space="0"/>
                    <w:right w:val="single" w:color="auto" w:sz="4" w:space="0"/>
                  </w:tcBorders>
                  <w:shd w:val="clear" w:color="auto" w:fill="auto"/>
                  <w:vAlign w:val="center"/>
                </w:tcPr>
                <w:p w14:paraId="2853BA8D">
                  <w:pPr>
                    <w:pStyle w:val="39"/>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成分含量</w:t>
                  </w:r>
                </w:p>
              </w:tc>
              <w:tc>
                <w:tcPr>
                  <w:tcW w:w="1491" w:type="dxa"/>
                  <w:tcBorders>
                    <w:top w:val="single" w:color="000000" w:sz="12" w:space="0"/>
                    <w:left w:val="single" w:color="auto" w:sz="4" w:space="0"/>
                    <w:bottom w:val="single" w:color="auto" w:sz="4" w:space="0"/>
                    <w:right w:val="single" w:color="auto" w:sz="4" w:space="0"/>
                  </w:tcBorders>
                  <w:shd w:val="clear" w:color="auto" w:fill="auto"/>
                  <w:vAlign w:val="center"/>
                </w:tcPr>
                <w:p w14:paraId="11E1490E">
                  <w:pPr>
                    <w:pStyle w:val="39"/>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最大贮存量</w:t>
                  </w:r>
                  <w:r>
                    <w:rPr>
                      <w:rFonts w:hint="default"/>
                      <w:b w:val="0"/>
                      <w:color w:val="000000"/>
                      <w:szCs w:val="22"/>
                      <w:lang w:val="en-US" w:eastAsia="zh-CN"/>
                    </w:rPr>
                    <w:t>/</w:t>
                  </w:r>
                  <w:r>
                    <w:rPr>
                      <w:rFonts w:hint="eastAsia"/>
                      <w:b w:val="0"/>
                      <w:color w:val="000000"/>
                      <w:szCs w:val="22"/>
                      <w:lang w:val="en-US" w:eastAsia="zh-CN"/>
                    </w:rPr>
                    <w:t>最大在线量（</w:t>
                  </w:r>
                  <w:r>
                    <w:rPr>
                      <w:rFonts w:hint="default"/>
                      <w:b w:val="0"/>
                      <w:color w:val="000000"/>
                      <w:szCs w:val="22"/>
                      <w:lang w:val="en-US" w:eastAsia="zh-CN"/>
                    </w:rPr>
                    <w:t>t</w:t>
                  </w:r>
                  <w:r>
                    <w:rPr>
                      <w:rFonts w:hint="eastAsia"/>
                      <w:b w:val="0"/>
                      <w:color w:val="000000"/>
                      <w:szCs w:val="22"/>
                      <w:lang w:val="en-US" w:eastAsia="zh-CN"/>
                    </w:rPr>
                    <w:t>）</w:t>
                  </w:r>
                </w:p>
              </w:tc>
              <w:tc>
                <w:tcPr>
                  <w:tcW w:w="712" w:type="dxa"/>
                  <w:tcBorders>
                    <w:top w:val="single" w:color="000000" w:sz="12" w:space="0"/>
                    <w:left w:val="single" w:color="auto" w:sz="4" w:space="0"/>
                    <w:bottom w:val="single" w:color="auto" w:sz="4" w:space="0"/>
                    <w:right w:val="single" w:color="auto" w:sz="4" w:space="0"/>
                  </w:tcBorders>
                  <w:shd w:val="clear" w:color="auto" w:fill="auto"/>
                  <w:vAlign w:val="center"/>
                </w:tcPr>
                <w:p w14:paraId="082A433B">
                  <w:pPr>
                    <w:pStyle w:val="39"/>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贮存位置</w:t>
                  </w:r>
                </w:p>
              </w:tc>
              <w:tc>
                <w:tcPr>
                  <w:tcW w:w="910" w:type="dxa"/>
                  <w:tcBorders>
                    <w:top w:val="single" w:color="000000" w:sz="12" w:space="0"/>
                    <w:left w:val="single" w:color="auto" w:sz="4" w:space="0"/>
                    <w:bottom w:val="single" w:color="auto" w:sz="4" w:space="0"/>
                    <w:right w:val="single" w:color="auto" w:sz="4" w:space="0"/>
                  </w:tcBorders>
                  <w:shd w:val="clear" w:color="auto" w:fill="auto"/>
                  <w:vAlign w:val="center"/>
                </w:tcPr>
                <w:p w14:paraId="4849DC77">
                  <w:pPr>
                    <w:pStyle w:val="39"/>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临界量（</w:t>
                  </w:r>
                  <w:r>
                    <w:rPr>
                      <w:rFonts w:hint="default"/>
                      <w:b w:val="0"/>
                      <w:color w:val="000000"/>
                      <w:szCs w:val="22"/>
                      <w:lang w:val="en-US" w:eastAsia="zh-CN"/>
                    </w:rPr>
                    <w:t>t</w:t>
                  </w:r>
                  <w:r>
                    <w:rPr>
                      <w:rFonts w:hint="eastAsia"/>
                      <w:b w:val="0"/>
                      <w:color w:val="000000"/>
                      <w:szCs w:val="22"/>
                      <w:lang w:val="en-US" w:eastAsia="zh-CN"/>
                    </w:rPr>
                    <w:t>）</w:t>
                  </w:r>
                </w:p>
              </w:tc>
              <w:tc>
                <w:tcPr>
                  <w:tcW w:w="1093" w:type="dxa"/>
                  <w:tcBorders>
                    <w:top w:val="single" w:color="000000" w:sz="12" w:space="0"/>
                    <w:left w:val="single" w:color="auto" w:sz="4" w:space="0"/>
                    <w:bottom w:val="single" w:color="auto" w:sz="4" w:space="0"/>
                    <w:right w:val="nil"/>
                  </w:tcBorders>
                  <w:shd w:val="clear" w:color="auto" w:fill="auto"/>
                  <w:vAlign w:val="center"/>
                </w:tcPr>
                <w:p w14:paraId="319A2408">
                  <w:pPr>
                    <w:pStyle w:val="39"/>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临界量比值</w:t>
                  </w:r>
                </w:p>
              </w:tc>
            </w:tr>
            <w:tr w14:paraId="70B6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dxa"/>
                  <w:tcBorders>
                    <w:top w:val="single" w:color="auto" w:sz="4" w:space="0"/>
                    <w:left w:val="nil"/>
                    <w:bottom w:val="single" w:color="auto" w:sz="4" w:space="0"/>
                    <w:right w:val="single" w:color="auto" w:sz="4" w:space="0"/>
                  </w:tcBorders>
                  <w:shd w:val="clear" w:color="auto" w:fill="auto"/>
                  <w:vAlign w:val="center"/>
                </w:tcPr>
                <w:p w14:paraId="43E9F79E">
                  <w:pPr>
                    <w:pStyle w:val="39"/>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1</w:t>
                  </w:r>
                </w:p>
              </w:tc>
              <w:tc>
                <w:tcPr>
                  <w:tcW w:w="1429" w:type="dxa"/>
                  <w:tcBorders>
                    <w:top w:val="single" w:color="auto" w:sz="4" w:space="0"/>
                    <w:left w:val="single" w:color="auto" w:sz="4" w:space="0"/>
                    <w:bottom w:val="single" w:color="auto" w:sz="4" w:space="0"/>
                    <w:right w:val="single" w:color="auto" w:sz="4" w:space="0"/>
                  </w:tcBorders>
                  <w:shd w:val="clear" w:color="auto" w:fill="auto"/>
                  <w:vAlign w:val="center"/>
                </w:tcPr>
                <w:p w14:paraId="7D847E9D">
                  <w:pPr>
                    <w:pStyle w:val="39"/>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废机油</w:t>
                  </w:r>
                </w:p>
              </w:tc>
              <w:tc>
                <w:tcPr>
                  <w:tcW w:w="784" w:type="dxa"/>
                  <w:tcBorders>
                    <w:top w:val="single" w:color="auto" w:sz="4" w:space="0"/>
                    <w:left w:val="single" w:color="auto" w:sz="4" w:space="0"/>
                    <w:bottom w:val="single" w:color="auto" w:sz="4" w:space="0"/>
                    <w:right w:val="single" w:color="auto" w:sz="4" w:space="0"/>
                  </w:tcBorders>
                  <w:shd w:val="clear" w:color="auto" w:fill="auto"/>
                  <w:vAlign w:val="center"/>
                </w:tcPr>
                <w:p w14:paraId="71602227">
                  <w:pPr>
                    <w:pStyle w:val="39"/>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油类物质</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0E0C3D04">
                  <w:pPr>
                    <w:pStyle w:val="39"/>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default"/>
                      <w:b w:val="0"/>
                      <w:color w:val="000000"/>
                      <w:szCs w:val="22"/>
                      <w:lang w:val="en-US" w:eastAsia="zh-CN"/>
                    </w:rPr>
                    <w:t>/</w:t>
                  </w:r>
                </w:p>
              </w:tc>
              <w:tc>
                <w:tcPr>
                  <w:tcW w:w="1491" w:type="dxa"/>
                  <w:tcBorders>
                    <w:top w:val="single" w:color="auto" w:sz="4" w:space="0"/>
                    <w:left w:val="single" w:color="auto" w:sz="4" w:space="0"/>
                    <w:bottom w:val="single" w:color="auto" w:sz="4" w:space="0"/>
                    <w:right w:val="single" w:color="auto" w:sz="4" w:space="0"/>
                  </w:tcBorders>
                  <w:shd w:val="clear" w:color="auto" w:fill="auto"/>
                  <w:vAlign w:val="center"/>
                </w:tcPr>
                <w:p w14:paraId="304E814C">
                  <w:pPr>
                    <w:pStyle w:val="39"/>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default"/>
                      <w:b w:val="0"/>
                      <w:color w:val="000000"/>
                      <w:szCs w:val="22"/>
                      <w:lang w:val="en-US" w:eastAsia="zh-CN"/>
                    </w:rPr>
                    <w:t>0.01</w:t>
                  </w:r>
                </w:p>
              </w:tc>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0905FB64">
                  <w:pPr>
                    <w:pStyle w:val="39"/>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危废贮存库</w:t>
                  </w:r>
                </w:p>
              </w:tc>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5D2EAA0A">
                  <w:pPr>
                    <w:pStyle w:val="39"/>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default"/>
                      <w:b w:val="0"/>
                      <w:color w:val="000000"/>
                      <w:szCs w:val="22"/>
                      <w:lang w:val="en-US" w:eastAsia="zh-CN"/>
                    </w:rPr>
                    <w:t>2500</w:t>
                  </w:r>
                </w:p>
              </w:tc>
              <w:tc>
                <w:tcPr>
                  <w:tcW w:w="1093" w:type="dxa"/>
                  <w:tcBorders>
                    <w:top w:val="single" w:color="auto" w:sz="4" w:space="0"/>
                    <w:left w:val="single" w:color="auto" w:sz="4" w:space="0"/>
                    <w:bottom w:val="single" w:color="auto" w:sz="4" w:space="0"/>
                    <w:right w:val="nil"/>
                  </w:tcBorders>
                  <w:shd w:val="clear" w:color="auto" w:fill="auto"/>
                  <w:vAlign w:val="center"/>
                </w:tcPr>
                <w:p w14:paraId="7BE6273A">
                  <w:pPr>
                    <w:pStyle w:val="39"/>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default"/>
                      <w:b w:val="0"/>
                      <w:color w:val="000000"/>
                      <w:szCs w:val="22"/>
                      <w:lang w:val="en-US" w:eastAsia="zh-CN"/>
                    </w:rPr>
                    <w:t>0.000004</w:t>
                  </w:r>
                </w:p>
              </w:tc>
            </w:tr>
            <w:tr w14:paraId="562C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5" w:type="dxa"/>
                  <w:gridSpan w:val="7"/>
                  <w:tcBorders>
                    <w:top w:val="single" w:color="auto" w:sz="4" w:space="0"/>
                    <w:left w:val="nil"/>
                    <w:bottom w:val="single" w:color="000000" w:sz="12" w:space="0"/>
                    <w:right w:val="single" w:color="auto" w:sz="4" w:space="0"/>
                  </w:tcBorders>
                  <w:shd w:val="clear" w:color="auto" w:fill="auto"/>
                  <w:vAlign w:val="center"/>
                </w:tcPr>
                <w:p w14:paraId="49CC9A07">
                  <w:pPr>
                    <w:pStyle w:val="39"/>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lang w:val="en-US" w:eastAsia="zh-CN"/>
                    </w:rPr>
                    <w:t>总计</w:t>
                  </w:r>
                </w:p>
              </w:tc>
              <w:tc>
                <w:tcPr>
                  <w:tcW w:w="1093" w:type="dxa"/>
                  <w:tcBorders>
                    <w:top w:val="single" w:color="auto" w:sz="4" w:space="0"/>
                    <w:left w:val="single" w:color="auto" w:sz="4" w:space="0"/>
                    <w:bottom w:val="single" w:color="000000" w:sz="12" w:space="0"/>
                    <w:right w:val="nil"/>
                  </w:tcBorders>
                  <w:shd w:val="clear" w:color="auto" w:fill="auto"/>
                  <w:vAlign w:val="center"/>
                </w:tcPr>
                <w:p w14:paraId="12536580">
                  <w:pPr>
                    <w:pStyle w:val="39"/>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default"/>
                      <w:b w:val="0"/>
                      <w:color w:val="000000"/>
                      <w:szCs w:val="22"/>
                      <w:lang w:val="en-US" w:eastAsia="zh-CN"/>
                    </w:rPr>
                    <w:t>0.000004</w:t>
                  </w:r>
                </w:p>
              </w:tc>
            </w:tr>
          </w:tbl>
          <w:p w14:paraId="068E1FC1">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由表可知项目危险物质的临界量比值Q=</w:t>
            </w:r>
            <w:r>
              <w:rPr>
                <w:rFonts w:hint="default"/>
                <w:b w:val="0"/>
                <w:color w:val="000000"/>
                <w:lang w:val="en-US" w:eastAsia="zh-CN"/>
              </w:rPr>
              <w:t>0.000004</w:t>
            </w:r>
            <w:r>
              <w:rPr>
                <w:rFonts w:hint="eastAsia" w:cs="宋体"/>
                <w:b w:val="0"/>
                <w:bCs w:val="0"/>
                <w:iCs w:val="0"/>
                <w:color w:val="auto"/>
              </w:rPr>
              <w:t>＜1，项目环境风险潜势为</w:t>
            </w:r>
            <w:r>
              <w:rPr>
                <w:rFonts w:hint="eastAsia"/>
                <w:b w:val="0"/>
                <w:bCs w:val="0"/>
                <w:iCs w:val="0"/>
                <w:color w:val="auto"/>
              </w:rPr>
              <w:t>Ⅰ</w:t>
            </w:r>
            <w:r>
              <w:rPr>
                <w:rFonts w:hint="eastAsia" w:cs="宋体"/>
                <w:b w:val="0"/>
                <w:bCs w:val="0"/>
                <w:iCs w:val="0"/>
                <w:color w:val="auto"/>
              </w:rPr>
              <w:t>。</w:t>
            </w:r>
          </w:p>
          <w:p w14:paraId="1564EF41">
            <w:pPr>
              <w:pStyle w:val="4"/>
              <w:suppressLineNumbers w:val="0"/>
              <w:tabs>
                <w:tab w:val="left" w:pos="420"/>
                <w:tab w:val="clear" w:pos="0"/>
              </w:tabs>
              <w:bidi w:val="0"/>
              <w:spacing w:before="0" w:beforeAutospacing="0" w:after="0" w:afterAutospacing="0"/>
              <w:ind w:left="0" w:right="0"/>
              <w:rPr>
                <w:rFonts w:hint="eastAsia"/>
              </w:rPr>
            </w:pPr>
            <w:r>
              <w:rPr>
                <w:rFonts w:hint="eastAsia"/>
              </w:rPr>
              <w:t>环境风险潜势初判</w:t>
            </w:r>
          </w:p>
          <w:p w14:paraId="5C3B56AB">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根据《建设项目环境风险评价技术导则》（HJ 169-2018），环境风险评价工作等级划分详见下表4.6-</w:t>
            </w:r>
            <w:r>
              <w:rPr>
                <w:rFonts w:hint="eastAsia" w:cs="宋体"/>
                <w:b w:val="0"/>
                <w:bCs w:val="0"/>
                <w:iCs w:val="0"/>
                <w:color w:val="auto"/>
                <w:lang w:val="en-US" w:eastAsia="zh-CN"/>
              </w:rPr>
              <w:t>2</w:t>
            </w:r>
            <w:r>
              <w:rPr>
                <w:rFonts w:hint="eastAsia" w:cs="宋体"/>
                <w:b w:val="0"/>
                <w:bCs w:val="0"/>
                <w:iCs w:val="0"/>
                <w:color w:val="auto"/>
              </w:rPr>
              <w:t>。</w:t>
            </w:r>
          </w:p>
          <w:p w14:paraId="674FA9DB">
            <w:pPr>
              <w:pStyle w:val="40"/>
              <w:keepNext w:val="0"/>
              <w:keepLines w:val="0"/>
              <w:suppressLineNumbers w:val="0"/>
              <w:bidi w:val="0"/>
              <w:spacing w:before="0" w:beforeAutospacing="0" w:after="0" w:afterAutospacing="0"/>
              <w:ind w:left="0" w:right="0"/>
              <w:rPr>
                <w:rFonts w:hint="eastAsia"/>
              </w:rPr>
            </w:pPr>
            <w:r>
              <w:rPr>
                <w:rFonts w:hint="eastAsia"/>
              </w:rPr>
              <w:t>表4.6-</w:t>
            </w:r>
            <w:r>
              <w:rPr>
                <w:rFonts w:hint="eastAsia"/>
                <w:lang w:val="en-US" w:eastAsia="zh-CN"/>
              </w:rPr>
              <w:t>2</w:t>
            </w:r>
            <w:r>
              <w:rPr>
                <w:rFonts w:hint="eastAsia"/>
              </w:rPr>
              <w:t xml:space="preserve">  评价工作等级划分</w:t>
            </w:r>
          </w:p>
          <w:tbl>
            <w:tblPr>
              <w:tblStyle w:val="30"/>
              <w:tblW w:w="7902"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63"/>
              <w:gridCol w:w="1303"/>
              <w:gridCol w:w="1653"/>
              <w:gridCol w:w="1654"/>
              <w:gridCol w:w="1229"/>
            </w:tblGrid>
            <w:tr w14:paraId="1CA2942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2063" w:type="dxa"/>
                  <w:vAlign w:val="center"/>
                </w:tcPr>
                <w:p w14:paraId="76341CFC">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环境风险潜势</w:t>
                  </w:r>
                </w:p>
              </w:tc>
              <w:tc>
                <w:tcPr>
                  <w:tcW w:w="1303" w:type="dxa"/>
                  <w:vAlign w:val="center"/>
                </w:tcPr>
                <w:p w14:paraId="4848D500">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Ⅳ、Ⅳ+</w:t>
                  </w:r>
                </w:p>
              </w:tc>
              <w:tc>
                <w:tcPr>
                  <w:tcW w:w="1653" w:type="dxa"/>
                  <w:vAlign w:val="center"/>
                </w:tcPr>
                <w:p w14:paraId="2D2038BE">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Ⅲ</w:t>
                  </w:r>
                </w:p>
              </w:tc>
              <w:tc>
                <w:tcPr>
                  <w:tcW w:w="1654" w:type="dxa"/>
                  <w:vAlign w:val="center"/>
                </w:tcPr>
                <w:p w14:paraId="482D9F66">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Ⅱ</w:t>
                  </w:r>
                </w:p>
              </w:tc>
              <w:tc>
                <w:tcPr>
                  <w:tcW w:w="1229" w:type="dxa"/>
                  <w:vAlign w:val="center"/>
                </w:tcPr>
                <w:p w14:paraId="1948E5BF">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Ⅰ</w:t>
                  </w:r>
                </w:p>
              </w:tc>
            </w:tr>
            <w:tr w14:paraId="6383C43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2063" w:type="dxa"/>
                  <w:vAlign w:val="center"/>
                </w:tcPr>
                <w:p w14:paraId="24194AE5">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评价工作等级</w:t>
                  </w:r>
                </w:p>
              </w:tc>
              <w:tc>
                <w:tcPr>
                  <w:tcW w:w="1303" w:type="dxa"/>
                  <w:vAlign w:val="center"/>
                </w:tcPr>
                <w:p w14:paraId="795B00AA">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一</w:t>
                  </w:r>
                </w:p>
              </w:tc>
              <w:tc>
                <w:tcPr>
                  <w:tcW w:w="1653" w:type="dxa"/>
                  <w:vAlign w:val="center"/>
                </w:tcPr>
                <w:p w14:paraId="333572EB">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二</w:t>
                  </w:r>
                </w:p>
              </w:tc>
              <w:tc>
                <w:tcPr>
                  <w:tcW w:w="1654" w:type="dxa"/>
                  <w:vAlign w:val="center"/>
                </w:tcPr>
                <w:p w14:paraId="24867046">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三</w:t>
                  </w:r>
                </w:p>
              </w:tc>
              <w:tc>
                <w:tcPr>
                  <w:tcW w:w="1229" w:type="dxa"/>
                  <w:vAlign w:val="center"/>
                </w:tcPr>
                <w:p w14:paraId="548DEB2B">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简单分析a</w:t>
                  </w:r>
                </w:p>
              </w:tc>
            </w:tr>
            <w:tr w14:paraId="57B6CBE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7902" w:type="dxa"/>
                  <w:gridSpan w:val="5"/>
                  <w:vAlign w:val="center"/>
                </w:tcPr>
                <w:p w14:paraId="510C160D">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a</w:t>
                  </w:r>
                  <w:r>
                    <w:rPr>
                      <w:rFonts w:hint="eastAsia"/>
                      <w:b w:val="0"/>
                      <w:bCs w:val="0"/>
                      <w:szCs w:val="22"/>
                      <w:lang w:eastAsia="zh-CN"/>
                    </w:rPr>
                    <w:t>.</w:t>
                  </w:r>
                  <w:r>
                    <w:rPr>
                      <w:rFonts w:hint="eastAsia"/>
                      <w:b w:val="0"/>
                      <w:bCs w:val="0"/>
                      <w:szCs w:val="22"/>
                    </w:rPr>
                    <w:t>相对于详细评价工作内容而言，在描述危险物质、环境影响途径、环境危害后果、风险防范措施等方面给出定性的说明。</w:t>
                  </w:r>
                </w:p>
              </w:tc>
            </w:tr>
          </w:tbl>
          <w:p w14:paraId="1AB985A9">
            <w:pPr>
              <w:pStyle w:val="4"/>
              <w:suppressLineNumbers w:val="0"/>
              <w:tabs>
                <w:tab w:val="left" w:pos="420"/>
                <w:tab w:val="clear" w:pos="0"/>
              </w:tabs>
              <w:bidi w:val="0"/>
              <w:spacing w:before="0" w:beforeAutospacing="0" w:after="0" w:afterAutospacing="0"/>
              <w:ind w:left="0" w:right="0"/>
              <w:rPr>
                <w:rFonts w:hint="eastAsia"/>
              </w:rPr>
            </w:pPr>
            <w:r>
              <w:rPr>
                <w:rFonts w:hint="eastAsia"/>
              </w:rPr>
              <w:t>环境风险识别</w:t>
            </w:r>
          </w:p>
          <w:p w14:paraId="5A4959F8">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本项目可能发生的事故主要有：火灾爆炸事故、废水事故性排放等。根据风险识别，本项目主要存在的事故类型见表4.6-</w:t>
            </w:r>
            <w:r>
              <w:rPr>
                <w:rFonts w:hint="eastAsia" w:cs="宋体"/>
                <w:b w:val="0"/>
                <w:bCs w:val="0"/>
                <w:iCs w:val="0"/>
                <w:color w:val="auto"/>
                <w:lang w:val="en-US" w:eastAsia="zh-CN"/>
              </w:rPr>
              <w:t>3</w:t>
            </w:r>
            <w:r>
              <w:rPr>
                <w:rFonts w:hint="eastAsia" w:cs="宋体"/>
                <w:b w:val="0"/>
                <w:bCs w:val="0"/>
                <w:iCs w:val="0"/>
                <w:color w:val="auto"/>
              </w:rPr>
              <w:t>。</w:t>
            </w:r>
          </w:p>
          <w:p w14:paraId="4B0D5410">
            <w:pPr>
              <w:pStyle w:val="40"/>
              <w:keepNext w:val="0"/>
              <w:keepLines w:val="0"/>
              <w:suppressLineNumbers w:val="0"/>
              <w:bidi w:val="0"/>
              <w:spacing w:before="0" w:beforeAutospacing="0" w:after="0" w:afterAutospacing="0"/>
              <w:ind w:left="0" w:right="0"/>
              <w:rPr>
                <w:rFonts w:hint="eastAsia"/>
              </w:rPr>
            </w:pPr>
            <w:r>
              <w:rPr>
                <w:rFonts w:hint="eastAsia"/>
              </w:rPr>
              <w:t>表4.6-</w:t>
            </w:r>
            <w:r>
              <w:rPr>
                <w:rFonts w:hint="eastAsia"/>
                <w:lang w:val="en-US" w:eastAsia="zh-CN"/>
              </w:rPr>
              <w:t>3</w:t>
            </w:r>
            <w:r>
              <w:rPr>
                <w:rFonts w:hint="eastAsia"/>
              </w:rPr>
              <w:t xml:space="preserve">  环境风险因素识别一览表</w:t>
            </w:r>
          </w:p>
          <w:tbl>
            <w:tblPr>
              <w:tblStyle w:val="31"/>
              <w:tblW w:w="7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1105"/>
              <w:gridCol w:w="3137"/>
              <w:gridCol w:w="2170"/>
            </w:tblGrid>
            <w:tr w14:paraId="6581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tcBorders>
                    <w:top w:val="single" w:color="auto" w:sz="12" w:space="0"/>
                    <w:left w:val="nil"/>
                  </w:tcBorders>
                  <w:vAlign w:val="center"/>
                </w:tcPr>
                <w:p w14:paraId="595EC2E7">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危险目标</w:t>
                  </w:r>
                </w:p>
              </w:tc>
              <w:tc>
                <w:tcPr>
                  <w:tcW w:w="1105" w:type="dxa"/>
                  <w:tcBorders>
                    <w:top w:val="single" w:color="auto" w:sz="12" w:space="0"/>
                  </w:tcBorders>
                  <w:vAlign w:val="center"/>
                </w:tcPr>
                <w:p w14:paraId="2367F0A3">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事故类型</w:t>
                  </w:r>
                </w:p>
              </w:tc>
              <w:tc>
                <w:tcPr>
                  <w:tcW w:w="3137" w:type="dxa"/>
                  <w:tcBorders>
                    <w:top w:val="single" w:color="auto" w:sz="12" w:space="0"/>
                  </w:tcBorders>
                  <w:vAlign w:val="center"/>
                </w:tcPr>
                <w:p w14:paraId="65875316">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事故引发原因</w:t>
                  </w:r>
                </w:p>
              </w:tc>
              <w:tc>
                <w:tcPr>
                  <w:tcW w:w="2170" w:type="dxa"/>
                  <w:tcBorders>
                    <w:top w:val="single" w:color="auto" w:sz="12" w:space="0"/>
                    <w:right w:val="nil"/>
                  </w:tcBorders>
                  <w:vAlign w:val="center"/>
                </w:tcPr>
                <w:p w14:paraId="138B63D6">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环境事故后果</w:t>
                  </w:r>
                </w:p>
              </w:tc>
            </w:tr>
            <w:tr w14:paraId="0366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tcBorders>
                    <w:left w:val="nil"/>
                  </w:tcBorders>
                  <w:vAlign w:val="center"/>
                </w:tcPr>
                <w:p w14:paraId="40491D8C">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废气处理措施</w:t>
                  </w:r>
                </w:p>
              </w:tc>
              <w:tc>
                <w:tcPr>
                  <w:tcW w:w="1105" w:type="dxa"/>
                  <w:vAlign w:val="center"/>
                </w:tcPr>
                <w:p w14:paraId="4FFF5202">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事故排放</w:t>
                  </w:r>
                </w:p>
              </w:tc>
              <w:tc>
                <w:tcPr>
                  <w:tcW w:w="3137" w:type="dxa"/>
                  <w:vAlign w:val="center"/>
                </w:tcPr>
                <w:p w14:paraId="10FA01E1">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废气处理设施发生故障，废气未经处理后排放，会对周围的环境空气带来一定程度的不利影响</w:t>
                  </w:r>
                </w:p>
              </w:tc>
              <w:tc>
                <w:tcPr>
                  <w:tcW w:w="2170" w:type="dxa"/>
                  <w:tcBorders>
                    <w:right w:val="nil"/>
                  </w:tcBorders>
                  <w:vAlign w:val="center"/>
                </w:tcPr>
                <w:p w14:paraId="6226BE79">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污染周边大气环境</w:t>
                  </w:r>
                </w:p>
              </w:tc>
            </w:tr>
            <w:tr w14:paraId="78E2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tcBorders>
                    <w:left w:val="nil"/>
                  </w:tcBorders>
                  <w:vAlign w:val="center"/>
                </w:tcPr>
                <w:p w14:paraId="7C5F9545">
                  <w:pPr>
                    <w:pStyle w:val="39"/>
                    <w:keepNext w:val="0"/>
                    <w:keepLines w:val="0"/>
                    <w:widowControl/>
                    <w:suppressLineNumbers w:val="0"/>
                    <w:bidi w:val="0"/>
                    <w:spacing w:before="0" w:beforeAutospacing="0" w:after="0" w:afterAutospacing="0"/>
                    <w:ind w:left="0" w:right="0"/>
                    <w:jc w:val="center"/>
                    <w:rPr>
                      <w:rFonts w:hint="eastAsia"/>
                      <w:b w:val="0"/>
                      <w:bCs w:val="0"/>
                      <w:szCs w:val="22"/>
                      <w:lang w:eastAsia="zh-CN"/>
                    </w:rPr>
                  </w:pPr>
                  <w:r>
                    <w:rPr>
                      <w:rFonts w:hint="eastAsia"/>
                      <w:b w:val="0"/>
                      <w:bCs w:val="0"/>
                      <w:szCs w:val="22"/>
                      <w:lang w:eastAsia="zh-CN"/>
                    </w:rPr>
                    <w:t>危废贮存库</w:t>
                  </w:r>
                </w:p>
              </w:tc>
              <w:tc>
                <w:tcPr>
                  <w:tcW w:w="1105" w:type="dxa"/>
                  <w:vAlign w:val="center"/>
                </w:tcPr>
                <w:p w14:paraId="79EE6250">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泄漏</w:t>
                  </w:r>
                </w:p>
              </w:tc>
              <w:tc>
                <w:tcPr>
                  <w:tcW w:w="3137" w:type="dxa"/>
                  <w:vAlign w:val="center"/>
                </w:tcPr>
                <w:p w14:paraId="493E86C8">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装卸或存储过程中某些危险废物可能会发生泄漏污染地下水及土壤</w:t>
                  </w:r>
                </w:p>
              </w:tc>
              <w:tc>
                <w:tcPr>
                  <w:tcW w:w="2170" w:type="dxa"/>
                  <w:tcBorders>
                    <w:right w:val="nil"/>
                  </w:tcBorders>
                  <w:vAlign w:val="center"/>
                </w:tcPr>
                <w:p w14:paraId="7EC579E6">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污染地下水及土壤</w:t>
                  </w:r>
                </w:p>
              </w:tc>
            </w:tr>
            <w:tr w14:paraId="3CEA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534" w:type="dxa"/>
                  <w:tcBorders>
                    <w:left w:val="nil"/>
                  </w:tcBorders>
                  <w:vAlign w:val="center"/>
                </w:tcPr>
                <w:p w14:paraId="2050CD5D">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生产车间、原材料仓库</w:t>
                  </w:r>
                </w:p>
              </w:tc>
              <w:tc>
                <w:tcPr>
                  <w:tcW w:w="1105" w:type="dxa"/>
                  <w:vAlign w:val="center"/>
                </w:tcPr>
                <w:p w14:paraId="56E3240D">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泄漏</w:t>
                  </w:r>
                </w:p>
              </w:tc>
              <w:tc>
                <w:tcPr>
                  <w:tcW w:w="3137" w:type="dxa"/>
                  <w:vAlign w:val="center"/>
                </w:tcPr>
                <w:p w14:paraId="62EAFA8F">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若原辅材料包装不密，容易引起化学品泄漏</w:t>
                  </w:r>
                </w:p>
              </w:tc>
              <w:tc>
                <w:tcPr>
                  <w:tcW w:w="2170" w:type="dxa"/>
                  <w:tcBorders>
                    <w:right w:val="nil"/>
                  </w:tcBorders>
                  <w:vAlign w:val="center"/>
                </w:tcPr>
                <w:p w14:paraId="6B9B391B">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燃烧产生的烟气逸散到大气对环境造成影响</w:t>
                  </w:r>
                </w:p>
              </w:tc>
            </w:tr>
            <w:tr w14:paraId="08C0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tcBorders>
                    <w:left w:val="nil"/>
                    <w:bottom w:val="single" w:color="auto" w:sz="12" w:space="0"/>
                  </w:tcBorders>
                  <w:vAlign w:val="center"/>
                </w:tcPr>
                <w:p w14:paraId="1354D4C7">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火灾、爆炸次生、伴生影响</w:t>
                  </w:r>
                </w:p>
              </w:tc>
              <w:tc>
                <w:tcPr>
                  <w:tcW w:w="1105" w:type="dxa"/>
                  <w:tcBorders>
                    <w:bottom w:val="single" w:color="auto" w:sz="12" w:space="0"/>
                  </w:tcBorders>
                  <w:vAlign w:val="center"/>
                </w:tcPr>
                <w:p w14:paraId="3873814D">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火灾事故</w:t>
                  </w:r>
                </w:p>
              </w:tc>
              <w:tc>
                <w:tcPr>
                  <w:tcW w:w="3137" w:type="dxa"/>
                  <w:tcBorders>
                    <w:bottom w:val="single" w:color="auto" w:sz="12" w:space="0"/>
                  </w:tcBorders>
                  <w:vAlign w:val="center"/>
                </w:tcPr>
                <w:p w14:paraId="42344ADA">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原辅材料在车间内遇明火或者高热容</w:t>
                  </w:r>
                  <w:r>
                    <w:rPr>
                      <w:rFonts w:hint="eastAsia"/>
                      <w:b w:val="0"/>
                      <w:bCs w:val="0"/>
                      <w:szCs w:val="22"/>
                      <w:lang w:eastAsia="zh-CN"/>
                    </w:rPr>
                    <w:t>易严</w:t>
                  </w:r>
                  <w:r>
                    <w:rPr>
                      <w:rFonts w:hint="eastAsia"/>
                      <w:b w:val="0"/>
                      <w:bCs w:val="0"/>
                      <w:szCs w:val="22"/>
                    </w:rPr>
                    <w:t>重火灾事故</w:t>
                  </w:r>
                </w:p>
              </w:tc>
              <w:tc>
                <w:tcPr>
                  <w:tcW w:w="2170" w:type="dxa"/>
                  <w:tcBorders>
                    <w:bottom w:val="single" w:color="auto" w:sz="12" w:space="0"/>
                    <w:right w:val="nil"/>
                  </w:tcBorders>
                  <w:vAlign w:val="center"/>
                </w:tcPr>
                <w:p w14:paraId="6B286BE7">
                  <w:pPr>
                    <w:pStyle w:val="39"/>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消防废水可能污染周边地表水</w:t>
                  </w:r>
                </w:p>
              </w:tc>
            </w:tr>
          </w:tbl>
          <w:p w14:paraId="5936FAE8">
            <w:pPr>
              <w:pStyle w:val="4"/>
              <w:suppressLineNumbers w:val="0"/>
              <w:tabs>
                <w:tab w:val="left" w:pos="420"/>
                <w:tab w:val="clear" w:pos="0"/>
              </w:tabs>
              <w:bidi w:val="0"/>
              <w:spacing w:before="0" w:beforeAutospacing="0" w:after="0" w:afterAutospacing="0"/>
              <w:ind w:left="0" w:right="0"/>
              <w:rPr>
                <w:rFonts w:hint="eastAsia"/>
              </w:rPr>
            </w:pPr>
            <w:r>
              <w:rPr>
                <w:rFonts w:hint="eastAsia"/>
              </w:rPr>
              <w:t>环境风险分析</w:t>
            </w:r>
          </w:p>
          <w:p w14:paraId="2D4483D4">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（1）化学品泄漏后果分析</w:t>
            </w:r>
          </w:p>
          <w:p w14:paraId="388224EC">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由于设备失灵、原辅材料转运操作失误等原因都</w:t>
            </w:r>
            <w:r>
              <w:rPr>
                <w:rFonts w:hint="eastAsia" w:cs="宋体"/>
                <w:b w:val="0"/>
                <w:bCs w:val="0"/>
                <w:iCs w:val="0"/>
                <w:color w:val="auto"/>
                <w:lang w:eastAsia="zh-CN"/>
              </w:rPr>
              <w:t>可能</w:t>
            </w:r>
            <w:r>
              <w:rPr>
                <w:rFonts w:hint="eastAsia" w:cs="宋体"/>
                <w:b w:val="0"/>
                <w:bCs w:val="0"/>
                <w:iCs w:val="0"/>
                <w:color w:val="auto"/>
              </w:rPr>
              <w:t>造成化学品泄漏事故，造成项目周围的大气烃类污染。发生化学品泄漏时，由于味道比较容易发现，若采取必要措施就可将污染控制在泄漏的局部区域，不致形成大面积的区域性污染。</w:t>
            </w:r>
          </w:p>
          <w:p w14:paraId="73CF4175">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（2）火灾、爆炸后果分析</w:t>
            </w:r>
          </w:p>
          <w:p w14:paraId="710F0988">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化学品泄漏后一旦发生火灾、爆炸事故，对生产区域、现场工作人员和过往车辆将产生较为严重的损害。通过类比分析，发生火灾爆炸后，其影响范围相对主要集中在厂内，也可能会危害周围的居民，应制定紧急预案，保证危害半径内的居民、重要设施得到迅速救助、撤离或保护。</w:t>
            </w:r>
          </w:p>
          <w:p w14:paraId="68ED9320">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火灾热辐射影响主要在厂区范围，而火灾燃烧过程中同时会伴生大量的烟尘、CO、SO</w:t>
            </w:r>
            <w:r>
              <w:rPr>
                <w:rFonts w:hint="eastAsia" w:cs="宋体"/>
                <w:b w:val="0"/>
                <w:bCs w:val="0"/>
                <w:iCs w:val="0"/>
                <w:color w:val="auto"/>
                <w:vertAlign w:val="subscript"/>
              </w:rPr>
              <w:t>2</w:t>
            </w:r>
            <w:r>
              <w:rPr>
                <w:rFonts w:hint="eastAsia" w:cs="宋体"/>
                <w:b w:val="0"/>
                <w:bCs w:val="0"/>
                <w:iCs w:val="0"/>
                <w:color w:val="auto"/>
              </w:rPr>
              <w:t>和NO</w:t>
            </w:r>
            <w:r>
              <w:rPr>
                <w:rFonts w:hint="eastAsia" w:cs="宋体"/>
                <w:b w:val="0"/>
                <w:bCs w:val="0"/>
                <w:iCs w:val="0"/>
                <w:color w:val="auto"/>
                <w:vertAlign w:val="subscript"/>
              </w:rPr>
              <w:t>2</w:t>
            </w:r>
            <w:r>
              <w:rPr>
                <w:rFonts w:hint="eastAsia" w:cs="宋体"/>
                <w:b w:val="0"/>
                <w:bCs w:val="0"/>
                <w:iCs w:val="0"/>
                <w:color w:val="auto"/>
              </w:rPr>
              <w:t>等污染物，将对周围大气环境产生影响。由于生产设备发生火灾和爆炸后，急剧燃烧所需的供氧量不足，属于典型的不完全燃烧，燃烧过程中产生的CO量很大。污染物影响范围较大，一般都到了几百米以外，尤其是有风的条件下，污染范围更广。</w:t>
            </w:r>
          </w:p>
          <w:p w14:paraId="7D32220A">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故在发生着火事故的情况下可能出现大面积的严重污染。本厂区的平面设计符合《城镇燃气设计规范》（GB</w:t>
            </w:r>
            <w:r>
              <w:rPr>
                <w:rFonts w:hint="eastAsia" w:cs="宋体"/>
                <w:b w:val="0"/>
                <w:bCs w:val="0"/>
                <w:iCs w:val="0"/>
                <w:color w:val="auto"/>
                <w:lang w:val="en-US" w:eastAsia="zh-CN"/>
              </w:rPr>
              <w:t>50</w:t>
            </w:r>
            <w:r>
              <w:rPr>
                <w:rFonts w:hint="eastAsia" w:cs="宋体"/>
                <w:b w:val="0"/>
                <w:bCs w:val="0"/>
                <w:iCs w:val="0"/>
                <w:color w:val="auto"/>
              </w:rPr>
              <w:t>028-2006）等设计规范中的相关规定，建设方还应该采取严密的防范措施，严防事故的发生，同时应该制定详尽的事故应急预案，确保一旦发生事故可以行之有效的办法进行处理。则项目发生火灾、爆炸的危害程度</w:t>
            </w:r>
            <w:r>
              <w:rPr>
                <w:rFonts w:hint="eastAsia" w:cs="宋体"/>
                <w:b w:val="0"/>
                <w:bCs w:val="0"/>
                <w:iCs w:val="0"/>
                <w:color w:val="auto"/>
                <w:lang w:eastAsia="zh-CN"/>
              </w:rPr>
              <w:t>可以</w:t>
            </w:r>
            <w:r>
              <w:rPr>
                <w:rFonts w:hint="eastAsia" w:cs="宋体"/>
                <w:b w:val="0"/>
                <w:bCs w:val="0"/>
                <w:iCs w:val="0"/>
                <w:color w:val="auto"/>
              </w:rPr>
              <w:t>得到控制。</w:t>
            </w:r>
          </w:p>
          <w:p w14:paraId="0750DDA9">
            <w:pPr>
              <w:pStyle w:val="4"/>
              <w:suppressLineNumbers w:val="0"/>
              <w:tabs>
                <w:tab w:val="left" w:pos="420"/>
                <w:tab w:val="clear" w:pos="0"/>
              </w:tabs>
              <w:bidi w:val="0"/>
              <w:spacing w:before="0" w:beforeAutospacing="0" w:after="0" w:afterAutospacing="0"/>
              <w:ind w:left="0" w:right="0"/>
              <w:rPr>
                <w:rFonts w:hint="eastAsia"/>
              </w:rPr>
            </w:pPr>
            <w:bookmarkStart w:id="36" w:name="_Toc10994"/>
            <w:bookmarkStart w:id="37" w:name="_Toc8122"/>
            <w:bookmarkStart w:id="38" w:name="_Toc25083"/>
            <w:bookmarkStart w:id="39" w:name="_Toc9435"/>
            <w:bookmarkStart w:id="40" w:name="_Toc22839"/>
            <w:r>
              <w:rPr>
                <w:rFonts w:hint="eastAsia"/>
              </w:rPr>
              <w:t>环境风险防范措施和事故应急措施</w:t>
            </w:r>
            <w:bookmarkEnd w:id="36"/>
            <w:bookmarkEnd w:id="37"/>
            <w:bookmarkEnd w:id="38"/>
            <w:bookmarkEnd w:id="39"/>
            <w:bookmarkEnd w:id="40"/>
          </w:p>
          <w:p w14:paraId="445451F8">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（1）火灾、爆炸的防控措施</w:t>
            </w:r>
          </w:p>
          <w:p w14:paraId="71D96C0F">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①设置应急物资准备条件：如消防沙堆、干粉灭火器、灭火毯等消防器具，事故一旦发生可立即利用上述设备，将事故造成的影响降至最低。要定期对消防设施进行检查和维护保养，确保消防设施完好有效。</w:t>
            </w:r>
          </w:p>
          <w:p w14:paraId="3D137AE7">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②加强安全检查，实行以防火为中心的安全管理。危险化学品仓库、生产设备周围要坚决杜绝明火，及时清理厂区内可燃杂物，保持消防通道畅通。特别要注意防止电火花引起火灾及爆炸。同时做好检查记录，发现问题和隐患及时进行整改。</w:t>
            </w:r>
          </w:p>
          <w:p w14:paraId="2F5EC8B6">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③加强预案制定和演练。为加强对事故的有效控制，降低事故危害程度，公司制定完备的应急救援预案。并针对跑冒、泄漏制定</w:t>
            </w:r>
            <w:r>
              <w:rPr>
                <w:rFonts w:hint="eastAsia" w:cs="宋体"/>
                <w:b w:val="0"/>
                <w:bCs w:val="0"/>
                <w:iCs w:val="0"/>
                <w:color w:val="auto"/>
                <w:lang w:eastAsia="zh-CN"/>
              </w:rPr>
              <w:t>“</w:t>
            </w:r>
            <w:r>
              <w:rPr>
                <w:rFonts w:hint="eastAsia" w:cs="宋体"/>
                <w:b w:val="0"/>
                <w:bCs w:val="0"/>
                <w:iCs w:val="0"/>
                <w:color w:val="auto"/>
              </w:rPr>
              <w:t>污染控制应急救援措施</w:t>
            </w:r>
            <w:r>
              <w:rPr>
                <w:rFonts w:hint="eastAsia" w:cs="宋体"/>
                <w:b w:val="0"/>
                <w:bCs w:val="0"/>
                <w:iCs w:val="0"/>
                <w:color w:val="auto"/>
                <w:lang w:eastAsia="zh-CN"/>
              </w:rPr>
              <w:t>”</w:t>
            </w:r>
            <w:r>
              <w:rPr>
                <w:rFonts w:hint="eastAsia" w:cs="宋体"/>
                <w:b w:val="0"/>
                <w:bCs w:val="0"/>
                <w:iCs w:val="0"/>
                <w:color w:val="auto"/>
              </w:rPr>
              <w:t>。</w:t>
            </w:r>
          </w:p>
          <w:p w14:paraId="6246AAF5">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④加强对公司职工的教育培训，实行上岗证制度，增强职工风险意识，提高事故自救能力，制定和强化各种安全管理、安全运营的规程，减少人为风险事故（如误操作）的发生。</w:t>
            </w:r>
          </w:p>
          <w:p w14:paraId="4C1965B9">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（2）危化品储运安全防范措施</w:t>
            </w:r>
          </w:p>
          <w:p w14:paraId="0560598E">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本项目的危险化学品根据用途和类型不同，分别贮存。项目应严格按照《危险化学品安全管理条例》的要求，加强对危险化学品的管理；制定危险化学品安全操作规程，要求操作人员严格按操作规程作业；对从事危险化</w:t>
            </w:r>
            <w:r>
              <w:rPr>
                <w:rFonts w:hint="eastAsia" w:cs="宋体"/>
                <w:b w:val="0"/>
                <w:bCs w:val="0"/>
                <w:iCs w:val="0"/>
                <w:color w:val="auto"/>
                <w:lang w:eastAsia="zh-CN"/>
              </w:rPr>
              <w:t>学品</w:t>
            </w:r>
            <w:r>
              <w:rPr>
                <w:rFonts w:hint="eastAsia" w:cs="宋体"/>
                <w:b w:val="0"/>
                <w:bCs w:val="0"/>
                <w:iCs w:val="0"/>
                <w:color w:val="auto"/>
              </w:rPr>
              <w:t>作业人员定期进行安全培训教育；经常对危险化学品作业场所进行安全检查。</w:t>
            </w:r>
          </w:p>
          <w:p w14:paraId="5C584CEA">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项目原料储存需符合储存危险化学品的相关条件（如防晒、防潮、通风、防雷、防静电等），实施危险化学品的储存和使用。建立健全安全规程及值勤制度设置通讯、报警装置，确保其处于完好状态；对储存危险化学品的容器，应经有关检验部门定期检验合格后，才能使用，并设置明显的标识及警示牌；对使用危险化学品的名称、数量进行严格登记：凡储存、使用危险化学品的岗位，都应配置合格的防毒器材、消防器材，并确保其处于完好状态；所有进入储存、使用危险化学品的人员，都必须严格遵守《危险化学品管理制度》。采购危险化学品时，应到已获得危险化学品经营许可证的企业进行采购，并要求供应商提供技术说明书及相关技术资料；采购人员必须进行专业培训并取证：危险化学品的包装物、容器必须有专业检测机构检验合格才能使用：从事危险化学品运输、押运人员，应经有关培训并取证后才能从事危险化学品运输、押运工作；运输危险化学品的车、船应悬挂危险化学品标志不得在</w:t>
            </w:r>
            <w:r>
              <w:rPr>
                <w:rFonts w:hint="eastAsia" w:cs="宋体"/>
                <w:b w:val="0"/>
                <w:bCs w:val="0"/>
                <w:iCs w:val="0"/>
                <w:color w:val="auto"/>
                <w:lang w:eastAsia="zh-CN"/>
              </w:rPr>
              <w:t>人烟稠密</w:t>
            </w:r>
            <w:r>
              <w:rPr>
                <w:rFonts w:hint="eastAsia" w:cs="宋体"/>
                <w:b w:val="0"/>
                <w:bCs w:val="0"/>
                <w:iCs w:val="0"/>
                <w:color w:val="auto"/>
              </w:rPr>
              <w:t>地区停留；危险化学品的运输、押运人员，应配置合格的防护器材。建设单位在储运过程中应小心谨慎，熟知每种物料的性质和储运注意事项。</w:t>
            </w:r>
          </w:p>
          <w:p w14:paraId="428B8CEB">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（3）原材料仓库建设要求</w:t>
            </w:r>
          </w:p>
          <w:p w14:paraId="131E9EAF">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本项目原材料仓库的建设应参考《危险化学品经营企业安全技术基本》（GB18265-2019）和《建筑设计防火规范》的建设要求，原材料仓库应防潮、平整、坚实、易于清扫，采用不发生火花的地面，采用防腐材料，减少火灾隐患。项目采用的有机溶剂，都具有挥发性，因此原材料仓库需设置防液体流散措施和通风设备。</w:t>
            </w:r>
          </w:p>
          <w:p w14:paraId="3FA727F5">
            <w:pPr>
              <w:pStyle w:val="4"/>
              <w:suppressLineNumbers w:val="0"/>
              <w:bidi w:val="0"/>
              <w:spacing w:before="0" w:beforeAutospacing="0" w:after="0" w:afterAutospacing="0"/>
              <w:ind w:left="0" w:right="0"/>
              <w:rPr>
                <w:rFonts w:hint="default"/>
              </w:rPr>
            </w:pPr>
            <w:r>
              <w:rPr>
                <w:rFonts w:hint="default"/>
              </w:rPr>
              <w:t>风险分析结论</w:t>
            </w:r>
          </w:p>
          <w:p w14:paraId="77568E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本项目化学品储存量较少，不构成重大危险源。配套相应的应急措施的前提下，在加强厂区防火管理、完善事故应急预案的基础上，事故发生概率很低，经过采取妥善的风险防范措施，本项目环境风险在可接受的范围内。</w:t>
            </w:r>
          </w:p>
          <w:p w14:paraId="193F82A6">
            <w:pPr>
              <w:pStyle w:val="3"/>
              <w:keepNext w:val="0"/>
              <w:keepLines w:val="0"/>
              <w:suppressLineNumbers w:val="0"/>
              <w:bidi w:val="0"/>
              <w:spacing w:before="0" w:beforeAutospacing="0" w:after="0" w:afterAutospacing="0"/>
              <w:ind w:left="0" w:right="0"/>
              <w:rPr>
                <w:rFonts w:hint="default"/>
                <w:lang w:val="en-US" w:eastAsia="zh-CN"/>
              </w:rPr>
            </w:pPr>
            <w:bookmarkStart w:id="41" w:name="_Toc4526"/>
            <w:bookmarkStart w:id="42" w:name="_Toc17437"/>
            <w:bookmarkStart w:id="43" w:name="_Toc20048"/>
            <w:r>
              <w:rPr>
                <w:rFonts w:hint="default"/>
                <w:lang w:val="en-US" w:eastAsia="zh-CN"/>
              </w:rPr>
              <w:t>自行监测计划</w:t>
            </w:r>
            <w:bookmarkEnd w:id="41"/>
            <w:bookmarkEnd w:id="42"/>
            <w:bookmarkEnd w:id="43"/>
          </w:p>
          <w:p w14:paraId="304D7703">
            <w:pPr>
              <w:keepNext w:val="0"/>
              <w:keepLines w:val="0"/>
              <w:suppressLineNumbers w:val="0"/>
              <w:bidi w:val="0"/>
              <w:spacing w:before="0" w:beforeAutospacing="0" w:after="0" w:afterAutospacing="0"/>
              <w:ind w:left="0" w:right="0"/>
              <w:rPr>
                <w:rFonts w:hint="eastAsia"/>
                <w:lang w:eastAsia="zh-CN"/>
              </w:rPr>
            </w:pPr>
            <w:r>
              <w:rPr>
                <w:rFonts w:hint="default" w:ascii="Times New Roman" w:hAnsi="Times New Roman" w:eastAsia="宋体" w:cs="Times New Roman"/>
                <w:b w:val="0"/>
                <w:bCs w:val="0"/>
                <w:iCs w:val="0"/>
                <w:color w:val="000000"/>
                <w:sz w:val="24"/>
                <w:highlight w:val="none"/>
                <w:u w:val="none"/>
                <w:lang w:val="en-US" w:eastAsia="zh-CN"/>
              </w:rPr>
              <w:t>根据《固定污染源排污许可证分类管理名录</w:t>
            </w:r>
            <w:r>
              <w:rPr>
                <w:rFonts w:hint="eastAsia" w:cs="Times New Roman"/>
                <w:b w:val="0"/>
                <w:bCs w:val="0"/>
                <w:iCs w:val="0"/>
                <w:color w:val="000000"/>
                <w:sz w:val="24"/>
                <w:highlight w:val="none"/>
                <w:u w:val="none"/>
                <w:lang w:val="en-US" w:eastAsia="zh-CN"/>
              </w:rPr>
              <w:t>（</w:t>
            </w:r>
            <w:r>
              <w:rPr>
                <w:rFonts w:hint="default" w:ascii="Times New Roman" w:hAnsi="Times New Roman" w:eastAsia="宋体" w:cs="Times New Roman"/>
                <w:b w:val="0"/>
                <w:bCs w:val="0"/>
                <w:iCs w:val="0"/>
                <w:color w:val="000000"/>
                <w:sz w:val="24"/>
                <w:highlight w:val="none"/>
                <w:u w:val="none"/>
                <w:lang w:val="en-US" w:eastAsia="zh-CN"/>
              </w:rPr>
              <w:t>2019年本</w:t>
            </w:r>
            <w:r>
              <w:rPr>
                <w:rFonts w:hint="eastAsia" w:cs="Times New Roman"/>
                <w:b w:val="0"/>
                <w:bCs w:val="0"/>
                <w:iCs w:val="0"/>
                <w:color w:val="000000"/>
                <w:sz w:val="24"/>
                <w:highlight w:val="none"/>
                <w:u w:val="none"/>
                <w:lang w:val="en-US" w:eastAsia="zh-CN"/>
              </w:rPr>
              <w:t>）</w:t>
            </w:r>
            <w:r>
              <w:rPr>
                <w:rFonts w:hint="default" w:ascii="Times New Roman" w:hAnsi="Times New Roman" w:eastAsia="宋体" w:cs="Times New Roman"/>
                <w:b w:val="0"/>
                <w:bCs w:val="0"/>
                <w:iCs w:val="0"/>
                <w:color w:val="000000"/>
                <w:sz w:val="24"/>
                <w:highlight w:val="none"/>
                <w:u w:val="none"/>
                <w:lang w:val="en-US" w:eastAsia="zh-CN"/>
              </w:rPr>
              <w:t>》中，本项目属于</w:t>
            </w:r>
            <w:r>
              <w:rPr>
                <w:rFonts w:hint="eastAsia"/>
                <w:lang w:val="en-US" w:eastAsia="zh-CN"/>
              </w:rPr>
              <w:t>“</w:t>
            </w:r>
            <w:r>
              <w:rPr>
                <w:rFonts w:hint="default"/>
                <w:lang w:val="en-US" w:eastAsia="zh-CN"/>
              </w:rPr>
              <w:t xml:space="preserve"> 二十四、橡胶和塑料制品业 29 塑料制品业 292</w:t>
            </w:r>
            <w:r>
              <w:rPr>
                <w:rFonts w:hint="default"/>
              </w:rPr>
              <w:t>中</w:t>
            </w:r>
            <w:r>
              <w:rPr>
                <w:rFonts w:hint="eastAsia"/>
                <w:lang w:val="en-US" w:eastAsia="zh-CN"/>
              </w:rPr>
              <w:t>的</w:t>
            </w:r>
            <w:r>
              <w:rPr>
                <w:rFonts w:hint="default"/>
              </w:rPr>
              <w:t>其他</w:t>
            </w:r>
            <w:r>
              <w:rPr>
                <w:rFonts w:hint="eastAsia"/>
                <w:lang w:val="en-US" w:eastAsia="zh-CN"/>
              </w:rPr>
              <w:t>”</w:t>
            </w:r>
            <w:r>
              <w:rPr>
                <w:rFonts w:hint="default"/>
              </w:rPr>
              <w:t>类</w:t>
            </w:r>
            <w:r>
              <w:rPr>
                <w:rFonts w:hint="eastAsia"/>
                <w:lang w:val="en-US" w:eastAsia="zh-CN"/>
              </w:rPr>
              <w:t>及“二十八、金属制品业 33 金属表面处理及热处理加工 336中的</w:t>
            </w:r>
            <w:r>
              <w:rPr>
                <w:rFonts w:hint="default"/>
              </w:rPr>
              <w:t>其他</w:t>
            </w:r>
            <w:r>
              <w:rPr>
                <w:rFonts w:hint="eastAsia"/>
                <w:lang w:val="en-US" w:eastAsia="zh-CN"/>
              </w:rPr>
              <w:t xml:space="preserve"> ”</w:t>
            </w:r>
            <w:r>
              <w:rPr>
                <w:rFonts w:hint="default"/>
              </w:rPr>
              <w:t>类，应进行</w:t>
            </w:r>
            <w:r>
              <w:rPr>
                <w:rFonts w:hint="eastAsia"/>
                <w:lang w:val="en-US" w:eastAsia="zh-CN"/>
              </w:rPr>
              <w:t>排污</w:t>
            </w:r>
            <w:r>
              <w:rPr>
                <w:rFonts w:hint="default"/>
              </w:rPr>
              <w:t>登记管理</w:t>
            </w:r>
            <w:r>
              <w:rPr>
                <w:rFonts w:hint="eastAsia"/>
                <w:lang w:eastAsia="zh-CN"/>
              </w:rPr>
              <w:t>。</w:t>
            </w:r>
          </w:p>
          <w:p w14:paraId="795CD7D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iCs w:val="0"/>
                <w:color w:val="000000"/>
                <w:sz w:val="24"/>
                <w:szCs w:val="24"/>
              </w:rPr>
            </w:pPr>
            <w:r>
              <w:rPr>
                <w:rFonts w:hint="eastAsia" w:cs="Times New Roman"/>
                <w:b w:val="0"/>
                <w:bCs w:val="0"/>
                <w:iCs w:val="0"/>
                <w:color w:val="000000"/>
                <w:sz w:val="24"/>
                <w:lang w:eastAsia="zh-CN"/>
              </w:rPr>
              <w:t>本评价参照《</w:t>
            </w:r>
            <w:r>
              <w:rPr>
                <w:rFonts w:hint="eastAsia" w:cs="Times New Roman"/>
                <w:b w:val="0"/>
                <w:bCs w:val="0"/>
                <w:iCs w:val="0"/>
                <w:color w:val="000000"/>
                <w:sz w:val="24"/>
                <w:lang w:val="en-US" w:eastAsia="zh-CN"/>
              </w:rPr>
              <w:t>排污单位自行监测技术指南 总则</w:t>
            </w:r>
            <w:r>
              <w:rPr>
                <w:rFonts w:hint="eastAsia" w:ascii="Times New Roman" w:hAnsi="Times New Roman" w:eastAsia="宋体" w:cs="Times New Roman"/>
                <w:b w:val="0"/>
                <w:bCs w:val="0"/>
                <w:iCs w:val="0"/>
                <w:color w:val="000000"/>
                <w:kern w:val="0"/>
                <w:sz w:val="24"/>
                <w:szCs w:val="20"/>
                <w:lang w:val="en-US" w:eastAsia="zh-CN" w:bidi="ar-SA"/>
              </w:rPr>
              <w:t>》</w:t>
            </w:r>
            <w:r>
              <w:rPr>
                <w:rFonts w:hint="eastAsia" w:cs="Times New Roman"/>
                <w:b w:val="0"/>
                <w:bCs w:val="0"/>
                <w:iCs w:val="0"/>
                <w:color w:val="000000"/>
                <w:kern w:val="0"/>
                <w:sz w:val="24"/>
                <w:szCs w:val="20"/>
                <w:lang w:val="en-US" w:eastAsia="zh-CN" w:bidi="ar-SA"/>
              </w:rPr>
              <w:t>（</w:t>
            </w:r>
            <w:r>
              <w:rPr>
                <w:rFonts w:hint="eastAsia" w:ascii="Times New Roman" w:hAnsi="Times New Roman" w:eastAsia="宋体" w:cs="Times New Roman"/>
                <w:b w:val="0"/>
                <w:bCs w:val="0"/>
                <w:iCs w:val="0"/>
                <w:color w:val="000000"/>
                <w:kern w:val="0"/>
                <w:sz w:val="24"/>
                <w:szCs w:val="20"/>
                <w:lang w:val="en-US" w:eastAsia="zh-CN" w:bidi="ar-SA"/>
              </w:rPr>
              <w:t>HJ819-2017</w:t>
            </w:r>
            <w:r>
              <w:rPr>
                <w:rFonts w:hint="eastAsia" w:cs="Times New Roman"/>
                <w:b w:val="0"/>
                <w:bCs w:val="0"/>
                <w:iCs w:val="0"/>
                <w:color w:val="000000"/>
                <w:kern w:val="0"/>
                <w:sz w:val="24"/>
                <w:szCs w:val="20"/>
                <w:lang w:val="en-US" w:eastAsia="zh-CN" w:bidi="ar-SA"/>
              </w:rPr>
              <w:t>）</w:t>
            </w:r>
            <w:r>
              <w:rPr>
                <w:rFonts w:hint="eastAsia" w:ascii="Times New Roman" w:hAnsi="Times New Roman" w:eastAsia="宋体" w:cs="Times New Roman"/>
                <w:b w:val="0"/>
                <w:bCs w:val="0"/>
                <w:iCs w:val="0"/>
                <w:color w:val="000000"/>
                <w:kern w:val="0"/>
                <w:sz w:val="24"/>
                <w:szCs w:val="20"/>
                <w:lang w:val="en-US" w:eastAsia="zh-CN" w:bidi="ar-SA"/>
              </w:rPr>
              <w:t>、《排污单位自行监测技术指南 橡胶和塑料制品》（HJ1207-2021）等相关要求</w:t>
            </w:r>
            <w:r>
              <w:rPr>
                <w:rFonts w:hint="eastAsia" w:ascii="Times New Roman" w:hAnsi="Times New Roman" w:eastAsia="宋体" w:cs="Times New Roman"/>
                <w:b w:val="0"/>
                <w:bCs w:val="0"/>
                <w:iCs w:val="0"/>
                <w:color w:val="000000"/>
                <w:sz w:val="24"/>
                <w:szCs w:val="24"/>
                <w:lang w:eastAsia="zh-CN"/>
              </w:rPr>
              <w:t>，提出项目</w:t>
            </w:r>
            <w:r>
              <w:rPr>
                <w:rFonts w:hint="eastAsia" w:ascii="Times New Roman" w:hAnsi="Times New Roman" w:eastAsia="宋体" w:cs="Times New Roman"/>
                <w:b w:val="0"/>
                <w:bCs w:val="0"/>
                <w:iCs w:val="0"/>
                <w:color w:val="000000"/>
                <w:sz w:val="24"/>
                <w:szCs w:val="24"/>
              </w:rPr>
              <w:t>运营期</w:t>
            </w:r>
            <w:r>
              <w:rPr>
                <w:rFonts w:hint="eastAsia" w:ascii="Times New Roman" w:hAnsi="Times New Roman" w:eastAsia="宋体" w:cs="Times New Roman"/>
                <w:b w:val="0"/>
                <w:bCs w:val="0"/>
                <w:iCs w:val="0"/>
                <w:color w:val="000000"/>
                <w:sz w:val="24"/>
                <w:szCs w:val="24"/>
                <w:lang w:eastAsia="zh-CN"/>
              </w:rPr>
              <w:t>自行监测计划，具体详见表</w:t>
            </w:r>
            <w:r>
              <w:rPr>
                <w:rFonts w:hint="eastAsia" w:ascii="Times New Roman" w:hAnsi="Times New Roman" w:eastAsia="宋体" w:cs="Times New Roman"/>
                <w:b w:val="0"/>
                <w:bCs w:val="0"/>
                <w:iCs w:val="0"/>
                <w:color w:val="000000"/>
                <w:sz w:val="24"/>
                <w:szCs w:val="24"/>
                <w:lang w:val="en-US" w:eastAsia="zh-CN"/>
              </w:rPr>
              <w:t>4.7-1。</w:t>
            </w:r>
          </w:p>
          <w:p w14:paraId="2EC46D55">
            <w:pPr>
              <w:pStyle w:val="40"/>
              <w:keepNext w:val="0"/>
              <w:keepLines w:val="0"/>
              <w:suppressLineNumbers w:val="0"/>
              <w:shd w:val="clear"/>
              <w:bidi w:val="0"/>
              <w:spacing w:before="0" w:beforeAutospacing="0" w:after="0" w:afterAutospacing="0"/>
              <w:ind w:left="0" w:right="0"/>
              <w:rPr>
                <w:rFonts w:hint="eastAsia"/>
                <w:highlight w:val="none"/>
                <w:lang w:val="en-US" w:eastAsia="zh-CN"/>
              </w:rPr>
            </w:pPr>
            <w:r>
              <w:rPr>
                <w:rFonts w:hint="eastAsia"/>
                <w:highlight w:val="none"/>
                <w:lang w:val="en-US" w:eastAsia="zh-CN"/>
              </w:rPr>
              <w:t>表4.7-1  环境监测要求</w:t>
            </w:r>
          </w:p>
          <w:tbl>
            <w:tblPr>
              <w:tblStyle w:val="30"/>
              <w:tblW w:w="81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7"/>
              <w:gridCol w:w="2587"/>
              <w:gridCol w:w="2649"/>
              <w:gridCol w:w="2190"/>
            </w:tblGrid>
            <w:tr w14:paraId="7ED85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3498AAB6">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序号</w:t>
                  </w:r>
                </w:p>
              </w:tc>
              <w:tc>
                <w:tcPr>
                  <w:tcW w:w="2587" w:type="dxa"/>
                  <w:tcBorders>
                    <w:tl2br w:val="nil"/>
                    <w:tr2bl w:val="nil"/>
                  </w:tcBorders>
                  <w:vAlign w:val="center"/>
                </w:tcPr>
                <w:p w14:paraId="3C06A8F0">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监测点位</w:t>
                  </w:r>
                </w:p>
              </w:tc>
              <w:tc>
                <w:tcPr>
                  <w:tcW w:w="2649" w:type="dxa"/>
                  <w:tcBorders>
                    <w:tl2br w:val="nil"/>
                    <w:tr2bl w:val="nil"/>
                  </w:tcBorders>
                  <w:vAlign w:val="center"/>
                </w:tcPr>
                <w:p w14:paraId="22D1CFFD">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监测因子</w:t>
                  </w:r>
                </w:p>
              </w:tc>
              <w:tc>
                <w:tcPr>
                  <w:tcW w:w="2190" w:type="dxa"/>
                  <w:tcBorders>
                    <w:tl2br w:val="nil"/>
                    <w:tr2bl w:val="nil"/>
                  </w:tcBorders>
                  <w:vAlign w:val="center"/>
                </w:tcPr>
                <w:p w14:paraId="12F7449F">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监测频次</w:t>
                  </w:r>
                </w:p>
              </w:tc>
            </w:tr>
            <w:tr w14:paraId="46F30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2ECB0C94">
                  <w:pPr>
                    <w:pStyle w:val="39"/>
                    <w:keepNext w:val="0"/>
                    <w:keepLines w:val="0"/>
                    <w:widowControl/>
                    <w:suppressLineNumbers w:val="0"/>
                    <w:bidi w:val="0"/>
                    <w:spacing w:before="0" w:beforeAutospacing="0" w:after="0" w:afterAutospacing="0"/>
                    <w:ind w:left="0" w:right="0"/>
                    <w:rPr>
                      <w:rFonts w:hint="eastAsia"/>
                      <w:b w:val="0"/>
                      <w:bCs w:val="0"/>
                      <w:szCs w:val="22"/>
                      <w:lang w:val="en-US" w:eastAsia="zh-CN"/>
                    </w:rPr>
                  </w:pPr>
                  <w:r>
                    <w:rPr>
                      <w:rFonts w:hint="eastAsia"/>
                      <w:b w:val="0"/>
                      <w:bCs w:val="0"/>
                      <w:szCs w:val="22"/>
                      <w:lang w:val="en-US" w:eastAsia="zh-CN"/>
                    </w:rPr>
                    <w:t>1</w:t>
                  </w:r>
                </w:p>
              </w:tc>
              <w:tc>
                <w:tcPr>
                  <w:tcW w:w="2587" w:type="dxa"/>
                  <w:vMerge w:val="restart"/>
                  <w:tcBorders>
                    <w:tl2br w:val="nil"/>
                    <w:tr2bl w:val="nil"/>
                  </w:tcBorders>
                  <w:vAlign w:val="center"/>
                </w:tcPr>
                <w:p w14:paraId="00C36E87">
                  <w:pPr>
                    <w:pStyle w:val="39"/>
                    <w:keepNext w:val="0"/>
                    <w:keepLines w:val="0"/>
                    <w:widowControl/>
                    <w:suppressLineNumbers w:val="0"/>
                    <w:bidi w:val="0"/>
                    <w:spacing w:before="0" w:beforeAutospacing="0" w:after="0" w:afterAutospacing="0"/>
                    <w:ind w:left="0" w:right="0"/>
                    <w:jc w:val="center"/>
                    <w:rPr>
                      <w:rFonts w:hint="default"/>
                      <w:b w:val="0"/>
                      <w:bCs w:val="0"/>
                      <w:szCs w:val="22"/>
                      <w:lang w:val="en-US" w:eastAsia="zh-CN"/>
                    </w:rPr>
                  </w:pPr>
                  <w:r>
                    <w:rPr>
                      <w:rFonts w:hint="eastAsia"/>
                      <w:b w:val="0"/>
                      <w:bCs w:val="0"/>
                      <w:szCs w:val="22"/>
                      <w:lang w:val="en-US" w:eastAsia="zh-CN"/>
                    </w:rPr>
                    <w:t>DA001</w:t>
                  </w:r>
                  <w:r>
                    <w:rPr>
                      <w:rFonts w:hint="eastAsia"/>
                      <w:b w:val="0"/>
                      <w:bCs w:val="0"/>
                      <w:szCs w:val="22"/>
                    </w:rPr>
                    <w:t>有机废气排放口</w:t>
                  </w:r>
                </w:p>
              </w:tc>
              <w:tc>
                <w:tcPr>
                  <w:tcW w:w="2649" w:type="dxa"/>
                  <w:tcBorders>
                    <w:tl2br w:val="nil"/>
                    <w:tr2bl w:val="nil"/>
                  </w:tcBorders>
                  <w:vAlign w:val="center"/>
                </w:tcPr>
                <w:p w14:paraId="5AEA1D70">
                  <w:pPr>
                    <w:pStyle w:val="39"/>
                    <w:keepNext w:val="0"/>
                    <w:keepLines w:val="0"/>
                    <w:widowControl/>
                    <w:suppressLineNumbers w:val="0"/>
                    <w:bidi w:val="0"/>
                    <w:spacing w:before="0" w:beforeAutospacing="0" w:after="0" w:afterAutospacing="0"/>
                    <w:ind w:left="0" w:right="0"/>
                    <w:rPr>
                      <w:rFonts w:hint="default"/>
                      <w:b w:val="0"/>
                      <w:bCs w:val="0"/>
                      <w:szCs w:val="22"/>
                      <w:lang w:val="en-US"/>
                    </w:rPr>
                  </w:pPr>
                  <w:r>
                    <w:rPr>
                      <w:rFonts w:hint="eastAsia"/>
                      <w:b w:val="0"/>
                      <w:bCs w:val="0"/>
                      <w:szCs w:val="22"/>
                      <w:lang w:val="en-US" w:eastAsia="zh-CN"/>
                    </w:rPr>
                    <w:t>非甲烷总烃</w:t>
                  </w:r>
                </w:p>
              </w:tc>
              <w:tc>
                <w:tcPr>
                  <w:tcW w:w="2190" w:type="dxa"/>
                  <w:tcBorders>
                    <w:tl2br w:val="nil"/>
                    <w:tr2bl w:val="nil"/>
                  </w:tcBorders>
                  <w:vAlign w:val="center"/>
                </w:tcPr>
                <w:p w14:paraId="6D6BDECC">
                  <w:pPr>
                    <w:pStyle w:val="39"/>
                    <w:keepNext w:val="0"/>
                    <w:keepLines w:val="0"/>
                    <w:widowControl/>
                    <w:suppressLineNumbers w:val="0"/>
                    <w:bidi w:val="0"/>
                    <w:spacing w:before="0" w:beforeAutospacing="0" w:after="0" w:afterAutospacing="0"/>
                    <w:ind w:left="0" w:right="0"/>
                    <w:rPr>
                      <w:rFonts w:hint="eastAsia" w:eastAsia="宋体"/>
                      <w:b w:val="0"/>
                      <w:bCs w:val="0"/>
                      <w:szCs w:val="22"/>
                      <w:lang w:val="en-US" w:eastAsia="zh-CN"/>
                    </w:rPr>
                  </w:pPr>
                  <w:r>
                    <w:rPr>
                      <w:rFonts w:hint="eastAsia"/>
                      <w:b w:val="0"/>
                      <w:bCs w:val="0"/>
                      <w:szCs w:val="22"/>
                    </w:rPr>
                    <w:t>1次/</w:t>
                  </w:r>
                  <w:r>
                    <w:rPr>
                      <w:rFonts w:hint="eastAsia"/>
                      <w:b w:val="0"/>
                      <w:bCs w:val="0"/>
                      <w:szCs w:val="22"/>
                      <w:lang w:val="en-US" w:eastAsia="zh-CN"/>
                    </w:rPr>
                    <w:t>半年</w:t>
                  </w:r>
                </w:p>
              </w:tc>
            </w:tr>
            <w:tr w14:paraId="7996C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5232944D">
                  <w:pPr>
                    <w:pStyle w:val="39"/>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eastAsia"/>
                      <w:b w:val="0"/>
                      <w:bCs w:val="0"/>
                      <w:szCs w:val="22"/>
                      <w:lang w:val="en-US" w:eastAsia="zh-CN"/>
                    </w:rPr>
                    <w:t>2</w:t>
                  </w:r>
                </w:p>
              </w:tc>
              <w:tc>
                <w:tcPr>
                  <w:tcW w:w="2587" w:type="dxa"/>
                  <w:vMerge w:val="continue"/>
                  <w:tcBorders>
                    <w:tl2br w:val="nil"/>
                    <w:tr2bl w:val="nil"/>
                  </w:tcBorders>
                  <w:vAlign w:val="center"/>
                </w:tcPr>
                <w:p w14:paraId="7FA052F3">
                  <w:pPr>
                    <w:pStyle w:val="39"/>
                    <w:keepNext w:val="0"/>
                    <w:keepLines w:val="0"/>
                    <w:widowControl/>
                    <w:suppressLineNumbers w:val="0"/>
                    <w:bidi w:val="0"/>
                    <w:spacing w:before="0" w:beforeAutospacing="0" w:after="0" w:afterAutospacing="0"/>
                    <w:ind w:left="0" w:right="0"/>
                    <w:jc w:val="center"/>
                    <w:rPr>
                      <w:rFonts w:hint="eastAsia"/>
                      <w:b w:val="0"/>
                      <w:bCs w:val="0"/>
                      <w:szCs w:val="22"/>
                      <w:lang w:val="en-US" w:eastAsia="zh-CN"/>
                    </w:rPr>
                  </w:pPr>
                </w:p>
              </w:tc>
              <w:tc>
                <w:tcPr>
                  <w:tcW w:w="2649" w:type="dxa"/>
                  <w:tcBorders>
                    <w:tl2br w:val="nil"/>
                    <w:tr2bl w:val="nil"/>
                  </w:tcBorders>
                  <w:vAlign w:val="center"/>
                </w:tcPr>
                <w:p w14:paraId="41F62A67">
                  <w:pPr>
                    <w:pStyle w:val="39"/>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eastAsia"/>
                      <w:b w:val="0"/>
                      <w:bCs w:val="0"/>
                      <w:szCs w:val="22"/>
                      <w:lang w:val="en-US" w:eastAsia="zh-CN"/>
                    </w:rPr>
                    <w:t>颗粒物</w:t>
                  </w:r>
                </w:p>
              </w:tc>
              <w:tc>
                <w:tcPr>
                  <w:tcW w:w="2190" w:type="dxa"/>
                  <w:tcBorders>
                    <w:tl2br w:val="nil"/>
                    <w:tr2bl w:val="nil"/>
                  </w:tcBorders>
                  <w:vAlign w:val="center"/>
                </w:tcPr>
                <w:p w14:paraId="2D47F367">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1次/</w:t>
                  </w:r>
                  <w:r>
                    <w:rPr>
                      <w:rFonts w:hint="eastAsia"/>
                      <w:b w:val="0"/>
                      <w:bCs w:val="0"/>
                      <w:szCs w:val="22"/>
                      <w:lang w:val="en-US" w:eastAsia="zh-CN"/>
                    </w:rPr>
                    <w:t>年</w:t>
                  </w:r>
                </w:p>
              </w:tc>
            </w:tr>
            <w:tr w14:paraId="2D8EA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4D530E88">
                  <w:pPr>
                    <w:pStyle w:val="39"/>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eastAsia"/>
                      <w:b w:val="0"/>
                      <w:bCs w:val="0"/>
                      <w:szCs w:val="22"/>
                      <w:lang w:val="en-US" w:eastAsia="zh-CN"/>
                    </w:rPr>
                    <w:t>3</w:t>
                  </w:r>
                </w:p>
              </w:tc>
              <w:tc>
                <w:tcPr>
                  <w:tcW w:w="2587" w:type="dxa"/>
                  <w:vMerge w:val="restart"/>
                  <w:tcBorders>
                    <w:tl2br w:val="nil"/>
                    <w:tr2bl w:val="nil"/>
                  </w:tcBorders>
                  <w:vAlign w:val="center"/>
                </w:tcPr>
                <w:p w14:paraId="6246CE5C">
                  <w:pPr>
                    <w:pStyle w:val="39"/>
                    <w:keepNext w:val="0"/>
                    <w:keepLines w:val="0"/>
                    <w:widowControl/>
                    <w:suppressLineNumbers w:val="0"/>
                    <w:bidi w:val="0"/>
                    <w:spacing w:before="0" w:beforeAutospacing="0" w:after="0" w:afterAutospacing="0"/>
                    <w:ind w:left="0" w:right="0"/>
                    <w:jc w:val="center"/>
                    <w:rPr>
                      <w:rFonts w:hint="default"/>
                      <w:b w:val="0"/>
                      <w:bCs w:val="0"/>
                      <w:szCs w:val="22"/>
                      <w:lang w:val="en-US" w:eastAsia="zh-CN"/>
                    </w:rPr>
                  </w:pPr>
                  <w:r>
                    <w:rPr>
                      <w:rFonts w:hint="eastAsia"/>
                      <w:b w:val="0"/>
                      <w:bCs w:val="0"/>
                      <w:szCs w:val="22"/>
                      <w:lang w:val="en-US" w:eastAsia="zh-CN"/>
                    </w:rPr>
                    <w:t>DA002</w:t>
                  </w:r>
                  <w:r>
                    <w:rPr>
                      <w:rFonts w:hint="eastAsia"/>
                      <w:b w:val="0"/>
                      <w:bCs w:val="0"/>
                      <w:szCs w:val="22"/>
                    </w:rPr>
                    <w:t>有机废气排放口</w:t>
                  </w:r>
                </w:p>
              </w:tc>
              <w:tc>
                <w:tcPr>
                  <w:tcW w:w="2649" w:type="dxa"/>
                  <w:tcBorders>
                    <w:tl2br w:val="nil"/>
                    <w:tr2bl w:val="nil"/>
                  </w:tcBorders>
                  <w:vAlign w:val="center"/>
                </w:tcPr>
                <w:p w14:paraId="0FE33E03">
                  <w:pPr>
                    <w:pStyle w:val="39"/>
                    <w:keepNext w:val="0"/>
                    <w:keepLines w:val="0"/>
                    <w:widowControl/>
                    <w:suppressLineNumbers w:val="0"/>
                    <w:bidi w:val="0"/>
                    <w:spacing w:before="0" w:beforeAutospacing="0" w:after="0" w:afterAutospacing="0"/>
                    <w:ind w:left="0" w:right="0"/>
                    <w:rPr>
                      <w:rFonts w:hint="eastAsia"/>
                      <w:b w:val="0"/>
                      <w:bCs w:val="0"/>
                      <w:szCs w:val="22"/>
                      <w:lang w:val="en-US" w:eastAsia="zh-CN"/>
                    </w:rPr>
                  </w:pPr>
                  <w:r>
                    <w:rPr>
                      <w:rFonts w:hint="eastAsia"/>
                      <w:b w:val="0"/>
                      <w:bCs w:val="0"/>
                      <w:szCs w:val="22"/>
                      <w:lang w:val="en-US" w:eastAsia="zh-CN"/>
                    </w:rPr>
                    <w:t>非甲烷总烃</w:t>
                  </w:r>
                </w:p>
              </w:tc>
              <w:tc>
                <w:tcPr>
                  <w:tcW w:w="2190" w:type="dxa"/>
                  <w:tcBorders>
                    <w:tl2br w:val="nil"/>
                    <w:tr2bl w:val="nil"/>
                  </w:tcBorders>
                  <w:vAlign w:val="center"/>
                </w:tcPr>
                <w:p w14:paraId="562A38EB">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1次/</w:t>
                  </w:r>
                  <w:r>
                    <w:rPr>
                      <w:rFonts w:hint="eastAsia"/>
                      <w:b w:val="0"/>
                      <w:bCs w:val="0"/>
                      <w:szCs w:val="22"/>
                      <w:lang w:val="en-US" w:eastAsia="zh-CN"/>
                    </w:rPr>
                    <w:t>半年</w:t>
                  </w:r>
                </w:p>
              </w:tc>
            </w:tr>
            <w:tr w14:paraId="358AD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49370CD2">
                  <w:pPr>
                    <w:pStyle w:val="39"/>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eastAsia"/>
                      <w:b w:val="0"/>
                      <w:bCs w:val="0"/>
                      <w:szCs w:val="22"/>
                      <w:lang w:val="en-US" w:eastAsia="zh-CN"/>
                    </w:rPr>
                    <w:t>4</w:t>
                  </w:r>
                </w:p>
              </w:tc>
              <w:tc>
                <w:tcPr>
                  <w:tcW w:w="2587" w:type="dxa"/>
                  <w:vMerge w:val="continue"/>
                  <w:tcBorders>
                    <w:tl2br w:val="nil"/>
                    <w:tr2bl w:val="nil"/>
                  </w:tcBorders>
                  <w:vAlign w:val="top"/>
                </w:tcPr>
                <w:p w14:paraId="786E6F19">
                  <w:pPr>
                    <w:pStyle w:val="39"/>
                    <w:keepNext w:val="0"/>
                    <w:keepLines w:val="0"/>
                    <w:widowControl/>
                    <w:suppressLineNumbers w:val="0"/>
                    <w:bidi w:val="0"/>
                    <w:spacing w:before="0" w:beforeAutospacing="0" w:after="0" w:afterAutospacing="0"/>
                    <w:ind w:left="0" w:right="0"/>
                    <w:rPr>
                      <w:rFonts w:hint="eastAsia"/>
                      <w:b w:val="0"/>
                      <w:bCs w:val="0"/>
                      <w:szCs w:val="22"/>
                      <w:lang w:val="en-US" w:eastAsia="zh-CN"/>
                    </w:rPr>
                  </w:pPr>
                </w:p>
              </w:tc>
              <w:tc>
                <w:tcPr>
                  <w:tcW w:w="2649" w:type="dxa"/>
                  <w:tcBorders>
                    <w:tl2br w:val="nil"/>
                    <w:tr2bl w:val="nil"/>
                  </w:tcBorders>
                  <w:vAlign w:val="center"/>
                </w:tcPr>
                <w:p w14:paraId="7683C2B1">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颗粒物</w:t>
                  </w:r>
                </w:p>
              </w:tc>
              <w:tc>
                <w:tcPr>
                  <w:tcW w:w="2190" w:type="dxa"/>
                  <w:tcBorders>
                    <w:tl2br w:val="nil"/>
                    <w:tr2bl w:val="nil"/>
                  </w:tcBorders>
                  <w:vAlign w:val="center"/>
                </w:tcPr>
                <w:p w14:paraId="6B7E60A7">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rPr>
                    <w:t>1次/</w:t>
                  </w:r>
                  <w:r>
                    <w:rPr>
                      <w:rFonts w:hint="eastAsia"/>
                      <w:szCs w:val="22"/>
                      <w:lang w:val="en-US" w:eastAsia="zh-CN"/>
                    </w:rPr>
                    <w:t>年</w:t>
                  </w:r>
                </w:p>
              </w:tc>
            </w:tr>
            <w:tr w14:paraId="79FA3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3F4F6738">
                  <w:pPr>
                    <w:pStyle w:val="39"/>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eastAsia"/>
                      <w:b w:val="0"/>
                      <w:bCs w:val="0"/>
                      <w:szCs w:val="22"/>
                      <w:lang w:val="en-US" w:eastAsia="zh-CN"/>
                    </w:rPr>
                    <w:t>5</w:t>
                  </w:r>
                </w:p>
              </w:tc>
              <w:tc>
                <w:tcPr>
                  <w:tcW w:w="2587" w:type="dxa"/>
                  <w:tcBorders>
                    <w:tl2br w:val="nil"/>
                    <w:tr2bl w:val="nil"/>
                  </w:tcBorders>
                  <w:vAlign w:val="top"/>
                </w:tcPr>
                <w:p w14:paraId="44387F27">
                  <w:pPr>
                    <w:pStyle w:val="39"/>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default"/>
                      <w:b w:val="0"/>
                      <w:bCs w:val="0"/>
                      <w:szCs w:val="22"/>
                    </w:rPr>
                    <w:t>厂界</w:t>
                  </w:r>
                </w:p>
              </w:tc>
              <w:tc>
                <w:tcPr>
                  <w:tcW w:w="2649" w:type="dxa"/>
                  <w:tcBorders>
                    <w:tl2br w:val="nil"/>
                    <w:tr2bl w:val="nil"/>
                  </w:tcBorders>
                  <w:vAlign w:val="top"/>
                </w:tcPr>
                <w:p w14:paraId="173E2356">
                  <w:pPr>
                    <w:pStyle w:val="39"/>
                    <w:keepNext w:val="0"/>
                    <w:keepLines w:val="0"/>
                    <w:widowControl/>
                    <w:suppressLineNumbers w:val="0"/>
                    <w:bidi w:val="0"/>
                    <w:spacing w:before="0" w:beforeAutospacing="0" w:after="0" w:afterAutospacing="0"/>
                    <w:ind w:left="0" w:right="0"/>
                    <w:rPr>
                      <w:rFonts w:hint="default" w:eastAsia="宋体"/>
                      <w:b w:val="0"/>
                      <w:bCs w:val="0"/>
                      <w:szCs w:val="22"/>
                      <w:lang w:val="en-US" w:eastAsia="zh-CN"/>
                    </w:rPr>
                  </w:pPr>
                  <w:r>
                    <w:rPr>
                      <w:rFonts w:hint="eastAsia"/>
                      <w:b w:val="0"/>
                      <w:bCs w:val="0"/>
                      <w:szCs w:val="22"/>
                    </w:rPr>
                    <w:t>非甲烷总烃</w:t>
                  </w:r>
                </w:p>
              </w:tc>
              <w:tc>
                <w:tcPr>
                  <w:tcW w:w="2190" w:type="dxa"/>
                  <w:tcBorders>
                    <w:tl2br w:val="nil"/>
                    <w:tr2bl w:val="nil"/>
                  </w:tcBorders>
                  <w:vAlign w:val="top"/>
                </w:tcPr>
                <w:p w14:paraId="6EE9D795">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default"/>
                      <w:b w:val="0"/>
                      <w:bCs w:val="0"/>
                      <w:szCs w:val="22"/>
                    </w:rPr>
                    <w:t>1次/</w:t>
                  </w:r>
                  <w:r>
                    <w:rPr>
                      <w:rFonts w:hint="eastAsia"/>
                      <w:b w:val="0"/>
                      <w:bCs w:val="0"/>
                      <w:szCs w:val="22"/>
                    </w:rPr>
                    <w:t>年</w:t>
                  </w:r>
                </w:p>
              </w:tc>
            </w:tr>
            <w:tr w14:paraId="0934F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49B1BEBE">
                  <w:pPr>
                    <w:pStyle w:val="39"/>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eastAsia"/>
                      <w:b w:val="0"/>
                      <w:bCs w:val="0"/>
                      <w:szCs w:val="22"/>
                      <w:lang w:val="en-US" w:eastAsia="zh-CN"/>
                    </w:rPr>
                    <w:t>6</w:t>
                  </w:r>
                </w:p>
              </w:tc>
              <w:tc>
                <w:tcPr>
                  <w:tcW w:w="2587" w:type="dxa"/>
                  <w:tcBorders>
                    <w:tl2br w:val="nil"/>
                    <w:tr2bl w:val="nil"/>
                  </w:tcBorders>
                  <w:vAlign w:val="top"/>
                </w:tcPr>
                <w:p w14:paraId="2700F20B">
                  <w:pPr>
                    <w:pStyle w:val="39"/>
                    <w:keepNext w:val="0"/>
                    <w:keepLines w:val="0"/>
                    <w:widowControl/>
                    <w:suppressLineNumbers w:val="0"/>
                    <w:bidi w:val="0"/>
                    <w:spacing w:before="0" w:beforeAutospacing="0" w:after="0" w:afterAutospacing="0"/>
                    <w:ind w:left="0" w:right="0"/>
                    <w:rPr>
                      <w:rFonts w:hint="eastAsia" w:eastAsia="宋体"/>
                      <w:b w:val="0"/>
                      <w:bCs w:val="0"/>
                      <w:szCs w:val="22"/>
                      <w:lang w:val="en-US" w:eastAsia="zh-CN"/>
                    </w:rPr>
                  </w:pPr>
                  <w:r>
                    <w:rPr>
                      <w:rFonts w:hint="eastAsia"/>
                      <w:b w:val="0"/>
                      <w:bCs w:val="0"/>
                      <w:szCs w:val="22"/>
                    </w:rPr>
                    <w:t>厂区内监控点</w:t>
                  </w:r>
                  <w:r>
                    <w:rPr>
                      <w:rFonts w:hint="eastAsia"/>
                      <w:b w:val="0"/>
                      <w:bCs w:val="0"/>
                      <w:szCs w:val="22"/>
                      <w:lang w:eastAsia="zh-CN"/>
                    </w:rPr>
                    <w:t>（</w:t>
                  </w:r>
                  <w:r>
                    <w:rPr>
                      <w:rFonts w:hint="eastAsia"/>
                      <w:b w:val="0"/>
                      <w:bCs w:val="0"/>
                      <w:szCs w:val="22"/>
                      <w:lang w:val="en-US" w:eastAsia="zh-CN"/>
                    </w:rPr>
                    <w:t>1h平均浓度和任意一次浓度</w:t>
                  </w:r>
                  <w:r>
                    <w:rPr>
                      <w:rFonts w:hint="eastAsia"/>
                      <w:b w:val="0"/>
                      <w:bCs w:val="0"/>
                      <w:szCs w:val="22"/>
                      <w:lang w:eastAsia="zh-CN"/>
                    </w:rPr>
                    <w:t>）</w:t>
                  </w:r>
                </w:p>
              </w:tc>
              <w:tc>
                <w:tcPr>
                  <w:tcW w:w="2649" w:type="dxa"/>
                  <w:tcBorders>
                    <w:tl2br w:val="nil"/>
                    <w:tr2bl w:val="nil"/>
                  </w:tcBorders>
                  <w:vAlign w:val="top"/>
                </w:tcPr>
                <w:p w14:paraId="7C0E6D43">
                  <w:pPr>
                    <w:pStyle w:val="39"/>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eastAsia"/>
                      <w:b w:val="0"/>
                      <w:bCs w:val="0"/>
                      <w:szCs w:val="22"/>
                    </w:rPr>
                    <w:t>非甲烷总烃</w:t>
                  </w:r>
                </w:p>
              </w:tc>
              <w:tc>
                <w:tcPr>
                  <w:tcW w:w="2190" w:type="dxa"/>
                  <w:tcBorders>
                    <w:tl2br w:val="nil"/>
                    <w:tr2bl w:val="nil"/>
                  </w:tcBorders>
                  <w:vAlign w:val="top"/>
                </w:tcPr>
                <w:p w14:paraId="6B7E87AE">
                  <w:pPr>
                    <w:pStyle w:val="39"/>
                    <w:keepNext w:val="0"/>
                    <w:keepLines w:val="0"/>
                    <w:widowControl/>
                    <w:suppressLineNumbers w:val="0"/>
                    <w:bidi w:val="0"/>
                    <w:spacing w:before="0" w:beforeAutospacing="0" w:after="0" w:afterAutospacing="0"/>
                    <w:ind w:left="0" w:right="0"/>
                    <w:rPr>
                      <w:rFonts w:hint="eastAsia"/>
                      <w:b w:val="0"/>
                      <w:bCs w:val="0"/>
                      <w:szCs w:val="22"/>
                    </w:rPr>
                  </w:pPr>
                  <w:r>
                    <w:rPr>
                      <w:rFonts w:hint="default"/>
                      <w:b w:val="0"/>
                      <w:bCs w:val="0"/>
                      <w:szCs w:val="22"/>
                    </w:rPr>
                    <w:t>1次/</w:t>
                  </w:r>
                  <w:r>
                    <w:rPr>
                      <w:rFonts w:hint="eastAsia"/>
                      <w:b w:val="0"/>
                      <w:bCs w:val="0"/>
                      <w:szCs w:val="22"/>
                    </w:rPr>
                    <w:t>年</w:t>
                  </w:r>
                </w:p>
              </w:tc>
            </w:tr>
            <w:tr w14:paraId="37B5E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2E6EF2AA">
                  <w:pPr>
                    <w:pStyle w:val="39"/>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eastAsia"/>
                      <w:b w:val="0"/>
                      <w:bCs w:val="0"/>
                      <w:szCs w:val="22"/>
                      <w:lang w:val="en-US" w:eastAsia="zh-CN"/>
                    </w:rPr>
                    <w:t>7</w:t>
                  </w:r>
                </w:p>
              </w:tc>
              <w:tc>
                <w:tcPr>
                  <w:tcW w:w="2587" w:type="dxa"/>
                  <w:tcBorders>
                    <w:tl2br w:val="nil"/>
                    <w:tr2bl w:val="nil"/>
                  </w:tcBorders>
                  <w:vAlign w:val="center"/>
                </w:tcPr>
                <w:p w14:paraId="6BCA6B36">
                  <w:pPr>
                    <w:pStyle w:val="39"/>
                    <w:keepNext w:val="0"/>
                    <w:keepLines w:val="0"/>
                    <w:widowControl/>
                    <w:suppressLineNumbers w:val="0"/>
                    <w:bidi w:val="0"/>
                    <w:spacing w:before="0" w:beforeAutospacing="0" w:after="0" w:afterAutospacing="0"/>
                    <w:ind w:left="0" w:right="0"/>
                    <w:rPr>
                      <w:rFonts w:hint="eastAsia"/>
                      <w:b w:val="0"/>
                      <w:bCs w:val="0"/>
                      <w:szCs w:val="22"/>
                      <w:lang w:val="en-US" w:eastAsia="zh-CN"/>
                    </w:rPr>
                  </w:pPr>
                  <w:r>
                    <w:rPr>
                      <w:rFonts w:hint="eastAsia"/>
                      <w:b w:val="0"/>
                      <w:bCs w:val="0"/>
                      <w:szCs w:val="22"/>
                      <w:lang w:val="en-US" w:eastAsia="zh-CN"/>
                    </w:rPr>
                    <w:t>厂界四周外1m</w:t>
                  </w:r>
                </w:p>
              </w:tc>
              <w:tc>
                <w:tcPr>
                  <w:tcW w:w="2649" w:type="dxa"/>
                  <w:tcBorders>
                    <w:tl2br w:val="nil"/>
                    <w:tr2bl w:val="nil"/>
                  </w:tcBorders>
                  <w:vAlign w:val="center"/>
                </w:tcPr>
                <w:p w14:paraId="156D73D8">
                  <w:pPr>
                    <w:pStyle w:val="39"/>
                    <w:keepNext w:val="0"/>
                    <w:keepLines w:val="0"/>
                    <w:widowControl/>
                    <w:suppressLineNumbers w:val="0"/>
                    <w:bidi w:val="0"/>
                    <w:spacing w:before="0" w:beforeAutospacing="0" w:after="0" w:afterAutospacing="0"/>
                    <w:ind w:left="0" w:right="0"/>
                    <w:rPr>
                      <w:rFonts w:hint="eastAsia"/>
                      <w:b w:val="0"/>
                      <w:bCs w:val="0"/>
                      <w:szCs w:val="22"/>
                      <w:lang w:val="en-US" w:eastAsia="zh-CN"/>
                    </w:rPr>
                  </w:pPr>
                  <w:r>
                    <w:rPr>
                      <w:rFonts w:hint="eastAsia"/>
                      <w:b w:val="0"/>
                      <w:bCs w:val="0"/>
                      <w:szCs w:val="22"/>
                      <w:lang w:eastAsia="zh-CN"/>
                    </w:rPr>
                    <w:t>等效</w:t>
                  </w:r>
                  <w:r>
                    <w:rPr>
                      <w:rFonts w:hint="eastAsia"/>
                      <w:b w:val="0"/>
                      <w:bCs w:val="0"/>
                      <w:szCs w:val="22"/>
                      <w:lang w:val="en-US" w:eastAsia="zh-CN"/>
                    </w:rPr>
                    <w:t>A声级</w:t>
                  </w:r>
                </w:p>
              </w:tc>
              <w:tc>
                <w:tcPr>
                  <w:tcW w:w="2190" w:type="dxa"/>
                  <w:tcBorders>
                    <w:tl2br w:val="nil"/>
                    <w:tr2bl w:val="nil"/>
                  </w:tcBorders>
                  <w:vAlign w:val="center"/>
                </w:tcPr>
                <w:p w14:paraId="094A044E">
                  <w:pPr>
                    <w:pStyle w:val="39"/>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default"/>
                      <w:b w:val="0"/>
                      <w:bCs w:val="0"/>
                      <w:szCs w:val="22"/>
                      <w:lang w:val="en-US" w:eastAsia="zh-CN"/>
                    </w:rPr>
                    <w:t>1</w:t>
                  </w:r>
                  <w:r>
                    <w:rPr>
                      <w:rFonts w:hint="eastAsia"/>
                      <w:b w:val="0"/>
                      <w:bCs w:val="0"/>
                      <w:szCs w:val="22"/>
                      <w:lang w:val="en-US" w:eastAsia="zh-CN"/>
                    </w:rPr>
                    <w:t>天</w:t>
                  </w:r>
                  <w:r>
                    <w:rPr>
                      <w:rFonts w:hint="default"/>
                      <w:b w:val="0"/>
                      <w:bCs w:val="0"/>
                      <w:szCs w:val="22"/>
                      <w:lang w:val="en-US" w:eastAsia="zh-CN"/>
                    </w:rPr>
                    <w:t>/季度</w:t>
                  </w:r>
                </w:p>
              </w:tc>
            </w:tr>
          </w:tbl>
          <w:p w14:paraId="3C904B7A">
            <w:pPr>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ascii="Times New Roman" w:hAnsi="Times New Roman" w:cs="Times New Roman"/>
                <w:b w:val="0"/>
                <w:bCs w:val="0"/>
                <w:iCs w:val="0"/>
                <w:color w:val="000000"/>
                <w:sz w:val="22"/>
                <w:szCs w:val="22"/>
                <w:highlight w:val="none"/>
                <w:lang w:val="en-US" w:eastAsia="zh-CN"/>
              </w:rPr>
              <w:t>注：</w:t>
            </w:r>
            <w:r>
              <w:rPr>
                <w:rFonts w:hint="eastAsia" w:ascii="Times New Roman" w:hAnsi="Times New Roman" w:eastAsia="宋体" w:cs="Times New Roman"/>
                <w:b w:val="0"/>
                <w:bCs w:val="0"/>
                <w:iCs w:val="0"/>
                <w:color w:val="000000"/>
                <w:sz w:val="21"/>
                <w:szCs w:val="21"/>
                <w:lang w:val="en-US" w:eastAsia="zh-CN"/>
              </w:rPr>
              <w:t>项目</w:t>
            </w:r>
            <w:r>
              <w:rPr>
                <w:rFonts w:hint="eastAsia"/>
                <w:b w:val="0"/>
                <w:bCs w:val="0"/>
                <w:iCs w:val="0"/>
                <w:color w:val="000000"/>
                <w:sz w:val="21"/>
                <w:szCs w:val="21"/>
              </w:rPr>
              <w:t>生活污水</w:t>
            </w:r>
            <w:r>
              <w:rPr>
                <w:rFonts w:hint="eastAsia"/>
                <w:b w:val="0"/>
                <w:bCs w:val="0"/>
                <w:iCs w:val="0"/>
                <w:color w:val="000000"/>
                <w:sz w:val="21"/>
                <w:szCs w:val="21"/>
                <w:lang w:val="en-US" w:eastAsia="zh-CN"/>
              </w:rPr>
              <w:t>依托厂区化粪池</w:t>
            </w:r>
            <w:r>
              <w:rPr>
                <w:rFonts w:hint="default"/>
                <w:b w:val="0"/>
                <w:bCs w:val="0"/>
                <w:iCs w:val="0"/>
                <w:color w:val="000000"/>
                <w:sz w:val="21"/>
                <w:szCs w:val="21"/>
              </w:rPr>
              <w:t>预处理后排入</w:t>
            </w:r>
            <w:r>
              <w:rPr>
                <w:rFonts w:hint="eastAsia"/>
                <w:b w:val="0"/>
                <w:bCs w:val="0"/>
                <w:iCs w:val="0"/>
                <w:color w:val="000000"/>
                <w:sz w:val="21"/>
                <w:szCs w:val="21"/>
                <w:lang w:eastAsia="zh-CN"/>
              </w:rPr>
              <w:t>市政污水管网</w:t>
            </w:r>
            <w:r>
              <w:rPr>
                <w:rFonts w:hint="default"/>
                <w:b w:val="0"/>
                <w:bCs w:val="0"/>
                <w:iCs w:val="0"/>
                <w:color w:val="000000"/>
                <w:sz w:val="21"/>
                <w:szCs w:val="21"/>
              </w:rPr>
              <w:t>，送往福清市融元污水处理厂集中处理属于间接排放</w:t>
            </w:r>
            <w:r>
              <w:rPr>
                <w:rFonts w:hint="eastAsia"/>
                <w:b w:val="0"/>
                <w:bCs w:val="0"/>
                <w:iCs w:val="0"/>
                <w:color w:val="000000"/>
                <w:sz w:val="21"/>
                <w:szCs w:val="21"/>
                <w:lang w:eastAsia="zh-CN"/>
              </w:rPr>
              <w:t>，在</w:t>
            </w:r>
            <w:r>
              <w:rPr>
                <w:rFonts w:hint="default"/>
                <w:b w:val="0"/>
                <w:bCs w:val="0"/>
                <w:iCs w:val="0"/>
                <w:color w:val="000000"/>
                <w:sz w:val="21"/>
                <w:szCs w:val="21"/>
              </w:rPr>
              <w:t>本</w:t>
            </w:r>
            <w:r>
              <w:rPr>
                <w:rFonts w:hint="eastAsia"/>
                <w:b w:val="0"/>
                <w:bCs w:val="0"/>
                <w:iCs w:val="0"/>
                <w:color w:val="000000"/>
                <w:sz w:val="21"/>
                <w:szCs w:val="21"/>
              </w:rPr>
              <w:t>项目</w:t>
            </w:r>
            <w:r>
              <w:rPr>
                <w:rFonts w:hint="eastAsia"/>
                <w:b w:val="0"/>
                <w:bCs w:val="0"/>
                <w:iCs w:val="0"/>
                <w:color w:val="000000"/>
                <w:sz w:val="21"/>
                <w:szCs w:val="21"/>
                <w:lang w:bidi="he-IL"/>
              </w:rPr>
              <w:t>生活污水单独排放口间接排放的情况下，</w:t>
            </w:r>
            <w:r>
              <w:rPr>
                <w:rFonts w:hint="eastAsia"/>
                <w:b w:val="0"/>
                <w:bCs w:val="0"/>
                <w:iCs w:val="0"/>
                <w:color w:val="000000"/>
                <w:sz w:val="21"/>
                <w:szCs w:val="21"/>
                <w:lang w:eastAsia="zh-CN" w:bidi="he-IL"/>
              </w:rPr>
              <w:t>无须设置</w:t>
            </w:r>
            <w:r>
              <w:rPr>
                <w:rFonts w:hint="eastAsia"/>
                <w:b w:val="0"/>
                <w:bCs w:val="0"/>
                <w:iCs w:val="0"/>
                <w:color w:val="000000"/>
                <w:sz w:val="21"/>
                <w:szCs w:val="21"/>
              </w:rPr>
              <w:t>自行监测计划</w:t>
            </w:r>
            <w:r>
              <w:rPr>
                <w:rFonts w:hint="eastAsia"/>
                <w:b w:val="0"/>
                <w:bCs w:val="0"/>
                <w:iCs w:val="0"/>
                <w:color w:val="000000"/>
                <w:sz w:val="21"/>
                <w:szCs w:val="21"/>
                <w:lang w:eastAsia="zh-CN"/>
              </w:rPr>
              <w:t>。</w:t>
            </w:r>
          </w:p>
        </w:tc>
      </w:tr>
      <w:tr w14:paraId="014EF9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92" w:hRule="atLeast"/>
          <w:jc w:val="center"/>
        </w:trPr>
        <w:tc>
          <w:tcPr>
            <w:tcW w:w="397" w:type="dxa"/>
            <w:noWrap w:val="0"/>
            <w:tcMar>
              <w:left w:w="28" w:type="dxa"/>
              <w:right w:w="28" w:type="dxa"/>
            </w:tcMar>
            <w:vAlign w:val="center"/>
          </w:tcPr>
          <w:p w14:paraId="0DE004AF">
            <w:pPr>
              <w:pStyle w:val="41"/>
              <w:keepNext w:val="0"/>
              <w:keepLines w:val="0"/>
              <w:suppressLineNumbers w:val="0"/>
              <w:bidi w:val="0"/>
              <w:spacing w:before="0" w:beforeAutospacing="0" w:after="0" w:afterAutospacing="0"/>
              <w:ind w:left="0" w:right="0"/>
              <w:rPr>
                <w:rFonts w:hint="eastAsia"/>
              </w:rPr>
            </w:pPr>
            <w:r>
              <w:rPr>
                <w:rFonts w:hint="eastAsia"/>
              </w:rPr>
              <w:t>运营期环境影响和保护措施</w:t>
            </w:r>
          </w:p>
        </w:tc>
        <w:tc>
          <w:tcPr>
            <w:tcW w:w="8583" w:type="dxa"/>
            <w:vMerge w:val="continue"/>
            <w:noWrap w:val="0"/>
            <w:vAlign w:val="top"/>
          </w:tcPr>
          <w:p w14:paraId="36E5236B">
            <w:pPr>
              <w:keepNext w:val="0"/>
              <w:keepLines w:val="0"/>
              <w:suppressLineNumbers w:val="0"/>
              <w:spacing w:before="0" w:beforeAutospacing="0" w:after="0" w:afterAutospacing="0" w:line="360" w:lineRule="auto"/>
              <w:ind w:left="0" w:right="0" w:firstLine="480" w:firstLineChars="200"/>
              <w:rPr>
                <w:rFonts w:hint="default" w:eastAsia="宋体"/>
                <w:color w:val="auto"/>
                <w:sz w:val="24"/>
                <w:lang w:val="en-US" w:eastAsia="zh-CN"/>
              </w:rPr>
            </w:pPr>
          </w:p>
        </w:tc>
      </w:tr>
    </w:tbl>
    <w:p w14:paraId="522C2C86">
      <w:pPr>
        <w:rPr>
          <w:color w:val="auto"/>
        </w:rPr>
      </w:pPr>
      <w:bookmarkStart w:id="44" w:name="_Toc1654"/>
      <w:bookmarkStart w:id="45" w:name="_Toc12951"/>
      <w:r>
        <w:rPr>
          <w:color w:val="auto"/>
        </w:rPr>
        <w:br w:type="page"/>
      </w:r>
    </w:p>
    <w:p w14:paraId="75088E28">
      <w:pPr>
        <w:pStyle w:val="2"/>
        <w:tabs>
          <w:tab w:val="left" w:pos="420"/>
          <w:tab w:val="clear" w:pos="715"/>
        </w:tabs>
        <w:bidi w:val="0"/>
      </w:pPr>
      <w:bookmarkStart w:id="46" w:name="_Hlk54167917"/>
      <w:r>
        <w:t>环境保护措施监督检查清单</w:t>
      </w:r>
      <w:bookmarkEnd w:id="44"/>
      <w:bookmarkEnd w:id="45"/>
      <w:bookmarkEnd w:id="46"/>
    </w:p>
    <w:tbl>
      <w:tblPr>
        <w:tblStyle w:val="30"/>
        <w:tblW w:w="90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477"/>
        <w:gridCol w:w="1459"/>
        <w:gridCol w:w="2141"/>
        <w:gridCol w:w="2746"/>
      </w:tblGrid>
      <w:tr w14:paraId="396760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tcBorders>
              <w:tl2br w:val="single" w:color="auto" w:sz="4" w:space="0"/>
            </w:tcBorders>
            <w:noWrap w:val="0"/>
            <w:vAlign w:val="top"/>
          </w:tcPr>
          <w:p w14:paraId="41152081">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内容</w:t>
            </w:r>
          </w:p>
          <w:p w14:paraId="4BD49D3F">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要素</w:t>
            </w:r>
          </w:p>
        </w:tc>
        <w:tc>
          <w:tcPr>
            <w:tcW w:w="1477" w:type="dxa"/>
            <w:noWrap w:val="0"/>
            <w:vAlign w:val="center"/>
          </w:tcPr>
          <w:p w14:paraId="3AF6E83A">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排放口</w:t>
            </w:r>
            <w:r>
              <w:rPr>
                <w:rFonts w:hint="eastAsia"/>
                <w:szCs w:val="22"/>
                <w:lang w:val="en-GB" w:eastAsia="zh-CN"/>
              </w:rPr>
              <w:t>（</w:t>
            </w:r>
            <w:r>
              <w:rPr>
                <w:rFonts w:hint="default"/>
                <w:szCs w:val="22"/>
                <w:lang w:val="en-GB" w:eastAsia="zh-CN"/>
              </w:rPr>
              <w:t>编号、名称</w:t>
            </w:r>
            <w:r>
              <w:rPr>
                <w:rFonts w:hint="eastAsia"/>
                <w:szCs w:val="22"/>
                <w:lang w:val="en-GB" w:eastAsia="zh-CN"/>
              </w:rPr>
              <w:t>）</w:t>
            </w:r>
            <w:r>
              <w:rPr>
                <w:rFonts w:hint="default"/>
                <w:szCs w:val="22"/>
                <w:lang w:val="en-GB" w:eastAsia="zh-CN"/>
              </w:rPr>
              <w:t>/污染源</w:t>
            </w:r>
          </w:p>
        </w:tc>
        <w:tc>
          <w:tcPr>
            <w:tcW w:w="1459" w:type="dxa"/>
            <w:noWrap w:val="0"/>
            <w:vAlign w:val="center"/>
          </w:tcPr>
          <w:p w14:paraId="439F027B">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污染物项目</w:t>
            </w:r>
          </w:p>
        </w:tc>
        <w:tc>
          <w:tcPr>
            <w:tcW w:w="2141" w:type="dxa"/>
            <w:noWrap w:val="0"/>
            <w:vAlign w:val="center"/>
          </w:tcPr>
          <w:p w14:paraId="326D2A5F">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环境保护措施</w:t>
            </w:r>
          </w:p>
        </w:tc>
        <w:tc>
          <w:tcPr>
            <w:tcW w:w="2746" w:type="dxa"/>
            <w:noWrap w:val="0"/>
            <w:vAlign w:val="center"/>
          </w:tcPr>
          <w:p w14:paraId="7721F357">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执行标准</w:t>
            </w:r>
          </w:p>
        </w:tc>
      </w:tr>
      <w:tr w14:paraId="013B7A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02" w:type="dxa"/>
            <w:vMerge w:val="restart"/>
            <w:noWrap w:val="0"/>
            <w:vAlign w:val="center"/>
          </w:tcPr>
          <w:p w14:paraId="28761A16">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大气环境</w:t>
            </w:r>
          </w:p>
        </w:tc>
        <w:tc>
          <w:tcPr>
            <w:tcW w:w="1477" w:type="dxa"/>
            <w:vMerge w:val="restart"/>
            <w:noWrap w:val="0"/>
            <w:vAlign w:val="center"/>
          </w:tcPr>
          <w:p w14:paraId="24810439">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生产线1#喷漆、烘干、加烤工序（DA001）</w:t>
            </w:r>
          </w:p>
        </w:tc>
        <w:tc>
          <w:tcPr>
            <w:tcW w:w="1459" w:type="dxa"/>
            <w:noWrap w:val="0"/>
            <w:vAlign w:val="center"/>
          </w:tcPr>
          <w:p w14:paraId="2F013816">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eastAsia="zh-CN"/>
              </w:rPr>
              <w:t>颗粒物</w:t>
            </w:r>
          </w:p>
        </w:tc>
        <w:tc>
          <w:tcPr>
            <w:tcW w:w="2141" w:type="dxa"/>
            <w:vMerge w:val="restart"/>
            <w:noWrap w:val="0"/>
            <w:vAlign w:val="center"/>
          </w:tcPr>
          <w:p w14:paraId="679ACFC1">
            <w:pPr>
              <w:pStyle w:val="39"/>
              <w:keepNext w:val="0"/>
              <w:keepLines w:val="0"/>
              <w:widowControl/>
              <w:suppressLineNumbers w:val="0"/>
              <w:bidi w:val="0"/>
              <w:spacing w:before="0" w:beforeAutospacing="0" w:after="0" w:afterAutospacing="0"/>
              <w:ind w:left="0" w:right="0"/>
              <w:jc w:val="both"/>
              <w:rPr>
                <w:rFonts w:hint="default"/>
                <w:szCs w:val="22"/>
                <w:lang w:val="en-US" w:eastAsia="zh-CN"/>
              </w:rPr>
            </w:pPr>
            <w:r>
              <w:rPr>
                <w:rFonts w:hint="eastAsia"/>
                <w:szCs w:val="22"/>
                <w:lang w:val="en-US" w:eastAsia="zh-CN"/>
              </w:rPr>
              <w:t>生产线1#：</w:t>
            </w:r>
            <w:r>
              <w:rPr>
                <w:rFonts w:hint="eastAsia"/>
                <w:szCs w:val="22"/>
              </w:rPr>
              <w:t>烘干</w:t>
            </w:r>
            <w:r>
              <w:rPr>
                <w:rFonts w:hint="eastAsia"/>
                <w:szCs w:val="22"/>
                <w:lang w:val="en-US" w:eastAsia="zh-CN"/>
              </w:rPr>
              <w:t>废气及加烤废气经密闭管道集气收集，然后与经水帘柜净化后的喷漆废气一起并入</w:t>
            </w:r>
            <w:r>
              <w:rPr>
                <w:rFonts w:hint="eastAsia"/>
                <w:szCs w:val="22"/>
                <w:lang w:eastAsia="zh-CN"/>
              </w:rPr>
              <w:t>“</w:t>
            </w:r>
            <w:r>
              <w:rPr>
                <w:rFonts w:hint="eastAsia"/>
                <w:szCs w:val="22"/>
              </w:rPr>
              <w:t>过滤棉+</w:t>
            </w:r>
            <w:r>
              <w:rPr>
                <w:rFonts w:hint="eastAsia"/>
                <w:szCs w:val="22"/>
                <w:lang w:eastAsia="zh-CN"/>
              </w:rPr>
              <w:t>二级活性炭</w:t>
            </w:r>
            <w:r>
              <w:rPr>
                <w:rFonts w:hint="eastAsia"/>
                <w:szCs w:val="22"/>
              </w:rPr>
              <w:t>吸附装置</w:t>
            </w:r>
            <w:r>
              <w:rPr>
                <w:rFonts w:hint="eastAsia"/>
                <w:szCs w:val="22"/>
                <w:lang w:val="en-US" w:eastAsia="zh-CN"/>
              </w:rPr>
              <w:t>”1#处理达标后通过一根</w:t>
            </w:r>
            <w:r>
              <w:rPr>
                <w:rFonts w:hint="default"/>
                <w:szCs w:val="22"/>
                <w:lang w:val="en-US" w:eastAsia="zh-CN"/>
              </w:rPr>
              <w:t>15m高排气筒</w:t>
            </w:r>
            <w:r>
              <w:rPr>
                <w:rFonts w:hint="eastAsia"/>
                <w:szCs w:val="22"/>
                <w:lang w:val="en-US" w:eastAsia="zh-CN"/>
              </w:rPr>
              <w:t>（DA001）排放；</w:t>
            </w:r>
          </w:p>
        </w:tc>
        <w:tc>
          <w:tcPr>
            <w:tcW w:w="2746" w:type="dxa"/>
            <w:tcBorders>
              <w:bottom w:val="single" w:color="000000" w:sz="4" w:space="0"/>
            </w:tcBorders>
            <w:noWrap w:val="0"/>
            <w:vAlign w:val="center"/>
          </w:tcPr>
          <w:p w14:paraId="0B60E601">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GB" w:eastAsia="zh-CN"/>
              </w:rPr>
              <w:t>执行</w:t>
            </w:r>
            <w:r>
              <w:rPr>
                <w:rFonts w:hint="default"/>
                <w:szCs w:val="22"/>
                <w:lang w:val="en-US" w:eastAsia="zh-CN"/>
              </w:rPr>
              <w:t>GB16297-1996《大气污染物综合排放标准》表2中二级标准</w:t>
            </w:r>
            <w:r>
              <w:rPr>
                <w:rFonts w:hint="eastAsia"/>
                <w:szCs w:val="22"/>
                <w:lang w:val="en-US" w:eastAsia="zh-CN"/>
              </w:rPr>
              <w:t>（颗粒物</w:t>
            </w:r>
            <w:r>
              <w:rPr>
                <w:rFonts w:hint="default"/>
                <w:szCs w:val="22"/>
                <w:lang w:val="en-US" w:eastAsia="zh-CN"/>
              </w:rPr>
              <w:t>≤</w:t>
            </w:r>
            <w:r>
              <w:rPr>
                <w:rFonts w:hint="eastAsia"/>
                <w:szCs w:val="22"/>
                <w:lang w:val="en-US" w:eastAsia="zh-CN"/>
              </w:rPr>
              <w:t>120</w:t>
            </w:r>
            <w:r>
              <w:rPr>
                <w:rFonts w:hint="default"/>
                <w:szCs w:val="22"/>
                <w:lang w:val="en-US" w:eastAsia="zh-CN"/>
              </w:rPr>
              <w:t>mg/m</w:t>
            </w:r>
            <w:r>
              <w:rPr>
                <w:rFonts w:hint="default"/>
                <w:szCs w:val="22"/>
                <w:vertAlign w:val="superscript"/>
                <w:lang w:val="en-US" w:eastAsia="zh-CN"/>
              </w:rPr>
              <w:t>3</w:t>
            </w:r>
            <w:r>
              <w:rPr>
                <w:rFonts w:hint="eastAsia"/>
                <w:szCs w:val="22"/>
                <w:lang w:val="en-US" w:eastAsia="zh-CN"/>
              </w:rPr>
              <w:t>）</w:t>
            </w:r>
          </w:p>
        </w:tc>
      </w:tr>
      <w:tr w14:paraId="3B8FA6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202" w:type="dxa"/>
            <w:vMerge w:val="continue"/>
            <w:noWrap w:val="0"/>
            <w:vAlign w:val="center"/>
          </w:tcPr>
          <w:p w14:paraId="161A45CC">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57B4B9E3">
            <w:pPr>
              <w:pStyle w:val="39"/>
              <w:keepNext w:val="0"/>
              <w:keepLines w:val="0"/>
              <w:widowControl/>
              <w:suppressLineNumbers w:val="0"/>
              <w:bidi w:val="0"/>
              <w:spacing w:before="0" w:beforeAutospacing="0" w:after="0" w:afterAutospacing="0"/>
              <w:ind w:left="0" w:right="0"/>
              <w:rPr>
                <w:rFonts w:hint="eastAsia"/>
                <w:szCs w:val="22"/>
                <w:lang w:val="en-US" w:eastAsia="zh-CN"/>
              </w:rPr>
            </w:pPr>
          </w:p>
        </w:tc>
        <w:tc>
          <w:tcPr>
            <w:tcW w:w="1459" w:type="dxa"/>
            <w:noWrap w:val="0"/>
            <w:vAlign w:val="center"/>
          </w:tcPr>
          <w:p w14:paraId="298CD152">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非甲烷总烃</w:t>
            </w:r>
          </w:p>
        </w:tc>
        <w:tc>
          <w:tcPr>
            <w:tcW w:w="2141" w:type="dxa"/>
            <w:vMerge w:val="continue"/>
            <w:noWrap w:val="0"/>
            <w:vAlign w:val="center"/>
          </w:tcPr>
          <w:p w14:paraId="1DAF2244">
            <w:pPr>
              <w:pStyle w:val="39"/>
              <w:keepNext w:val="0"/>
              <w:keepLines w:val="0"/>
              <w:widowControl/>
              <w:suppressLineNumbers w:val="0"/>
              <w:bidi w:val="0"/>
              <w:spacing w:before="0" w:beforeAutospacing="0" w:after="0" w:afterAutospacing="0"/>
              <w:ind w:left="0" w:right="0"/>
              <w:rPr>
                <w:rFonts w:hint="default"/>
                <w:szCs w:val="22"/>
                <w:lang w:val="en-US" w:eastAsia="zh-CN"/>
              </w:rPr>
            </w:pPr>
          </w:p>
        </w:tc>
        <w:tc>
          <w:tcPr>
            <w:tcW w:w="2746" w:type="dxa"/>
            <w:noWrap w:val="0"/>
            <w:vAlign w:val="center"/>
          </w:tcPr>
          <w:p w14:paraId="213266EA">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执行《工业涂装工序挥发性有机物排放标准》（DB35/1783-2018）表1标准中的涉涂装工序的其它行业的标准限值</w:t>
            </w:r>
            <w:r>
              <w:rPr>
                <w:rFonts w:hint="eastAsia"/>
                <w:szCs w:val="22"/>
                <w:lang w:val="en-GB" w:eastAsia="zh-CN"/>
              </w:rPr>
              <w:t>（</w:t>
            </w:r>
            <w:r>
              <w:rPr>
                <w:rFonts w:hint="default"/>
                <w:szCs w:val="22"/>
                <w:lang w:val="en-US" w:eastAsia="zh-CN"/>
              </w:rPr>
              <w:t>非甲烷总烃≤</w:t>
            </w:r>
            <w:r>
              <w:rPr>
                <w:rFonts w:hint="eastAsia"/>
                <w:szCs w:val="22"/>
                <w:lang w:val="en-US" w:eastAsia="zh-CN"/>
              </w:rPr>
              <w:t>60</w:t>
            </w:r>
            <w:r>
              <w:rPr>
                <w:rFonts w:hint="default"/>
                <w:szCs w:val="22"/>
                <w:lang w:val="en-US" w:eastAsia="zh-CN"/>
              </w:rPr>
              <w:t>mg/m</w:t>
            </w:r>
            <w:r>
              <w:rPr>
                <w:rFonts w:hint="default"/>
                <w:szCs w:val="22"/>
                <w:vertAlign w:val="superscript"/>
                <w:lang w:val="en-US" w:eastAsia="zh-CN"/>
              </w:rPr>
              <w:t>3</w:t>
            </w:r>
            <w:r>
              <w:rPr>
                <w:rFonts w:hint="eastAsia"/>
                <w:szCs w:val="22"/>
                <w:lang w:val="en-GB" w:eastAsia="zh-CN"/>
              </w:rPr>
              <w:t>）</w:t>
            </w:r>
          </w:p>
        </w:tc>
      </w:tr>
      <w:tr w14:paraId="7A74DB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202" w:type="dxa"/>
            <w:vMerge w:val="continue"/>
            <w:noWrap w:val="0"/>
            <w:vAlign w:val="center"/>
          </w:tcPr>
          <w:p w14:paraId="4D32C2F0">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restart"/>
            <w:noWrap w:val="0"/>
            <w:vAlign w:val="center"/>
          </w:tcPr>
          <w:p w14:paraId="32EB192E">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生产线2#、生产线3#喷漆、烘干、加烤工序（DA002）</w:t>
            </w:r>
          </w:p>
        </w:tc>
        <w:tc>
          <w:tcPr>
            <w:tcW w:w="1459" w:type="dxa"/>
            <w:noWrap w:val="0"/>
            <w:vAlign w:val="center"/>
          </w:tcPr>
          <w:p w14:paraId="2CF704BC">
            <w:pPr>
              <w:pStyle w:val="39"/>
              <w:keepNext w:val="0"/>
              <w:keepLines w:val="0"/>
              <w:widowControl/>
              <w:suppressLineNumbers w:val="0"/>
              <w:bidi w:val="0"/>
              <w:spacing w:before="0" w:beforeAutospacing="0" w:after="0" w:afterAutospacing="0"/>
              <w:ind w:left="0" w:leftChars="0" w:right="0" w:rightChars="0"/>
              <w:rPr>
                <w:rFonts w:hint="default"/>
                <w:szCs w:val="22"/>
                <w:lang w:val="en-US" w:eastAsia="zh-CN"/>
              </w:rPr>
            </w:pPr>
            <w:r>
              <w:rPr>
                <w:rFonts w:hint="default"/>
                <w:szCs w:val="22"/>
                <w:lang w:eastAsia="zh-CN"/>
              </w:rPr>
              <w:t>颗粒物</w:t>
            </w:r>
          </w:p>
        </w:tc>
        <w:tc>
          <w:tcPr>
            <w:tcW w:w="2141" w:type="dxa"/>
            <w:vMerge w:val="restart"/>
            <w:noWrap w:val="0"/>
            <w:vAlign w:val="center"/>
          </w:tcPr>
          <w:p w14:paraId="14B42666">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生产线2#、生产线3#：</w:t>
            </w:r>
            <w:r>
              <w:rPr>
                <w:rFonts w:hint="eastAsia"/>
                <w:szCs w:val="22"/>
              </w:rPr>
              <w:t>烘干</w:t>
            </w:r>
            <w:r>
              <w:rPr>
                <w:rFonts w:hint="eastAsia"/>
                <w:szCs w:val="22"/>
                <w:lang w:val="en-US" w:eastAsia="zh-CN"/>
              </w:rPr>
              <w:t>废气、加烤废气经密闭管道集气收集，然后与经水帘柜净化后的喷漆废气一起并入</w:t>
            </w:r>
            <w:r>
              <w:rPr>
                <w:rFonts w:hint="eastAsia"/>
                <w:szCs w:val="22"/>
                <w:lang w:eastAsia="zh-CN"/>
              </w:rPr>
              <w:t>“</w:t>
            </w:r>
            <w:r>
              <w:rPr>
                <w:rFonts w:hint="eastAsia"/>
                <w:szCs w:val="22"/>
              </w:rPr>
              <w:t>过滤棉+</w:t>
            </w:r>
            <w:r>
              <w:rPr>
                <w:rFonts w:hint="eastAsia"/>
                <w:szCs w:val="22"/>
                <w:lang w:eastAsia="zh-CN"/>
              </w:rPr>
              <w:t>二级活性炭</w:t>
            </w:r>
            <w:r>
              <w:rPr>
                <w:rFonts w:hint="eastAsia"/>
                <w:szCs w:val="22"/>
              </w:rPr>
              <w:t>吸附装置</w:t>
            </w:r>
            <w:r>
              <w:rPr>
                <w:rFonts w:hint="eastAsia"/>
                <w:szCs w:val="22"/>
                <w:lang w:val="en-US" w:eastAsia="zh-CN"/>
              </w:rPr>
              <w:t>”2#处理达标后通过一根</w:t>
            </w:r>
            <w:r>
              <w:rPr>
                <w:rFonts w:hint="default"/>
                <w:szCs w:val="22"/>
                <w:lang w:val="en-US" w:eastAsia="zh-CN"/>
              </w:rPr>
              <w:t>15m高排气筒</w:t>
            </w:r>
            <w:r>
              <w:rPr>
                <w:rFonts w:hint="eastAsia"/>
                <w:szCs w:val="22"/>
                <w:lang w:val="en-US" w:eastAsia="zh-CN"/>
              </w:rPr>
              <w:t>（DA002）排放；</w:t>
            </w:r>
          </w:p>
        </w:tc>
        <w:tc>
          <w:tcPr>
            <w:tcW w:w="2746" w:type="dxa"/>
            <w:noWrap w:val="0"/>
            <w:vAlign w:val="center"/>
          </w:tcPr>
          <w:p w14:paraId="3E740D11">
            <w:pPr>
              <w:pStyle w:val="39"/>
              <w:keepNext w:val="0"/>
              <w:keepLines w:val="0"/>
              <w:widowControl/>
              <w:suppressLineNumbers w:val="0"/>
              <w:bidi w:val="0"/>
              <w:spacing w:before="0" w:beforeAutospacing="0" w:after="0" w:afterAutospacing="0"/>
              <w:ind w:left="0" w:leftChars="0" w:right="0" w:rightChars="0"/>
              <w:rPr>
                <w:rFonts w:hint="default"/>
                <w:szCs w:val="22"/>
                <w:lang w:val="en-GB" w:eastAsia="zh-CN"/>
              </w:rPr>
            </w:pPr>
            <w:r>
              <w:rPr>
                <w:rFonts w:hint="default"/>
                <w:szCs w:val="22"/>
                <w:lang w:val="en-GB" w:eastAsia="zh-CN"/>
              </w:rPr>
              <w:t>执行</w:t>
            </w:r>
            <w:r>
              <w:rPr>
                <w:rFonts w:hint="default"/>
                <w:szCs w:val="22"/>
                <w:lang w:val="en-US" w:eastAsia="zh-CN"/>
              </w:rPr>
              <w:t>GB16297-1996《大气污染物综合排放标准》表2中二级标准</w:t>
            </w:r>
            <w:r>
              <w:rPr>
                <w:rFonts w:hint="eastAsia"/>
                <w:szCs w:val="22"/>
                <w:lang w:val="en-US" w:eastAsia="zh-CN"/>
              </w:rPr>
              <w:t>（颗粒物</w:t>
            </w:r>
            <w:r>
              <w:rPr>
                <w:rFonts w:hint="default"/>
                <w:szCs w:val="22"/>
                <w:lang w:val="en-US" w:eastAsia="zh-CN"/>
              </w:rPr>
              <w:t>≤</w:t>
            </w:r>
            <w:r>
              <w:rPr>
                <w:rFonts w:hint="eastAsia"/>
                <w:szCs w:val="22"/>
                <w:lang w:val="en-US" w:eastAsia="zh-CN"/>
              </w:rPr>
              <w:t>120</w:t>
            </w:r>
            <w:r>
              <w:rPr>
                <w:rFonts w:hint="default"/>
                <w:szCs w:val="22"/>
                <w:lang w:val="en-US" w:eastAsia="zh-CN"/>
              </w:rPr>
              <w:t>mg/m</w:t>
            </w:r>
            <w:r>
              <w:rPr>
                <w:rFonts w:hint="default"/>
                <w:szCs w:val="22"/>
                <w:vertAlign w:val="superscript"/>
                <w:lang w:val="en-US" w:eastAsia="zh-CN"/>
              </w:rPr>
              <w:t>3</w:t>
            </w:r>
            <w:r>
              <w:rPr>
                <w:rFonts w:hint="eastAsia"/>
                <w:szCs w:val="22"/>
                <w:lang w:val="en-US" w:eastAsia="zh-CN"/>
              </w:rPr>
              <w:t>）</w:t>
            </w:r>
          </w:p>
        </w:tc>
      </w:tr>
      <w:tr w14:paraId="538FF1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202" w:type="dxa"/>
            <w:vMerge w:val="continue"/>
            <w:noWrap w:val="0"/>
            <w:vAlign w:val="center"/>
          </w:tcPr>
          <w:p w14:paraId="634FF22E">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342117EE">
            <w:pPr>
              <w:pStyle w:val="39"/>
              <w:keepNext w:val="0"/>
              <w:keepLines w:val="0"/>
              <w:widowControl/>
              <w:suppressLineNumbers w:val="0"/>
              <w:bidi w:val="0"/>
              <w:spacing w:before="0" w:beforeAutospacing="0" w:after="0" w:afterAutospacing="0"/>
              <w:ind w:left="0" w:right="0"/>
              <w:rPr>
                <w:rFonts w:hint="default"/>
                <w:szCs w:val="22"/>
                <w:lang w:val="en-US" w:eastAsia="zh-CN"/>
              </w:rPr>
            </w:pPr>
          </w:p>
        </w:tc>
        <w:tc>
          <w:tcPr>
            <w:tcW w:w="1459" w:type="dxa"/>
            <w:noWrap w:val="0"/>
            <w:vAlign w:val="center"/>
          </w:tcPr>
          <w:p w14:paraId="5ACB93B2">
            <w:pPr>
              <w:pStyle w:val="39"/>
              <w:keepNext w:val="0"/>
              <w:keepLines w:val="0"/>
              <w:widowControl/>
              <w:suppressLineNumbers w:val="0"/>
              <w:bidi w:val="0"/>
              <w:spacing w:before="0" w:beforeAutospacing="0" w:after="0" w:afterAutospacing="0"/>
              <w:ind w:left="0" w:leftChars="0" w:right="0" w:rightChars="0"/>
              <w:rPr>
                <w:rFonts w:hint="eastAsia"/>
                <w:szCs w:val="22"/>
                <w:lang w:val="en-US" w:eastAsia="zh-CN"/>
              </w:rPr>
            </w:pPr>
            <w:r>
              <w:rPr>
                <w:rFonts w:hint="default"/>
                <w:szCs w:val="22"/>
                <w:lang w:val="en-US" w:eastAsia="zh-CN"/>
              </w:rPr>
              <w:t>非甲烷总烃</w:t>
            </w:r>
          </w:p>
        </w:tc>
        <w:tc>
          <w:tcPr>
            <w:tcW w:w="2141" w:type="dxa"/>
            <w:vMerge w:val="continue"/>
            <w:noWrap w:val="0"/>
            <w:vAlign w:val="center"/>
          </w:tcPr>
          <w:p w14:paraId="6439937D">
            <w:pPr>
              <w:pStyle w:val="39"/>
              <w:keepNext w:val="0"/>
              <w:keepLines w:val="0"/>
              <w:widowControl/>
              <w:suppressLineNumbers w:val="0"/>
              <w:bidi w:val="0"/>
              <w:spacing w:before="0" w:beforeAutospacing="0" w:after="0" w:afterAutospacing="0"/>
              <w:ind w:left="0" w:right="0"/>
              <w:rPr>
                <w:rFonts w:hint="default"/>
                <w:szCs w:val="22"/>
                <w:lang w:val="en-US" w:eastAsia="zh-CN"/>
              </w:rPr>
            </w:pPr>
          </w:p>
        </w:tc>
        <w:tc>
          <w:tcPr>
            <w:tcW w:w="2746" w:type="dxa"/>
            <w:noWrap w:val="0"/>
            <w:vAlign w:val="center"/>
          </w:tcPr>
          <w:p w14:paraId="21B3FDDA">
            <w:pPr>
              <w:pStyle w:val="39"/>
              <w:keepNext w:val="0"/>
              <w:keepLines w:val="0"/>
              <w:widowControl/>
              <w:suppressLineNumbers w:val="0"/>
              <w:bidi w:val="0"/>
              <w:spacing w:before="0" w:beforeAutospacing="0" w:after="0" w:afterAutospacing="0"/>
              <w:ind w:left="0" w:leftChars="0" w:right="0" w:rightChars="0"/>
              <w:rPr>
                <w:rFonts w:hint="default"/>
                <w:szCs w:val="22"/>
                <w:lang w:val="en-GB" w:eastAsia="zh-CN"/>
              </w:rPr>
            </w:pPr>
            <w:r>
              <w:rPr>
                <w:rFonts w:hint="default"/>
                <w:szCs w:val="22"/>
                <w:lang w:val="en-GB" w:eastAsia="zh-CN"/>
              </w:rPr>
              <w:t>执行《工业涂装工序挥发性有机物排放标准》（DB35/1783-2018）表1标准中的涉涂装工序的其它行业的标准限值</w:t>
            </w:r>
            <w:r>
              <w:rPr>
                <w:rFonts w:hint="eastAsia"/>
                <w:szCs w:val="22"/>
                <w:lang w:val="en-GB" w:eastAsia="zh-CN"/>
              </w:rPr>
              <w:t>（</w:t>
            </w:r>
            <w:r>
              <w:rPr>
                <w:rFonts w:hint="default"/>
                <w:szCs w:val="22"/>
                <w:lang w:val="en-US" w:eastAsia="zh-CN"/>
              </w:rPr>
              <w:t>非甲烷总烃≤</w:t>
            </w:r>
            <w:r>
              <w:rPr>
                <w:rFonts w:hint="eastAsia"/>
                <w:szCs w:val="22"/>
                <w:lang w:val="en-US" w:eastAsia="zh-CN"/>
              </w:rPr>
              <w:t>60</w:t>
            </w:r>
            <w:r>
              <w:rPr>
                <w:rFonts w:hint="default"/>
                <w:szCs w:val="22"/>
                <w:lang w:val="en-US" w:eastAsia="zh-CN"/>
              </w:rPr>
              <w:t>mg/m</w:t>
            </w:r>
            <w:r>
              <w:rPr>
                <w:rFonts w:hint="default"/>
                <w:szCs w:val="22"/>
                <w:vertAlign w:val="superscript"/>
                <w:lang w:val="en-US" w:eastAsia="zh-CN"/>
              </w:rPr>
              <w:t>3</w:t>
            </w:r>
            <w:r>
              <w:rPr>
                <w:rFonts w:hint="eastAsia"/>
                <w:szCs w:val="22"/>
                <w:lang w:val="en-GB" w:eastAsia="zh-CN"/>
              </w:rPr>
              <w:t>）</w:t>
            </w:r>
          </w:p>
        </w:tc>
      </w:tr>
      <w:tr w14:paraId="5593C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202" w:type="dxa"/>
            <w:vMerge w:val="continue"/>
            <w:noWrap w:val="0"/>
            <w:vAlign w:val="center"/>
          </w:tcPr>
          <w:p w14:paraId="7443BFF1">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restart"/>
            <w:noWrap w:val="0"/>
            <w:vAlign w:val="center"/>
          </w:tcPr>
          <w:p w14:paraId="49FF323D">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厂界</w:t>
            </w:r>
          </w:p>
        </w:tc>
        <w:tc>
          <w:tcPr>
            <w:tcW w:w="1459" w:type="dxa"/>
            <w:noWrap w:val="0"/>
            <w:vAlign w:val="center"/>
          </w:tcPr>
          <w:p w14:paraId="347277CA">
            <w:pPr>
              <w:pStyle w:val="39"/>
              <w:keepNext w:val="0"/>
              <w:keepLines w:val="0"/>
              <w:widowControl/>
              <w:suppressLineNumbers w:val="0"/>
              <w:bidi w:val="0"/>
              <w:spacing w:before="0" w:beforeAutospacing="0" w:after="0" w:afterAutospacing="0"/>
              <w:ind w:left="0" w:right="0"/>
              <w:rPr>
                <w:rFonts w:hint="default"/>
                <w:szCs w:val="22"/>
                <w:lang w:eastAsia="zh-CN"/>
              </w:rPr>
            </w:pPr>
            <w:r>
              <w:rPr>
                <w:rFonts w:hint="default"/>
                <w:szCs w:val="22"/>
                <w:lang w:eastAsia="zh-CN"/>
              </w:rPr>
              <w:t>颗粒物</w:t>
            </w:r>
          </w:p>
        </w:tc>
        <w:tc>
          <w:tcPr>
            <w:tcW w:w="2141" w:type="dxa"/>
            <w:vMerge w:val="restart"/>
            <w:noWrap w:val="0"/>
            <w:vAlign w:val="center"/>
          </w:tcPr>
          <w:p w14:paraId="264FD035">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加强废气的收集及二级活性炭吸附净化装置维护保养，防止废气事故无组织排放；生产过程中门窗关闭，保持一个相对密闭的空间，合理设计送排风系统</w:t>
            </w:r>
          </w:p>
        </w:tc>
        <w:tc>
          <w:tcPr>
            <w:tcW w:w="2746" w:type="dxa"/>
            <w:noWrap w:val="0"/>
            <w:vAlign w:val="center"/>
          </w:tcPr>
          <w:p w14:paraId="26D8DD5D">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执行</w:t>
            </w:r>
            <w:r>
              <w:rPr>
                <w:rFonts w:hint="default"/>
                <w:szCs w:val="22"/>
              </w:rPr>
              <w:t>GB16297-1996《大气污染物综合排放标准》表2无组织排放监控浓度限值</w:t>
            </w:r>
            <w:r>
              <w:rPr>
                <w:rFonts w:hint="eastAsia"/>
                <w:szCs w:val="22"/>
                <w:lang w:eastAsia="zh-CN"/>
              </w:rPr>
              <w:t>（</w:t>
            </w:r>
            <w:r>
              <w:rPr>
                <w:rFonts w:hint="eastAsia"/>
                <w:szCs w:val="22"/>
                <w:lang w:val="en-US" w:eastAsia="zh-CN"/>
              </w:rPr>
              <w:t>周界外浓度最高点颗粒物</w:t>
            </w:r>
            <w:r>
              <w:rPr>
                <w:rFonts w:hint="default"/>
                <w:szCs w:val="22"/>
                <w:lang w:val="en-US" w:eastAsia="zh-CN"/>
              </w:rPr>
              <w:t>≤</w:t>
            </w:r>
            <w:r>
              <w:rPr>
                <w:rFonts w:hint="eastAsia"/>
                <w:szCs w:val="22"/>
                <w:lang w:val="en-US" w:eastAsia="zh-CN"/>
              </w:rPr>
              <w:t>1.0</w:t>
            </w:r>
            <w:r>
              <w:rPr>
                <w:rFonts w:hint="default"/>
                <w:szCs w:val="22"/>
                <w:lang w:val="en-US" w:eastAsia="zh-CN"/>
              </w:rPr>
              <w:t>mg/m</w:t>
            </w:r>
            <w:r>
              <w:rPr>
                <w:rFonts w:hint="default"/>
                <w:szCs w:val="22"/>
                <w:vertAlign w:val="superscript"/>
                <w:lang w:val="en-US" w:eastAsia="zh-CN"/>
              </w:rPr>
              <w:t>3</w:t>
            </w:r>
            <w:r>
              <w:rPr>
                <w:rFonts w:hint="eastAsia"/>
                <w:szCs w:val="22"/>
                <w:lang w:eastAsia="zh-CN"/>
              </w:rPr>
              <w:t>）</w:t>
            </w:r>
          </w:p>
        </w:tc>
      </w:tr>
      <w:tr w14:paraId="6BAEA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02" w:type="dxa"/>
            <w:vMerge w:val="continue"/>
            <w:noWrap w:val="0"/>
            <w:vAlign w:val="center"/>
          </w:tcPr>
          <w:p w14:paraId="76043DB5">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348BF82C">
            <w:pPr>
              <w:pStyle w:val="39"/>
              <w:keepNext w:val="0"/>
              <w:keepLines w:val="0"/>
              <w:widowControl/>
              <w:suppressLineNumbers w:val="0"/>
              <w:bidi w:val="0"/>
              <w:spacing w:before="0" w:beforeAutospacing="0" w:after="0" w:afterAutospacing="0"/>
              <w:ind w:left="0" w:right="0"/>
              <w:rPr>
                <w:rFonts w:hint="default"/>
                <w:szCs w:val="22"/>
                <w:lang w:val="en-US" w:eastAsia="zh-CN"/>
              </w:rPr>
            </w:pPr>
          </w:p>
        </w:tc>
        <w:tc>
          <w:tcPr>
            <w:tcW w:w="1459" w:type="dxa"/>
            <w:noWrap w:val="0"/>
            <w:vAlign w:val="center"/>
          </w:tcPr>
          <w:p w14:paraId="05DE8493">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非甲烷总烃</w:t>
            </w:r>
          </w:p>
        </w:tc>
        <w:tc>
          <w:tcPr>
            <w:tcW w:w="2141" w:type="dxa"/>
            <w:vMerge w:val="continue"/>
            <w:noWrap w:val="0"/>
            <w:vAlign w:val="center"/>
          </w:tcPr>
          <w:p w14:paraId="5D40F63D">
            <w:pPr>
              <w:pStyle w:val="39"/>
              <w:keepNext w:val="0"/>
              <w:keepLines w:val="0"/>
              <w:widowControl/>
              <w:suppressLineNumbers w:val="0"/>
              <w:bidi w:val="0"/>
              <w:spacing w:before="0" w:beforeAutospacing="0" w:after="0" w:afterAutospacing="0"/>
              <w:ind w:left="0" w:right="0"/>
              <w:rPr>
                <w:rFonts w:hint="default"/>
                <w:szCs w:val="22"/>
                <w:lang w:eastAsia="zh-CN"/>
              </w:rPr>
            </w:pPr>
          </w:p>
        </w:tc>
        <w:tc>
          <w:tcPr>
            <w:tcW w:w="2746" w:type="dxa"/>
            <w:noWrap w:val="0"/>
            <w:vAlign w:val="center"/>
          </w:tcPr>
          <w:p w14:paraId="2894E32A">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执行</w:t>
            </w:r>
            <w:r>
              <w:rPr>
                <w:rFonts w:hint="eastAsia"/>
                <w:szCs w:val="22"/>
              </w:rPr>
              <w:t>《工业涂装工序挥发性有机物排放标准》（DB35/1783-2018）表4</w:t>
            </w:r>
            <w:r>
              <w:rPr>
                <w:rFonts w:hint="eastAsia"/>
                <w:szCs w:val="22"/>
                <w:lang w:val="en-US" w:eastAsia="zh-CN"/>
              </w:rPr>
              <w:t>标准限值要求（</w:t>
            </w:r>
            <w:r>
              <w:rPr>
                <w:rFonts w:hint="default"/>
                <w:szCs w:val="22"/>
                <w:lang w:val="en-US" w:eastAsia="zh-CN"/>
              </w:rPr>
              <w:t>非甲烷总烃≤</w:t>
            </w:r>
            <w:r>
              <w:rPr>
                <w:rFonts w:hint="eastAsia"/>
                <w:szCs w:val="22"/>
                <w:lang w:val="en-US" w:eastAsia="zh-CN"/>
              </w:rPr>
              <w:t>2.0</w:t>
            </w:r>
            <w:r>
              <w:rPr>
                <w:rFonts w:hint="default"/>
                <w:szCs w:val="22"/>
                <w:lang w:val="en-US" w:eastAsia="zh-CN"/>
              </w:rPr>
              <w:t>mg/m</w:t>
            </w:r>
            <w:r>
              <w:rPr>
                <w:rFonts w:hint="default"/>
                <w:szCs w:val="22"/>
                <w:vertAlign w:val="superscript"/>
                <w:lang w:val="en-US" w:eastAsia="zh-CN"/>
              </w:rPr>
              <w:t>3</w:t>
            </w:r>
            <w:r>
              <w:rPr>
                <w:rFonts w:hint="eastAsia"/>
                <w:szCs w:val="22"/>
                <w:lang w:val="en-US" w:eastAsia="zh-CN"/>
              </w:rPr>
              <w:t>）</w:t>
            </w:r>
          </w:p>
        </w:tc>
      </w:tr>
      <w:tr w14:paraId="47EF8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02" w:type="dxa"/>
            <w:vMerge w:val="continue"/>
            <w:noWrap w:val="0"/>
            <w:vAlign w:val="center"/>
          </w:tcPr>
          <w:p w14:paraId="4F45618F">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noWrap w:val="0"/>
            <w:vAlign w:val="center"/>
          </w:tcPr>
          <w:p w14:paraId="6647F221">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厂区内</w:t>
            </w:r>
          </w:p>
        </w:tc>
        <w:tc>
          <w:tcPr>
            <w:tcW w:w="1459" w:type="dxa"/>
            <w:noWrap w:val="0"/>
            <w:vAlign w:val="center"/>
          </w:tcPr>
          <w:p w14:paraId="131C6D1A">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非甲烷总烃</w:t>
            </w:r>
          </w:p>
        </w:tc>
        <w:tc>
          <w:tcPr>
            <w:tcW w:w="2141" w:type="dxa"/>
            <w:noWrap w:val="0"/>
            <w:vAlign w:val="center"/>
          </w:tcPr>
          <w:p w14:paraId="7FCAEE94">
            <w:pPr>
              <w:pStyle w:val="39"/>
              <w:keepNext w:val="0"/>
              <w:keepLines w:val="0"/>
              <w:widowControl/>
              <w:suppressLineNumbers w:val="0"/>
              <w:bidi w:val="0"/>
              <w:spacing w:before="0" w:beforeAutospacing="0" w:after="0" w:afterAutospacing="0"/>
              <w:ind w:left="0" w:right="0"/>
              <w:rPr>
                <w:rFonts w:hint="default"/>
                <w:szCs w:val="22"/>
                <w:lang w:eastAsia="zh-CN"/>
              </w:rPr>
            </w:pPr>
            <w:r>
              <w:rPr>
                <w:rFonts w:hint="eastAsia"/>
                <w:szCs w:val="22"/>
                <w:lang w:val="en-US" w:eastAsia="zh-CN"/>
              </w:rPr>
              <w:t>车间密闭</w:t>
            </w:r>
            <w:r>
              <w:rPr>
                <w:rFonts w:hint="default"/>
                <w:szCs w:val="22"/>
                <w:lang w:val="en-US" w:eastAsia="zh-CN"/>
              </w:rPr>
              <w:t>，</w:t>
            </w:r>
            <w:r>
              <w:rPr>
                <w:rFonts w:hint="eastAsia"/>
                <w:szCs w:val="22"/>
                <w:lang w:val="en-US" w:eastAsia="zh-CN"/>
              </w:rPr>
              <w:t>单独设置喷漆房，</w:t>
            </w:r>
            <w:r>
              <w:rPr>
                <w:rFonts w:hint="default"/>
                <w:szCs w:val="22"/>
                <w:lang w:val="en-US" w:eastAsia="zh-CN"/>
              </w:rPr>
              <w:t>加强有机废气的收集及活性炭吸附净化装置维护保养</w:t>
            </w:r>
          </w:p>
        </w:tc>
        <w:tc>
          <w:tcPr>
            <w:tcW w:w="2746" w:type="dxa"/>
            <w:noWrap w:val="0"/>
            <w:vAlign w:val="center"/>
          </w:tcPr>
          <w:p w14:paraId="344F9365">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非甲烷总烃</w:t>
            </w:r>
            <w:r>
              <w:rPr>
                <w:rFonts w:hint="default"/>
                <w:szCs w:val="22"/>
              </w:rPr>
              <w:t>企业</w:t>
            </w:r>
            <w:r>
              <w:rPr>
                <w:rFonts w:hint="default"/>
                <w:szCs w:val="22"/>
                <w:lang w:val="en-US" w:eastAsia="zh-CN"/>
              </w:rPr>
              <w:t>厂区内监控点浓度值</w:t>
            </w:r>
            <w:r>
              <w:rPr>
                <w:rFonts w:hint="default"/>
                <w:szCs w:val="22"/>
                <w:lang w:eastAsia="zh-CN"/>
              </w:rPr>
              <w:t>满足</w:t>
            </w:r>
            <w:r>
              <w:rPr>
                <w:rFonts w:hint="default"/>
                <w:szCs w:val="22"/>
                <w:lang w:val="en-US" w:eastAsia="zh-CN"/>
              </w:rPr>
              <w:t>《挥发性有机物无组织排放控制标准》</w:t>
            </w:r>
            <w:r>
              <w:rPr>
                <w:rFonts w:hint="eastAsia"/>
                <w:szCs w:val="22"/>
                <w:lang w:val="en-US" w:eastAsia="zh-CN"/>
              </w:rPr>
              <w:t>（</w:t>
            </w:r>
            <w:r>
              <w:rPr>
                <w:rFonts w:hint="default"/>
                <w:szCs w:val="22"/>
                <w:lang w:val="en-US" w:eastAsia="zh-CN"/>
              </w:rPr>
              <w:t>GB37822-2019</w:t>
            </w:r>
            <w:r>
              <w:rPr>
                <w:rFonts w:hint="eastAsia"/>
                <w:szCs w:val="22"/>
                <w:lang w:val="en-US" w:eastAsia="zh-CN"/>
              </w:rPr>
              <w:t>）</w:t>
            </w:r>
            <w:r>
              <w:rPr>
                <w:rFonts w:hint="default"/>
                <w:szCs w:val="22"/>
                <w:lang w:val="en-US" w:eastAsia="zh-CN"/>
              </w:rPr>
              <w:t>中附录A表A.1</w:t>
            </w:r>
            <w:r>
              <w:rPr>
                <w:rFonts w:hint="eastAsia"/>
                <w:szCs w:val="22"/>
                <w:lang w:val="en-US" w:eastAsia="zh-CN"/>
              </w:rPr>
              <w:t>特别排放</w:t>
            </w:r>
            <w:r>
              <w:rPr>
                <w:rFonts w:hint="default"/>
                <w:szCs w:val="22"/>
                <w:lang w:val="en-US" w:eastAsia="zh-CN"/>
              </w:rPr>
              <w:t>标准限值</w:t>
            </w:r>
            <w:r>
              <w:rPr>
                <w:rFonts w:hint="eastAsia"/>
                <w:szCs w:val="22"/>
                <w:lang w:val="en-US" w:eastAsia="zh-CN"/>
              </w:rPr>
              <w:t>（</w:t>
            </w:r>
            <w:r>
              <w:rPr>
                <w:rFonts w:hint="default"/>
                <w:szCs w:val="22"/>
                <w:lang w:val="en-US" w:eastAsia="zh-CN"/>
              </w:rPr>
              <w:t>非甲烷总烃监控点处任意一次浓度值≤</w:t>
            </w:r>
            <w:r>
              <w:rPr>
                <w:rFonts w:hint="eastAsia"/>
                <w:szCs w:val="22"/>
                <w:lang w:val="en-US" w:eastAsia="zh-CN"/>
              </w:rPr>
              <w:t>20</w:t>
            </w:r>
            <w:r>
              <w:rPr>
                <w:rFonts w:hint="default"/>
                <w:szCs w:val="22"/>
                <w:lang w:val="en-US" w:eastAsia="zh-CN"/>
              </w:rPr>
              <w:t>mg/</w:t>
            </w:r>
            <w:r>
              <w:rPr>
                <w:rFonts w:hint="default"/>
                <w:szCs w:val="22"/>
              </w:rPr>
              <w:t>m</w:t>
            </w:r>
            <w:r>
              <w:rPr>
                <w:rFonts w:hint="default"/>
                <w:szCs w:val="22"/>
                <w:vertAlign w:val="superscript"/>
              </w:rPr>
              <w:t>3</w:t>
            </w:r>
            <w:r>
              <w:rPr>
                <w:rFonts w:hint="default"/>
                <w:szCs w:val="22"/>
                <w:lang w:val="en-US" w:eastAsia="zh-CN"/>
              </w:rPr>
              <w:t>、监控点处1h平均浓度值≤</w:t>
            </w:r>
            <w:r>
              <w:rPr>
                <w:rFonts w:hint="eastAsia"/>
                <w:szCs w:val="22"/>
                <w:lang w:val="en-US" w:eastAsia="zh-CN"/>
              </w:rPr>
              <w:t>6</w:t>
            </w:r>
            <w:r>
              <w:rPr>
                <w:rFonts w:hint="default"/>
                <w:szCs w:val="22"/>
                <w:lang w:val="en-US" w:eastAsia="zh-CN"/>
              </w:rPr>
              <w:t>mg/</w:t>
            </w:r>
            <w:r>
              <w:rPr>
                <w:rFonts w:hint="default"/>
                <w:szCs w:val="22"/>
              </w:rPr>
              <w:t>m</w:t>
            </w:r>
            <w:r>
              <w:rPr>
                <w:rFonts w:hint="default"/>
                <w:szCs w:val="22"/>
                <w:vertAlign w:val="superscript"/>
              </w:rPr>
              <w:t>3</w:t>
            </w:r>
            <w:r>
              <w:rPr>
                <w:rFonts w:hint="eastAsia"/>
                <w:szCs w:val="22"/>
                <w:lang w:val="en-US" w:eastAsia="zh-CN"/>
              </w:rPr>
              <w:t>）、</w:t>
            </w:r>
            <w:r>
              <w:rPr>
                <w:rFonts w:hint="eastAsia"/>
                <w:color w:val="auto"/>
                <w:szCs w:val="22"/>
              </w:rPr>
              <w:t>《工业涂装工序挥发性有机物排放标准》（DB35/1783-2018）表</w:t>
            </w:r>
            <w:r>
              <w:rPr>
                <w:rFonts w:hint="eastAsia"/>
                <w:color w:val="auto"/>
                <w:szCs w:val="22"/>
                <w:lang w:val="en-US" w:eastAsia="zh-CN"/>
              </w:rPr>
              <w:t>3（</w:t>
            </w:r>
            <w:r>
              <w:rPr>
                <w:rFonts w:hint="eastAsia"/>
                <w:szCs w:val="22"/>
                <w:lang w:val="en-US" w:eastAsia="zh-CN"/>
              </w:rPr>
              <w:t>浓度最大值≤8.0</w:t>
            </w:r>
            <w:r>
              <w:rPr>
                <w:rFonts w:hint="default"/>
                <w:szCs w:val="22"/>
                <w:lang w:val="en-US" w:eastAsia="zh-CN"/>
              </w:rPr>
              <w:t>mg/</w:t>
            </w:r>
            <w:r>
              <w:rPr>
                <w:rFonts w:hint="default"/>
                <w:szCs w:val="22"/>
              </w:rPr>
              <w:t>m</w:t>
            </w:r>
            <w:r>
              <w:rPr>
                <w:rFonts w:hint="default"/>
                <w:szCs w:val="22"/>
                <w:vertAlign w:val="superscript"/>
              </w:rPr>
              <w:t>3</w:t>
            </w:r>
            <w:r>
              <w:rPr>
                <w:rFonts w:hint="eastAsia"/>
                <w:color w:val="auto"/>
                <w:szCs w:val="22"/>
                <w:lang w:val="en-US" w:eastAsia="zh-CN"/>
              </w:rPr>
              <w:t>）</w:t>
            </w:r>
          </w:p>
        </w:tc>
      </w:tr>
      <w:tr w14:paraId="0FC19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restart"/>
            <w:noWrap w:val="0"/>
            <w:vAlign w:val="center"/>
          </w:tcPr>
          <w:p w14:paraId="4E2F1511">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地表水</w:t>
            </w:r>
          </w:p>
          <w:p w14:paraId="3EC4766B">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环境</w:t>
            </w:r>
          </w:p>
        </w:tc>
        <w:tc>
          <w:tcPr>
            <w:tcW w:w="1477" w:type="dxa"/>
            <w:noWrap w:val="0"/>
            <w:vAlign w:val="center"/>
          </w:tcPr>
          <w:p w14:paraId="22677C2C">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生活</w:t>
            </w:r>
            <w:r>
              <w:rPr>
                <w:rFonts w:hint="eastAsia"/>
                <w:szCs w:val="22"/>
                <w:lang w:val="en-US" w:eastAsia="zh-CN"/>
              </w:rPr>
              <w:t>污水排放口（DW001）</w:t>
            </w:r>
          </w:p>
        </w:tc>
        <w:tc>
          <w:tcPr>
            <w:tcW w:w="1459" w:type="dxa"/>
            <w:noWrap w:val="0"/>
            <w:vAlign w:val="center"/>
          </w:tcPr>
          <w:p w14:paraId="77361579">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eastAsia"/>
                <w:szCs w:val="22"/>
                <w:lang w:val="en-US" w:eastAsia="zh-CN"/>
              </w:rPr>
              <w:t>pH、</w:t>
            </w:r>
            <w:r>
              <w:rPr>
                <w:rFonts w:hint="default"/>
                <w:szCs w:val="22"/>
              </w:rPr>
              <w:t>COD、BOD</w:t>
            </w:r>
            <w:r>
              <w:rPr>
                <w:rFonts w:hint="default"/>
                <w:szCs w:val="22"/>
                <w:vertAlign w:val="subscript"/>
              </w:rPr>
              <w:t>5</w:t>
            </w:r>
            <w:r>
              <w:rPr>
                <w:rFonts w:hint="default"/>
                <w:szCs w:val="22"/>
              </w:rPr>
              <w:t>、SS、NH</w:t>
            </w:r>
            <w:r>
              <w:rPr>
                <w:rFonts w:hint="default"/>
                <w:szCs w:val="22"/>
                <w:vertAlign w:val="subscript"/>
              </w:rPr>
              <w:t>3</w:t>
            </w:r>
            <w:r>
              <w:rPr>
                <w:rFonts w:hint="default"/>
                <w:szCs w:val="22"/>
              </w:rPr>
              <w:t>-N</w:t>
            </w:r>
          </w:p>
        </w:tc>
        <w:tc>
          <w:tcPr>
            <w:tcW w:w="2141" w:type="dxa"/>
            <w:noWrap w:val="0"/>
            <w:vAlign w:val="center"/>
          </w:tcPr>
          <w:p w14:paraId="79BF6B6E">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生活污水</w:t>
            </w:r>
            <w:r>
              <w:rPr>
                <w:rFonts w:hint="eastAsia"/>
                <w:szCs w:val="22"/>
              </w:rPr>
              <w:t>依托</w:t>
            </w:r>
            <w:r>
              <w:rPr>
                <w:rFonts w:hint="eastAsia"/>
                <w:szCs w:val="22"/>
                <w:lang w:val="en-US" w:eastAsia="zh-CN"/>
              </w:rPr>
              <w:t>出租方</w:t>
            </w:r>
            <w:r>
              <w:rPr>
                <w:rFonts w:hint="eastAsia"/>
                <w:szCs w:val="22"/>
              </w:rPr>
              <w:t>已建的化粪池预处理达标后接入</w:t>
            </w:r>
            <w:r>
              <w:rPr>
                <w:rFonts w:hint="eastAsia"/>
                <w:szCs w:val="22"/>
                <w:lang w:eastAsia="zh-CN"/>
              </w:rPr>
              <w:t>市政污水管网</w:t>
            </w:r>
            <w:r>
              <w:rPr>
                <w:rFonts w:hint="eastAsia"/>
                <w:szCs w:val="22"/>
              </w:rPr>
              <w:t>，最终排入福清市融元污水处理厂处理</w:t>
            </w:r>
          </w:p>
        </w:tc>
        <w:tc>
          <w:tcPr>
            <w:tcW w:w="2746" w:type="dxa"/>
            <w:noWrap w:val="0"/>
            <w:vAlign w:val="center"/>
          </w:tcPr>
          <w:p w14:paraId="11B01529">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eastAsia="zh-CN"/>
              </w:rPr>
              <w:t>生活污水执行</w:t>
            </w:r>
            <w:r>
              <w:rPr>
                <w:rFonts w:hint="default"/>
                <w:szCs w:val="22"/>
                <w:lang w:val="en-US" w:eastAsia="zh-CN"/>
              </w:rPr>
              <w:t>《污水综合排放标准》（GB8978-1996）表4中三级标准（其中氨氮执行</w:t>
            </w:r>
            <w:r>
              <w:rPr>
                <w:rFonts w:hint="default"/>
                <w:szCs w:val="22"/>
              </w:rPr>
              <w:t>《污水排入城镇下水道水质标准》（GB/T31962-2015）表1中B级标准</w:t>
            </w:r>
            <w:r>
              <w:rPr>
                <w:rFonts w:hint="default"/>
                <w:szCs w:val="22"/>
                <w:lang w:eastAsia="zh-CN"/>
              </w:rPr>
              <w:t>限值</w:t>
            </w:r>
            <w:r>
              <w:rPr>
                <w:rFonts w:hint="default"/>
                <w:szCs w:val="22"/>
                <w:lang w:val="en-US" w:eastAsia="zh-CN"/>
              </w:rPr>
              <w:t>）</w:t>
            </w:r>
            <w:r>
              <w:rPr>
                <w:rFonts w:hint="eastAsia"/>
                <w:szCs w:val="22"/>
                <w:lang w:val="en-US" w:eastAsia="zh-CN"/>
              </w:rPr>
              <w:t>（</w:t>
            </w:r>
            <w:r>
              <w:rPr>
                <w:rFonts w:hint="eastAsia"/>
                <w:szCs w:val="22"/>
              </w:rPr>
              <w:t>pH6～9</w:t>
            </w:r>
            <w:r>
              <w:rPr>
                <w:rFonts w:hint="eastAsia"/>
                <w:szCs w:val="22"/>
                <w:lang w:eastAsia="zh-CN"/>
              </w:rPr>
              <w:t>（</w:t>
            </w:r>
            <w:r>
              <w:rPr>
                <w:rFonts w:hint="eastAsia"/>
                <w:szCs w:val="22"/>
              </w:rPr>
              <w:t>无量纲</w:t>
            </w:r>
            <w:r>
              <w:rPr>
                <w:rFonts w:hint="eastAsia"/>
                <w:szCs w:val="22"/>
                <w:lang w:eastAsia="zh-CN"/>
              </w:rPr>
              <w:t>），</w:t>
            </w:r>
            <w:r>
              <w:rPr>
                <w:rFonts w:hint="default"/>
                <w:szCs w:val="22"/>
              </w:rPr>
              <w:t>COD≤</w:t>
            </w:r>
            <w:r>
              <w:rPr>
                <w:rFonts w:hint="eastAsia"/>
                <w:szCs w:val="22"/>
                <w:lang w:val="en-US" w:eastAsia="zh-CN"/>
              </w:rPr>
              <w:t>500mg/L，</w:t>
            </w:r>
            <w:r>
              <w:rPr>
                <w:rFonts w:hint="default"/>
                <w:szCs w:val="22"/>
              </w:rPr>
              <w:t>BOD</w:t>
            </w:r>
            <w:r>
              <w:rPr>
                <w:rFonts w:hint="default"/>
                <w:szCs w:val="22"/>
                <w:vertAlign w:val="subscript"/>
              </w:rPr>
              <w:t>5</w:t>
            </w:r>
            <w:r>
              <w:rPr>
                <w:rFonts w:hint="default"/>
                <w:szCs w:val="22"/>
              </w:rPr>
              <w:t>≤</w:t>
            </w:r>
            <w:r>
              <w:rPr>
                <w:rFonts w:hint="eastAsia"/>
                <w:szCs w:val="22"/>
                <w:lang w:val="en-US" w:eastAsia="zh-CN"/>
              </w:rPr>
              <w:t>300mg/L，</w:t>
            </w:r>
            <w:r>
              <w:rPr>
                <w:rFonts w:hint="default"/>
                <w:szCs w:val="22"/>
              </w:rPr>
              <w:t>SS≤</w:t>
            </w:r>
            <w:r>
              <w:rPr>
                <w:rFonts w:hint="eastAsia"/>
                <w:szCs w:val="22"/>
                <w:lang w:val="en-US" w:eastAsia="zh-CN"/>
              </w:rPr>
              <w:t>400mg/L，</w:t>
            </w:r>
            <w:r>
              <w:rPr>
                <w:rFonts w:hint="default"/>
                <w:szCs w:val="22"/>
              </w:rPr>
              <w:t>NH</w:t>
            </w:r>
            <w:r>
              <w:rPr>
                <w:rFonts w:hint="default"/>
                <w:szCs w:val="22"/>
                <w:vertAlign w:val="subscript"/>
              </w:rPr>
              <w:t>3</w:t>
            </w:r>
            <w:r>
              <w:rPr>
                <w:rFonts w:hint="default"/>
                <w:szCs w:val="22"/>
              </w:rPr>
              <w:t>-N≤</w:t>
            </w:r>
            <w:r>
              <w:rPr>
                <w:rFonts w:hint="eastAsia"/>
                <w:szCs w:val="22"/>
                <w:lang w:val="en-US" w:eastAsia="zh-CN"/>
              </w:rPr>
              <w:t>45mg/L）</w:t>
            </w:r>
          </w:p>
        </w:tc>
      </w:tr>
      <w:tr w14:paraId="656BA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71646BEC">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noWrap w:val="0"/>
            <w:vAlign w:val="center"/>
          </w:tcPr>
          <w:p w14:paraId="006C75A3">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生产废水</w:t>
            </w:r>
          </w:p>
        </w:tc>
        <w:tc>
          <w:tcPr>
            <w:tcW w:w="1459" w:type="dxa"/>
            <w:noWrap w:val="0"/>
            <w:vAlign w:val="center"/>
          </w:tcPr>
          <w:p w14:paraId="65543A43">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w:t>
            </w:r>
          </w:p>
        </w:tc>
        <w:tc>
          <w:tcPr>
            <w:tcW w:w="2141" w:type="dxa"/>
            <w:noWrap w:val="0"/>
            <w:vAlign w:val="center"/>
          </w:tcPr>
          <w:p w14:paraId="33E6C968">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rPr>
              <w:t>水帘喷漆</w:t>
            </w:r>
            <w:r>
              <w:rPr>
                <w:rFonts w:hint="eastAsia"/>
                <w:szCs w:val="22"/>
                <w:lang w:eastAsia="zh-CN"/>
              </w:rPr>
              <w:t>用水</w:t>
            </w:r>
            <w:r>
              <w:rPr>
                <w:rFonts w:hint="default"/>
                <w:szCs w:val="22"/>
              </w:rPr>
              <w:t>循环使用</w:t>
            </w:r>
            <w:r>
              <w:rPr>
                <w:rFonts w:hint="default"/>
                <w:szCs w:val="22"/>
                <w:lang w:eastAsia="zh-CN"/>
              </w:rPr>
              <w:t>，</w:t>
            </w:r>
            <w:r>
              <w:rPr>
                <w:rFonts w:hint="eastAsia"/>
                <w:szCs w:val="22"/>
                <w:lang w:eastAsia="zh-CN"/>
              </w:rPr>
              <w:t>定期捞漆渣，喷漆废水不属于危险废物，但为了控制生产过程中可能发生的环境风险，</w:t>
            </w:r>
            <w:r>
              <w:rPr>
                <w:rFonts w:hint="default"/>
                <w:szCs w:val="22"/>
                <w:lang w:eastAsia="zh-CN"/>
              </w:rPr>
              <w:t>待浓度过高时按危废委托有资质的</w:t>
            </w:r>
            <w:r>
              <w:rPr>
                <w:rFonts w:hint="eastAsia"/>
                <w:szCs w:val="22"/>
                <w:lang w:eastAsia="zh-CN"/>
              </w:rPr>
              <w:t>危废处置</w:t>
            </w:r>
            <w:r>
              <w:rPr>
                <w:rFonts w:hint="default"/>
                <w:szCs w:val="22"/>
                <w:lang w:eastAsia="zh-CN"/>
              </w:rPr>
              <w:t>单位处置</w:t>
            </w:r>
          </w:p>
        </w:tc>
        <w:tc>
          <w:tcPr>
            <w:tcW w:w="2746" w:type="dxa"/>
            <w:noWrap w:val="0"/>
            <w:vAlign w:val="center"/>
          </w:tcPr>
          <w:p w14:paraId="63CD8E2D">
            <w:pPr>
              <w:pStyle w:val="39"/>
              <w:keepNext w:val="0"/>
              <w:keepLines w:val="0"/>
              <w:widowControl/>
              <w:suppressLineNumbers w:val="0"/>
              <w:bidi w:val="0"/>
              <w:spacing w:before="0" w:beforeAutospacing="0" w:after="0" w:afterAutospacing="0"/>
              <w:ind w:left="0" w:right="0"/>
              <w:rPr>
                <w:rFonts w:hint="default"/>
                <w:szCs w:val="22"/>
                <w:lang w:eastAsia="zh-CN"/>
              </w:rPr>
            </w:pPr>
            <w:r>
              <w:rPr>
                <w:rFonts w:hint="eastAsia"/>
                <w:szCs w:val="22"/>
                <w:lang w:val="en-US" w:eastAsia="zh-CN"/>
              </w:rPr>
              <w:t>验收落实</w:t>
            </w:r>
          </w:p>
        </w:tc>
      </w:tr>
      <w:tr w14:paraId="52BC2E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noWrap w:val="0"/>
            <w:vAlign w:val="center"/>
          </w:tcPr>
          <w:p w14:paraId="0066B8D9">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声环境</w:t>
            </w:r>
          </w:p>
        </w:tc>
        <w:tc>
          <w:tcPr>
            <w:tcW w:w="1477" w:type="dxa"/>
            <w:noWrap w:val="0"/>
            <w:vAlign w:val="center"/>
          </w:tcPr>
          <w:p w14:paraId="50725295">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厂界四周</w:t>
            </w:r>
          </w:p>
        </w:tc>
        <w:tc>
          <w:tcPr>
            <w:tcW w:w="1459" w:type="dxa"/>
            <w:noWrap w:val="0"/>
            <w:vAlign w:val="center"/>
          </w:tcPr>
          <w:p w14:paraId="752A174D">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等效A声级</w:t>
            </w:r>
          </w:p>
        </w:tc>
        <w:tc>
          <w:tcPr>
            <w:tcW w:w="2141" w:type="dxa"/>
            <w:noWrap w:val="0"/>
            <w:vAlign w:val="center"/>
          </w:tcPr>
          <w:p w14:paraId="1A177537">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选用低噪声设备，加强设备维护，高噪声设备设置基础减振、隔声等措施</w:t>
            </w:r>
          </w:p>
        </w:tc>
        <w:tc>
          <w:tcPr>
            <w:tcW w:w="2746" w:type="dxa"/>
            <w:noWrap w:val="0"/>
            <w:vAlign w:val="center"/>
          </w:tcPr>
          <w:p w14:paraId="73611478">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满足《工业企业厂界环境噪声排放标准》</w:t>
            </w:r>
            <w:r>
              <w:rPr>
                <w:rFonts w:hint="eastAsia"/>
                <w:szCs w:val="22"/>
                <w:lang w:val="en-GB" w:eastAsia="zh-CN"/>
              </w:rPr>
              <w:t>（</w:t>
            </w:r>
            <w:r>
              <w:rPr>
                <w:rFonts w:hint="default"/>
                <w:szCs w:val="22"/>
                <w:lang w:val="en-GB" w:eastAsia="zh-CN"/>
              </w:rPr>
              <w:t>GB12348-2008</w:t>
            </w:r>
            <w:r>
              <w:rPr>
                <w:rFonts w:hint="eastAsia"/>
                <w:szCs w:val="22"/>
                <w:lang w:val="en-GB" w:eastAsia="zh-CN"/>
              </w:rPr>
              <w:t>）</w:t>
            </w:r>
            <w:r>
              <w:rPr>
                <w:rFonts w:hint="default"/>
                <w:szCs w:val="22"/>
                <w:lang w:val="en-GB" w:eastAsia="zh-CN"/>
              </w:rPr>
              <w:t>中</w:t>
            </w:r>
            <w:r>
              <w:rPr>
                <w:rFonts w:hint="eastAsia"/>
                <w:szCs w:val="22"/>
                <w:lang w:val="en-US" w:eastAsia="zh-CN"/>
              </w:rPr>
              <w:t>3</w:t>
            </w:r>
            <w:r>
              <w:rPr>
                <w:rFonts w:hint="default"/>
                <w:szCs w:val="22"/>
                <w:lang w:val="en-US" w:eastAsia="zh-CN"/>
              </w:rPr>
              <w:t>类标准</w:t>
            </w:r>
            <w:r>
              <w:rPr>
                <w:rFonts w:hint="eastAsia"/>
                <w:szCs w:val="22"/>
                <w:lang w:val="en-GB" w:eastAsia="zh-CN"/>
              </w:rPr>
              <w:t>（</w:t>
            </w:r>
            <w:r>
              <w:rPr>
                <w:rFonts w:hint="default"/>
                <w:szCs w:val="22"/>
                <w:lang w:val="en-GB" w:eastAsia="zh-CN"/>
              </w:rPr>
              <w:t>昼间</w:t>
            </w:r>
            <w:r>
              <w:rPr>
                <w:rFonts w:hint="eastAsia"/>
                <w:szCs w:val="22"/>
                <w:lang w:val="en-US" w:eastAsia="zh-CN"/>
              </w:rPr>
              <w:t>噪声</w:t>
            </w:r>
            <w:r>
              <w:rPr>
                <w:rFonts w:hint="default"/>
                <w:szCs w:val="22"/>
                <w:lang w:val="en-GB" w:eastAsia="zh-CN"/>
              </w:rPr>
              <w:t>≤</w:t>
            </w:r>
            <w:r>
              <w:rPr>
                <w:rFonts w:hint="default"/>
                <w:szCs w:val="22"/>
                <w:lang w:val="en-US" w:eastAsia="zh-CN"/>
              </w:rPr>
              <w:t>6</w:t>
            </w:r>
            <w:r>
              <w:rPr>
                <w:rFonts w:hint="eastAsia"/>
                <w:szCs w:val="22"/>
                <w:lang w:val="en-US" w:eastAsia="zh-CN"/>
              </w:rPr>
              <w:t>5</w:t>
            </w:r>
            <w:r>
              <w:rPr>
                <w:rFonts w:hint="default"/>
                <w:szCs w:val="22"/>
                <w:lang w:val="en-GB" w:eastAsia="zh-CN"/>
              </w:rPr>
              <w:t>dB</w:t>
            </w:r>
            <w:r>
              <w:rPr>
                <w:rFonts w:hint="eastAsia"/>
                <w:szCs w:val="22"/>
                <w:lang w:val="en-GB" w:eastAsia="zh-CN"/>
              </w:rPr>
              <w:t>（</w:t>
            </w:r>
            <w:r>
              <w:rPr>
                <w:rFonts w:hint="default"/>
                <w:szCs w:val="22"/>
                <w:lang w:val="en-GB" w:eastAsia="zh-CN"/>
              </w:rPr>
              <w:t>A</w:t>
            </w:r>
            <w:r>
              <w:rPr>
                <w:rFonts w:hint="eastAsia"/>
                <w:szCs w:val="22"/>
                <w:lang w:val="en-GB" w:eastAsia="zh-CN"/>
              </w:rPr>
              <w:t>），</w:t>
            </w:r>
            <w:r>
              <w:rPr>
                <w:rFonts w:hint="eastAsia"/>
                <w:szCs w:val="22"/>
                <w:lang w:val="en-US" w:eastAsia="zh-CN"/>
              </w:rPr>
              <w:t>夜间噪声</w:t>
            </w:r>
            <w:r>
              <w:rPr>
                <w:rFonts w:hint="default"/>
                <w:szCs w:val="22"/>
                <w:lang w:val="en-GB" w:eastAsia="zh-CN"/>
              </w:rPr>
              <w:t>≤</w:t>
            </w:r>
            <w:r>
              <w:rPr>
                <w:rFonts w:hint="eastAsia"/>
                <w:szCs w:val="22"/>
                <w:lang w:val="en-US" w:eastAsia="zh-CN"/>
              </w:rPr>
              <w:t>55</w:t>
            </w:r>
            <w:r>
              <w:rPr>
                <w:rFonts w:hint="default"/>
                <w:szCs w:val="22"/>
                <w:lang w:val="en-GB" w:eastAsia="zh-CN"/>
              </w:rPr>
              <w:t>dB</w:t>
            </w:r>
            <w:r>
              <w:rPr>
                <w:rFonts w:hint="eastAsia"/>
                <w:szCs w:val="22"/>
                <w:lang w:val="en-GB" w:eastAsia="zh-CN"/>
              </w:rPr>
              <w:t>（</w:t>
            </w:r>
            <w:r>
              <w:rPr>
                <w:rFonts w:hint="default"/>
                <w:szCs w:val="22"/>
                <w:lang w:val="en-GB" w:eastAsia="zh-CN"/>
              </w:rPr>
              <w:t>A</w:t>
            </w:r>
            <w:r>
              <w:rPr>
                <w:rFonts w:hint="eastAsia"/>
                <w:szCs w:val="22"/>
                <w:lang w:val="en-GB" w:eastAsia="zh-CN"/>
              </w:rPr>
              <w:t>））</w:t>
            </w:r>
          </w:p>
        </w:tc>
      </w:tr>
      <w:tr w14:paraId="2AC39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noWrap w:val="0"/>
            <w:vAlign w:val="center"/>
          </w:tcPr>
          <w:p w14:paraId="70457604">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电磁</w:t>
            </w:r>
          </w:p>
          <w:p w14:paraId="6D7E7693">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辐射</w:t>
            </w:r>
          </w:p>
        </w:tc>
        <w:tc>
          <w:tcPr>
            <w:tcW w:w="1477" w:type="dxa"/>
            <w:noWrap w:val="0"/>
            <w:vAlign w:val="center"/>
          </w:tcPr>
          <w:p w14:paraId="798E521E">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GB" w:eastAsia="zh-CN"/>
              </w:rPr>
              <w:t>/</w:t>
            </w:r>
          </w:p>
        </w:tc>
        <w:tc>
          <w:tcPr>
            <w:tcW w:w="1459" w:type="dxa"/>
            <w:noWrap w:val="0"/>
            <w:vAlign w:val="center"/>
          </w:tcPr>
          <w:p w14:paraId="692E90C5">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GB" w:eastAsia="zh-CN"/>
              </w:rPr>
              <w:t>/</w:t>
            </w:r>
          </w:p>
        </w:tc>
        <w:tc>
          <w:tcPr>
            <w:tcW w:w="2141" w:type="dxa"/>
            <w:noWrap w:val="0"/>
            <w:vAlign w:val="center"/>
          </w:tcPr>
          <w:p w14:paraId="0947609B">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GB" w:eastAsia="zh-CN"/>
              </w:rPr>
              <w:t>/</w:t>
            </w:r>
          </w:p>
        </w:tc>
        <w:tc>
          <w:tcPr>
            <w:tcW w:w="2746" w:type="dxa"/>
            <w:noWrap w:val="0"/>
            <w:vAlign w:val="center"/>
          </w:tcPr>
          <w:p w14:paraId="6D0C6116">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GB" w:eastAsia="zh-CN"/>
              </w:rPr>
              <w:t>/</w:t>
            </w:r>
          </w:p>
        </w:tc>
      </w:tr>
      <w:tr w14:paraId="25274F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restart"/>
            <w:noWrap w:val="0"/>
            <w:vAlign w:val="center"/>
          </w:tcPr>
          <w:p w14:paraId="0F8E5811">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固体</w:t>
            </w:r>
          </w:p>
          <w:p w14:paraId="4B951B8D">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废物</w:t>
            </w:r>
          </w:p>
        </w:tc>
        <w:tc>
          <w:tcPr>
            <w:tcW w:w="1477" w:type="dxa"/>
            <w:noWrap w:val="0"/>
            <w:vAlign w:val="center"/>
          </w:tcPr>
          <w:p w14:paraId="1C11F6ED">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一般工业固废</w:t>
            </w:r>
          </w:p>
        </w:tc>
        <w:tc>
          <w:tcPr>
            <w:tcW w:w="1459" w:type="dxa"/>
            <w:noWrap w:val="0"/>
            <w:vAlign w:val="center"/>
          </w:tcPr>
          <w:p w14:paraId="4263C8E2">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不合格</w:t>
            </w:r>
            <w:r>
              <w:rPr>
                <w:rFonts w:hint="eastAsia"/>
                <w:szCs w:val="22"/>
                <w:lang w:val="en-US" w:eastAsia="zh-CN"/>
              </w:rPr>
              <w:t>产</w:t>
            </w:r>
            <w:r>
              <w:rPr>
                <w:rFonts w:hint="default"/>
                <w:szCs w:val="22"/>
                <w:lang w:val="en-US" w:eastAsia="zh-CN"/>
              </w:rPr>
              <w:t>品</w:t>
            </w:r>
          </w:p>
        </w:tc>
        <w:tc>
          <w:tcPr>
            <w:tcW w:w="2141" w:type="dxa"/>
            <w:noWrap w:val="0"/>
            <w:vAlign w:val="center"/>
          </w:tcPr>
          <w:p w14:paraId="75053AF7">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GB" w:eastAsia="zh-CN"/>
              </w:rPr>
              <w:t>设置一般工业固废暂存</w:t>
            </w:r>
            <w:r>
              <w:rPr>
                <w:rFonts w:hint="eastAsia"/>
                <w:szCs w:val="22"/>
                <w:lang w:val="en-US" w:eastAsia="zh-CN"/>
              </w:rPr>
              <w:t>区</w:t>
            </w:r>
            <w:r>
              <w:rPr>
                <w:rFonts w:hint="default"/>
                <w:szCs w:val="22"/>
                <w:lang w:val="en-GB" w:eastAsia="zh-CN"/>
              </w:rPr>
              <w:t>，</w:t>
            </w:r>
            <w:r>
              <w:rPr>
                <w:rFonts w:hint="eastAsia"/>
                <w:szCs w:val="22"/>
                <w:lang w:val="en-US" w:eastAsia="zh-CN"/>
              </w:rPr>
              <w:t>不合格产品暂存后退回待加工厂综合利用</w:t>
            </w:r>
          </w:p>
        </w:tc>
        <w:tc>
          <w:tcPr>
            <w:tcW w:w="2746" w:type="dxa"/>
            <w:noWrap w:val="0"/>
            <w:vAlign w:val="center"/>
          </w:tcPr>
          <w:p w14:paraId="65733998">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一般工业固体废物的临时贮存和管理执行《一般工业固体废物贮存和填埋污染控制标准》（GB18599-2020）中的相关规定</w:t>
            </w:r>
          </w:p>
        </w:tc>
      </w:tr>
      <w:tr w14:paraId="6BA7EB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419AEF6E">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restart"/>
            <w:noWrap w:val="0"/>
            <w:vAlign w:val="center"/>
          </w:tcPr>
          <w:p w14:paraId="39971BB6">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危险废物</w:t>
            </w:r>
          </w:p>
        </w:tc>
        <w:tc>
          <w:tcPr>
            <w:tcW w:w="1459" w:type="dxa"/>
            <w:noWrap w:val="0"/>
            <w:vAlign w:val="center"/>
          </w:tcPr>
          <w:p w14:paraId="11C01A5F">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废活性炭</w:t>
            </w:r>
          </w:p>
        </w:tc>
        <w:tc>
          <w:tcPr>
            <w:tcW w:w="2141" w:type="dxa"/>
            <w:vMerge w:val="restart"/>
            <w:noWrap w:val="0"/>
            <w:vAlign w:val="center"/>
          </w:tcPr>
          <w:p w14:paraId="3200BE28">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设置</w:t>
            </w:r>
            <w:r>
              <w:rPr>
                <w:rFonts w:hint="eastAsia"/>
                <w:szCs w:val="22"/>
                <w:lang w:val="en-GB" w:eastAsia="zh-CN"/>
              </w:rPr>
              <w:t>危废贮存库</w:t>
            </w:r>
            <w:r>
              <w:rPr>
                <w:rFonts w:hint="default"/>
                <w:szCs w:val="22"/>
                <w:lang w:val="en-GB" w:eastAsia="zh-CN"/>
              </w:rPr>
              <w:t>，妥善分类收集</w:t>
            </w:r>
            <w:r>
              <w:rPr>
                <w:rFonts w:hint="eastAsia"/>
                <w:szCs w:val="22"/>
                <w:lang w:val="en-US" w:eastAsia="zh-CN"/>
              </w:rPr>
              <w:t>暂存后</w:t>
            </w:r>
            <w:r>
              <w:rPr>
                <w:rFonts w:hint="default"/>
                <w:szCs w:val="22"/>
                <w:lang w:val="en-GB" w:eastAsia="zh-CN"/>
              </w:rPr>
              <w:t>定期委托有资质的单位进行处置</w:t>
            </w:r>
          </w:p>
        </w:tc>
        <w:tc>
          <w:tcPr>
            <w:tcW w:w="2746" w:type="dxa"/>
            <w:vMerge w:val="restart"/>
            <w:noWrap w:val="0"/>
            <w:vAlign w:val="center"/>
          </w:tcPr>
          <w:p w14:paraId="0CAD67FD">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危险废物</w:t>
            </w:r>
            <w:r>
              <w:rPr>
                <w:rFonts w:hint="default"/>
                <w:szCs w:val="22"/>
                <w:lang w:val="en-GB" w:eastAsia="zh-CN"/>
              </w:rPr>
              <w:t>的临时贮存和管理执行</w:t>
            </w:r>
            <w:r>
              <w:rPr>
                <w:rFonts w:hint="eastAsia"/>
                <w:szCs w:val="22"/>
                <w:lang w:val="en-GB"/>
              </w:rPr>
              <w:t>《危险废物贮存污染控制标准》</w:t>
            </w:r>
            <w:r>
              <w:rPr>
                <w:rFonts w:hint="eastAsia"/>
                <w:szCs w:val="22"/>
                <w:lang w:val="en-GB" w:eastAsia="zh-CN"/>
              </w:rPr>
              <w:t>（</w:t>
            </w:r>
            <w:r>
              <w:rPr>
                <w:rFonts w:hint="eastAsia"/>
                <w:szCs w:val="22"/>
                <w:lang w:val="en-GB"/>
              </w:rPr>
              <w:t>GB 18597</w:t>
            </w:r>
            <w:r>
              <w:rPr>
                <w:rFonts w:hint="eastAsia"/>
                <w:szCs w:val="22"/>
                <w:lang w:val="en-US" w:eastAsia="zh-CN"/>
              </w:rPr>
              <w:t>-2023</w:t>
            </w:r>
            <w:r>
              <w:rPr>
                <w:rFonts w:hint="eastAsia"/>
                <w:szCs w:val="22"/>
                <w:lang w:val="en-GB" w:eastAsia="zh-CN"/>
              </w:rPr>
              <w:t>）</w:t>
            </w:r>
            <w:r>
              <w:rPr>
                <w:rFonts w:hint="eastAsia"/>
                <w:szCs w:val="22"/>
              </w:rPr>
              <w:t>要求。危废转移应严格按《危险废物转移联单管理办法》要求</w:t>
            </w:r>
          </w:p>
          <w:p w14:paraId="7B0FD1B3">
            <w:pPr>
              <w:pStyle w:val="39"/>
              <w:keepNext w:val="0"/>
              <w:keepLines w:val="0"/>
              <w:widowControl/>
              <w:suppressLineNumbers w:val="0"/>
              <w:bidi w:val="0"/>
              <w:spacing w:before="0" w:beforeAutospacing="0" w:after="0" w:afterAutospacing="0"/>
              <w:ind w:left="0" w:right="0"/>
              <w:rPr>
                <w:rFonts w:hint="default"/>
                <w:szCs w:val="22"/>
                <w:lang w:val="en-GB" w:eastAsia="zh-CN"/>
              </w:rPr>
            </w:pPr>
          </w:p>
        </w:tc>
      </w:tr>
      <w:tr w14:paraId="41D01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0BBBDDEB">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426A2E69">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59" w:type="dxa"/>
            <w:noWrap w:val="0"/>
            <w:vAlign w:val="center"/>
          </w:tcPr>
          <w:p w14:paraId="00CE0376">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rPr>
              <w:t>废机油</w:t>
            </w:r>
          </w:p>
        </w:tc>
        <w:tc>
          <w:tcPr>
            <w:tcW w:w="2141" w:type="dxa"/>
            <w:vMerge w:val="continue"/>
            <w:noWrap w:val="0"/>
            <w:vAlign w:val="center"/>
          </w:tcPr>
          <w:p w14:paraId="20A0FB8D">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2746" w:type="dxa"/>
            <w:vMerge w:val="continue"/>
            <w:noWrap w:val="0"/>
            <w:vAlign w:val="center"/>
          </w:tcPr>
          <w:p w14:paraId="7DAB69D6">
            <w:pPr>
              <w:pStyle w:val="39"/>
              <w:keepNext w:val="0"/>
              <w:keepLines w:val="0"/>
              <w:widowControl/>
              <w:suppressLineNumbers w:val="0"/>
              <w:bidi w:val="0"/>
              <w:spacing w:before="0" w:beforeAutospacing="0" w:after="0" w:afterAutospacing="0"/>
              <w:ind w:left="0" w:right="0"/>
              <w:rPr>
                <w:rFonts w:hint="default"/>
                <w:szCs w:val="22"/>
                <w:lang w:val="en-GB" w:eastAsia="zh-CN"/>
              </w:rPr>
            </w:pPr>
          </w:p>
        </w:tc>
      </w:tr>
      <w:tr w14:paraId="17771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7E6F904A">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0D1EAE20">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59" w:type="dxa"/>
            <w:noWrap w:val="0"/>
            <w:vAlign w:val="center"/>
          </w:tcPr>
          <w:p w14:paraId="4441518B">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水帘柜废液</w:t>
            </w:r>
          </w:p>
        </w:tc>
        <w:tc>
          <w:tcPr>
            <w:tcW w:w="2141" w:type="dxa"/>
            <w:vMerge w:val="continue"/>
            <w:noWrap w:val="0"/>
            <w:vAlign w:val="center"/>
          </w:tcPr>
          <w:p w14:paraId="62B43826">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2746" w:type="dxa"/>
            <w:vMerge w:val="continue"/>
            <w:noWrap w:val="0"/>
            <w:vAlign w:val="center"/>
          </w:tcPr>
          <w:p w14:paraId="613B7B00">
            <w:pPr>
              <w:pStyle w:val="39"/>
              <w:keepNext w:val="0"/>
              <w:keepLines w:val="0"/>
              <w:widowControl/>
              <w:suppressLineNumbers w:val="0"/>
              <w:bidi w:val="0"/>
              <w:spacing w:before="0" w:beforeAutospacing="0" w:after="0" w:afterAutospacing="0"/>
              <w:ind w:left="0" w:right="0"/>
              <w:rPr>
                <w:rFonts w:hint="default"/>
                <w:szCs w:val="22"/>
                <w:lang w:val="en-GB" w:eastAsia="zh-CN"/>
              </w:rPr>
            </w:pPr>
          </w:p>
        </w:tc>
      </w:tr>
      <w:tr w14:paraId="79E7E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1E38076E">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4066F693">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59" w:type="dxa"/>
            <w:noWrap w:val="0"/>
            <w:vAlign w:val="center"/>
          </w:tcPr>
          <w:p w14:paraId="4181840A">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废漆渣</w:t>
            </w:r>
          </w:p>
        </w:tc>
        <w:tc>
          <w:tcPr>
            <w:tcW w:w="2141" w:type="dxa"/>
            <w:vMerge w:val="continue"/>
            <w:noWrap w:val="0"/>
            <w:vAlign w:val="center"/>
          </w:tcPr>
          <w:p w14:paraId="42044847">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2746" w:type="dxa"/>
            <w:vMerge w:val="continue"/>
            <w:noWrap w:val="0"/>
            <w:vAlign w:val="center"/>
          </w:tcPr>
          <w:p w14:paraId="56E3999D">
            <w:pPr>
              <w:pStyle w:val="39"/>
              <w:keepNext w:val="0"/>
              <w:keepLines w:val="0"/>
              <w:widowControl/>
              <w:suppressLineNumbers w:val="0"/>
              <w:bidi w:val="0"/>
              <w:spacing w:before="0" w:beforeAutospacing="0" w:after="0" w:afterAutospacing="0"/>
              <w:ind w:left="0" w:right="0"/>
              <w:rPr>
                <w:rFonts w:hint="default"/>
                <w:szCs w:val="22"/>
                <w:lang w:val="en-GB" w:eastAsia="zh-CN"/>
              </w:rPr>
            </w:pPr>
          </w:p>
        </w:tc>
      </w:tr>
      <w:tr w14:paraId="38A9A6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1EE8633F">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566E0E00">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59" w:type="dxa"/>
            <w:noWrap w:val="0"/>
            <w:vAlign w:val="center"/>
          </w:tcPr>
          <w:p w14:paraId="305040CD">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eastAsia"/>
                <w:szCs w:val="22"/>
                <w:lang w:val="en-US" w:eastAsia="zh-CN"/>
              </w:rPr>
              <w:t>废水性漆桶</w:t>
            </w:r>
          </w:p>
        </w:tc>
        <w:tc>
          <w:tcPr>
            <w:tcW w:w="2141" w:type="dxa"/>
            <w:vMerge w:val="continue"/>
            <w:noWrap w:val="0"/>
            <w:vAlign w:val="center"/>
          </w:tcPr>
          <w:p w14:paraId="7D90C975">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2746" w:type="dxa"/>
            <w:vMerge w:val="continue"/>
            <w:noWrap w:val="0"/>
            <w:vAlign w:val="center"/>
          </w:tcPr>
          <w:p w14:paraId="3AE5C4FA">
            <w:pPr>
              <w:pStyle w:val="39"/>
              <w:keepNext w:val="0"/>
              <w:keepLines w:val="0"/>
              <w:widowControl/>
              <w:suppressLineNumbers w:val="0"/>
              <w:bidi w:val="0"/>
              <w:spacing w:before="0" w:beforeAutospacing="0" w:after="0" w:afterAutospacing="0"/>
              <w:ind w:left="0" w:right="0"/>
              <w:rPr>
                <w:rFonts w:hint="default"/>
                <w:szCs w:val="22"/>
                <w:lang w:val="en-GB" w:eastAsia="zh-CN"/>
              </w:rPr>
            </w:pPr>
          </w:p>
        </w:tc>
      </w:tr>
      <w:tr w14:paraId="0C1B9C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2DC7B484">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32688C9C">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59" w:type="dxa"/>
            <w:noWrap w:val="0"/>
            <w:vAlign w:val="center"/>
          </w:tcPr>
          <w:p w14:paraId="4D7B248B">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eastAsia"/>
                <w:szCs w:val="22"/>
                <w:lang w:val="en-US" w:eastAsia="zh-CN"/>
              </w:rPr>
              <w:t>废过滤棉</w:t>
            </w:r>
          </w:p>
        </w:tc>
        <w:tc>
          <w:tcPr>
            <w:tcW w:w="2141" w:type="dxa"/>
            <w:vMerge w:val="continue"/>
            <w:noWrap w:val="0"/>
            <w:vAlign w:val="center"/>
          </w:tcPr>
          <w:p w14:paraId="739814F6">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2746" w:type="dxa"/>
            <w:vMerge w:val="continue"/>
            <w:noWrap w:val="0"/>
            <w:vAlign w:val="center"/>
          </w:tcPr>
          <w:p w14:paraId="0A78E229">
            <w:pPr>
              <w:pStyle w:val="39"/>
              <w:keepNext w:val="0"/>
              <w:keepLines w:val="0"/>
              <w:widowControl/>
              <w:suppressLineNumbers w:val="0"/>
              <w:bidi w:val="0"/>
              <w:spacing w:before="0" w:beforeAutospacing="0" w:after="0" w:afterAutospacing="0"/>
              <w:ind w:left="0" w:right="0"/>
              <w:rPr>
                <w:rFonts w:hint="default"/>
                <w:szCs w:val="22"/>
                <w:lang w:val="en-GB" w:eastAsia="zh-CN"/>
              </w:rPr>
            </w:pPr>
          </w:p>
        </w:tc>
      </w:tr>
      <w:tr w14:paraId="6A6D9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72BBEFA7">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7007976D">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59" w:type="dxa"/>
            <w:noWrap w:val="0"/>
            <w:vAlign w:val="center"/>
          </w:tcPr>
          <w:p w14:paraId="6CF13AA0">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eastAsia"/>
                <w:szCs w:val="22"/>
                <w:lang w:val="en-US" w:eastAsia="zh-CN"/>
              </w:rPr>
              <w:t>废油性漆桶</w:t>
            </w:r>
          </w:p>
        </w:tc>
        <w:tc>
          <w:tcPr>
            <w:tcW w:w="2141" w:type="dxa"/>
            <w:vMerge w:val="continue"/>
            <w:noWrap w:val="0"/>
            <w:vAlign w:val="center"/>
          </w:tcPr>
          <w:p w14:paraId="4871738F">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2746" w:type="dxa"/>
            <w:vMerge w:val="continue"/>
            <w:noWrap w:val="0"/>
            <w:vAlign w:val="center"/>
          </w:tcPr>
          <w:p w14:paraId="25E49CE4">
            <w:pPr>
              <w:pStyle w:val="39"/>
              <w:keepNext w:val="0"/>
              <w:keepLines w:val="0"/>
              <w:widowControl/>
              <w:suppressLineNumbers w:val="0"/>
              <w:bidi w:val="0"/>
              <w:spacing w:before="0" w:beforeAutospacing="0" w:after="0" w:afterAutospacing="0"/>
              <w:ind w:left="0" w:right="0"/>
              <w:rPr>
                <w:rFonts w:hint="default"/>
                <w:szCs w:val="22"/>
                <w:lang w:val="en-GB" w:eastAsia="zh-CN"/>
              </w:rPr>
            </w:pPr>
          </w:p>
        </w:tc>
      </w:tr>
      <w:tr w14:paraId="67E7A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537992BF">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noWrap w:val="0"/>
            <w:vAlign w:val="center"/>
          </w:tcPr>
          <w:p w14:paraId="3850FE33">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生活垃圾</w:t>
            </w:r>
          </w:p>
        </w:tc>
        <w:tc>
          <w:tcPr>
            <w:tcW w:w="1459" w:type="dxa"/>
            <w:noWrap w:val="0"/>
            <w:vAlign w:val="center"/>
          </w:tcPr>
          <w:p w14:paraId="558AF589">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生活垃圾</w:t>
            </w:r>
          </w:p>
        </w:tc>
        <w:tc>
          <w:tcPr>
            <w:tcW w:w="2141" w:type="dxa"/>
            <w:noWrap w:val="0"/>
            <w:vAlign w:val="center"/>
          </w:tcPr>
          <w:p w14:paraId="340BCCA0">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eastAsia"/>
                <w:szCs w:val="22"/>
              </w:rPr>
              <w:t>收集后由环卫部门清运处理</w:t>
            </w:r>
          </w:p>
        </w:tc>
        <w:tc>
          <w:tcPr>
            <w:tcW w:w="2746" w:type="dxa"/>
            <w:noWrap w:val="0"/>
            <w:vAlign w:val="center"/>
          </w:tcPr>
          <w:p w14:paraId="1F471F81">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eastAsia"/>
                <w:szCs w:val="22"/>
              </w:rPr>
              <w:t>验收措施落实情况</w:t>
            </w:r>
          </w:p>
        </w:tc>
      </w:tr>
      <w:tr w14:paraId="38D12C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noWrap w:val="0"/>
            <w:vAlign w:val="center"/>
          </w:tcPr>
          <w:p w14:paraId="54E64641">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土壤及地下水污染防治措施</w:t>
            </w:r>
          </w:p>
        </w:tc>
        <w:tc>
          <w:tcPr>
            <w:tcW w:w="7823" w:type="dxa"/>
            <w:gridSpan w:val="4"/>
            <w:noWrap w:val="0"/>
            <w:vAlign w:val="center"/>
          </w:tcPr>
          <w:p w14:paraId="1851FBA0">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合理进行防渗区域划分，危险暂存间等四周设置导流沟，地面采取防渗，按重点污染区防渗要求进行建设；一般工业固废间、项目生产车间等按一般污染区防渗要求进行建设</w:t>
            </w:r>
            <w:r>
              <w:rPr>
                <w:rFonts w:hint="eastAsia"/>
                <w:szCs w:val="22"/>
                <w:lang w:val="en-GB" w:eastAsia="zh-CN"/>
              </w:rPr>
              <w:t>且</w:t>
            </w:r>
            <w:r>
              <w:rPr>
                <w:rFonts w:hint="default"/>
                <w:szCs w:val="22"/>
                <w:lang w:val="en-GB" w:eastAsia="zh-CN"/>
              </w:rPr>
              <w:t>具有防雨、防渗、防风、防日晒等功能</w:t>
            </w:r>
          </w:p>
        </w:tc>
      </w:tr>
      <w:tr w14:paraId="40B661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noWrap w:val="0"/>
            <w:vAlign w:val="center"/>
          </w:tcPr>
          <w:p w14:paraId="0F3A6684">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生态保护措施</w:t>
            </w:r>
          </w:p>
        </w:tc>
        <w:tc>
          <w:tcPr>
            <w:tcW w:w="7823" w:type="dxa"/>
            <w:gridSpan w:val="4"/>
            <w:noWrap w:val="0"/>
            <w:vAlign w:val="center"/>
          </w:tcPr>
          <w:p w14:paraId="28CB0C24">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无</w:t>
            </w:r>
          </w:p>
        </w:tc>
      </w:tr>
      <w:tr w14:paraId="4D4EF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noWrap w:val="0"/>
            <w:vAlign w:val="center"/>
          </w:tcPr>
          <w:p w14:paraId="1662CACD">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环境风险</w:t>
            </w:r>
          </w:p>
          <w:p w14:paraId="770F6808">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防范措施</w:t>
            </w:r>
          </w:p>
        </w:tc>
        <w:tc>
          <w:tcPr>
            <w:tcW w:w="7823" w:type="dxa"/>
            <w:gridSpan w:val="4"/>
            <w:noWrap w:val="0"/>
            <w:vAlign w:val="center"/>
          </w:tcPr>
          <w:p w14:paraId="5735CB5A">
            <w:pPr>
              <w:pStyle w:val="39"/>
              <w:keepNext w:val="0"/>
              <w:keepLines w:val="0"/>
              <w:widowControl/>
              <w:suppressLineNumbers w:val="0"/>
              <w:bidi w:val="0"/>
              <w:spacing w:before="0" w:beforeAutospacing="0" w:after="0" w:afterAutospacing="0"/>
              <w:ind w:left="0" w:right="0"/>
              <w:rPr>
                <w:rFonts w:hint="default"/>
                <w:szCs w:val="22"/>
                <w:lang w:eastAsia="zh-CN"/>
              </w:rPr>
            </w:pPr>
            <w:r>
              <w:rPr>
                <w:rFonts w:hint="eastAsia"/>
                <w:szCs w:val="22"/>
                <w:lang w:val="en-US" w:eastAsia="zh-CN"/>
              </w:rPr>
              <w:t>危废贮存库</w:t>
            </w:r>
            <w:r>
              <w:rPr>
                <w:rFonts w:hint="default"/>
                <w:szCs w:val="22"/>
                <w:lang w:val="en-US" w:eastAsia="zh-CN"/>
              </w:rPr>
              <w:t>等四周设置导流沟，地面采取防渗、设置围堰等风险防范措施；加强消防设施和灭火器材的配备，严格落实有关消防技术规范的规定，加强人员疏散设施管理，保证疏散通道畅通。定期进行防火安全检查，确保消防设施完整等。</w:t>
            </w:r>
          </w:p>
        </w:tc>
      </w:tr>
      <w:tr w14:paraId="304CA6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noWrap w:val="0"/>
            <w:vAlign w:val="center"/>
          </w:tcPr>
          <w:p w14:paraId="33B2EDC2">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其他环境</w:t>
            </w:r>
          </w:p>
          <w:p w14:paraId="4C4FD97B">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管理要求</w:t>
            </w:r>
          </w:p>
        </w:tc>
        <w:tc>
          <w:tcPr>
            <w:tcW w:w="7823" w:type="dxa"/>
            <w:gridSpan w:val="4"/>
            <w:noWrap w:val="0"/>
            <w:vAlign w:val="center"/>
          </w:tcPr>
          <w:p w14:paraId="332193F0">
            <w:pPr>
              <w:pStyle w:val="3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420" w:firstLineChars="200"/>
              <w:jc w:val="both"/>
              <w:textAlignment w:val="auto"/>
              <w:rPr>
                <w:rFonts w:hint="default"/>
                <w:szCs w:val="22"/>
                <w:lang w:val="en-US" w:eastAsia="zh-CN"/>
              </w:rPr>
            </w:pPr>
            <w:r>
              <w:rPr>
                <w:rFonts w:hint="default"/>
                <w:szCs w:val="22"/>
                <w:lang w:val="en-US" w:eastAsia="zh-CN"/>
              </w:rPr>
              <w:t>（1）排污口规范管理</w:t>
            </w:r>
          </w:p>
          <w:p w14:paraId="70AAAB67">
            <w:pPr>
              <w:pStyle w:val="3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420" w:firstLineChars="200"/>
              <w:jc w:val="both"/>
              <w:textAlignment w:val="auto"/>
              <w:rPr>
                <w:rFonts w:hint="default"/>
                <w:szCs w:val="22"/>
                <w:lang w:val="en-US" w:eastAsia="zh-CN"/>
              </w:rPr>
            </w:pPr>
            <w:r>
              <w:rPr>
                <w:rFonts w:hint="default"/>
                <w:szCs w:val="22"/>
                <w:lang w:val="en-US" w:eastAsia="zh-CN"/>
              </w:rPr>
              <w:t>各污染源排放口应设置专项图标，执行《环境保护图形标志—排放口</w:t>
            </w:r>
            <w:r>
              <w:rPr>
                <w:rFonts w:hint="eastAsia"/>
                <w:szCs w:val="22"/>
                <w:lang w:val="en-US" w:eastAsia="zh-CN"/>
              </w:rPr>
              <w:t>（</w:t>
            </w:r>
            <w:r>
              <w:rPr>
                <w:rFonts w:hint="default"/>
                <w:szCs w:val="22"/>
                <w:lang w:val="en-US" w:eastAsia="zh-CN"/>
              </w:rPr>
              <w:t>源</w:t>
            </w:r>
            <w:r>
              <w:rPr>
                <w:rFonts w:hint="eastAsia"/>
                <w:szCs w:val="22"/>
                <w:lang w:val="en-US" w:eastAsia="zh-CN"/>
              </w:rPr>
              <w:t>）</w:t>
            </w:r>
            <w:r>
              <w:rPr>
                <w:rFonts w:hint="default"/>
                <w:szCs w:val="22"/>
                <w:lang w:val="en-US" w:eastAsia="zh-CN"/>
              </w:rPr>
              <w:t>》</w:t>
            </w:r>
            <w:r>
              <w:rPr>
                <w:rFonts w:hint="eastAsia"/>
                <w:szCs w:val="22"/>
                <w:lang w:val="en-US" w:eastAsia="zh-CN"/>
              </w:rPr>
              <w:t>（</w:t>
            </w:r>
            <w:r>
              <w:rPr>
                <w:rFonts w:hint="default"/>
                <w:szCs w:val="22"/>
                <w:lang w:val="en-US" w:eastAsia="zh-CN"/>
              </w:rPr>
              <w:t>GB15563.1-1995</w:t>
            </w:r>
            <w:r>
              <w:rPr>
                <w:rFonts w:hint="eastAsia"/>
                <w:szCs w:val="22"/>
                <w:lang w:val="en-US" w:eastAsia="zh-CN"/>
              </w:rPr>
              <w:t>）</w:t>
            </w:r>
            <w:r>
              <w:rPr>
                <w:rFonts w:hint="default"/>
                <w:szCs w:val="22"/>
                <w:lang w:val="en-US" w:eastAsia="zh-CN"/>
              </w:rPr>
              <w:t>，要求各排放口</w:t>
            </w:r>
            <w:r>
              <w:rPr>
                <w:rFonts w:hint="eastAsia"/>
                <w:szCs w:val="22"/>
                <w:lang w:val="en-US" w:eastAsia="zh-CN"/>
              </w:rPr>
              <w:t>（</w:t>
            </w:r>
            <w:r>
              <w:rPr>
                <w:rFonts w:hint="default"/>
                <w:szCs w:val="22"/>
                <w:lang w:val="en-US" w:eastAsia="zh-CN"/>
              </w:rPr>
              <w:t>源</w:t>
            </w:r>
            <w:r>
              <w:rPr>
                <w:rFonts w:hint="eastAsia"/>
                <w:szCs w:val="22"/>
                <w:lang w:val="en-US" w:eastAsia="zh-CN"/>
              </w:rPr>
              <w:t>）</w:t>
            </w:r>
            <w:r>
              <w:rPr>
                <w:rFonts w:hint="default"/>
                <w:szCs w:val="22"/>
                <w:lang w:val="en-US" w:eastAsia="zh-CN"/>
              </w:rPr>
              <w:t>提示标志形状采用正方形边框，背景颜色采用绿色，图形颜色采用白色。标志牌应设在与之功能相应的醒目处，并保持清晰、完整，具体详见表5.1-1。</w:t>
            </w:r>
          </w:p>
          <w:p w14:paraId="10D44129">
            <w:pPr>
              <w:pStyle w:val="40"/>
              <w:keepNext w:val="0"/>
              <w:keepLines w:val="0"/>
              <w:suppressLineNumbers w:val="0"/>
              <w:bidi w:val="0"/>
              <w:spacing w:before="0" w:beforeAutospacing="0" w:after="0" w:afterAutospacing="0"/>
              <w:ind w:left="0" w:right="0"/>
              <w:rPr>
                <w:rFonts w:hint="default"/>
              </w:rPr>
            </w:pPr>
            <w:r>
              <w:rPr>
                <w:rFonts w:hint="default"/>
              </w:rPr>
              <w:t>表5.1-1  排污口图形符号</w:t>
            </w:r>
            <w:r>
              <w:rPr>
                <w:rFonts w:hint="eastAsia"/>
                <w:lang w:eastAsia="zh-CN"/>
              </w:rPr>
              <w:t>（</w:t>
            </w:r>
            <w:r>
              <w:rPr>
                <w:rFonts w:hint="default"/>
              </w:rPr>
              <w:t>提示标志</w:t>
            </w:r>
            <w:r>
              <w:rPr>
                <w:rFonts w:hint="eastAsia"/>
                <w:lang w:eastAsia="zh-CN"/>
              </w:rPr>
              <w:t>）</w:t>
            </w:r>
            <w:r>
              <w:rPr>
                <w:rFonts w:hint="default"/>
              </w:rPr>
              <w:t>一览表</w:t>
            </w:r>
          </w:p>
          <w:tbl>
            <w:tblPr>
              <w:tblStyle w:val="30"/>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362"/>
              <w:gridCol w:w="1233"/>
              <w:gridCol w:w="1233"/>
              <w:gridCol w:w="1233"/>
              <w:gridCol w:w="1277"/>
              <w:gridCol w:w="1266"/>
            </w:tblGrid>
            <w:tr w14:paraId="327F3240">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12" w:space="0"/>
                    <w:left w:val="nil"/>
                    <w:bottom w:val="single" w:color="auto" w:sz="6" w:space="0"/>
                    <w:right w:val="single" w:color="auto" w:sz="6" w:space="0"/>
                    <w:tl2br w:val="single" w:color="auto" w:sz="4" w:space="0"/>
                  </w:tcBorders>
                  <w:noWrap w:val="0"/>
                  <w:vAlign w:val="center"/>
                </w:tcPr>
                <w:p w14:paraId="676D4BD1">
                  <w:pPr>
                    <w:pStyle w:val="39"/>
                    <w:keepNext w:val="0"/>
                    <w:keepLines w:val="0"/>
                    <w:widowControl/>
                    <w:suppressLineNumbers w:val="0"/>
                    <w:bidi w:val="0"/>
                    <w:spacing w:before="0" w:beforeAutospacing="0" w:after="0" w:afterAutospacing="0"/>
                    <w:ind w:left="0" w:right="0"/>
                    <w:rPr>
                      <w:rFonts w:hint="eastAsia"/>
                      <w:szCs w:val="22"/>
                      <w:lang w:val="en-GB"/>
                    </w:rPr>
                  </w:pPr>
                  <w:bookmarkStart w:id="47" w:name="_Toc24814499"/>
                  <w:r>
                    <w:rPr>
                      <w:rFonts w:hint="eastAsia"/>
                      <w:szCs w:val="22"/>
                      <w:lang w:val="en-GB"/>
                    </w:rPr>
                    <w:t xml:space="preserve">  排放部位</w:t>
                  </w:r>
                </w:p>
                <w:p w14:paraId="5317EA82">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项目</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7F25D5AF">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污水排放口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556488A4">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废气排放口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014D2A16">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噪声排放源</w:t>
                  </w:r>
                </w:p>
              </w:tc>
              <w:tc>
                <w:tcPr>
                  <w:tcW w:w="848" w:type="pct"/>
                  <w:tcBorders>
                    <w:top w:val="single" w:color="auto" w:sz="12" w:space="0"/>
                    <w:left w:val="single" w:color="auto" w:sz="6" w:space="0"/>
                    <w:bottom w:val="single" w:color="auto" w:sz="6" w:space="0"/>
                    <w:right w:val="single" w:color="auto" w:sz="6" w:space="0"/>
                  </w:tcBorders>
                  <w:noWrap w:val="0"/>
                  <w:vAlign w:val="center"/>
                </w:tcPr>
                <w:p w14:paraId="56A089AB">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一般工业固废</w:t>
                  </w:r>
                </w:p>
              </w:tc>
              <w:tc>
                <w:tcPr>
                  <w:tcW w:w="788" w:type="pct"/>
                  <w:tcBorders>
                    <w:top w:val="single" w:color="auto" w:sz="12" w:space="0"/>
                    <w:left w:val="single" w:color="auto" w:sz="6" w:space="0"/>
                    <w:bottom w:val="single" w:color="auto" w:sz="6" w:space="0"/>
                    <w:right w:val="nil"/>
                  </w:tcBorders>
                  <w:noWrap w:val="0"/>
                  <w:vAlign w:val="center"/>
                </w:tcPr>
                <w:p w14:paraId="7B77348C">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危险废物</w:t>
                  </w:r>
                </w:p>
              </w:tc>
            </w:tr>
            <w:tr w14:paraId="09FBA46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2D5285C8">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图形符号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3F0098B">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rPr>
                    <mc:AlternateContent>
                      <mc:Choice Requires="wpg">
                        <w:drawing>
                          <wp:anchor distT="0" distB="0" distL="114300" distR="114300" simplePos="0" relativeHeight="251662336" behindDoc="0" locked="0" layoutInCell="1" allowOverlap="1">
                            <wp:simplePos x="0" y="0"/>
                            <wp:positionH relativeFrom="column">
                              <wp:posOffset>49530</wp:posOffset>
                            </wp:positionH>
                            <wp:positionV relativeFrom="paragraph">
                              <wp:posOffset>20955</wp:posOffset>
                            </wp:positionV>
                            <wp:extent cx="2950845" cy="649605"/>
                            <wp:effectExtent l="0" t="0" r="1905" b="17145"/>
                            <wp:wrapNone/>
                            <wp:docPr id="58" name="组合 8"/>
                            <wp:cNvGraphicFramePr/>
                            <a:graphic xmlns:a="http://schemas.openxmlformats.org/drawingml/2006/main">
                              <a:graphicData uri="http://schemas.microsoft.com/office/word/2010/wordprocessingGroup">
                                <wpg:wgp>
                                  <wpg:cNvGrpSpPr/>
                                  <wpg:grpSpPr>
                                    <a:xfrm>
                                      <a:off x="0" y="0"/>
                                      <a:ext cx="2950845" cy="649605"/>
                                      <a:chOff x="4407" y="1049350"/>
                                      <a:chExt cx="4805" cy="1057"/>
                                    </a:xfrm>
                                    <a:effectLst/>
                                  </wpg:grpSpPr>
                                  <pic:pic xmlns:pic="http://schemas.openxmlformats.org/drawingml/2006/picture">
                                    <pic:nvPicPr>
                                      <pic:cNvPr id="59" name="图片 754" descr="1"/>
                                      <pic:cNvPicPr>
                                        <a:picLocks noChangeAspect="1"/>
                                      </pic:cNvPicPr>
                                    </pic:nvPicPr>
                                    <pic:blipFill>
                                      <a:blip r:embed="rId49"/>
                                      <a:stretch>
                                        <a:fillRect/>
                                      </a:stretch>
                                    </pic:blipFill>
                                    <pic:spPr>
                                      <a:xfrm>
                                        <a:off x="4407" y="1049350"/>
                                        <a:ext cx="1031" cy="1031"/>
                                      </a:xfrm>
                                      <a:prstGeom prst="rect">
                                        <a:avLst/>
                                      </a:prstGeom>
                                      <a:noFill/>
                                      <a:ln>
                                        <a:noFill/>
                                      </a:ln>
                                      <a:effectLst/>
                                    </pic:spPr>
                                  </pic:pic>
                                  <pic:pic xmlns:pic="http://schemas.openxmlformats.org/drawingml/2006/picture">
                                    <pic:nvPicPr>
                                      <pic:cNvPr id="60" name="图片 755" descr="点击看大图及详细资料"/>
                                      <pic:cNvPicPr>
                                        <a:picLocks noChangeAspect="1"/>
                                      </pic:cNvPicPr>
                                    </pic:nvPicPr>
                                    <pic:blipFill>
                                      <a:blip r:embed="rId50"/>
                                      <a:stretch>
                                        <a:fillRect/>
                                      </a:stretch>
                                    </pic:blipFill>
                                    <pic:spPr>
                                      <a:xfrm>
                                        <a:off x="5651" y="1049375"/>
                                        <a:ext cx="1031" cy="1031"/>
                                      </a:xfrm>
                                      <a:prstGeom prst="rect">
                                        <a:avLst/>
                                      </a:prstGeom>
                                      <a:noFill/>
                                      <a:ln>
                                        <a:noFill/>
                                      </a:ln>
                                      <a:effectLst/>
                                    </pic:spPr>
                                  </pic:pic>
                                  <pic:pic xmlns:pic="http://schemas.openxmlformats.org/drawingml/2006/picture">
                                    <pic:nvPicPr>
                                      <pic:cNvPr id="61" name="图片 756" descr="点击看大图及详细资料"/>
                                      <pic:cNvPicPr>
                                        <a:picLocks noChangeAspect="1"/>
                                      </pic:cNvPicPr>
                                    </pic:nvPicPr>
                                    <pic:blipFill>
                                      <a:blip r:embed="rId51"/>
                                      <a:stretch>
                                        <a:fillRect/>
                                      </a:stretch>
                                    </pic:blipFill>
                                    <pic:spPr>
                                      <a:xfrm>
                                        <a:off x="6899" y="1049361"/>
                                        <a:ext cx="1034" cy="1031"/>
                                      </a:xfrm>
                                      <a:prstGeom prst="rect">
                                        <a:avLst/>
                                      </a:prstGeom>
                                      <a:noFill/>
                                      <a:ln>
                                        <a:noFill/>
                                      </a:ln>
                                      <a:effectLst/>
                                    </pic:spPr>
                                  </pic:pic>
                                  <pic:pic xmlns:pic="http://schemas.openxmlformats.org/drawingml/2006/picture">
                                    <pic:nvPicPr>
                                      <pic:cNvPr id="62" name="图片 757" descr="一般固废"/>
                                      <pic:cNvPicPr preferRelativeResize="0"/>
                                    </pic:nvPicPr>
                                    <pic:blipFill>
                                      <a:blip r:embed="rId52"/>
                                      <a:stretch>
                                        <a:fillRect/>
                                      </a:stretch>
                                    </pic:blipFill>
                                    <pic:spPr>
                                      <a:xfrm>
                                        <a:off x="8179" y="1049376"/>
                                        <a:ext cx="1033" cy="1031"/>
                                      </a:xfrm>
                                      <a:prstGeom prst="rect">
                                        <a:avLst/>
                                      </a:prstGeom>
                                      <a:noFill/>
                                      <a:ln>
                                        <a:noFill/>
                                      </a:ln>
                                      <a:effectLst/>
                                    </pic:spPr>
                                  </pic:pic>
                                </wpg:wgp>
                              </a:graphicData>
                            </a:graphic>
                          </wp:anchor>
                        </w:drawing>
                      </mc:Choice>
                      <mc:Fallback>
                        <w:pict>
                          <v:group id="组合 8" o:spid="_x0000_s1026" o:spt="203" style="position:absolute;left:0pt;margin-left:3.9pt;margin-top:1.65pt;height:51.15pt;width:232.35pt;z-index:251662336;mso-width-relative:page;mso-height-relative:page;" coordorigin="4407,1049350" coordsize="4805,1057" o:gfxdata="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">
                            <o:lock v:ext="edit" aspectratio="f"/>
                            <v:shape id="图片 754" o:spid="_x0000_s1026" o:spt="75" alt="1" type="#_x0000_t75" style="position:absolute;left:4407;top:1049350;height:1031;width:1031;" filled="f" o:preferrelative="t" stroked="f" coordsize="21600,21600" o:gfxdata="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AXIL4A&#10;AADbAAAADwAAAAAAAAABACAAAAAiAAAAZHJzL2Rvd25yZXYueG1sUEsBAhQAFAAAAAgAh07iQDMv&#10;BZ47AAAAOQAAABAAAAAAAAAAAQAgAAAADQEAAGRycy9zaGFwZXhtbC54bWxQSwUGAAAAAAYABgBb&#10;AQAAtwMAAAAA&#10;">
                              <v:fill on="f" focussize="0,0"/>
                              <v:stroke on="f"/>
                              <v:imagedata r:id="rId49" o:title=""/>
                              <o:lock v:ext="edit" aspectratio="t"/>
                            </v:shape>
                            <v:shape id="图片 755" o:spid="_x0000_s1026" o:spt="75" alt="点击看大图及详细资料" type="#_x0000_t75" style="position:absolute;left:5651;top:1049375;height:1031;width:1031;" filled="f" o:preferrelative="t" stroked="f" coordsize="21600,21600" o:gfxdata="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zCXvQAA&#10;ANsAAAAPAAAAAAAAAAEAIAAAACIAAABkcnMvZG93bnJldi54bWxQSwECFAAUAAAACACHTuJAMy8F&#10;njsAAAA5AAAAEAAAAAAAAAABACAAAAAMAQAAZHJzL3NoYXBleG1sLnhtbFBLBQYAAAAABgAGAFsB&#10;AAC2AwAAAAA=&#10;">
                              <v:fill on="f" focussize="0,0"/>
                              <v:stroke on="f"/>
                              <v:imagedata r:id="rId50" o:title=""/>
                              <o:lock v:ext="edit" aspectratio="t"/>
                            </v:shape>
                            <v:shape id="图片 756" o:spid="_x0000_s1026" o:spt="75" alt="点击看大图及详细资料" type="#_x0000_t75" style="position:absolute;left:6899;top:1049361;height:1031;width:1034;" filled="f" o:preferrelative="t" stroked="f" coordsize="21600,21600" o:gfxdata="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V15i8AAAA&#10;2wAAAA8AAAAAAAAAAQAgAAAAIgAAAGRycy9kb3ducmV2LnhtbFBLAQIUABQAAAAIAIdO4kAzLwWe&#10;OwAAADkAAAAQAAAAAAAAAAEAIAAAAAsBAABkcnMvc2hhcGV4bWwueG1sUEsFBgAAAAAGAAYAWwEA&#10;ALUDAAAAAA==&#10;">
                              <v:fill on="f" focussize="0,0"/>
                              <v:stroke on="f"/>
                              <v:imagedata r:id="rId51" o:title=""/>
                              <o:lock v:ext="edit" aspectratio="t"/>
                            </v:shape>
                            <v:shape id="图片 757" o:spid="_x0000_s1026" o:spt="75" alt="一般固废" type="#_x0000_t75" style="position:absolute;left:8179;top:1049376;height:1031;width:1033;" filled="f" o:preferrelative="f" stroked="f" coordsize="21600,21600" o:gfxdata="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tzMIvQAA&#10;ANsAAAAPAAAAAAAAAAEAIAAAACIAAABkcnMvZG93bnJldi54bWxQSwECFAAUAAAACACHTuJAMy8F&#10;njsAAAA5AAAAEAAAAAAAAAABACAAAAAMAQAAZHJzL3NoYXBleG1sLnhtbFBLBQYAAAAABgAGAFsB&#10;AAC2AwAAAAA=&#10;">
                              <v:fill on="f" focussize="0,0"/>
                              <v:stroke on="f"/>
                              <v:imagedata r:id="rId52" o:title=""/>
                              <o:lock v:ext="edit" aspectratio="f"/>
                            </v:shape>
                          </v:group>
                        </w:pict>
                      </mc:Fallback>
                    </mc:AlternateContent>
                  </w:r>
                </w:p>
                <w:p w14:paraId="43015909">
                  <w:pPr>
                    <w:pStyle w:val="39"/>
                    <w:keepNext w:val="0"/>
                    <w:keepLines w:val="0"/>
                    <w:widowControl/>
                    <w:suppressLineNumbers w:val="0"/>
                    <w:bidi w:val="0"/>
                    <w:spacing w:before="0" w:beforeAutospacing="0" w:after="0" w:afterAutospacing="0"/>
                    <w:ind w:left="0" w:right="0"/>
                    <w:rPr>
                      <w:rFonts w:hint="eastAsia"/>
                      <w:szCs w:val="22"/>
                      <w:lang w:val="en-GB"/>
                    </w:rPr>
                  </w:pPr>
                </w:p>
                <w:p w14:paraId="1D7B3B49">
                  <w:pPr>
                    <w:pStyle w:val="39"/>
                    <w:keepNext w:val="0"/>
                    <w:keepLines w:val="0"/>
                    <w:widowControl/>
                    <w:suppressLineNumbers w:val="0"/>
                    <w:bidi w:val="0"/>
                    <w:spacing w:before="0" w:beforeAutospacing="0" w:after="0" w:afterAutospacing="0"/>
                    <w:ind w:left="0" w:right="0"/>
                    <w:rPr>
                      <w:rFonts w:hint="eastAsia"/>
                      <w:szCs w:val="22"/>
                      <w:lang w:val="en-GB"/>
                    </w:rPr>
                  </w:pPr>
                </w:p>
                <w:p w14:paraId="44AE8751">
                  <w:pPr>
                    <w:pStyle w:val="39"/>
                    <w:keepNext w:val="0"/>
                    <w:keepLines w:val="0"/>
                    <w:widowControl/>
                    <w:suppressLineNumbers w:val="0"/>
                    <w:bidi w:val="0"/>
                    <w:spacing w:before="0" w:beforeAutospacing="0" w:after="0" w:afterAutospacing="0"/>
                    <w:ind w:left="0" w:right="0"/>
                    <w:rPr>
                      <w:rFonts w:hint="eastAsia"/>
                      <w:szCs w:val="22"/>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4CFCE138">
                  <w:pPr>
                    <w:pStyle w:val="39"/>
                    <w:keepNext w:val="0"/>
                    <w:keepLines w:val="0"/>
                    <w:widowControl/>
                    <w:suppressLineNumbers w:val="0"/>
                    <w:bidi w:val="0"/>
                    <w:spacing w:before="0" w:beforeAutospacing="0" w:after="0" w:afterAutospacing="0"/>
                    <w:ind w:left="0" w:right="0"/>
                    <w:rPr>
                      <w:rFonts w:hint="eastAsia"/>
                      <w:szCs w:val="22"/>
                      <w:lang w:val="en-GB"/>
                    </w:rPr>
                  </w:pPr>
                </w:p>
                <w:p w14:paraId="0F4A5EF6">
                  <w:pPr>
                    <w:pStyle w:val="39"/>
                    <w:keepNext w:val="0"/>
                    <w:keepLines w:val="0"/>
                    <w:widowControl/>
                    <w:suppressLineNumbers w:val="0"/>
                    <w:bidi w:val="0"/>
                    <w:spacing w:before="0" w:beforeAutospacing="0" w:after="0" w:afterAutospacing="0"/>
                    <w:ind w:left="0" w:right="0"/>
                    <w:rPr>
                      <w:rFonts w:hint="eastAsia"/>
                      <w:szCs w:val="22"/>
                      <w:lang w:val="en-GB"/>
                    </w:rPr>
                  </w:pPr>
                </w:p>
                <w:p w14:paraId="23DCA5A2">
                  <w:pPr>
                    <w:pStyle w:val="39"/>
                    <w:keepNext w:val="0"/>
                    <w:keepLines w:val="0"/>
                    <w:widowControl/>
                    <w:suppressLineNumbers w:val="0"/>
                    <w:bidi w:val="0"/>
                    <w:spacing w:before="0" w:beforeAutospacing="0" w:after="0" w:afterAutospacing="0"/>
                    <w:ind w:left="0" w:right="0"/>
                    <w:rPr>
                      <w:rFonts w:hint="eastAsia"/>
                      <w:szCs w:val="22"/>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29E75A3A">
                  <w:pPr>
                    <w:pStyle w:val="39"/>
                    <w:keepNext w:val="0"/>
                    <w:keepLines w:val="0"/>
                    <w:widowControl/>
                    <w:suppressLineNumbers w:val="0"/>
                    <w:bidi w:val="0"/>
                    <w:spacing w:before="0" w:beforeAutospacing="0" w:after="0" w:afterAutospacing="0"/>
                    <w:ind w:left="0" w:right="0"/>
                    <w:rPr>
                      <w:rFonts w:hint="eastAsia"/>
                      <w:szCs w:val="22"/>
                      <w:lang w:val="en-GB"/>
                    </w:rPr>
                  </w:pPr>
                </w:p>
                <w:p w14:paraId="585A6157">
                  <w:pPr>
                    <w:pStyle w:val="39"/>
                    <w:keepNext w:val="0"/>
                    <w:keepLines w:val="0"/>
                    <w:widowControl/>
                    <w:suppressLineNumbers w:val="0"/>
                    <w:bidi w:val="0"/>
                    <w:spacing w:before="0" w:beforeAutospacing="0" w:after="0" w:afterAutospacing="0"/>
                    <w:ind w:left="0" w:right="0"/>
                    <w:rPr>
                      <w:rFonts w:hint="eastAsia"/>
                      <w:szCs w:val="22"/>
                      <w:lang w:val="en-GB"/>
                    </w:rPr>
                  </w:pPr>
                </w:p>
                <w:p w14:paraId="3A77D651">
                  <w:pPr>
                    <w:pStyle w:val="39"/>
                    <w:keepNext w:val="0"/>
                    <w:keepLines w:val="0"/>
                    <w:widowControl/>
                    <w:suppressLineNumbers w:val="0"/>
                    <w:bidi w:val="0"/>
                    <w:spacing w:before="0" w:beforeAutospacing="0" w:after="0" w:afterAutospacing="0"/>
                    <w:ind w:left="0" w:right="0"/>
                    <w:rPr>
                      <w:rFonts w:hint="eastAsia"/>
                      <w:szCs w:val="22"/>
                      <w:lang w:val="en-GB"/>
                    </w:rPr>
                  </w:pPr>
                </w:p>
              </w:tc>
              <w:tc>
                <w:tcPr>
                  <w:tcW w:w="848" w:type="pct"/>
                  <w:tcBorders>
                    <w:top w:val="single" w:color="auto" w:sz="6" w:space="0"/>
                    <w:left w:val="single" w:color="auto" w:sz="6" w:space="0"/>
                    <w:bottom w:val="single" w:color="auto" w:sz="6" w:space="0"/>
                    <w:right w:val="single" w:color="auto" w:sz="6" w:space="0"/>
                  </w:tcBorders>
                  <w:noWrap w:val="0"/>
                  <w:vAlign w:val="center"/>
                </w:tcPr>
                <w:p w14:paraId="4096755D">
                  <w:pPr>
                    <w:pStyle w:val="39"/>
                    <w:keepNext w:val="0"/>
                    <w:keepLines w:val="0"/>
                    <w:widowControl/>
                    <w:suppressLineNumbers w:val="0"/>
                    <w:bidi w:val="0"/>
                    <w:spacing w:before="0" w:beforeAutospacing="0" w:after="0" w:afterAutospacing="0"/>
                    <w:ind w:left="0" w:right="0"/>
                    <w:rPr>
                      <w:rFonts w:hint="eastAsia"/>
                      <w:szCs w:val="22"/>
                      <w:lang w:val="en-GB"/>
                    </w:rPr>
                  </w:pPr>
                </w:p>
              </w:tc>
              <w:tc>
                <w:tcPr>
                  <w:tcW w:w="788" w:type="pct"/>
                  <w:tcBorders>
                    <w:top w:val="single" w:color="auto" w:sz="6" w:space="0"/>
                    <w:left w:val="single" w:color="auto" w:sz="6" w:space="0"/>
                    <w:bottom w:val="single" w:color="auto" w:sz="6" w:space="0"/>
                    <w:right w:val="nil"/>
                  </w:tcBorders>
                  <w:noWrap w:val="0"/>
                  <w:vAlign w:val="center"/>
                </w:tcPr>
                <w:p w14:paraId="7DB979E9">
                  <w:pPr>
                    <w:pStyle w:val="15"/>
                    <w:keepNext w:val="0"/>
                    <w:keepLines w:val="0"/>
                    <w:suppressLineNumbers w:val="0"/>
                    <w:bidi w:val="0"/>
                    <w:spacing w:before="0" w:beforeAutospacing="0" w:after="0" w:afterAutospacing="0"/>
                    <w:ind w:left="0" w:right="0"/>
                    <w:jc w:val="center"/>
                    <w:rPr>
                      <w:lang w:val="en-GB"/>
                    </w:rPr>
                  </w:pPr>
                  <w:r>
                    <w:rPr>
                      <w:rFonts w:hint="eastAsia"/>
                      <w:lang w:eastAsia="zh-CN"/>
                    </w:rPr>
                    <w:drawing>
                      <wp:inline distT="0" distB="0" distL="114300" distR="114300">
                        <wp:extent cx="660400" cy="600710"/>
                        <wp:effectExtent l="0" t="0" r="6350" b="8890"/>
                        <wp:docPr id="70" name="图片 9" descr="093c2d640a89c2c2fc565a102dcd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descr="093c2d640a89c2c2fc565a102dcd89f"/>
                                <pic:cNvPicPr>
                                  <a:picLocks noChangeAspect="1"/>
                                </pic:cNvPicPr>
                              </pic:nvPicPr>
                              <pic:blipFill>
                                <a:blip r:embed="rId53"/>
                                <a:stretch>
                                  <a:fillRect/>
                                </a:stretch>
                              </pic:blipFill>
                              <pic:spPr>
                                <a:xfrm>
                                  <a:off x="0" y="0"/>
                                  <a:ext cx="660400" cy="600710"/>
                                </a:xfrm>
                                <a:prstGeom prst="rect">
                                  <a:avLst/>
                                </a:prstGeom>
                                <a:noFill/>
                                <a:ln>
                                  <a:noFill/>
                                </a:ln>
                              </pic:spPr>
                            </pic:pic>
                          </a:graphicData>
                        </a:graphic>
                      </wp:inline>
                    </w:drawing>
                  </w:r>
                </w:p>
              </w:tc>
            </w:tr>
            <w:tr w14:paraId="35E309F4">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7EA6DAF4">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形状</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0341744D">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240A7D71">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F2E832C">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正方形边框</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4CC48166">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三角形边框</w:t>
                  </w:r>
                </w:p>
              </w:tc>
              <w:tc>
                <w:tcPr>
                  <w:tcW w:w="788" w:type="pct"/>
                  <w:tcBorders>
                    <w:top w:val="single" w:color="auto" w:sz="6" w:space="0"/>
                    <w:left w:val="single" w:color="auto" w:sz="6" w:space="0"/>
                    <w:bottom w:val="single" w:color="auto" w:sz="6" w:space="0"/>
                    <w:right w:val="nil"/>
                  </w:tcBorders>
                  <w:noWrap w:val="0"/>
                  <w:vAlign w:val="center"/>
                </w:tcPr>
                <w:p w14:paraId="46C8747E">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三角形边框</w:t>
                  </w:r>
                </w:p>
              </w:tc>
            </w:tr>
            <w:tr w14:paraId="6F2E076B">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5D285656">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563306EB">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62688D78">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739BEF1">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绿色</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2664682F">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黄色</w:t>
                  </w:r>
                </w:p>
              </w:tc>
              <w:tc>
                <w:tcPr>
                  <w:tcW w:w="788" w:type="pct"/>
                  <w:tcBorders>
                    <w:top w:val="single" w:color="auto" w:sz="6" w:space="0"/>
                    <w:left w:val="single" w:color="auto" w:sz="6" w:space="0"/>
                    <w:bottom w:val="single" w:color="auto" w:sz="6" w:space="0"/>
                    <w:right w:val="nil"/>
                  </w:tcBorders>
                  <w:noWrap w:val="0"/>
                  <w:vAlign w:val="center"/>
                </w:tcPr>
                <w:p w14:paraId="6C63B051">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黄色</w:t>
                  </w:r>
                </w:p>
              </w:tc>
            </w:tr>
            <w:tr w14:paraId="12D38D0A">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12" w:space="0"/>
                    <w:right w:val="single" w:color="auto" w:sz="6" w:space="0"/>
                  </w:tcBorders>
                  <w:noWrap w:val="0"/>
                  <w:vAlign w:val="center"/>
                </w:tcPr>
                <w:p w14:paraId="3AE6A2F8">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图形颜色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2CACD4E4">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0284B12E">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689EDD7F">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白色</w:t>
                  </w:r>
                </w:p>
              </w:tc>
              <w:tc>
                <w:tcPr>
                  <w:tcW w:w="848" w:type="pct"/>
                  <w:tcBorders>
                    <w:top w:val="single" w:color="auto" w:sz="6" w:space="0"/>
                    <w:left w:val="single" w:color="auto" w:sz="6" w:space="0"/>
                    <w:bottom w:val="single" w:color="auto" w:sz="12" w:space="0"/>
                    <w:right w:val="single" w:color="auto" w:sz="6" w:space="0"/>
                  </w:tcBorders>
                  <w:noWrap w:val="0"/>
                  <w:vAlign w:val="center"/>
                </w:tcPr>
                <w:p w14:paraId="42E3BD10">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黑色</w:t>
                  </w:r>
                </w:p>
              </w:tc>
              <w:tc>
                <w:tcPr>
                  <w:tcW w:w="788" w:type="pct"/>
                  <w:tcBorders>
                    <w:top w:val="single" w:color="auto" w:sz="6" w:space="0"/>
                    <w:left w:val="single" w:color="auto" w:sz="6" w:space="0"/>
                    <w:bottom w:val="single" w:color="auto" w:sz="12" w:space="0"/>
                    <w:right w:val="nil"/>
                  </w:tcBorders>
                  <w:noWrap w:val="0"/>
                  <w:vAlign w:val="center"/>
                </w:tcPr>
                <w:p w14:paraId="46A83B53">
                  <w:pPr>
                    <w:pStyle w:val="39"/>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黑色</w:t>
                  </w:r>
                </w:p>
              </w:tc>
            </w:tr>
          </w:tbl>
          <w:p w14:paraId="30BDACCE">
            <w:pPr>
              <w:pStyle w:val="3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420" w:firstLineChars="200"/>
              <w:jc w:val="both"/>
              <w:textAlignment w:val="auto"/>
              <w:rPr>
                <w:rFonts w:hint="default"/>
                <w:szCs w:val="22"/>
                <w:lang w:val="en-US" w:eastAsia="zh-CN"/>
              </w:rPr>
            </w:pPr>
            <w:r>
              <w:rPr>
                <w:rFonts w:hint="default"/>
                <w:szCs w:val="22"/>
                <w:lang w:val="en-US" w:eastAsia="zh-CN"/>
              </w:rPr>
              <w:t>（2）排污申报</w:t>
            </w:r>
          </w:p>
          <w:p w14:paraId="16F70CA1">
            <w:pPr>
              <w:pStyle w:val="3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420" w:firstLineChars="200"/>
              <w:jc w:val="both"/>
              <w:textAlignment w:val="auto"/>
              <w:rPr>
                <w:rFonts w:hint="default"/>
                <w:szCs w:val="22"/>
                <w:lang w:val="en-US" w:eastAsia="zh-CN"/>
              </w:rPr>
            </w:pPr>
            <w:r>
              <w:rPr>
                <w:rFonts w:hint="default"/>
                <w:szCs w:val="22"/>
                <w:lang w:val="en-US" w:eastAsia="zh-CN"/>
              </w:rPr>
              <w:t>根据《固定污染源排污许可分类管理名录</w:t>
            </w:r>
            <w:r>
              <w:rPr>
                <w:rFonts w:hint="eastAsia"/>
                <w:szCs w:val="22"/>
                <w:lang w:val="en-US" w:eastAsia="zh-CN"/>
              </w:rPr>
              <w:t>（</w:t>
            </w:r>
            <w:r>
              <w:rPr>
                <w:rFonts w:hint="default"/>
                <w:szCs w:val="22"/>
                <w:lang w:val="en-US" w:eastAsia="zh-CN"/>
              </w:rPr>
              <w:t>2019年版</w:t>
            </w:r>
            <w:r>
              <w:rPr>
                <w:rFonts w:hint="eastAsia"/>
                <w:szCs w:val="22"/>
                <w:lang w:val="en-US" w:eastAsia="zh-CN"/>
              </w:rPr>
              <w:t>）</w:t>
            </w:r>
            <w:r>
              <w:rPr>
                <w:rFonts w:hint="default"/>
                <w:szCs w:val="22"/>
                <w:lang w:val="en-US" w:eastAsia="zh-CN"/>
              </w:rPr>
              <w:t>》</w:t>
            </w:r>
            <w:r>
              <w:rPr>
                <w:rFonts w:hint="eastAsia"/>
                <w:szCs w:val="22"/>
                <w:lang w:val="en-US" w:eastAsia="zh-CN"/>
              </w:rPr>
              <w:t>（</w:t>
            </w:r>
            <w:r>
              <w:rPr>
                <w:rFonts w:hint="default"/>
                <w:szCs w:val="22"/>
                <w:lang w:val="en-US" w:eastAsia="zh-CN"/>
              </w:rPr>
              <w:t>生态环境部第11号</w:t>
            </w:r>
            <w:r>
              <w:rPr>
                <w:rFonts w:hint="eastAsia"/>
                <w:szCs w:val="22"/>
                <w:lang w:val="en-US" w:eastAsia="zh-CN"/>
              </w:rPr>
              <w:t>）</w:t>
            </w:r>
            <w:r>
              <w:rPr>
                <w:rFonts w:hint="default"/>
                <w:szCs w:val="22"/>
                <w:lang w:val="en-US" w:eastAsia="zh-CN"/>
              </w:rPr>
              <w:t>可知，本项目实行排污许可登记管理；因此，建设单位应当在启动生产设施或者发生实际排污之前在全国排污许可证管理信息平台进行排污许可登记。</w:t>
            </w:r>
          </w:p>
          <w:p w14:paraId="414E4D11">
            <w:pPr>
              <w:pStyle w:val="40"/>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表 5.1-2 周定污染源排污许可分类管理名录</w:t>
            </w:r>
            <w:r>
              <w:rPr>
                <w:rFonts w:hint="eastAsia"/>
                <w:lang w:val="en-US" w:eastAsia="zh-CN"/>
              </w:rPr>
              <w:t>（</w:t>
            </w:r>
            <w:r>
              <w:rPr>
                <w:rFonts w:hint="default"/>
                <w:lang w:val="en-US" w:eastAsia="zh-CN"/>
              </w:rPr>
              <w:t>摘录</w:t>
            </w:r>
            <w:r>
              <w:rPr>
                <w:rFonts w:hint="eastAsia"/>
                <w:lang w:val="en-US" w:eastAsia="zh-CN"/>
              </w:rPr>
              <w:t>）</w:t>
            </w:r>
          </w:p>
          <w:tbl>
            <w:tblPr>
              <w:tblStyle w:val="3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1067"/>
              <w:gridCol w:w="2117"/>
              <w:gridCol w:w="3133"/>
              <w:gridCol w:w="795"/>
            </w:tblGrid>
            <w:tr w14:paraId="1671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tcBorders>
                    <w:top w:val="single" w:color="auto" w:sz="12" w:space="0"/>
                    <w:left w:val="nil"/>
                  </w:tcBorders>
                  <w:noWrap w:val="0"/>
                  <w:vAlign w:val="center"/>
                </w:tcPr>
                <w:p w14:paraId="2DC4C42E">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序号</w:t>
                  </w:r>
                </w:p>
              </w:tc>
              <w:tc>
                <w:tcPr>
                  <w:tcW w:w="1067" w:type="dxa"/>
                  <w:tcBorders>
                    <w:top w:val="single" w:color="auto" w:sz="12" w:space="0"/>
                  </w:tcBorders>
                  <w:noWrap w:val="0"/>
                  <w:vAlign w:val="center"/>
                </w:tcPr>
                <w:p w14:paraId="3CE09F43">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行业类别</w:t>
                  </w:r>
                </w:p>
              </w:tc>
              <w:tc>
                <w:tcPr>
                  <w:tcW w:w="2117" w:type="dxa"/>
                  <w:tcBorders>
                    <w:top w:val="single" w:color="auto" w:sz="12" w:space="0"/>
                  </w:tcBorders>
                  <w:noWrap w:val="0"/>
                  <w:vAlign w:val="center"/>
                </w:tcPr>
                <w:p w14:paraId="235F71DE">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重点管理</w:t>
                  </w:r>
                </w:p>
              </w:tc>
              <w:tc>
                <w:tcPr>
                  <w:tcW w:w="3133" w:type="dxa"/>
                  <w:tcBorders>
                    <w:top w:val="single" w:color="auto" w:sz="12" w:space="0"/>
                  </w:tcBorders>
                  <w:noWrap w:val="0"/>
                  <w:vAlign w:val="center"/>
                </w:tcPr>
                <w:p w14:paraId="300EEA6F">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简化管理</w:t>
                  </w:r>
                </w:p>
              </w:tc>
              <w:tc>
                <w:tcPr>
                  <w:tcW w:w="795" w:type="dxa"/>
                  <w:tcBorders>
                    <w:top w:val="single" w:color="auto" w:sz="12" w:space="0"/>
                    <w:right w:val="nil"/>
                  </w:tcBorders>
                  <w:shd w:val="clear" w:color="auto" w:fill="BEBEBE" w:themeFill="background1" w:themeFillShade="BF"/>
                  <w:noWrap w:val="0"/>
                  <w:vAlign w:val="center"/>
                </w:tcPr>
                <w:p w14:paraId="64973A7E">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登记管理</w:t>
                  </w:r>
                </w:p>
              </w:tc>
            </w:tr>
            <w:tr w14:paraId="0ABC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2" w:type="dxa"/>
                  <w:gridSpan w:val="5"/>
                  <w:tcBorders>
                    <w:left w:val="nil"/>
                    <w:right w:val="nil"/>
                  </w:tcBorders>
                  <w:shd w:val="clear" w:color="auto" w:fill="BEBEBE" w:themeFill="background1" w:themeFillShade="BF"/>
                  <w:noWrap w:val="0"/>
                  <w:vAlign w:val="center"/>
                </w:tcPr>
                <w:p w14:paraId="10AC3E5A">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二十四、橡胶和塑料制品业 29</w:t>
                  </w:r>
                </w:p>
              </w:tc>
            </w:tr>
            <w:tr w14:paraId="3138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tcBorders>
                    <w:left w:val="nil"/>
                  </w:tcBorders>
                  <w:noWrap w:val="0"/>
                  <w:vAlign w:val="center"/>
                </w:tcPr>
                <w:p w14:paraId="59070D0D">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62</w:t>
                  </w:r>
                </w:p>
              </w:tc>
              <w:tc>
                <w:tcPr>
                  <w:tcW w:w="1067" w:type="dxa"/>
                  <w:noWrap w:val="0"/>
                  <w:vAlign w:val="center"/>
                </w:tcPr>
                <w:p w14:paraId="109152BE">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塑料制品业 292</w:t>
                  </w:r>
                </w:p>
              </w:tc>
              <w:tc>
                <w:tcPr>
                  <w:tcW w:w="2117" w:type="dxa"/>
                  <w:noWrap w:val="0"/>
                  <w:vAlign w:val="center"/>
                </w:tcPr>
                <w:p w14:paraId="1916171A">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塑料人造革、合成革制造 2925</w:t>
                  </w:r>
                </w:p>
              </w:tc>
              <w:tc>
                <w:tcPr>
                  <w:tcW w:w="3133" w:type="dxa"/>
                  <w:noWrap w:val="0"/>
                  <w:vAlign w:val="center"/>
                </w:tcPr>
                <w:p w14:paraId="0B8F46C2">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年产1万吨及以上的泡沫塑料制造2924，年产1万吨及以上涉及改性的塑料薄膜制造 2921、塑料板、管、型材制造 2922、塑料丝、绳和编织品制造 2923、塑料包装箱及容器制造 2926、日用塑料品制造 2927、人造草坪制造 2928、塑料零件及其他塑料制品制造 2929</w:t>
                  </w:r>
                </w:p>
              </w:tc>
              <w:tc>
                <w:tcPr>
                  <w:tcW w:w="795" w:type="dxa"/>
                  <w:tcBorders>
                    <w:right w:val="nil"/>
                  </w:tcBorders>
                  <w:shd w:val="clear" w:color="auto" w:fill="BEBEBE" w:themeFill="background1" w:themeFillShade="BF"/>
                  <w:noWrap w:val="0"/>
                  <w:vAlign w:val="center"/>
                </w:tcPr>
                <w:p w14:paraId="0D18B8D9">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其他</w:t>
                  </w:r>
                </w:p>
              </w:tc>
            </w:tr>
            <w:tr w14:paraId="6D26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2" w:type="dxa"/>
                  <w:gridSpan w:val="5"/>
                  <w:tcBorders>
                    <w:left w:val="nil"/>
                    <w:right w:val="nil"/>
                  </w:tcBorders>
                  <w:shd w:val="clear" w:color="auto" w:fill="BEBEBE" w:themeFill="background1" w:themeFillShade="BF"/>
                  <w:noWrap w:val="0"/>
                  <w:vAlign w:val="center"/>
                </w:tcPr>
                <w:p w14:paraId="54C4DF49">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二十八、金属制品业 33</w:t>
                  </w:r>
                </w:p>
              </w:tc>
            </w:tr>
            <w:tr w14:paraId="2385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tcBorders>
                    <w:left w:val="nil"/>
                  </w:tcBorders>
                  <w:noWrap w:val="0"/>
                  <w:vAlign w:val="center"/>
                </w:tcPr>
                <w:p w14:paraId="531F4C0A">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w:t>
                  </w:r>
                </w:p>
              </w:tc>
              <w:tc>
                <w:tcPr>
                  <w:tcW w:w="1067" w:type="dxa"/>
                  <w:noWrap w:val="0"/>
                  <w:vAlign w:val="center"/>
                </w:tcPr>
                <w:p w14:paraId="4E312E03">
                  <w:pPr>
                    <w:pStyle w:val="39"/>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金属表面处理及热处理加工 336</w:t>
                  </w:r>
                </w:p>
                <w:p w14:paraId="684AFAA0">
                  <w:pPr>
                    <w:pStyle w:val="39"/>
                    <w:keepNext w:val="0"/>
                    <w:keepLines w:val="0"/>
                    <w:widowControl/>
                    <w:suppressLineNumbers w:val="0"/>
                    <w:bidi w:val="0"/>
                    <w:spacing w:before="0" w:beforeAutospacing="0" w:after="0" w:afterAutospacing="0"/>
                    <w:ind w:left="0" w:right="0"/>
                    <w:rPr>
                      <w:rFonts w:hint="default"/>
                      <w:szCs w:val="22"/>
                      <w:lang w:val="en-US" w:eastAsia="zh-CN"/>
                    </w:rPr>
                  </w:pPr>
                </w:p>
              </w:tc>
              <w:tc>
                <w:tcPr>
                  <w:tcW w:w="2117" w:type="dxa"/>
                  <w:noWrap w:val="0"/>
                  <w:vAlign w:val="center"/>
                </w:tcPr>
                <w:p w14:paraId="53378942">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纳入重点排污单位名录的，专业电镀企业（含电镀园区中电镀企业），专门处理电镀废水的集中处理设施，有电镀工序的，有含铬钝化工序的</w:t>
                  </w:r>
                </w:p>
              </w:tc>
              <w:tc>
                <w:tcPr>
                  <w:tcW w:w="3133" w:type="dxa"/>
                  <w:noWrap w:val="0"/>
                  <w:vAlign w:val="center"/>
                </w:tcPr>
                <w:p w14:paraId="2BBDF46C">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除重点管理以外的有酸洗、抛光（电 解抛光和化学抛光）、热浸镀（溶剂 法）、淬火或者无铬钝化等工序的、年使用 10吨及以上有机溶剂的</w:t>
                  </w:r>
                </w:p>
              </w:tc>
              <w:tc>
                <w:tcPr>
                  <w:tcW w:w="795" w:type="dxa"/>
                  <w:tcBorders>
                    <w:right w:val="nil"/>
                  </w:tcBorders>
                  <w:shd w:val="clear" w:color="auto" w:fill="BEBEBE" w:themeFill="background1" w:themeFillShade="BF"/>
                  <w:noWrap w:val="0"/>
                  <w:vAlign w:val="center"/>
                </w:tcPr>
                <w:p w14:paraId="1D1ACB32">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其他</w:t>
                  </w:r>
                </w:p>
              </w:tc>
            </w:tr>
          </w:tbl>
          <w:p w14:paraId="1E320BF4">
            <w:pPr>
              <w:pStyle w:val="3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420" w:firstLineChars="200"/>
              <w:jc w:val="both"/>
              <w:textAlignment w:val="auto"/>
              <w:rPr>
                <w:rFonts w:hint="default"/>
                <w:szCs w:val="22"/>
                <w:lang w:val="en-US" w:eastAsia="zh-CN"/>
              </w:rPr>
            </w:pPr>
            <w:r>
              <w:rPr>
                <w:rFonts w:hint="default"/>
                <w:szCs w:val="22"/>
                <w:lang w:val="en-US" w:eastAsia="zh-CN"/>
              </w:rPr>
              <w:t>（</w:t>
            </w:r>
            <w:r>
              <w:rPr>
                <w:rFonts w:hint="eastAsia"/>
                <w:szCs w:val="22"/>
                <w:lang w:val="en-US" w:eastAsia="zh-CN"/>
              </w:rPr>
              <w:t>3</w:t>
            </w:r>
            <w:r>
              <w:rPr>
                <w:rFonts w:hint="default"/>
                <w:szCs w:val="22"/>
                <w:lang w:val="en-US" w:eastAsia="zh-CN"/>
              </w:rPr>
              <w:t>）</w:t>
            </w:r>
            <w:bookmarkEnd w:id="47"/>
            <w:bookmarkStart w:id="48" w:name="_Toc24814500"/>
            <w:r>
              <w:rPr>
                <w:rFonts w:hint="default"/>
                <w:szCs w:val="22"/>
                <w:lang w:val="en-US" w:eastAsia="zh-CN"/>
              </w:rPr>
              <w:t>自主竣工环境保护验收要求</w:t>
            </w:r>
            <w:bookmarkEnd w:id="48"/>
          </w:p>
          <w:p w14:paraId="592F1F66">
            <w:pPr>
              <w:pStyle w:val="3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420" w:firstLineChars="200"/>
              <w:jc w:val="both"/>
              <w:textAlignment w:val="auto"/>
              <w:rPr>
                <w:rFonts w:hint="default"/>
                <w:szCs w:val="22"/>
                <w:lang w:val="en-US" w:eastAsia="zh-CN"/>
              </w:rPr>
            </w:pPr>
            <w:r>
              <w:rPr>
                <w:rFonts w:hint="default"/>
                <w:szCs w:val="22"/>
                <w:lang w:val="en-US" w:eastAsia="zh-CN"/>
              </w:rPr>
              <w:t>根据国务院【国令第682号】《建设项目环境保护管理条例》及《建设项目竣工环境保护验收暂行办法》（国环规环评【2017】4号），强化建设单位环境保护主体责任，落实建设项目环境保护</w:t>
            </w:r>
            <w:r>
              <w:rPr>
                <w:rFonts w:hint="eastAsia"/>
                <w:szCs w:val="22"/>
                <w:lang w:val="en-US" w:eastAsia="zh-CN"/>
              </w:rPr>
              <w:t>“</w:t>
            </w:r>
            <w:r>
              <w:rPr>
                <w:rFonts w:hint="default"/>
                <w:szCs w:val="22"/>
                <w:lang w:val="en-US" w:eastAsia="zh-CN"/>
              </w:rPr>
              <w:t>三同时</w:t>
            </w:r>
            <w:r>
              <w:rPr>
                <w:rFonts w:hint="eastAsia"/>
                <w:szCs w:val="22"/>
                <w:lang w:val="en-US" w:eastAsia="zh-CN"/>
              </w:rPr>
              <w:t>”</w:t>
            </w:r>
            <w:r>
              <w:rPr>
                <w:rFonts w:hint="default"/>
                <w:szCs w:val="22"/>
                <w:lang w:val="en-US" w:eastAsia="zh-CN"/>
              </w:rPr>
              <w:t>制度，规范建设项目竣工后建设单位自主开展环境保护验收的程序和标准。建设单位是建设项目竣工环境保护验收的责任主体。</w:t>
            </w:r>
          </w:p>
          <w:p w14:paraId="343C53B1">
            <w:pPr>
              <w:pStyle w:val="3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420" w:firstLineChars="200"/>
              <w:jc w:val="both"/>
              <w:textAlignment w:val="auto"/>
              <w:rPr>
                <w:rFonts w:hint="default"/>
                <w:szCs w:val="22"/>
                <w:lang w:val="en-US" w:eastAsia="zh-CN"/>
              </w:rPr>
            </w:pPr>
            <w:r>
              <w:rPr>
                <w:rFonts w:hint="default"/>
                <w:szCs w:val="22"/>
                <w:lang w:val="en-US" w:eastAsia="zh-CN"/>
              </w:rPr>
              <w:t>根据</w:t>
            </w:r>
            <w:r>
              <w:rPr>
                <w:rFonts w:hint="eastAsia"/>
                <w:szCs w:val="22"/>
                <w:lang w:val="en-US" w:eastAsia="zh-CN"/>
              </w:rPr>
              <w:t>生态环境部</w:t>
            </w:r>
            <w:r>
              <w:rPr>
                <w:rFonts w:hint="default"/>
                <w:szCs w:val="22"/>
                <w:lang w:val="en-US" w:eastAsia="zh-CN"/>
              </w:rPr>
              <w:t>《建设项目竣工环境保护验收技术指南 污染影响类》（公告2018年第9号）中有关要求：项目竣工后，建设单位应对该项目进行环保竣工验收，委托有资质的监测单位进行项目竣工环境保护验收监测，编制项目竣工环境保护验收监测报告。经验收合格，该建设项目方可正式投入生产或使用。</w:t>
            </w:r>
          </w:p>
        </w:tc>
      </w:tr>
    </w:tbl>
    <w:p w14:paraId="45D89DA3">
      <w:pPr>
        <w:rPr>
          <w:color w:val="auto"/>
        </w:rPr>
      </w:pPr>
      <w:bookmarkStart w:id="49" w:name="_Toc12367"/>
      <w:bookmarkStart w:id="50" w:name="_Toc32638"/>
      <w:r>
        <w:rPr>
          <w:color w:val="auto"/>
        </w:rPr>
        <w:br w:type="page"/>
      </w:r>
    </w:p>
    <w:p w14:paraId="340046AA">
      <w:pPr>
        <w:pStyle w:val="2"/>
        <w:tabs>
          <w:tab w:val="left" w:pos="420"/>
          <w:tab w:val="clear" w:pos="715"/>
        </w:tabs>
        <w:bidi w:val="0"/>
      </w:pPr>
      <w:r>
        <w:drawing>
          <wp:anchor distT="0" distB="0" distL="114300" distR="114300" simplePos="0" relativeHeight="251675648" behindDoc="0" locked="0" layoutInCell="1" allowOverlap="1">
            <wp:simplePos x="0" y="0"/>
            <wp:positionH relativeFrom="column">
              <wp:posOffset>-361315</wp:posOffset>
            </wp:positionH>
            <wp:positionV relativeFrom="paragraph">
              <wp:posOffset>-74930</wp:posOffset>
            </wp:positionV>
            <wp:extent cx="6431915" cy="8665210"/>
            <wp:effectExtent l="0" t="0" r="0" b="0"/>
            <wp:wrapNone/>
            <wp:docPr id="1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
                    <pic:cNvPicPr>
                      <a:picLocks noChangeAspect="1"/>
                    </pic:cNvPicPr>
                  </pic:nvPicPr>
                  <pic:blipFill>
                    <a:blip r:embed="rId54"/>
                    <a:srcRect b="3514"/>
                    <a:stretch>
                      <a:fillRect/>
                    </a:stretch>
                  </pic:blipFill>
                  <pic:spPr>
                    <a:xfrm>
                      <a:off x="0" y="0"/>
                      <a:ext cx="6431915" cy="8665210"/>
                    </a:xfrm>
                    <a:prstGeom prst="rect">
                      <a:avLst/>
                    </a:prstGeom>
                    <a:noFill/>
                    <a:ln>
                      <a:noFill/>
                    </a:ln>
                  </pic:spPr>
                </pic:pic>
              </a:graphicData>
            </a:graphic>
          </wp:anchor>
        </w:drawing>
      </w:r>
      <w:r>
        <w:t>结论</w:t>
      </w:r>
      <w:bookmarkEnd w:id="49"/>
      <w:bookmarkEnd w:id="50"/>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01B28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564EE0E9">
            <w:pPr>
              <w:pStyle w:val="3"/>
              <w:keepNext w:val="0"/>
              <w:keepLines w:val="0"/>
              <w:suppressLineNumbers w:val="0"/>
              <w:bidi w:val="0"/>
              <w:spacing w:before="0" w:beforeAutospacing="0" w:after="0" w:afterAutospacing="0"/>
              <w:ind w:left="0" w:right="0"/>
              <w:rPr>
                <w:rFonts w:hint="default"/>
              </w:rPr>
            </w:pPr>
            <w:bookmarkStart w:id="51" w:name="_Toc22364"/>
            <w:bookmarkStart w:id="52" w:name="_Toc4427"/>
            <w:bookmarkStart w:id="53" w:name="_Toc8175"/>
            <w:bookmarkStart w:id="54" w:name="_Toc18917"/>
            <w:r>
              <w:rPr>
                <w:rFonts w:hint="default"/>
              </w:rPr>
              <w:t>总结论</w:t>
            </w:r>
            <w:bookmarkEnd w:id="51"/>
            <w:bookmarkEnd w:id="52"/>
            <w:bookmarkEnd w:id="53"/>
            <w:bookmarkEnd w:id="54"/>
          </w:p>
          <w:p w14:paraId="6097846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本项目属</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C2929塑料零件制造、C3360金属表面处理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类，不在《产业结构调整指导目录（2024年本）》限制</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禁止范围，已取得闽发改备〔2026〕A060034号备案，符合国家产业政策；选址福清融侨经济技术开发区，契合园区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3+1</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产业体系与规划布局，属主导配套产业，不涉及禁止工艺，符合园区规划及《福清融侨经济技术开发区总体规划环评》及其审查意见（环审〔2020〕80号）要求；项目位于重点管控单元，不涉生态保护红线，落实VOCs倍量替代，污染物达标排放，资源利用高效，环境风险可控，满足省、市生态环境分区管控各项要求。</w:t>
            </w:r>
          </w:p>
          <w:p w14:paraId="330604A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通过对本项目的环境影响分析评价，项目运营过程中废水、废气、噪声、固废等污染物，对周围大气环境、水环境、声环境、土壤环境等造成一定不利影响，经采取综合性、积极有效的防治措施并确保污染物达标排放后，可避免或减少这些不利影响，影响均在环境可接受的范围内。</w:t>
            </w:r>
          </w:p>
          <w:p w14:paraId="64A7D6B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eastAsia="zh-CN"/>
              </w:rPr>
              <w:t>综上所述，在认真执行建设项目</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三同时</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制度，切实落实各项规划方案的要求，完成本次环境影响评价提出的各项污染防治措施，严格落实各项环保措施和环境管理机构的要求的前提下，确保各污染物达标排放，对周围的环境影响较小。从环境保护角度分析，该项目的建设是可行的</w:t>
            </w:r>
            <w:r>
              <w:rPr>
                <w:rFonts w:hint="default" w:ascii="Times New Roman" w:hAnsi="Times New Roman" w:eastAsia="宋体" w:cs="Times New Roman"/>
                <w:color w:val="auto"/>
                <w:sz w:val="24"/>
                <w:highlight w:val="none"/>
              </w:rPr>
              <w:t>。</w:t>
            </w:r>
          </w:p>
          <w:p w14:paraId="1B6055BB">
            <w:pPr>
              <w:pStyle w:val="3"/>
              <w:keepNext w:val="0"/>
              <w:keepLines w:val="0"/>
              <w:suppressLineNumbers w:val="0"/>
              <w:bidi w:val="0"/>
              <w:spacing w:before="0" w:beforeAutospacing="0" w:after="0" w:afterAutospacing="0"/>
              <w:ind w:left="0" w:right="0"/>
              <w:rPr>
                <w:rFonts w:hint="default"/>
                <w:lang w:val="en-US" w:eastAsia="zh-CN"/>
              </w:rPr>
            </w:pPr>
            <w:bookmarkStart w:id="55" w:name="_Toc11017"/>
            <w:bookmarkStart w:id="56" w:name="_Toc29401"/>
            <w:bookmarkStart w:id="57" w:name="_Toc29899"/>
            <w:bookmarkStart w:id="58" w:name="_Toc29585"/>
            <w:r>
              <w:rPr>
                <w:rFonts w:hint="default"/>
                <w:lang w:val="en-US" w:eastAsia="zh-CN"/>
              </w:rPr>
              <w:t>建议</w:t>
            </w:r>
            <w:bookmarkEnd w:id="55"/>
            <w:bookmarkEnd w:id="56"/>
            <w:bookmarkEnd w:id="57"/>
            <w:bookmarkEnd w:id="58"/>
          </w:p>
          <w:p w14:paraId="72DC1C6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加强管理，保证生产设备正常运行，防止设备带故障使用，防止异常噪声的产生。</w:t>
            </w:r>
          </w:p>
          <w:p w14:paraId="0FD6FB0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由厂内技术管理人员兼职环保工作负责环保设施的运行、检查、维护等工作。</w:t>
            </w:r>
          </w:p>
          <w:p w14:paraId="3EBF85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加强职工的环保、安全教育，提高环保意识和安全生产意识。</w:t>
            </w:r>
          </w:p>
          <w:p w14:paraId="51091C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遵守国家关于环保治理措施管理的规定，定期提交设施运行及监测报告，接受环保管理部门的监督。</w:t>
            </w:r>
          </w:p>
          <w:p w14:paraId="52A31D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加强环保工作的管理，要认真落实环保</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三同时</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制度。</w:t>
            </w:r>
          </w:p>
          <w:p w14:paraId="0FA245FC">
            <w:pPr>
              <w:keepNext w:val="0"/>
              <w:keepLines w:val="0"/>
              <w:suppressLineNumbers w:val="0"/>
              <w:spacing w:before="0" w:beforeAutospacing="0" w:after="0" w:afterAutospacing="0" w:line="360" w:lineRule="auto"/>
              <w:ind w:left="0" w:right="0"/>
              <w:jc w:val="righ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编制单位（单位）：福州朴诚至信环保科技有限公司</w:t>
            </w:r>
          </w:p>
          <w:p w14:paraId="4380B81D">
            <w:pPr>
              <w:keepNext w:val="0"/>
              <w:keepLines w:val="0"/>
              <w:suppressLineNumbers w:val="0"/>
              <w:spacing w:before="0" w:beforeAutospacing="0" w:after="0" w:afterAutospacing="0" w:line="360" w:lineRule="auto"/>
              <w:ind w:left="0" w:right="0"/>
              <w:jc w:val="right"/>
              <w:rPr>
                <w:rFonts w:hint="eastAsia"/>
                <w:color w:val="auto"/>
              </w:rPr>
            </w:pPr>
            <w:r>
              <w:rPr>
                <w:rFonts w:hint="default" w:ascii="Times New Roman" w:hAnsi="Times New Roman" w:eastAsia="宋体" w:cs="Times New Roman"/>
                <w:color w:val="auto"/>
                <w:sz w:val="24"/>
                <w:szCs w:val="24"/>
              </w:rPr>
              <w:t>202</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月</w:t>
            </w:r>
          </w:p>
        </w:tc>
      </w:tr>
    </w:tbl>
    <w:p w14:paraId="0253CB83">
      <w:pPr>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43F8525">
      <w:pPr>
        <w:pStyle w:val="38"/>
        <w:bidi w:val="0"/>
        <w:jc w:val="center"/>
      </w:pPr>
      <w:bookmarkStart w:id="59" w:name="_Toc20102"/>
      <w:bookmarkStart w:id="60" w:name="_Toc29969"/>
      <w:bookmarkStart w:id="61" w:name="_Toc11185"/>
      <w:bookmarkStart w:id="62" w:name="_Toc8434"/>
      <w:r>
        <w:t>附表</w:t>
      </w:r>
      <w:bookmarkEnd w:id="59"/>
      <w:bookmarkEnd w:id="60"/>
      <w:bookmarkEnd w:id="61"/>
      <w:bookmarkEnd w:id="62"/>
      <w:r>
        <w:rPr>
          <w:rFonts w:hint="eastAsia"/>
          <w:lang w:val="en-US" w:eastAsia="zh-CN"/>
        </w:rPr>
        <w:t xml:space="preserve"> </w:t>
      </w:r>
      <w:r>
        <w:t>建设项目污染物排放量汇总表</w:t>
      </w:r>
    </w:p>
    <w:tbl>
      <w:tblPr>
        <w:tblStyle w:val="30"/>
        <w:tblW w:w="1378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2100"/>
        <w:gridCol w:w="1487"/>
        <w:gridCol w:w="1595"/>
        <w:gridCol w:w="1527"/>
        <w:gridCol w:w="1432"/>
        <w:gridCol w:w="1418"/>
        <w:gridCol w:w="1473"/>
        <w:gridCol w:w="1009"/>
      </w:tblGrid>
      <w:tr w14:paraId="2B08F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742" w:type="dxa"/>
            <w:tcBorders>
              <w:tl2br w:val="single" w:color="auto" w:sz="4" w:space="0"/>
            </w:tcBorders>
            <w:noWrap w:val="0"/>
            <w:tcMar>
              <w:left w:w="28" w:type="dxa"/>
              <w:right w:w="28" w:type="dxa"/>
            </w:tcMar>
            <w:vAlign w:val="center"/>
          </w:tcPr>
          <w:p w14:paraId="6BEB92D1">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项目</w:t>
            </w:r>
          </w:p>
          <w:p w14:paraId="5CA3652C">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分类</w:t>
            </w:r>
          </w:p>
        </w:tc>
        <w:tc>
          <w:tcPr>
            <w:tcW w:w="2100" w:type="dxa"/>
            <w:noWrap w:val="0"/>
            <w:tcMar>
              <w:left w:w="28" w:type="dxa"/>
              <w:right w:w="28" w:type="dxa"/>
            </w:tcMar>
            <w:vAlign w:val="center"/>
          </w:tcPr>
          <w:p w14:paraId="72356895">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污染物名称</w:t>
            </w:r>
          </w:p>
        </w:tc>
        <w:tc>
          <w:tcPr>
            <w:tcW w:w="1487" w:type="dxa"/>
            <w:noWrap w:val="0"/>
            <w:tcMar>
              <w:left w:w="28" w:type="dxa"/>
              <w:right w:w="28" w:type="dxa"/>
            </w:tcMar>
            <w:vAlign w:val="center"/>
          </w:tcPr>
          <w:p w14:paraId="56A00643">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现有工程</w:t>
            </w:r>
          </w:p>
          <w:p w14:paraId="338C3963">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排放量（固体废物产生量）</w:t>
            </w:r>
            <w:r>
              <w:rPr>
                <w:rFonts w:hint="default"/>
                <w:szCs w:val="22"/>
              </w:rPr>
              <w:fldChar w:fldCharType="begin"/>
            </w:r>
            <w:r>
              <w:rPr>
                <w:rFonts w:hint="default"/>
                <w:szCs w:val="22"/>
              </w:rPr>
              <w:instrText xml:space="preserve"> = 1 \* GB3 \* MERGEFORMAT </w:instrText>
            </w:r>
            <w:r>
              <w:rPr>
                <w:rFonts w:hint="default"/>
                <w:szCs w:val="22"/>
              </w:rPr>
              <w:fldChar w:fldCharType="separate"/>
            </w:r>
            <w:r>
              <w:rPr>
                <w:rFonts w:hint="default"/>
                <w:szCs w:val="22"/>
              </w:rPr>
              <w:t>①</w:t>
            </w:r>
            <w:r>
              <w:rPr>
                <w:rFonts w:hint="default"/>
                <w:szCs w:val="22"/>
              </w:rPr>
              <w:fldChar w:fldCharType="end"/>
            </w:r>
          </w:p>
        </w:tc>
        <w:tc>
          <w:tcPr>
            <w:tcW w:w="1595" w:type="dxa"/>
            <w:noWrap w:val="0"/>
            <w:tcMar>
              <w:left w:w="28" w:type="dxa"/>
              <w:right w:w="28" w:type="dxa"/>
            </w:tcMar>
            <w:vAlign w:val="center"/>
          </w:tcPr>
          <w:p w14:paraId="4DDD3C98">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现有工程</w:t>
            </w:r>
          </w:p>
          <w:p w14:paraId="286F60A4">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许可排放量</w:t>
            </w:r>
          </w:p>
          <w:p w14:paraId="1564ADCF">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fldChar w:fldCharType="begin"/>
            </w:r>
            <w:r>
              <w:rPr>
                <w:rFonts w:hint="default"/>
                <w:szCs w:val="22"/>
              </w:rPr>
              <w:instrText xml:space="preserve"> = 2 \* GB3 \* MERGEFORMAT </w:instrText>
            </w:r>
            <w:r>
              <w:rPr>
                <w:rFonts w:hint="default"/>
                <w:szCs w:val="22"/>
              </w:rPr>
              <w:fldChar w:fldCharType="separate"/>
            </w:r>
            <w:r>
              <w:rPr>
                <w:rFonts w:hint="default"/>
                <w:szCs w:val="22"/>
              </w:rPr>
              <w:t>②</w:t>
            </w:r>
            <w:r>
              <w:rPr>
                <w:rFonts w:hint="default"/>
                <w:szCs w:val="22"/>
              </w:rPr>
              <w:fldChar w:fldCharType="end"/>
            </w:r>
          </w:p>
        </w:tc>
        <w:tc>
          <w:tcPr>
            <w:tcW w:w="1527" w:type="dxa"/>
            <w:noWrap w:val="0"/>
            <w:tcMar>
              <w:left w:w="28" w:type="dxa"/>
              <w:right w:w="28" w:type="dxa"/>
            </w:tcMar>
            <w:vAlign w:val="center"/>
          </w:tcPr>
          <w:p w14:paraId="795F72F1">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在建工程</w:t>
            </w:r>
          </w:p>
          <w:p w14:paraId="01F7B450">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排放量（固体废物产生量）</w:t>
            </w:r>
            <w:r>
              <w:rPr>
                <w:rFonts w:hint="default"/>
                <w:szCs w:val="22"/>
              </w:rPr>
              <w:fldChar w:fldCharType="begin"/>
            </w:r>
            <w:r>
              <w:rPr>
                <w:rFonts w:hint="default"/>
                <w:szCs w:val="22"/>
              </w:rPr>
              <w:instrText xml:space="preserve"> = 3 \* GB3 \* MERGEFORMAT </w:instrText>
            </w:r>
            <w:r>
              <w:rPr>
                <w:rFonts w:hint="default"/>
                <w:szCs w:val="22"/>
              </w:rPr>
              <w:fldChar w:fldCharType="separate"/>
            </w:r>
            <w:r>
              <w:rPr>
                <w:rFonts w:hint="default"/>
                <w:szCs w:val="22"/>
              </w:rPr>
              <w:t>③</w:t>
            </w:r>
            <w:r>
              <w:rPr>
                <w:rFonts w:hint="default"/>
                <w:szCs w:val="22"/>
              </w:rPr>
              <w:fldChar w:fldCharType="end"/>
            </w:r>
          </w:p>
        </w:tc>
        <w:tc>
          <w:tcPr>
            <w:tcW w:w="1432" w:type="dxa"/>
            <w:noWrap w:val="0"/>
            <w:tcMar>
              <w:left w:w="28" w:type="dxa"/>
              <w:right w:w="28" w:type="dxa"/>
            </w:tcMar>
            <w:vAlign w:val="center"/>
          </w:tcPr>
          <w:p w14:paraId="126FD6A0">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本项目</w:t>
            </w:r>
          </w:p>
          <w:p w14:paraId="2D270896">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排放量（固体废物产生量）</w:t>
            </w:r>
            <w:r>
              <w:rPr>
                <w:rFonts w:hint="default"/>
                <w:szCs w:val="22"/>
              </w:rPr>
              <w:fldChar w:fldCharType="begin"/>
            </w:r>
            <w:r>
              <w:rPr>
                <w:rFonts w:hint="default"/>
                <w:szCs w:val="22"/>
              </w:rPr>
              <w:instrText xml:space="preserve"> = 4 \* GB3 \* MERGEFORMAT </w:instrText>
            </w:r>
            <w:r>
              <w:rPr>
                <w:rFonts w:hint="default"/>
                <w:szCs w:val="22"/>
              </w:rPr>
              <w:fldChar w:fldCharType="separate"/>
            </w:r>
            <w:r>
              <w:rPr>
                <w:rFonts w:hint="default"/>
                <w:szCs w:val="22"/>
              </w:rPr>
              <w:t>④</w:t>
            </w:r>
            <w:r>
              <w:rPr>
                <w:rFonts w:hint="default"/>
                <w:szCs w:val="22"/>
              </w:rPr>
              <w:fldChar w:fldCharType="end"/>
            </w:r>
          </w:p>
        </w:tc>
        <w:tc>
          <w:tcPr>
            <w:tcW w:w="1418" w:type="dxa"/>
            <w:noWrap w:val="0"/>
            <w:tcMar>
              <w:left w:w="28" w:type="dxa"/>
              <w:right w:w="28" w:type="dxa"/>
            </w:tcMar>
            <w:vAlign w:val="center"/>
          </w:tcPr>
          <w:p w14:paraId="53F9E3E7">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以新带老削减量</w:t>
            </w:r>
          </w:p>
          <w:p w14:paraId="222BBF6A">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（新建项目不填）</w:t>
            </w:r>
            <w:r>
              <w:rPr>
                <w:rFonts w:hint="default"/>
                <w:szCs w:val="22"/>
              </w:rPr>
              <w:fldChar w:fldCharType="begin"/>
            </w:r>
            <w:r>
              <w:rPr>
                <w:rFonts w:hint="default"/>
                <w:szCs w:val="22"/>
              </w:rPr>
              <w:instrText xml:space="preserve"> = 5 \* GB3 \* MERGEFORMAT </w:instrText>
            </w:r>
            <w:r>
              <w:rPr>
                <w:rFonts w:hint="default"/>
                <w:szCs w:val="22"/>
              </w:rPr>
              <w:fldChar w:fldCharType="separate"/>
            </w:r>
            <w:r>
              <w:rPr>
                <w:rFonts w:hint="default"/>
                <w:szCs w:val="22"/>
              </w:rPr>
              <w:t>⑤</w:t>
            </w:r>
            <w:r>
              <w:rPr>
                <w:rFonts w:hint="default"/>
                <w:szCs w:val="22"/>
              </w:rPr>
              <w:fldChar w:fldCharType="end"/>
            </w:r>
          </w:p>
        </w:tc>
        <w:tc>
          <w:tcPr>
            <w:tcW w:w="1473" w:type="dxa"/>
            <w:noWrap w:val="0"/>
            <w:tcMar>
              <w:left w:w="28" w:type="dxa"/>
              <w:right w:w="28" w:type="dxa"/>
            </w:tcMar>
            <w:vAlign w:val="center"/>
          </w:tcPr>
          <w:p w14:paraId="5BE3B013">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本项目建成后</w:t>
            </w:r>
          </w:p>
          <w:p w14:paraId="5B007F1A">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全厂排放量（固体废物产生量）</w:t>
            </w:r>
            <w:r>
              <w:rPr>
                <w:rFonts w:hint="default"/>
                <w:szCs w:val="22"/>
              </w:rPr>
              <w:fldChar w:fldCharType="begin"/>
            </w:r>
            <w:r>
              <w:rPr>
                <w:rFonts w:hint="default"/>
                <w:szCs w:val="22"/>
              </w:rPr>
              <w:instrText xml:space="preserve"> = 6 \* GB3 \* MERGEFORMAT </w:instrText>
            </w:r>
            <w:r>
              <w:rPr>
                <w:rFonts w:hint="default"/>
                <w:szCs w:val="22"/>
              </w:rPr>
              <w:fldChar w:fldCharType="separate"/>
            </w:r>
            <w:r>
              <w:rPr>
                <w:rFonts w:hint="default"/>
                <w:szCs w:val="22"/>
              </w:rPr>
              <w:t>⑥</w:t>
            </w:r>
            <w:r>
              <w:rPr>
                <w:rFonts w:hint="default"/>
                <w:szCs w:val="22"/>
              </w:rPr>
              <w:fldChar w:fldCharType="end"/>
            </w:r>
          </w:p>
        </w:tc>
        <w:tc>
          <w:tcPr>
            <w:tcW w:w="1009" w:type="dxa"/>
            <w:noWrap w:val="0"/>
            <w:tcMar>
              <w:left w:w="28" w:type="dxa"/>
              <w:right w:w="28" w:type="dxa"/>
            </w:tcMar>
            <w:vAlign w:val="center"/>
          </w:tcPr>
          <w:p w14:paraId="208DCB54">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t>变化量</w:t>
            </w:r>
          </w:p>
          <w:p w14:paraId="0BDE353E">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rPr>
              <w:fldChar w:fldCharType="begin"/>
            </w:r>
            <w:r>
              <w:rPr>
                <w:rFonts w:hint="default"/>
                <w:szCs w:val="22"/>
              </w:rPr>
              <w:instrText xml:space="preserve"> = 7 \* GB3 \* MERGEFORMAT </w:instrText>
            </w:r>
            <w:r>
              <w:rPr>
                <w:rFonts w:hint="default"/>
                <w:szCs w:val="22"/>
              </w:rPr>
              <w:fldChar w:fldCharType="separate"/>
            </w:r>
            <w:r>
              <w:rPr>
                <w:rFonts w:hint="default"/>
                <w:szCs w:val="22"/>
              </w:rPr>
              <w:t>⑦</w:t>
            </w:r>
            <w:r>
              <w:rPr>
                <w:rFonts w:hint="default"/>
                <w:szCs w:val="22"/>
              </w:rPr>
              <w:fldChar w:fldCharType="end"/>
            </w:r>
          </w:p>
        </w:tc>
      </w:tr>
      <w:tr w14:paraId="309327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42" w:type="dxa"/>
            <w:vMerge w:val="restart"/>
            <w:noWrap w:val="0"/>
            <w:vAlign w:val="center"/>
          </w:tcPr>
          <w:p w14:paraId="31D5AFD5">
            <w:pPr>
              <w:pStyle w:val="39"/>
              <w:keepNext w:val="0"/>
              <w:keepLines w:val="0"/>
              <w:widowControl/>
              <w:suppressLineNumbers w:val="0"/>
              <w:bidi w:val="0"/>
              <w:spacing w:before="0" w:beforeAutospacing="0" w:after="0" w:afterAutospacing="0"/>
              <w:ind w:left="0" w:right="0"/>
              <w:rPr>
                <w:rFonts w:hint="default"/>
                <w:szCs w:val="22"/>
                <w:lang w:eastAsia="zh-CN"/>
              </w:rPr>
            </w:pPr>
            <w:r>
              <w:rPr>
                <w:rFonts w:hint="eastAsia"/>
                <w:szCs w:val="22"/>
                <w:lang w:val="en-US" w:eastAsia="zh-CN"/>
              </w:rPr>
              <w:t>废气</w:t>
            </w:r>
          </w:p>
        </w:tc>
        <w:tc>
          <w:tcPr>
            <w:tcW w:w="2100" w:type="dxa"/>
            <w:noWrap w:val="0"/>
            <w:vAlign w:val="center"/>
          </w:tcPr>
          <w:p w14:paraId="1705DEAE">
            <w:pPr>
              <w:pStyle w:val="39"/>
              <w:keepNext w:val="0"/>
              <w:keepLines w:val="0"/>
              <w:widowControl/>
              <w:suppressLineNumbers w:val="0"/>
              <w:bidi w:val="0"/>
              <w:spacing w:before="0" w:beforeAutospacing="0" w:after="0" w:afterAutospacing="0"/>
              <w:ind w:left="0" w:right="0"/>
              <w:rPr>
                <w:rFonts w:hint="default"/>
                <w:szCs w:val="22"/>
                <w:lang w:eastAsia="zh-CN"/>
              </w:rPr>
            </w:pPr>
            <w:r>
              <w:rPr>
                <w:rFonts w:hint="eastAsia"/>
                <w:szCs w:val="22"/>
                <w:lang w:val="en-US" w:eastAsia="zh-CN"/>
              </w:rPr>
              <w:t>非甲烷总烃</w:t>
            </w:r>
          </w:p>
        </w:tc>
        <w:tc>
          <w:tcPr>
            <w:tcW w:w="1487" w:type="dxa"/>
            <w:noWrap w:val="0"/>
            <w:vAlign w:val="center"/>
          </w:tcPr>
          <w:p w14:paraId="4D7981EC">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95" w:type="dxa"/>
            <w:noWrap w:val="0"/>
            <w:vAlign w:val="center"/>
          </w:tcPr>
          <w:p w14:paraId="454A4438">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527" w:type="dxa"/>
            <w:noWrap w:val="0"/>
            <w:vAlign w:val="center"/>
          </w:tcPr>
          <w:p w14:paraId="216DF1C3">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432" w:type="dxa"/>
            <w:noWrap w:val="0"/>
            <w:vAlign w:val="center"/>
          </w:tcPr>
          <w:p w14:paraId="0A13CF3E">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0.4606</w:t>
            </w:r>
          </w:p>
        </w:tc>
        <w:tc>
          <w:tcPr>
            <w:tcW w:w="1418" w:type="dxa"/>
            <w:noWrap w:val="0"/>
            <w:vAlign w:val="center"/>
          </w:tcPr>
          <w:p w14:paraId="599C0562">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38CB28AB">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0.4606</w:t>
            </w:r>
          </w:p>
        </w:tc>
        <w:tc>
          <w:tcPr>
            <w:tcW w:w="1009" w:type="dxa"/>
            <w:noWrap w:val="0"/>
            <w:vAlign w:val="center"/>
          </w:tcPr>
          <w:p w14:paraId="44F28449">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0.4606</w:t>
            </w:r>
          </w:p>
        </w:tc>
      </w:tr>
      <w:tr w14:paraId="37ACE8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42" w:type="dxa"/>
            <w:vMerge w:val="continue"/>
            <w:noWrap w:val="0"/>
            <w:vAlign w:val="center"/>
          </w:tcPr>
          <w:p w14:paraId="7DB5109D">
            <w:pPr>
              <w:pStyle w:val="39"/>
              <w:keepNext w:val="0"/>
              <w:keepLines w:val="0"/>
              <w:widowControl/>
              <w:suppressLineNumbers w:val="0"/>
              <w:bidi w:val="0"/>
              <w:spacing w:before="0" w:beforeAutospacing="0" w:after="0" w:afterAutospacing="0"/>
              <w:ind w:left="0" w:right="0"/>
              <w:rPr>
                <w:rFonts w:hint="default"/>
                <w:szCs w:val="22"/>
              </w:rPr>
            </w:pPr>
          </w:p>
        </w:tc>
        <w:tc>
          <w:tcPr>
            <w:tcW w:w="2100" w:type="dxa"/>
            <w:noWrap w:val="0"/>
            <w:vAlign w:val="center"/>
          </w:tcPr>
          <w:p w14:paraId="19E253DB">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颗粒物</w:t>
            </w:r>
          </w:p>
        </w:tc>
        <w:tc>
          <w:tcPr>
            <w:tcW w:w="1487" w:type="dxa"/>
            <w:noWrap w:val="0"/>
            <w:vAlign w:val="center"/>
          </w:tcPr>
          <w:p w14:paraId="1CDC9EF4">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95" w:type="dxa"/>
            <w:noWrap w:val="0"/>
            <w:vAlign w:val="center"/>
          </w:tcPr>
          <w:p w14:paraId="01F6CE28">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27" w:type="dxa"/>
            <w:noWrap w:val="0"/>
            <w:vAlign w:val="center"/>
          </w:tcPr>
          <w:p w14:paraId="18D78C2F">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32" w:type="dxa"/>
            <w:noWrap w:val="0"/>
            <w:vAlign w:val="center"/>
          </w:tcPr>
          <w:p w14:paraId="7F3C56A8">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0.2739</w:t>
            </w:r>
          </w:p>
        </w:tc>
        <w:tc>
          <w:tcPr>
            <w:tcW w:w="1418" w:type="dxa"/>
            <w:noWrap w:val="0"/>
            <w:vAlign w:val="center"/>
          </w:tcPr>
          <w:p w14:paraId="61675CCA">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4376B799">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0.2739</w:t>
            </w:r>
          </w:p>
        </w:tc>
        <w:tc>
          <w:tcPr>
            <w:tcW w:w="1009" w:type="dxa"/>
            <w:noWrap w:val="0"/>
            <w:vAlign w:val="center"/>
          </w:tcPr>
          <w:p w14:paraId="2574E548">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0.2739</w:t>
            </w:r>
          </w:p>
        </w:tc>
      </w:tr>
      <w:tr w14:paraId="2B8B8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742" w:type="dxa"/>
            <w:vMerge w:val="restart"/>
            <w:noWrap w:val="0"/>
            <w:vAlign w:val="center"/>
          </w:tcPr>
          <w:p w14:paraId="30F6D1F6">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废水</w:t>
            </w:r>
          </w:p>
        </w:tc>
        <w:tc>
          <w:tcPr>
            <w:tcW w:w="2100" w:type="dxa"/>
            <w:noWrap w:val="0"/>
            <w:vAlign w:val="center"/>
          </w:tcPr>
          <w:p w14:paraId="424523A8">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废水量</w:t>
            </w:r>
          </w:p>
        </w:tc>
        <w:tc>
          <w:tcPr>
            <w:tcW w:w="1487" w:type="dxa"/>
            <w:noWrap w:val="0"/>
            <w:vAlign w:val="center"/>
          </w:tcPr>
          <w:p w14:paraId="775B2501">
            <w:pPr>
              <w:pStyle w:val="39"/>
              <w:keepNext w:val="0"/>
              <w:keepLines w:val="0"/>
              <w:widowControl/>
              <w:suppressLineNumbers w:val="0"/>
              <w:bidi w:val="0"/>
              <w:spacing w:before="0" w:beforeAutospacing="0" w:after="0" w:afterAutospacing="0"/>
              <w:ind w:left="0" w:right="0"/>
              <w:rPr>
                <w:rFonts w:hint="default"/>
                <w:szCs w:val="22"/>
                <w:lang w:val="en-US"/>
              </w:rPr>
            </w:pPr>
            <w:r>
              <w:rPr>
                <w:rFonts w:hint="default"/>
                <w:szCs w:val="22"/>
                <w:lang w:val="en-US" w:eastAsia="zh-CN"/>
              </w:rPr>
              <w:t>/</w:t>
            </w:r>
          </w:p>
        </w:tc>
        <w:tc>
          <w:tcPr>
            <w:tcW w:w="1595" w:type="dxa"/>
            <w:noWrap w:val="0"/>
            <w:vAlign w:val="center"/>
          </w:tcPr>
          <w:p w14:paraId="15DB2E06">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527" w:type="dxa"/>
            <w:noWrap w:val="0"/>
            <w:vAlign w:val="center"/>
          </w:tcPr>
          <w:p w14:paraId="0E8C0D91">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432" w:type="dxa"/>
            <w:noWrap w:val="0"/>
            <w:vAlign w:val="center"/>
          </w:tcPr>
          <w:p w14:paraId="002D5046">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156</w:t>
            </w:r>
          </w:p>
        </w:tc>
        <w:tc>
          <w:tcPr>
            <w:tcW w:w="1418" w:type="dxa"/>
            <w:noWrap w:val="0"/>
            <w:vAlign w:val="center"/>
          </w:tcPr>
          <w:p w14:paraId="05504582">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7C9F801C">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156</w:t>
            </w:r>
          </w:p>
        </w:tc>
        <w:tc>
          <w:tcPr>
            <w:tcW w:w="1009" w:type="dxa"/>
            <w:noWrap w:val="0"/>
            <w:vAlign w:val="center"/>
          </w:tcPr>
          <w:p w14:paraId="361178E7">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156</w:t>
            </w:r>
          </w:p>
        </w:tc>
      </w:tr>
      <w:tr w14:paraId="3EB07D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742" w:type="dxa"/>
            <w:vMerge w:val="continue"/>
            <w:noWrap w:val="0"/>
            <w:vAlign w:val="center"/>
          </w:tcPr>
          <w:p w14:paraId="3EBAEF30">
            <w:pPr>
              <w:pStyle w:val="39"/>
              <w:keepNext w:val="0"/>
              <w:keepLines w:val="0"/>
              <w:widowControl/>
              <w:suppressLineNumbers w:val="0"/>
              <w:bidi w:val="0"/>
              <w:spacing w:before="0" w:beforeAutospacing="0" w:after="0" w:afterAutospacing="0"/>
              <w:ind w:left="0" w:right="0"/>
              <w:rPr>
                <w:rFonts w:hint="default"/>
                <w:szCs w:val="22"/>
                <w:lang w:val="en-US" w:eastAsia="zh-CN"/>
              </w:rPr>
            </w:pPr>
          </w:p>
        </w:tc>
        <w:tc>
          <w:tcPr>
            <w:tcW w:w="2100" w:type="dxa"/>
            <w:noWrap w:val="0"/>
            <w:vAlign w:val="center"/>
          </w:tcPr>
          <w:p w14:paraId="11F82E3B">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COD</w:t>
            </w:r>
          </w:p>
        </w:tc>
        <w:tc>
          <w:tcPr>
            <w:tcW w:w="1487" w:type="dxa"/>
            <w:noWrap w:val="0"/>
            <w:vAlign w:val="center"/>
          </w:tcPr>
          <w:p w14:paraId="0A78E9DE">
            <w:pPr>
              <w:pStyle w:val="39"/>
              <w:keepNext w:val="0"/>
              <w:keepLines w:val="0"/>
              <w:widowControl/>
              <w:suppressLineNumbers w:val="0"/>
              <w:bidi w:val="0"/>
              <w:spacing w:before="0" w:beforeAutospacing="0" w:after="0" w:afterAutospacing="0"/>
              <w:ind w:left="0" w:right="0"/>
              <w:rPr>
                <w:rFonts w:hint="default"/>
                <w:szCs w:val="22"/>
                <w:lang w:val="en-US"/>
              </w:rPr>
            </w:pPr>
            <w:r>
              <w:rPr>
                <w:rFonts w:hint="default"/>
                <w:szCs w:val="22"/>
                <w:lang w:val="en-US" w:eastAsia="zh-CN"/>
              </w:rPr>
              <w:t>/</w:t>
            </w:r>
          </w:p>
        </w:tc>
        <w:tc>
          <w:tcPr>
            <w:tcW w:w="1595" w:type="dxa"/>
            <w:noWrap w:val="0"/>
            <w:vAlign w:val="center"/>
          </w:tcPr>
          <w:p w14:paraId="2D1F20F0">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527" w:type="dxa"/>
            <w:noWrap w:val="0"/>
            <w:vAlign w:val="center"/>
          </w:tcPr>
          <w:p w14:paraId="58AD8417">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432" w:type="dxa"/>
            <w:noWrap w:val="0"/>
            <w:vAlign w:val="center"/>
          </w:tcPr>
          <w:p w14:paraId="419ADF7C">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0.0497</w:t>
            </w:r>
          </w:p>
        </w:tc>
        <w:tc>
          <w:tcPr>
            <w:tcW w:w="1418" w:type="dxa"/>
            <w:noWrap w:val="0"/>
            <w:vAlign w:val="center"/>
          </w:tcPr>
          <w:p w14:paraId="565AFA30">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0EC35C3D">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0.0497</w:t>
            </w:r>
          </w:p>
        </w:tc>
        <w:tc>
          <w:tcPr>
            <w:tcW w:w="1009" w:type="dxa"/>
            <w:noWrap w:val="0"/>
            <w:vAlign w:val="center"/>
          </w:tcPr>
          <w:p w14:paraId="07202E4A">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0.0497</w:t>
            </w:r>
          </w:p>
        </w:tc>
      </w:tr>
      <w:tr w14:paraId="71A86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742" w:type="dxa"/>
            <w:vMerge w:val="continue"/>
            <w:noWrap w:val="0"/>
            <w:vAlign w:val="center"/>
          </w:tcPr>
          <w:p w14:paraId="1177E0B9">
            <w:pPr>
              <w:pStyle w:val="39"/>
              <w:keepNext w:val="0"/>
              <w:keepLines w:val="0"/>
              <w:widowControl/>
              <w:suppressLineNumbers w:val="0"/>
              <w:bidi w:val="0"/>
              <w:spacing w:before="0" w:beforeAutospacing="0" w:after="0" w:afterAutospacing="0"/>
              <w:ind w:left="0" w:right="0"/>
              <w:rPr>
                <w:rFonts w:hint="default"/>
                <w:szCs w:val="22"/>
                <w:lang w:val="en-US" w:eastAsia="zh-CN"/>
              </w:rPr>
            </w:pPr>
          </w:p>
        </w:tc>
        <w:tc>
          <w:tcPr>
            <w:tcW w:w="2100" w:type="dxa"/>
            <w:noWrap w:val="0"/>
            <w:vAlign w:val="center"/>
          </w:tcPr>
          <w:p w14:paraId="110D619B">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BOD</w:t>
            </w:r>
            <w:r>
              <w:rPr>
                <w:rFonts w:hint="eastAsia"/>
                <w:szCs w:val="22"/>
                <w:vertAlign w:val="subscript"/>
                <w:lang w:val="en-US" w:eastAsia="zh-CN"/>
              </w:rPr>
              <w:t>5</w:t>
            </w:r>
          </w:p>
        </w:tc>
        <w:tc>
          <w:tcPr>
            <w:tcW w:w="1487" w:type="dxa"/>
            <w:noWrap w:val="0"/>
            <w:vAlign w:val="center"/>
          </w:tcPr>
          <w:p w14:paraId="0642C67F">
            <w:pPr>
              <w:pStyle w:val="39"/>
              <w:keepNext w:val="0"/>
              <w:keepLines w:val="0"/>
              <w:widowControl/>
              <w:suppressLineNumbers w:val="0"/>
              <w:bidi w:val="0"/>
              <w:spacing w:before="0" w:beforeAutospacing="0" w:after="0" w:afterAutospacing="0"/>
              <w:ind w:left="0" w:right="0"/>
              <w:rPr>
                <w:rFonts w:hint="default"/>
                <w:szCs w:val="22"/>
                <w:lang w:val="en-US"/>
              </w:rPr>
            </w:pPr>
            <w:r>
              <w:rPr>
                <w:rFonts w:hint="default"/>
                <w:szCs w:val="22"/>
                <w:lang w:val="en-US" w:eastAsia="zh-CN"/>
              </w:rPr>
              <w:t>/</w:t>
            </w:r>
          </w:p>
        </w:tc>
        <w:tc>
          <w:tcPr>
            <w:tcW w:w="1595" w:type="dxa"/>
            <w:noWrap w:val="0"/>
            <w:vAlign w:val="center"/>
          </w:tcPr>
          <w:p w14:paraId="6FD24FF1">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527" w:type="dxa"/>
            <w:noWrap w:val="0"/>
            <w:vAlign w:val="center"/>
          </w:tcPr>
          <w:p w14:paraId="31F945CA">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432" w:type="dxa"/>
            <w:noWrap w:val="0"/>
            <w:vAlign w:val="center"/>
          </w:tcPr>
          <w:p w14:paraId="59328750">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0.0271</w:t>
            </w:r>
          </w:p>
        </w:tc>
        <w:tc>
          <w:tcPr>
            <w:tcW w:w="1418" w:type="dxa"/>
            <w:noWrap w:val="0"/>
            <w:vAlign w:val="center"/>
          </w:tcPr>
          <w:p w14:paraId="49B2E58B">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185CD42E">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0.0271</w:t>
            </w:r>
          </w:p>
        </w:tc>
        <w:tc>
          <w:tcPr>
            <w:tcW w:w="1009" w:type="dxa"/>
            <w:noWrap w:val="0"/>
            <w:vAlign w:val="center"/>
          </w:tcPr>
          <w:p w14:paraId="5A5BFF11">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0.0271</w:t>
            </w:r>
          </w:p>
        </w:tc>
      </w:tr>
      <w:tr w14:paraId="638EAC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742" w:type="dxa"/>
            <w:vMerge w:val="continue"/>
            <w:noWrap w:val="0"/>
            <w:vAlign w:val="center"/>
          </w:tcPr>
          <w:p w14:paraId="3697859C">
            <w:pPr>
              <w:pStyle w:val="39"/>
              <w:keepNext w:val="0"/>
              <w:keepLines w:val="0"/>
              <w:widowControl/>
              <w:suppressLineNumbers w:val="0"/>
              <w:bidi w:val="0"/>
              <w:spacing w:before="0" w:beforeAutospacing="0" w:after="0" w:afterAutospacing="0"/>
              <w:ind w:left="0" w:right="0"/>
              <w:rPr>
                <w:rFonts w:hint="default"/>
                <w:szCs w:val="22"/>
                <w:lang w:val="en-US" w:eastAsia="zh-CN"/>
              </w:rPr>
            </w:pPr>
          </w:p>
        </w:tc>
        <w:tc>
          <w:tcPr>
            <w:tcW w:w="2100" w:type="dxa"/>
            <w:noWrap w:val="0"/>
            <w:vAlign w:val="center"/>
          </w:tcPr>
          <w:p w14:paraId="125B7D4B">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SS</w:t>
            </w:r>
          </w:p>
        </w:tc>
        <w:tc>
          <w:tcPr>
            <w:tcW w:w="1487" w:type="dxa"/>
            <w:noWrap w:val="0"/>
            <w:vAlign w:val="center"/>
          </w:tcPr>
          <w:p w14:paraId="61128803">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95" w:type="dxa"/>
            <w:noWrap w:val="0"/>
            <w:vAlign w:val="center"/>
          </w:tcPr>
          <w:p w14:paraId="052DDF18">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527" w:type="dxa"/>
            <w:noWrap w:val="0"/>
            <w:vAlign w:val="center"/>
          </w:tcPr>
          <w:p w14:paraId="629AB02D">
            <w:pPr>
              <w:pStyle w:val="39"/>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432" w:type="dxa"/>
            <w:noWrap w:val="0"/>
            <w:vAlign w:val="center"/>
          </w:tcPr>
          <w:p w14:paraId="5BF993D7">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0.0165</w:t>
            </w:r>
          </w:p>
        </w:tc>
        <w:tc>
          <w:tcPr>
            <w:tcW w:w="1418" w:type="dxa"/>
            <w:noWrap w:val="0"/>
            <w:vAlign w:val="center"/>
          </w:tcPr>
          <w:p w14:paraId="37F56396">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4C6B0AE1">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0.0165</w:t>
            </w:r>
          </w:p>
        </w:tc>
        <w:tc>
          <w:tcPr>
            <w:tcW w:w="1009" w:type="dxa"/>
            <w:noWrap w:val="0"/>
            <w:vAlign w:val="center"/>
          </w:tcPr>
          <w:p w14:paraId="449825EB">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0.0165</w:t>
            </w:r>
          </w:p>
        </w:tc>
      </w:tr>
      <w:tr w14:paraId="41F32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742" w:type="dxa"/>
            <w:vMerge w:val="continue"/>
            <w:noWrap w:val="0"/>
            <w:vAlign w:val="center"/>
          </w:tcPr>
          <w:p w14:paraId="3842008D">
            <w:pPr>
              <w:pStyle w:val="39"/>
              <w:keepNext w:val="0"/>
              <w:keepLines w:val="0"/>
              <w:widowControl/>
              <w:suppressLineNumbers w:val="0"/>
              <w:bidi w:val="0"/>
              <w:spacing w:before="0" w:beforeAutospacing="0" w:after="0" w:afterAutospacing="0"/>
              <w:ind w:left="0" w:right="0"/>
              <w:rPr>
                <w:rFonts w:hint="default"/>
                <w:szCs w:val="22"/>
                <w:lang w:val="en-GB" w:eastAsia="zh-CN"/>
              </w:rPr>
            </w:pPr>
          </w:p>
        </w:tc>
        <w:tc>
          <w:tcPr>
            <w:tcW w:w="2100" w:type="dxa"/>
            <w:noWrap w:val="0"/>
            <w:vAlign w:val="center"/>
          </w:tcPr>
          <w:p w14:paraId="7454BD5C">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NH</w:t>
            </w:r>
            <w:r>
              <w:rPr>
                <w:rFonts w:hint="eastAsia"/>
                <w:szCs w:val="22"/>
                <w:vertAlign w:val="subscript"/>
                <w:lang w:val="en-US" w:eastAsia="zh-CN"/>
              </w:rPr>
              <w:t>3</w:t>
            </w:r>
            <w:r>
              <w:rPr>
                <w:rFonts w:hint="default"/>
                <w:szCs w:val="22"/>
                <w:lang w:val="en-US" w:eastAsia="zh-CN"/>
              </w:rPr>
              <w:t>-N</w:t>
            </w:r>
          </w:p>
        </w:tc>
        <w:tc>
          <w:tcPr>
            <w:tcW w:w="1487" w:type="dxa"/>
            <w:noWrap w:val="0"/>
            <w:vAlign w:val="center"/>
          </w:tcPr>
          <w:p w14:paraId="78C9790D">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95" w:type="dxa"/>
            <w:noWrap w:val="0"/>
            <w:vAlign w:val="center"/>
          </w:tcPr>
          <w:p w14:paraId="426C5E6C">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27" w:type="dxa"/>
            <w:noWrap w:val="0"/>
            <w:vAlign w:val="center"/>
          </w:tcPr>
          <w:p w14:paraId="3CDBD1C3">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32" w:type="dxa"/>
            <w:noWrap w:val="0"/>
            <w:vAlign w:val="center"/>
          </w:tcPr>
          <w:p w14:paraId="549F8D58">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0.0053</w:t>
            </w:r>
          </w:p>
        </w:tc>
        <w:tc>
          <w:tcPr>
            <w:tcW w:w="1418" w:type="dxa"/>
            <w:noWrap w:val="0"/>
            <w:vAlign w:val="center"/>
          </w:tcPr>
          <w:p w14:paraId="12B12528">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14972CC3">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0.0053</w:t>
            </w:r>
          </w:p>
        </w:tc>
        <w:tc>
          <w:tcPr>
            <w:tcW w:w="1009" w:type="dxa"/>
            <w:noWrap w:val="0"/>
            <w:vAlign w:val="center"/>
          </w:tcPr>
          <w:p w14:paraId="644A5894">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+0</w:t>
            </w:r>
            <w:r>
              <w:rPr>
                <w:rFonts w:hint="default"/>
                <w:szCs w:val="22"/>
                <w:lang w:val="en-US" w:eastAsia="zh-CN"/>
              </w:rPr>
              <w:t>.0053</w:t>
            </w:r>
          </w:p>
        </w:tc>
      </w:tr>
      <w:tr w14:paraId="257B3D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42" w:type="dxa"/>
            <w:noWrap w:val="0"/>
            <w:vAlign w:val="center"/>
          </w:tcPr>
          <w:p w14:paraId="07A5EDD4">
            <w:pPr>
              <w:pStyle w:val="39"/>
              <w:keepNext w:val="0"/>
              <w:keepLines w:val="0"/>
              <w:widowControl/>
              <w:suppressLineNumbers w:val="0"/>
              <w:bidi w:val="0"/>
              <w:spacing w:before="0" w:beforeAutospacing="0" w:after="0" w:afterAutospacing="0"/>
              <w:ind w:left="0" w:right="0"/>
              <w:rPr>
                <w:rFonts w:hint="default"/>
                <w:szCs w:val="22"/>
                <w:lang w:val="en-GB" w:eastAsia="zh-CN"/>
              </w:rPr>
            </w:pPr>
            <w:r>
              <w:rPr>
                <w:rFonts w:hint="eastAsia"/>
                <w:szCs w:val="22"/>
                <w:lang w:val="en-US" w:eastAsia="zh-CN"/>
              </w:rPr>
              <w:t>一般工业固体废物</w:t>
            </w:r>
          </w:p>
        </w:tc>
        <w:tc>
          <w:tcPr>
            <w:tcW w:w="2100" w:type="dxa"/>
            <w:noWrap w:val="0"/>
            <w:vAlign w:val="center"/>
          </w:tcPr>
          <w:p w14:paraId="4745B461">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不合格产品</w:t>
            </w:r>
          </w:p>
        </w:tc>
        <w:tc>
          <w:tcPr>
            <w:tcW w:w="1487" w:type="dxa"/>
            <w:noWrap w:val="0"/>
            <w:vAlign w:val="center"/>
          </w:tcPr>
          <w:p w14:paraId="648C9F15">
            <w:pPr>
              <w:pStyle w:val="39"/>
              <w:keepNext w:val="0"/>
              <w:keepLines w:val="0"/>
              <w:widowControl/>
              <w:suppressLineNumbers w:val="0"/>
              <w:bidi w:val="0"/>
              <w:spacing w:before="0" w:beforeAutospacing="0" w:after="0" w:afterAutospacing="0"/>
              <w:ind w:left="0" w:right="0"/>
              <w:rPr>
                <w:rFonts w:hint="default"/>
                <w:szCs w:val="22"/>
                <w:lang w:val="en-US"/>
              </w:rPr>
            </w:pPr>
            <w:r>
              <w:rPr>
                <w:rFonts w:hint="default"/>
                <w:szCs w:val="22"/>
                <w:lang w:val="en-US" w:eastAsia="zh-CN"/>
              </w:rPr>
              <w:t>/</w:t>
            </w:r>
          </w:p>
        </w:tc>
        <w:tc>
          <w:tcPr>
            <w:tcW w:w="1595" w:type="dxa"/>
            <w:noWrap w:val="0"/>
            <w:vAlign w:val="center"/>
          </w:tcPr>
          <w:p w14:paraId="4BDB3614">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27" w:type="dxa"/>
            <w:noWrap w:val="0"/>
            <w:vAlign w:val="center"/>
          </w:tcPr>
          <w:p w14:paraId="3050D391">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32" w:type="dxa"/>
            <w:noWrap w:val="0"/>
            <w:vAlign w:val="center"/>
          </w:tcPr>
          <w:p w14:paraId="4CCEF4CF">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1.854万套/年</w:t>
            </w:r>
          </w:p>
        </w:tc>
        <w:tc>
          <w:tcPr>
            <w:tcW w:w="1418" w:type="dxa"/>
            <w:noWrap w:val="0"/>
            <w:vAlign w:val="center"/>
          </w:tcPr>
          <w:p w14:paraId="4A8DE14A">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4A742156">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1.854万套/年</w:t>
            </w:r>
          </w:p>
        </w:tc>
        <w:tc>
          <w:tcPr>
            <w:tcW w:w="1009" w:type="dxa"/>
            <w:noWrap w:val="0"/>
            <w:vAlign w:val="center"/>
          </w:tcPr>
          <w:p w14:paraId="3390460F">
            <w:pPr>
              <w:pStyle w:val="39"/>
              <w:keepNext w:val="0"/>
              <w:keepLines w:val="0"/>
              <w:widowControl/>
              <w:suppressLineNumbers w:val="0"/>
              <w:bidi w:val="0"/>
              <w:spacing w:before="0" w:beforeAutospacing="0" w:after="0" w:afterAutospacing="0"/>
              <w:ind w:left="0" w:right="0"/>
              <w:rPr>
                <w:rFonts w:hint="default"/>
                <w:szCs w:val="22"/>
              </w:rPr>
            </w:pPr>
            <w:r>
              <w:rPr>
                <w:rFonts w:hint="eastAsia"/>
                <w:szCs w:val="22"/>
                <w:lang w:val="en-US" w:eastAsia="zh-CN"/>
              </w:rPr>
              <w:t>+0.954万套/年</w:t>
            </w:r>
          </w:p>
        </w:tc>
      </w:tr>
      <w:tr w14:paraId="5D2068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842" w:type="dxa"/>
            <w:gridSpan w:val="2"/>
            <w:noWrap w:val="0"/>
            <w:vAlign w:val="center"/>
          </w:tcPr>
          <w:p w14:paraId="608FD26B">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生活垃圾</w:t>
            </w:r>
          </w:p>
        </w:tc>
        <w:tc>
          <w:tcPr>
            <w:tcW w:w="1487" w:type="dxa"/>
            <w:noWrap w:val="0"/>
            <w:vAlign w:val="center"/>
          </w:tcPr>
          <w:p w14:paraId="0B03BC7A">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95" w:type="dxa"/>
            <w:noWrap w:val="0"/>
            <w:vAlign w:val="center"/>
          </w:tcPr>
          <w:p w14:paraId="3864A4DC">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27" w:type="dxa"/>
            <w:noWrap w:val="0"/>
            <w:vAlign w:val="center"/>
          </w:tcPr>
          <w:p w14:paraId="442787EB">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32" w:type="dxa"/>
            <w:noWrap w:val="0"/>
            <w:vAlign w:val="center"/>
          </w:tcPr>
          <w:p w14:paraId="34FA80C2">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1.95</w:t>
            </w:r>
          </w:p>
        </w:tc>
        <w:tc>
          <w:tcPr>
            <w:tcW w:w="1418" w:type="dxa"/>
            <w:noWrap w:val="0"/>
            <w:vAlign w:val="center"/>
          </w:tcPr>
          <w:p w14:paraId="51815384">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3325AEED">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1.95</w:t>
            </w:r>
          </w:p>
        </w:tc>
        <w:tc>
          <w:tcPr>
            <w:tcW w:w="1009" w:type="dxa"/>
            <w:noWrap w:val="0"/>
            <w:vAlign w:val="center"/>
          </w:tcPr>
          <w:p w14:paraId="768C6727">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1.95</w:t>
            </w:r>
          </w:p>
        </w:tc>
      </w:tr>
      <w:tr w14:paraId="5FCF4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42" w:type="dxa"/>
            <w:vMerge w:val="restart"/>
            <w:noWrap w:val="0"/>
            <w:vAlign w:val="center"/>
          </w:tcPr>
          <w:p w14:paraId="1EEC2A95">
            <w:pPr>
              <w:pStyle w:val="39"/>
              <w:keepNext w:val="0"/>
              <w:keepLines w:val="0"/>
              <w:widowControl/>
              <w:suppressLineNumbers w:val="0"/>
              <w:bidi w:val="0"/>
              <w:spacing w:before="0" w:beforeAutospacing="0" w:after="0" w:afterAutospacing="0"/>
              <w:ind w:left="0" w:right="0"/>
              <w:rPr>
                <w:rFonts w:hint="default"/>
                <w:szCs w:val="22"/>
                <w:lang w:eastAsia="zh-CN"/>
              </w:rPr>
            </w:pPr>
            <w:r>
              <w:rPr>
                <w:rFonts w:hint="eastAsia"/>
                <w:szCs w:val="22"/>
                <w:lang w:val="en-US" w:eastAsia="zh-CN"/>
              </w:rPr>
              <w:t>危险废物</w:t>
            </w:r>
          </w:p>
        </w:tc>
        <w:tc>
          <w:tcPr>
            <w:tcW w:w="2100" w:type="dxa"/>
            <w:tcBorders>
              <w:top w:val="single" w:color="000000" w:sz="4" w:space="0"/>
              <w:bottom w:val="single" w:color="000000" w:sz="4" w:space="0"/>
            </w:tcBorders>
            <w:noWrap w:val="0"/>
            <w:vAlign w:val="center"/>
          </w:tcPr>
          <w:p w14:paraId="5394C504">
            <w:pPr>
              <w:pStyle w:val="39"/>
              <w:keepNext w:val="0"/>
              <w:keepLines w:val="0"/>
              <w:widowControl/>
              <w:suppressLineNumbers w:val="0"/>
              <w:bidi w:val="0"/>
              <w:spacing w:before="0" w:beforeAutospacing="0" w:after="0" w:afterAutospacing="0"/>
              <w:ind w:left="0" w:right="0"/>
              <w:rPr>
                <w:rFonts w:hint="default"/>
                <w:szCs w:val="22"/>
                <w:lang w:eastAsia="zh-CN"/>
              </w:rPr>
            </w:pPr>
            <w:r>
              <w:rPr>
                <w:rFonts w:hint="eastAsia"/>
                <w:szCs w:val="22"/>
                <w:lang w:val="en-US" w:eastAsia="zh-CN"/>
              </w:rPr>
              <w:t>水帘柜废液</w:t>
            </w:r>
          </w:p>
        </w:tc>
        <w:tc>
          <w:tcPr>
            <w:tcW w:w="1487" w:type="dxa"/>
            <w:noWrap w:val="0"/>
            <w:vAlign w:val="center"/>
          </w:tcPr>
          <w:p w14:paraId="137108FB">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95" w:type="dxa"/>
            <w:noWrap w:val="0"/>
            <w:vAlign w:val="center"/>
          </w:tcPr>
          <w:p w14:paraId="0739D6F7">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27" w:type="dxa"/>
            <w:noWrap w:val="0"/>
            <w:vAlign w:val="center"/>
          </w:tcPr>
          <w:p w14:paraId="474802F4">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32" w:type="dxa"/>
            <w:noWrap w:val="0"/>
            <w:vAlign w:val="center"/>
          </w:tcPr>
          <w:p w14:paraId="2EA96F40">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1.35</w:t>
            </w:r>
          </w:p>
        </w:tc>
        <w:tc>
          <w:tcPr>
            <w:tcW w:w="1418" w:type="dxa"/>
            <w:noWrap w:val="0"/>
            <w:vAlign w:val="center"/>
          </w:tcPr>
          <w:p w14:paraId="01A36300">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1943EEBA">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1.35</w:t>
            </w:r>
          </w:p>
        </w:tc>
        <w:tc>
          <w:tcPr>
            <w:tcW w:w="1009" w:type="dxa"/>
            <w:noWrap w:val="0"/>
            <w:vAlign w:val="center"/>
          </w:tcPr>
          <w:p w14:paraId="1B0E992D">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1.35</w:t>
            </w:r>
          </w:p>
        </w:tc>
      </w:tr>
      <w:tr w14:paraId="614C9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42" w:type="dxa"/>
            <w:vMerge w:val="continue"/>
            <w:noWrap w:val="0"/>
            <w:vAlign w:val="center"/>
          </w:tcPr>
          <w:p w14:paraId="7C6CDBA0">
            <w:pPr>
              <w:pStyle w:val="39"/>
              <w:keepNext w:val="0"/>
              <w:keepLines w:val="0"/>
              <w:widowControl/>
              <w:suppressLineNumbers w:val="0"/>
              <w:bidi w:val="0"/>
              <w:spacing w:before="0" w:beforeAutospacing="0" w:after="0" w:afterAutospacing="0"/>
              <w:ind w:left="0" w:right="0"/>
              <w:rPr>
                <w:rFonts w:hint="default"/>
                <w:szCs w:val="22"/>
                <w:lang w:eastAsia="zh-CN"/>
              </w:rPr>
            </w:pPr>
          </w:p>
        </w:tc>
        <w:tc>
          <w:tcPr>
            <w:tcW w:w="2100" w:type="dxa"/>
            <w:tcBorders>
              <w:top w:val="single" w:color="000000" w:sz="4" w:space="0"/>
              <w:bottom w:val="single" w:color="000000" w:sz="4" w:space="0"/>
            </w:tcBorders>
            <w:noWrap w:val="0"/>
            <w:vAlign w:val="center"/>
          </w:tcPr>
          <w:p w14:paraId="621A5A84">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废漆渣</w:t>
            </w:r>
          </w:p>
        </w:tc>
        <w:tc>
          <w:tcPr>
            <w:tcW w:w="1487" w:type="dxa"/>
            <w:noWrap w:val="0"/>
            <w:vAlign w:val="center"/>
          </w:tcPr>
          <w:p w14:paraId="48EBF319">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95" w:type="dxa"/>
            <w:noWrap w:val="0"/>
            <w:vAlign w:val="center"/>
          </w:tcPr>
          <w:p w14:paraId="51CF8860">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27" w:type="dxa"/>
            <w:noWrap w:val="0"/>
            <w:vAlign w:val="center"/>
          </w:tcPr>
          <w:p w14:paraId="3785347C">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32" w:type="dxa"/>
            <w:noWrap w:val="0"/>
            <w:vAlign w:val="center"/>
          </w:tcPr>
          <w:p w14:paraId="550817B3">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0.69</w:t>
            </w:r>
          </w:p>
        </w:tc>
        <w:tc>
          <w:tcPr>
            <w:tcW w:w="1418" w:type="dxa"/>
            <w:noWrap w:val="0"/>
            <w:vAlign w:val="center"/>
          </w:tcPr>
          <w:p w14:paraId="2173686F">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28E33291">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0.69</w:t>
            </w:r>
          </w:p>
        </w:tc>
        <w:tc>
          <w:tcPr>
            <w:tcW w:w="1009" w:type="dxa"/>
            <w:noWrap w:val="0"/>
            <w:vAlign w:val="center"/>
          </w:tcPr>
          <w:p w14:paraId="2941E225">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0.69</w:t>
            </w:r>
          </w:p>
        </w:tc>
      </w:tr>
      <w:tr w14:paraId="4A6EA8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42" w:type="dxa"/>
            <w:vMerge w:val="continue"/>
            <w:noWrap w:val="0"/>
            <w:vAlign w:val="center"/>
          </w:tcPr>
          <w:p w14:paraId="5FC0161C">
            <w:pPr>
              <w:pStyle w:val="39"/>
              <w:keepNext w:val="0"/>
              <w:keepLines w:val="0"/>
              <w:widowControl/>
              <w:suppressLineNumbers w:val="0"/>
              <w:bidi w:val="0"/>
              <w:spacing w:before="0" w:beforeAutospacing="0" w:after="0" w:afterAutospacing="0"/>
              <w:ind w:left="0" w:right="0"/>
              <w:rPr>
                <w:rFonts w:hint="default"/>
                <w:szCs w:val="22"/>
                <w:lang w:eastAsia="zh-CN"/>
              </w:rPr>
            </w:pPr>
          </w:p>
        </w:tc>
        <w:tc>
          <w:tcPr>
            <w:tcW w:w="2100" w:type="dxa"/>
            <w:tcBorders>
              <w:top w:val="single" w:color="000000" w:sz="4" w:space="0"/>
              <w:bottom w:val="single" w:color="000000" w:sz="4" w:space="0"/>
            </w:tcBorders>
            <w:noWrap w:val="0"/>
            <w:vAlign w:val="center"/>
          </w:tcPr>
          <w:p w14:paraId="5C343B1E">
            <w:pPr>
              <w:pStyle w:val="39"/>
              <w:keepNext w:val="0"/>
              <w:keepLines w:val="0"/>
              <w:widowControl/>
              <w:suppressLineNumbers w:val="0"/>
              <w:bidi w:val="0"/>
              <w:spacing w:before="0" w:beforeAutospacing="0" w:after="0" w:afterAutospacing="0"/>
              <w:ind w:left="0" w:right="0"/>
              <w:rPr>
                <w:rFonts w:hint="default"/>
                <w:szCs w:val="22"/>
                <w:lang w:eastAsia="zh-CN"/>
              </w:rPr>
            </w:pPr>
            <w:r>
              <w:rPr>
                <w:rFonts w:hint="eastAsia"/>
                <w:szCs w:val="22"/>
                <w:lang w:val="en-US" w:eastAsia="zh-CN"/>
              </w:rPr>
              <w:t>废水性漆桶</w:t>
            </w:r>
          </w:p>
        </w:tc>
        <w:tc>
          <w:tcPr>
            <w:tcW w:w="1487" w:type="dxa"/>
            <w:noWrap w:val="0"/>
            <w:vAlign w:val="center"/>
          </w:tcPr>
          <w:p w14:paraId="51AD9B67">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595" w:type="dxa"/>
            <w:noWrap w:val="0"/>
            <w:vAlign w:val="center"/>
          </w:tcPr>
          <w:p w14:paraId="32897C23">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527" w:type="dxa"/>
            <w:noWrap w:val="0"/>
            <w:vAlign w:val="center"/>
          </w:tcPr>
          <w:p w14:paraId="54CB78B3">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432" w:type="dxa"/>
            <w:noWrap w:val="0"/>
            <w:vAlign w:val="center"/>
          </w:tcPr>
          <w:p w14:paraId="2F74D373">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0.01</w:t>
            </w:r>
          </w:p>
        </w:tc>
        <w:tc>
          <w:tcPr>
            <w:tcW w:w="1418" w:type="dxa"/>
            <w:noWrap w:val="0"/>
            <w:vAlign w:val="center"/>
          </w:tcPr>
          <w:p w14:paraId="415E190F">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63F9FCA3">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0.01</w:t>
            </w:r>
          </w:p>
        </w:tc>
        <w:tc>
          <w:tcPr>
            <w:tcW w:w="1009" w:type="dxa"/>
            <w:noWrap w:val="0"/>
            <w:vAlign w:val="center"/>
          </w:tcPr>
          <w:p w14:paraId="53854D22">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0.01</w:t>
            </w:r>
          </w:p>
        </w:tc>
      </w:tr>
      <w:tr w14:paraId="3A4C50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742" w:type="dxa"/>
            <w:vMerge w:val="continue"/>
            <w:noWrap w:val="0"/>
            <w:vAlign w:val="center"/>
          </w:tcPr>
          <w:p w14:paraId="754F3876">
            <w:pPr>
              <w:pStyle w:val="39"/>
              <w:keepNext w:val="0"/>
              <w:keepLines w:val="0"/>
              <w:widowControl/>
              <w:suppressLineNumbers w:val="0"/>
              <w:bidi w:val="0"/>
              <w:spacing w:before="0" w:beforeAutospacing="0" w:after="0" w:afterAutospacing="0"/>
              <w:ind w:left="0" w:right="0"/>
              <w:rPr>
                <w:rFonts w:hint="default"/>
                <w:szCs w:val="22"/>
                <w:lang w:eastAsia="zh-CN"/>
              </w:rPr>
            </w:pPr>
          </w:p>
        </w:tc>
        <w:tc>
          <w:tcPr>
            <w:tcW w:w="2100" w:type="dxa"/>
            <w:tcBorders>
              <w:top w:val="single" w:color="000000" w:sz="4" w:space="0"/>
              <w:bottom w:val="single" w:color="000000" w:sz="4" w:space="0"/>
            </w:tcBorders>
            <w:noWrap w:val="0"/>
            <w:vAlign w:val="center"/>
          </w:tcPr>
          <w:p w14:paraId="6D22BF69">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废油性漆桶</w:t>
            </w:r>
          </w:p>
        </w:tc>
        <w:tc>
          <w:tcPr>
            <w:tcW w:w="1487" w:type="dxa"/>
            <w:noWrap w:val="0"/>
            <w:vAlign w:val="center"/>
          </w:tcPr>
          <w:p w14:paraId="0A56DE73">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595" w:type="dxa"/>
            <w:noWrap w:val="0"/>
            <w:vAlign w:val="center"/>
          </w:tcPr>
          <w:p w14:paraId="6B27DF8B">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527" w:type="dxa"/>
            <w:noWrap w:val="0"/>
            <w:vAlign w:val="center"/>
          </w:tcPr>
          <w:p w14:paraId="0B772CC2">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432" w:type="dxa"/>
            <w:noWrap w:val="0"/>
            <w:vAlign w:val="center"/>
          </w:tcPr>
          <w:p w14:paraId="0EA4B87E">
            <w:pPr>
              <w:pStyle w:val="39"/>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0.04</w:t>
            </w:r>
          </w:p>
        </w:tc>
        <w:tc>
          <w:tcPr>
            <w:tcW w:w="1418" w:type="dxa"/>
            <w:noWrap w:val="0"/>
            <w:vAlign w:val="center"/>
          </w:tcPr>
          <w:p w14:paraId="4166CFC3">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473" w:type="dxa"/>
            <w:noWrap w:val="0"/>
            <w:vAlign w:val="center"/>
          </w:tcPr>
          <w:p w14:paraId="02C1B9A0">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0.04</w:t>
            </w:r>
          </w:p>
        </w:tc>
        <w:tc>
          <w:tcPr>
            <w:tcW w:w="1009" w:type="dxa"/>
            <w:noWrap w:val="0"/>
            <w:vAlign w:val="center"/>
          </w:tcPr>
          <w:p w14:paraId="469C0639">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w:t>
            </w:r>
            <w:r>
              <w:rPr>
                <w:rFonts w:hint="default"/>
                <w:szCs w:val="22"/>
                <w:lang w:val="en-US" w:eastAsia="zh-CN"/>
              </w:rPr>
              <w:t>0.04</w:t>
            </w:r>
          </w:p>
        </w:tc>
      </w:tr>
      <w:tr w14:paraId="718277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2" w:type="dxa"/>
            <w:vMerge w:val="continue"/>
            <w:noWrap w:val="0"/>
            <w:vAlign w:val="center"/>
          </w:tcPr>
          <w:p w14:paraId="5EBAE156">
            <w:pPr>
              <w:pStyle w:val="39"/>
              <w:keepNext w:val="0"/>
              <w:keepLines w:val="0"/>
              <w:widowControl/>
              <w:suppressLineNumbers w:val="0"/>
              <w:bidi w:val="0"/>
              <w:spacing w:before="0" w:beforeAutospacing="0" w:after="0" w:afterAutospacing="0"/>
              <w:ind w:left="0" w:right="0"/>
              <w:rPr>
                <w:rFonts w:hint="default"/>
                <w:szCs w:val="22"/>
                <w:lang w:eastAsia="zh-CN"/>
              </w:rPr>
            </w:pPr>
          </w:p>
        </w:tc>
        <w:tc>
          <w:tcPr>
            <w:tcW w:w="2100" w:type="dxa"/>
            <w:tcBorders>
              <w:top w:val="single" w:color="000000" w:sz="4" w:space="0"/>
              <w:bottom w:val="single" w:color="000000" w:sz="4" w:space="0"/>
            </w:tcBorders>
            <w:noWrap w:val="0"/>
            <w:vAlign w:val="center"/>
          </w:tcPr>
          <w:p w14:paraId="29781C22">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废活性炭</w:t>
            </w:r>
          </w:p>
        </w:tc>
        <w:tc>
          <w:tcPr>
            <w:tcW w:w="1487" w:type="dxa"/>
            <w:noWrap w:val="0"/>
            <w:vAlign w:val="center"/>
          </w:tcPr>
          <w:p w14:paraId="7DED3F1F">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595" w:type="dxa"/>
            <w:noWrap w:val="0"/>
            <w:vAlign w:val="center"/>
          </w:tcPr>
          <w:p w14:paraId="711671FA">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527" w:type="dxa"/>
            <w:noWrap w:val="0"/>
            <w:vAlign w:val="center"/>
          </w:tcPr>
          <w:p w14:paraId="5C999C85">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432" w:type="dxa"/>
            <w:noWrap w:val="0"/>
            <w:vAlign w:val="center"/>
          </w:tcPr>
          <w:p w14:paraId="699DA6E3">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4.82</w:t>
            </w:r>
          </w:p>
        </w:tc>
        <w:tc>
          <w:tcPr>
            <w:tcW w:w="1418" w:type="dxa"/>
            <w:noWrap w:val="0"/>
            <w:vAlign w:val="center"/>
          </w:tcPr>
          <w:p w14:paraId="139522BB">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473" w:type="dxa"/>
            <w:noWrap w:val="0"/>
            <w:vAlign w:val="center"/>
          </w:tcPr>
          <w:p w14:paraId="2EF1D5F5">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4.82</w:t>
            </w:r>
          </w:p>
        </w:tc>
        <w:tc>
          <w:tcPr>
            <w:tcW w:w="1009" w:type="dxa"/>
            <w:noWrap w:val="0"/>
            <w:vAlign w:val="center"/>
          </w:tcPr>
          <w:p w14:paraId="3E3508CF">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w:t>
            </w:r>
            <w:r>
              <w:rPr>
                <w:rFonts w:hint="default"/>
                <w:szCs w:val="22"/>
                <w:lang w:val="en-US" w:eastAsia="zh-CN"/>
              </w:rPr>
              <w:t>4.82</w:t>
            </w:r>
          </w:p>
        </w:tc>
      </w:tr>
      <w:tr w14:paraId="4EABE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742" w:type="dxa"/>
            <w:vMerge w:val="continue"/>
            <w:noWrap w:val="0"/>
            <w:vAlign w:val="center"/>
          </w:tcPr>
          <w:p w14:paraId="1F0B8E3E">
            <w:pPr>
              <w:pStyle w:val="39"/>
              <w:keepNext w:val="0"/>
              <w:keepLines w:val="0"/>
              <w:widowControl/>
              <w:suppressLineNumbers w:val="0"/>
              <w:bidi w:val="0"/>
              <w:spacing w:before="0" w:beforeAutospacing="0" w:after="0" w:afterAutospacing="0"/>
              <w:ind w:left="0" w:right="0"/>
              <w:rPr>
                <w:rFonts w:hint="default"/>
                <w:szCs w:val="22"/>
                <w:lang w:eastAsia="zh-CN"/>
              </w:rPr>
            </w:pPr>
          </w:p>
        </w:tc>
        <w:tc>
          <w:tcPr>
            <w:tcW w:w="2100" w:type="dxa"/>
            <w:tcBorders>
              <w:top w:val="single" w:color="000000" w:sz="4" w:space="0"/>
              <w:bottom w:val="single" w:color="000000" w:sz="4" w:space="0"/>
            </w:tcBorders>
            <w:noWrap w:val="0"/>
            <w:vAlign w:val="center"/>
          </w:tcPr>
          <w:p w14:paraId="2D68965D">
            <w:pPr>
              <w:pStyle w:val="39"/>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废过滤棉</w:t>
            </w:r>
          </w:p>
        </w:tc>
        <w:tc>
          <w:tcPr>
            <w:tcW w:w="1487" w:type="dxa"/>
            <w:noWrap w:val="0"/>
            <w:vAlign w:val="center"/>
          </w:tcPr>
          <w:p w14:paraId="7ED0CCC3">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595" w:type="dxa"/>
            <w:noWrap w:val="0"/>
            <w:vAlign w:val="center"/>
          </w:tcPr>
          <w:p w14:paraId="6FA82E9E">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527" w:type="dxa"/>
            <w:noWrap w:val="0"/>
            <w:vAlign w:val="center"/>
          </w:tcPr>
          <w:p w14:paraId="15FFBD8A">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432" w:type="dxa"/>
            <w:noWrap w:val="0"/>
            <w:vAlign w:val="center"/>
          </w:tcPr>
          <w:p w14:paraId="7CD70EA6">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0.2</w:t>
            </w:r>
          </w:p>
        </w:tc>
        <w:tc>
          <w:tcPr>
            <w:tcW w:w="1418" w:type="dxa"/>
            <w:noWrap w:val="0"/>
            <w:vAlign w:val="center"/>
          </w:tcPr>
          <w:p w14:paraId="1F069488">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473" w:type="dxa"/>
            <w:noWrap w:val="0"/>
            <w:vAlign w:val="center"/>
          </w:tcPr>
          <w:p w14:paraId="6B7B76E8">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0.2</w:t>
            </w:r>
          </w:p>
        </w:tc>
        <w:tc>
          <w:tcPr>
            <w:tcW w:w="1009" w:type="dxa"/>
            <w:noWrap w:val="0"/>
            <w:vAlign w:val="center"/>
          </w:tcPr>
          <w:p w14:paraId="6F1C4136">
            <w:pPr>
              <w:pStyle w:val="39"/>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w:t>
            </w:r>
            <w:r>
              <w:rPr>
                <w:rFonts w:hint="default"/>
                <w:szCs w:val="22"/>
                <w:lang w:val="en-US" w:eastAsia="zh-CN"/>
              </w:rPr>
              <w:t>0.2</w:t>
            </w:r>
          </w:p>
        </w:tc>
      </w:tr>
    </w:tbl>
    <w:p w14:paraId="7F52EF94">
      <w:pPr>
        <w:pStyle w:val="39"/>
        <w:bidi w:val="0"/>
        <w:jc w:val="left"/>
      </w:pPr>
      <w:r>
        <w:rPr>
          <w:rFonts w:hint="default"/>
        </w:rPr>
        <w:t>注：</w:t>
      </w:r>
      <w:r>
        <w:rPr>
          <w:rFonts w:hint="default"/>
        </w:rPr>
        <w:fldChar w:fldCharType="begin"/>
      </w:r>
      <w:r>
        <w:rPr>
          <w:rFonts w:hint="default"/>
        </w:rPr>
        <w:instrText xml:space="preserve"> = 6 \* GB3 \* MERGEFORMAT </w:instrText>
      </w:r>
      <w:r>
        <w:rPr>
          <w:rFonts w:hint="default"/>
        </w:rPr>
        <w:fldChar w:fldCharType="separate"/>
      </w:r>
      <w:r>
        <w:rPr>
          <w:rFonts w:hint="default"/>
        </w:rPr>
        <w:t>⑥</w:t>
      </w:r>
      <w:r>
        <w:rPr>
          <w:rFonts w:hint="default"/>
        </w:rPr>
        <w:fldChar w:fldCharType="end"/>
      </w:r>
      <w:r>
        <w:rPr>
          <w:rFonts w:hint="default"/>
        </w:rPr>
        <w:t>=</w:t>
      </w:r>
      <w:r>
        <w:rPr>
          <w:rFonts w:hint="default"/>
        </w:rPr>
        <w:fldChar w:fldCharType="begin"/>
      </w:r>
      <w:r>
        <w:rPr>
          <w:rFonts w:hint="default"/>
        </w:rPr>
        <w:instrText xml:space="preserve"> = 1 \* GB3 \* MERGEFORMAT </w:instrText>
      </w:r>
      <w:r>
        <w:rPr>
          <w:rFonts w:hint="default"/>
        </w:rPr>
        <w:fldChar w:fldCharType="separate"/>
      </w:r>
      <w:r>
        <w:rPr>
          <w:rFonts w:hint="default"/>
        </w:rPr>
        <w:t>①</w:t>
      </w:r>
      <w:r>
        <w:rPr>
          <w:rFonts w:hint="default"/>
        </w:rPr>
        <w:fldChar w:fldCharType="end"/>
      </w:r>
      <w:r>
        <w:rPr>
          <w:rFonts w:hint="default"/>
        </w:rPr>
        <w:t>+</w:t>
      </w:r>
      <w:r>
        <w:rPr>
          <w:rFonts w:hint="default"/>
        </w:rPr>
        <w:fldChar w:fldCharType="begin"/>
      </w:r>
      <w:r>
        <w:rPr>
          <w:rFonts w:hint="default"/>
        </w:rPr>
        <w:instrText xml:space="preserve"> = 3 \* GB3 \* MERGEFORMAT </w:instrText>
      </w:r>
      <w:r>
        <w:rPr>
          <w:rFonts w:hint="default"/>
        </w:rPr>
        <w:fldChar w:fldCharType="separate"/>
      </w:r>
      <w:r>
        <w:rPr>
          <w:rFonts w:hint="default"/>
        </w:rPr>
        <w:t>③</w:t>
      </w:r>
      <w:r>
        <w:rPr>
          <w:rFonts w:hint="default"/>
        </w:rPr>
        <w:fldChar w:fldCharType="end"/>
      </w:r>
      <w:r>
        <w:rPr>
          <w:rFonts w:hint="default"/>
        </w:rPr>
        <w:t>+</w:t>
      </w:r>
      <w:r>
        <w:rPr>
          <w:rFonts w:hint="default"/>
        </w:rPr>
        <w:fldChar w:fldCharType="begin"/>
      </w:r>
      <w:r>
        <w:rPr>
          <w:rFonts w:hint="default"/>
        </w:rPr>
        <w:instrText xml:space="preserve"> = 4 \* GB3 \* MERGEFORMAT </w:instrText>
      </w:r>
      <w:r>
        <w:rPr>
          <w:rFonts w:hint="default"/>
        </w:rPr>
        <w:fldChar w:fldCharType="separate"/>
      </w:r>
      <w:r>
        <w:rPr>
          <w:rFonts w:hint="default"/>
        </w:rPr>
        <w:t>④</w:t>
      </w:r>
      <w:r>
        <w:rPr>
          <w:rFonts w:hint="default"/>
        </w:rPr>
        <w:fldChar w:fldCharType="end"/>
      </w:r>
      <w:r>
        <w:rPr>
          <w:rFonts w:hint="default"/>
        </w:rPr>
        <w:t>-</w:t>
      </w:r>
      <w:r>
        <w:rPr>
          <w:rFonts w:hint="default"/>
        </w:rPr>
        <w:fldChar w:fldCharType="begin"/>
      </w:r>
      <w:r>
        <w:rPr>
          <w:rFonts w:hint="default"/>
        </w:rPr>
        <w:instrText xml:space="preserve"> = 5 \* GB3 \* MERGEFORMAT </w:instrText>
      </w:r>
      <w:r>
        <w:rPr>
          <w:rFonts w:hint="default"/>
        </w:rPr>
        <w:fldChar w:fldCharType="separate"/>
      </w:r>
      <w:r>
        <w:rPr>
          <w:rFonts w:hint="default"/>
        </w:rPr>
        <w:t>⑤</w:t>
      </w:r>
      <w:r>
        <w:rPr>
          <w:rFonts w:hint="default"/>
        </w:rPr>
        <w:fldChar w:fldCharType="end"/>
      </w:r>
      <w:r>
        <w:rPr>
          <w:rFonts w:hint="default"/>
        </w:rPr>
        <w:t>；</w:t>
      </w:r>
      <w:r>
        <w:rPr>
          <w:rFonts w:hint="default"/>
        </w:rPr>
        <w:fldChar w:fldCharType="begin"/>
      </w:r>
      <w:r>
        <w:rPr>
          <w:rFonts w:hint="default"/>
        </w:rPr>
        <w:instrText xml:space="preserve"> = 7 \* GB3 \* MERGEFORMAT </w:instrText>
      </w:r>
      <w:r>
        <w:rPr>
          <w:rFonts w:hint="default"/>
        </w:rPr>
        <w:fldChar w:fldCharType="separate"/>
      </w:r>
      <w:r>
        <w:rPr>
          <w:rFonts w:hint="default"/>
        </w:rPr>
        <w:t>⑦</w:t>
      </w:r>
      <w:r>
        <w:rPr>
          <w:rFonts w:hint="default"/>
        </w:rPr>
        <w:fldChar w:fldCharType="end"/>
      </w:r>
      <w:r>
        <w:rPr>
          <w:rFonts w:hint="default"/>
        </w:rPr>
        <w:t>=</w:t>
      </w:r>
      <w:r>
        <w:rPr>
          <w:rFonts w:hint="default"/>
        </w:rPr>
        <w:fldChar w:fldCharType="begin"/>
      </w:r>
      <w:r>
        <w:rPr>
          <w:rFonts w:hint="default"/>
        </w:rPr>
        <w:instrText xml:space="preserve"> = 6 \* GB3 \* MERGEFORMAT </w:instrText>
      </w:r>
      <w:r>
        <w:rPr>
          <w:rFonts w:hint="default"/>
        </w:rPr>
        <w:fldChar w:fldCharType="separate"/>
      </w:r>
      <w:r>
        <w:rPr>
          <w:rFonts w:hint="default"/>
        </w:rPr>
        <w:t>⑥</w:t>
      </w:r>
      <w:r>
        <w:rPr>
          <w:rFonts w:hint="default"/>
        </w:rPr>
        <w:fldChar w:fldCharType="end"/>
      </w:r>
      <w:r>
        <w:rPr>
          <w:rFonts w:hint="default"/>
        </w:rPr>
        <w:t>-</w:t>
      </w:r>
      <w:r>
        <w:rPr>
          <w:rFonts w:hint="default"/>
        </w:rPr>
        <w:fldChar w:fldCharType="begin"/>
      </w:r>
      <w:r>
        <w:rPr>
          <w:rFonts w:hint="default"/>
        </w:rPr>
        <w:instrText xml:space="preserve"> = 1 \* GB3 \* MERGEFORMAT </w:instrText>
      </w:r>
      <w:r>
        <w:rPr>
          <w:rFonts w:hint="default"/>
        </w:rPr>
        <w:fldChar w:fldCharType="separate"/>
      </w:r>
      <w:r>
        <w:rPr>
          <w:rFonts w:hint="default"/>
        </w:rPr>
        <w:t>①</w:t>
      </w:r>
      <w:r>
        <w:rPr>
          <w:rFonts w:hint="default"/>
        </w:rPr>
        <w:fldChar w:fldCharType="end"/>
      </w:r>
    </w:p>
    <w:p w14:paraId="0A0E8E0E">
      <w:pPr>
        <w:rPr>
          <w:color w:val="auto"/>
        </w:rPr>
        <w:sectPr>
          <w:footerReference r:id="rId10" w:type="default"/>
          <w:pgSz w:w="16838" w:h="11906" w:orient="landscape"/>
          <w:pgMar w:top="1418"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7629A6A">
      <w:pPr>
        <w:pStyle w:val="38"/>
        <w:bidi w:val="0"/>
        <w:rPr>
          <w:rFonts w:hint="eastAsia"/>
          <w:lang w:eastAsia="zh-CN"/>
        </w:rPr>
      </w:pPr>
      <w:bookmarkStart w:id="63" w:name="_Ref22029"/>
      <w:r>
        <w:t xml:space="preserve">附件 </w:t>
      </w:r>
      <w:r>
        <w:fldChar w:fldCharType="begin"/>
      </w:r>
      <w:r>
        <w:instrText xml:space="preserve"> SEQ 附件 \* ARABIC </w:instrText>
      </w:r>
      <w:r>
        <w:fldChar w:fldCharType="separate"/>
      </w:r>
      <w:r>
        <w:t>4</w:t>
      </w:r>
      <w:r>
        <w:fldChar w:fldCharType="end"/>
      </w:r>
      <w:bookmarkEnd w:id="63"/>
      <w:r>
        <w:rPr>
          <w:rFonts w:hint="eastAsia"/>
          <w:lang w:eastAsia="zh-CN"/>
        </w:rPr>
        <w:t>备案表</w:t>
      </w:r>
    </w:p>
    <w:p w14:paraId="627E9F2C">
      <w:pPr>
        <w:pStyle w:val="38"/>
        <w:bidi w:val="0"/>
        <w:rPr>
          <w:rFonts w:hint="default" w:eastAsia="宋体"/>
          <w:color w:val="auto"/>
          <w:lang w:val="en-US" w:eastAsia="zh-CN"/>
        </w:rPr>
        <w:sectPr>
          <w:headerReference r:id="rId11" w:type="default"/>
          <w:footerReference r:id="rId12" w:type="default"/>
          <w:pgSz w:w="11906" w:h="16838"/>
          <w:pgMar w:top="1418"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eastAsia="宋体"/>
          <w:color w:val="auto"/>
          <w:lang w:val="en-US" w:eastAsia="zh-CN"/>
        </w:rPr>
        <w:drawing>
          <wp:inline distT="0" distB="0" distL="114300" distR="114300">
            <wp:extent cx="5610860" cy="7972425"/>
            <wp:effectExtent l="0" t="0" r="8890" b="9525"/>
            <wp:docPr id="43" name="图片 43" descr="4230aa3558c34aae18f227e3a9c5c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230aa3558c34aae18f227e3a9c5c6fa"/>
                    <pic:cNvPicPr>
                      <a:picLocks noChangeAspect="1"/>
                    </pic:cNvPicPr>
                  </pic:nvPicPr>
                  <pic:blipFill>
                    <a:blip r:embed="rId55"/>
                    <a:stretch>
                      <a:fillRect/>
                    </a:stretch>
                  </pic:blipFill>
                  <pic:spPr>
                    <a:xfrm>
                      <a:off x="0" y="0"/>
                      <a:ext cx="5610860" cy="7972425"/>
                    </a:xfrm>
                    <a:prstGeom prst="rect">
                      <a:avLst/>
                    </a:prstGeom>
                  </pic:spPr>
                </pic:pic>
              </a:graphicData>
            </a:graphic>
          </wp:inline>
        </w:drawing>
      </w:r>
      <w:bookmarkStart w:id="64" w:name="_Ref5002"/>
      <w:bookmarkStart w:id="65" w:name="_Ref7199"/>
    </w:p>
    <w:p w14:paraId="5BF3617B">
      <w:pPr>
        <w:pStyle w:val="15"/>
        <w:bidi w:val="0"/>
        <w:rPr>
          <w:rFonts w:hint="eastAsia"/>
          <w:lang w:eastAsia="zh-CN"/>
        </w:rPr>
        <w:sectPr>
          <w:pgSz w:w="16838" w:h="11906" w:orient="landscape"/>
          <w:pgMar w:top="1531" w:right="1418"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t xml:space="preserve">附件 </w:t>
      </w:r>
      <w:r>
        <w:fldChar w:fldCharType="begin"/>
      </w:r>
      <w:r>
        <w:instrText xml:space="preserve"> SEQ 附件 \* ARABIC </w:instrText>
      </w:r>
      <w:r>
        <w:fldChar w:fldCharType="separate"/>
      </w:r>
      <w:r>
        <w:t>6</w:t>
      </w:r>
      <w:r>
        <w:fldChar w:fldCharType="end"/>
      </w:r>
      <w:bookmarkEnd w:id="64"/>
      <w:r>
        <w:rPr>
          <w:rFonts w:hint="eastAsia"/>
          <w:lang w:val="en-US" w:eastAsia="zh-CN"/>
        </w:rPr>
        <w:t>产权证</w:t>
      </w:r>
      <w:bookmarkEnd w:id="65"/>
      <w:r>
        <w:rPr>
          <w:rFonts w:hint="eastAsia"/>
          <w:lang w:eastAsia="zh-CN"/>
        </w:rPr>
        <w:drawing>
          <wp:inline distT="0" distB="0" distL="114300" distR="114300">
            <wp:extent cx="4740275" cy="7969885"/>
            <wp:effectExtent l="0" t="0" r="12065" b="3175"/>
            <wp:docPr id="65" name="图片 65" descr="f64b650dcf27a3e0eb112c639524b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64b650dcf27a3e0eb112c639524b87b"/>
                    <pic:cNvPicPr>
                      <a:picLocks noChangeAspect="1"/>
                    </pic:cNvPicPr>
                  </pic:nvPicPr>
                  <pic:blipFill>
                    <a:blip r:embed="rId56"/>
                    <a:srcRect l="13877" t="15190" r="9648" b="2909"/>
                    <a:stretch>
                      <a:fillRect/>
                    </a:stretch>
                  </pic:blipFill>
                  <pic:spPr>
                    <a:xfrm rot="5400000">
                      <a:off x="0" y="0"/>
                      <a:ext cx="4740275" cy="7969885"/>
                    </a:xfrm>
                    <a:prstGeom prst="rect">
                      <a:avLst/>
                    </a:prstGeom>
                  </pic:spPr>
                </pic:pic>
              </a:graphicData>
            </a:graphic>
          </wp:inline>
        </w:drawing>
      </w:r>
      <w:r>
        <w:rPr>
          <w:rFonts w:hint="eastAsia"/>
          <w:lang w:eastAsia="zh-CN"/>
        </w:rPr>
        <w:drawing>
          <wp:inline distT="0" distB="0" distL="114300" distR="114300">
            <wp:extent cx="5553710" cy="8267700"/>
            <wp:effectExtent l="0" t="0" r="0" b="8890"/>
            <wp:docPr id="71" name="图片 71" descr="3c8deb19bbff957fa5b8d1f307cb8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c8deb19bbff957fa5b8d1f307cb8b48"/>
                    <pic:cNvPicPr>
                      <a:picLocks noChangeAspect="1"/>
                    </pic:cNvPicPr>
                  </pic:nvPicPr>
                  <pic:blipFill>
                    <a:blip r:embed="rId57"/>
                    <a:stretch>
                      <a:fillRect/>
                    </a:stretch>
                  </pic:blipFill>
                  <pic:spPr>
                    <a:xfrm rot="16200000">
                      <a:off x="0" y="0"/>
                      <a:ext cx="5553710" cy="8267700"/>
                    </a:xfrm>
                    <a:prstGeom prst="rect">
                      <a:avLst/>
                    </a:prstGeom>
                  </pic:spPr>
                </pic:pic>
              </a:graphicData>
            </a:graphic>
          </wp:inline>
        </w:drawing>
      </w:r>
      <w:r>
        <mc:AlternateContent>
          <mc:Choice Requires="wps">
            <w:drawing>
              <wp:anchor distT="0" distB="0" distL="114300" distR="114300" simplePos="0" relativeHeight="251676672" behindDoc="0" locked="0" layoutInCell="1" allowOverlap="1">
                <wp:simplePos x="0" y="0"/>
                <wp:positionH relativeFrom="column">
                  <wp:posOffset>3034030</wp:posOffset>
                </wp:positionH>
                <wp:positionV relativeFrom="paragraph">
                  <wp:posOffset>2107565</wp:posOffset>
                </wp:positionV>
                <wp:extent cx="1106170" cy="1012190"/>
                <wp:effectExtent l="247650" t="207645" r="264160" b="210185"/>
                <wp:wrapNone/>
                <wp:docPr id="5" name="矩形 5"/>
                <wp:cNvGraphicFramePr/>
                <a:graphic xmlns:a="http://schemas.openxmlformats.org/drawingml/2006/main">
                  <a:graphicData uri="http://schemas.microsoft.com/office/word/2010/wordprocessingShape">
                    <wps:wsp>
                      <wps:cNvSpPr/>
                      <wps:spPr>
                        <a:xfrm rot="18540000">
                          <a:off x="4123055" y="2420620"/>
                          <a:ext cx="1106170" cy="101219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9pt;margin-top:165.95pt;height:79.7pt;width:87.1pt;rotation:-3342336f;z-index:251676672;v-text-anchor:middle;mso-width-relative:page;mso-height-relative:page;" filled="f" stroked="t" coordsize="21600,21600" o:gfxdata="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frylK1wAAAAsBAAAPAAAAAAAAAAEAIAAAACIAAABkcnMvZG93&#10;bnJldi54bWxQSwECFAAUAAAACACHTuJAAicqmXMCAADQBAAADgAAAAAAAAABACAAAAAmAQAAZHJz&#10;L2Uyb0RvYy54bWxQSwUGAAAAAAYABgBZAQAACwYAAAAA&#10;">
                <v:fill on="f" focussize="0,0"/>
                <v:stroke weight="2pt" color="#FF0000 [2404]" joinstyle="round"/>
                <v:imagedata o:title=""/>
                <o:lock v:ext="edit" aspectratio="f"/>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2111375</wp:posOffset>
                </wp:positionH>
                <wp:positionV relativeFrom="paragraph">
                  <wp:posOffset>635635</wp:posOffset>
                </wp:positionV>
                <wp:extent cx="1040765" cy="338455"/>
                <wp:effectExtent l="12700" t="12700" r="546735" b="1420495"/>
                <wp:wrapNone/>
                <wp:docPr id="6" name="矩形标注 6"/>
                <wp:cNvGraphicFramePr/>
                <a:graphic xmlns:a="http://schemas.openxmlformats.org/drawingml/2006/main">
                  <a:graphicData uri="http://schemas.microsoft.com/office/word/2010/wordprocessingShape">
                    <wps:wsp>
                      <wps:cNvSpPr/>
                      <wps:spPr>
                        <a:xfrm>
                          <a:off x="3538855" y="1506220"/>
                          <a:ext cx="1040765" cy="338455"/>
                        </a:xfrm>
                        <a:prstGeom prst="wedgeRectCallout">
                          <a:avLst>
                            <a:gd name="adj1" fmla="val 101201"/>
                            <a:gd name="adj2" fmla="val 462757"/>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6A53823">
                            <w:pPr>
                              <w:ind w:left="0" w:leftChars="0" w:firstLine="0" w:firstLineChars="0"/>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6.25pt;margin-top:50.05pt;height:26.65pt;width:81.95pt;z-index:251677696;v-text-anchor:middle;mso-width-relative:page;mso-height-relative:page;" fillcolor="#FFFFFF [3212]" filled="t" stroked="t" coordsize="21600,21600" o:gfxdata="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UxNd22AAAAAsBAAAPAAAAAAAAAAEAIAAAACIAAABkcnMv&#10;ZG93bnJldi54bWxQSwECFAAUAAAACACHTuJAT35GBK4CAABZBQAADgAAAAAAAAABACAAAAAnAQAA&#10;ZHJzL2Uyb0RvYy54bWxQSwUGAAAAAAYABgBZAQAARwYAAAAA&#10;" adj="32659,110756">
                <v:fill on="t" focussize="0,0"/>
                <v:stroke weight="2pt" color="#FF0000 [2404]" joinstyle="round"/>
                <v:imagedata o:title=""/>
                <o:lock v:ext="edit" aspectratio="f"/>
                <v:textbox>
                  <w:txbxContent>
                    <w:p w14:paraId="66A53823">
                      <w:pPr>
                        <w:ind w:left="0" w:leftChars="0" w:firstLine="0" w:firstLineChars="0"/>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v:textbox>
              </v:shape>
            </w:pict>
          </mc:Fallback>
        </mc:AlternateContent>
      </w:r>
      <w:r>
        <w:rPr>
          <w:rFonts w:hint="eastAsia"/>
          <w:lang w:eastAsia="zh-CN"/>
        </w:rPr>
        <w:drawing>
          <wp:inline distT="0" distB="0" distL="114300" distR="114300">
            <wp:extent cx="5125085" cy="5201920"/>
            <wp:effectExtent l="0" t="0" r="10795" b="10160"/>
            <wp:docPr id="73" name="图片 73" descr="dec8a190fc97a7fb36b4571f37aa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ec8a190fc97a7fb36b4571f37aa0979"/>
                    <pic:cNvPicPr>
                      <a:picLocks noChangeAspect="1"/>
                    </pic:cNvPicPr>
                  </pic:nvPicPr>
                  <pic:blipFill>
                    <a:blip r:embed="rId58"/>
                    <a:srcRect t="16037" b="15662"/>
                    <a:stretch>
                      <a:fillRect/>
                    </a:stretch>
                  </pic:blipFill>
                  <pic:spPr>
                    <a:xfrm>
                      <a:off x="0" y="0"/>
                      <a:ext cx="5125085" cy="5201920"/>
                    </a:xfrm>
                    <a:prstGeom prst="rect">
                      <a:avLst/>
                    </a:prstGeom>
                  </pic:spPr>
                </pic:pic>
              </a:graphicData>
            </a:graphic>
          </wp:inline>
        </w:drawing>
      </w:r>
    </w:p>
    <w:p w14:paraId="43401FA5">
      <w:pPr>
        <w:pStyle w:val="38"/>
        <w:bidi w:val="0"/>
        <w:rPr>
          <w:rFonts w:hint="eastAsia"/>
          <w:lang w:val="en-US" w:eastAsia="zh-CN"/>
        </w:rPr>
      </w:pPr>
      <w:bookmarkStart w:id="66" w:name="_Ref4970"/>
      <w:bookmarkStart w:id="67" w:name="_Toc9393"/>
      <w:bookmarkStart w:id="68" w:name="_Toc26433"/>
      <w:r>
        <w:t xml:space="preserve">附件 </w:t>
      </w:r>
      <w:r>
        <w:fldChar w:fldCharType="begin"/>
      </w:r>
      <w:r>
        <w:instrText xml:space="preserve"> SEQ 附件 \* ARABIC </w:instrText>
      </w:r>
      <w:r>
        <w:fldChar w:fldCharType="separate"/>
      </w:r>
      <w:r>
        <w:t>7</w:t>
      </w:r>
      <w:r>
        <w:fldChar w:fldCharType="end"/>
      </w:r>
      <w:bookmarkEnd w:id="66"/>
      <w:r>
        <w:rPr>
          <w:rFonts w:hint="eastAsia"/>
          <w:lang w:val="en-US" w:eastAsia="zh-CN"/>
        </w:rPr>
        <w:t xml:space="preserve"> 厂房租赁合同</w:t>
      </w:r>
    </w:p>
    <w:p w14:paraId="490090F7">
      <w:pPr>
        <w:pStyle w:val="15"/>
        <w:bidi w:val="0"/>
        <w:jc w:val="center"/>
        <w:rPr>
          <w:rFonts w:hint="default"/>
        </w:rPr>
      </w:pPr>
      <w:r>
        <w:rPr>
          <w:rFonts w:hint="default"/>
        </w:rPr>
        <w:drawing>
          <wp:inline distT="0" distB="0" distL="114300" distR="114300">
            <wp:extent cx="5507990" cy="8331200"/>
            <wp:effectExtent l="0" t="0" r="16510" b="12700"/>
            <wp:docPr id="47" name="图片 47" descr="a6ef4a1e8ce33b36c7dd226669d5c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6ef4a1e8ce33b36c7dd226669d5c570"/>
                    <pic:cNvPicPr>
                      <a:picLocks noChangeAspect="1"/>
                    </pic:cNvPicPr>
                  </pic:nvPicPr>
                  <pic:blipFill>
                    <a:blip r:embed="rId59"/>
                    <a:stretch>
                      <a:fillRect/>
                    </a:stretch>
                  </pic:blipFill>
                  <pic:spPr>
                    <a:xfrm>
                      <a:off x="0" y="0"/>
                      <a:ext cx="5507990" cy="8331200"/>
                    </a:xfrm>
                    <a:prstGeom prst="rect">
                      <a:avLst/>
                    </a:prstGeom>
                  </pic:spPr>
                </pic:pic>
              </a:graphicData>
            </a:graphic>
          </wp:inline>
        </w:drawing>
      </w:r>
      <w:r>
        <w:rPr>
          <w:rFonts w:hint="default"/>
        </w:rPr>
        <w:drawing>
          <wp:inline distT="0" distB="0" distL="114300" distR="114300">
            <wp:extent cx="5608955" cy="8357235"/>
            <wp:effectExtent l="0" t="0" r="10795" b="5715"/>
            <wp:docPr id="48" name="图片 48" descr="851f478ffd3c14ddca68fb735da486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851f478ffd3c14ddca68fb735da4862e"/>
                    <pic:cNvPicPr>
                      <a:picLocks noChangeAspect="1"/>
                    </pic:cNvPicPr>
                  </pic:nvPicPr>
                  <pic:blipFill>
                    <a:blip r:embed="rId60"/>
                    <a:stretch>
                      <a:fillRect/>
                    </a:stretch>
                  </pic:blipFill>
                  <pic:spPr>
                    <a:xfrm>
                      <a:off x="0" y="0"/>
                      <a:ext cx="5608955" cy="8357235"/>
                    </a:xfrm>
                    <a:prstGeom prst="rect">
                      <a:avLst/>
                    </a:prstGeom>
                  </pic:spPr>
                </pic:pic>
              </a:graphicData>
            </a:graphic>
          </wp:inline>
        </w:drawing>
      </w:r>
      <w:r>
        <w:rPr>
          <w:rFonts w:hint="default"/>
        </w:rPr>
        <w:br w:type="page"/>
      </w:r>
    </w:p>
    <w:bookmarkEnd w:id="67"/>
    <w:bookmarkEnd w:id="68"/>
    <w:p w14:paraId="18FF0F17">
      <w:pPr>
        <w:pStyle w:val="38"/>
        <w:bidi w:val="0"/>
        <w:rPr>
          <w:rFonts w:hint="default"/>
          <w:lang w:val="en-US" w:eastAsia="zh-CN"/>
        </w:rPr>
      </w:pPr>
      <w:r>
        <w:t xml:space="preserve">附件 </w:t>
      </w:r>
      <w:r>
        <w:fldChar w:fldCharType="begin"/>
      </w:r>
      <w:r>
        <w:instrText xml:space="preserve"> SEQ 附件 \* ARABIC </w:instrText>
      </w:r>
      <w:r>
        <w:fldChar w:fldCharType="separate"/>
      </w:r>
      <w:r>
        <w:t>20</w:t>
      </w:r>
      <w:r>
        <w:fldChar w:fldCharType="end"/>
      </w:r>
      <w:r>
        <w:rPr>
          <w:rFonts w:hint="eastAsia"/>
          <w:lang w:val="en-US" w:eastAsia="zh-CN"/>
        </w:rPr>
        <w:t xml:space="preserve"> </w:t>
      </w:r>
      <w:r>
        <w:rPr>
          <w:rFonts w:hint="eastAsia"/>
        </w:rPr>
        <w:t>关于公开建设项目环评文件等信息情况的说明</w:t>
      </w:r>
    </w:p>
    <w:p w14:paraId="79A8A95F">
      <w:pPr>
        <w:bidi w:val="0"/>
        <w:rPr>
          <w:rFonts w:hint="eastAsia" w:eastAsia="宋体"/>
          <w:b/>
          <w:bCs w:val="0"/>
          <w:iCs w:val="0"/>
          <w:lang w:eastAsia="zh-CN"/>
        </w:rPr>
      </w:pPr>
      <w:r>
        <w:drawing>
          <wp:anchor distT="0" distB="0" distL="114300" distR="114300" simplePos="0" relativeHeight="251671552" behindDoc="0" locked="0" layoutInCell="1" allowOverlap="1">
            <wp:simplePos x="0" y="0"/>
            <wp:positionH relativeFrom="column">
              <wp:posOffset>-1905</wp:posOffset>
            </wp:positionH>
            <wp:positionV relativeFrom="paragraph">
              <wp:posOffset>31750</wp:posOffset>
            </wp:positionV>
            <wp:extent cx="5781675" cy="8026400"/>
            <wp:effectExtent l="0" t="0" r="9525" b="1270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61"/>
                    <a:stretch>
                      <a:fillRect/>
                    </a:stretch>
                  </pic:blipFill>
                  <pic:spPr>
                    <a:xfrm>
                      <a:off x="0" y="0"/>
                      <a:ext cx="5781675" cy="8026400"/>
                    </a:xfrm>
                    <a:prstGeom prst="rect">
                      <a:avLst/>
                    </a:prstGeom>
                    <a:noFill/>
                    <a:ln>
                      <a:noFill/>
                    </a:ln>
                  </pic:spPr>
                </pic:pic>
              </a:graphicData>
            </a:graphic>
          </wp:anchor>
        </w:drawing>
      </w:r>
    </w:p>
    <w:p w14:paraId="0EDBDFAB">
      <w:pPr>
        <w:keepNext w:val="0"/>
        <w:keepLines w:val="0"/>
        <w:pageBreakBefore w:val="0"/>
        <w:widowControl w:val="0"/>
        <w:kinsoku/>
        <w:wordWrap/>
        <w:overflowPunct/>
        <w:topLinePunct w:val="0"/>
        <w:autoSpaceDE/>
        <w:autoSpaceDN/>
        <w:bidi w:val="0"/>
        <w:adjustRightInd w:val="0"/>
        <w:snapToGrid w:val="0"/>
        <w:spacing w:line="480" w:lineRule="auto"/>
        <w:ind w:firstLine="0" w:firstLineChars="0"/>
        <w:jc w:val="center"/>
        <w:textAlignment w:val="auto"/>
        <w:rPr>
          <w:rFonts w:hint="eastAsia"/>
          <w:b/>
          <w:bCs w:val="0"/>
          <w:iCs w:val="0"/>
          <w:sz w:val="32"/>
          <w:szCs w:val="32"/>
          <w:lang w:val="en-US" w:eastAsia="zh-CN"/>
        </w:rPr>
      </w:pPr>
      <w:r>
        <w:rPr>
          <w:rFonts w:hint="eastAsia"/>
          <w:b/>
          <w:bCs w:val="0"/>
          <w:iCs w:val="0"/>
          <w:sz w:val="32"/>
          <w:szCs w:val="32"/>
          <w:lang w:val="en-US" w:eastAsia="zh-CN"/>
        </w:rPr>
        <w:t>关于公开建设项目环评文件等信息情况的说明</w:t>
      </w:r>
    </w:p>
    <w:p w14:paraId="55141B5B">
      <w:pPr>
        <w:bidi w:val="0"/>
        <w:rPr>
          <w:b/>
          <w:bCs w:val="0"/>
          <w:iCs w:val="0"/>
        </w:rPr>
      </w:pPr>
    </w:p>
    <w:p w14:paraId="39840FC0">
      <w:pPr>
        <w:bidi w:val="0"/>
        <w:rPr>
          <w:rFonts w:hint="eastAsia"/>
          <w:sz w:val="28"/>
          <w:szCs w:val="28"/>
        </w:rPr>
      </w:pPr>
      <w:r>
        <w:rPr>
          <w:rFonts w:hint="eastAsia"/>
          <w:sz w:val="28"/>
          <w:szCs w:val="28"/>
          <w:lang w:eastAsia="zh-CN"/>
        </w:rPr>
        <w:t>福州市福清生态环境局</w:t>
      </w:r>
      <w:r>
        <w:rPr>
          <w:rFonts w:hint="eastAsia"/>
          <w:sz w:val="28"/>
          <w:szCs w:val="28"/>
        </w:rPr>
        <w:t>：</w:t>
      </w:r>
    </w:p>
    <w:p w14:paraId="49BF9469">
      <w:pPr>
        <w:bidi w:val="0"/>
        <w:rPr>
          <w:sz w:val="28"/>
          <w:szCs w:val="28"/>
        </w:rPr>
      </w:pPr>
      <w:r>
        <w:rPr>
          <w:sz w:val="28"/>
          <w:szCs w:val="28"/>
        </w:rPr>
        <w:t>我单位已按照《</w:t>
      </w:r>
      <w:r>
        <w:rPr>
          <w:rFonts w:hint="eastAsia"/>
          <w:sz w:val="28"/>
          <w:szCs w:val="28"/>
        </w:rPr>
        <w:t>中华人民共和国环境保护法</w:t>
      </w:r>
      <w:r>
        <w:rPr>
          <w:sz w:val="28"/>
          <w:szCs w:val="28"/>
        </w:rPr>
        <w:t>》《建设项目环境影响评价信息公开机制方案》</w:t>
      </w:r>
      <w:r>
        <w:rPr>
          <w:rFonts w:hint="eastAsia"/>
          <w:sz w:val="28"/>
          <w:szCs w:val="28"/>
        </w:rPr>
        <w:t>（</w:t>
      </w:r>
      <w:r>
        <w:rPr>
          <w:sz w:val="28"/>
          <w:szCs w:val="28"/>
        </w:rPr>
        <w:t>环发</w:t>
      </w:r>
      <w:r>
        <w:rPr>
          <w:rFonts w:hint="eastAsia"/>
          <w:sz w:val="28"/>
          <w:szCs w:val="28"/>
        </w:rPr>
        <w:t>〔2015〕162号）</w:t>
      </w:r>
      <w:r>
        <w:rPr>
          <w:sz w:val="28"/>
          <w:szCs w:val="28"/>
        </w:rPr>
        <w:t>等相关规定，通过福建环保网</w:t>
      </w:r>
      <w:r>
        <w:rPr>
          <w:rFonts w:hint="eastAsia"/>
          <w:sz w:val="28"/>
          <w:szCs w:val="28"/>
        </w:rPr>
        <w:t>（</w:t>
      </w:r>
      <w:r>
        <w:rPr>
          <w:sz w:val="28"/>
          <w:szCs w:val="28"/>
        </w:rPr>
        <w:t>链接</w:t>
      </w:r>
      <w:r>
        <w:rPr>
          <w:rFonts w:hint="eastAsia"/>
          <w:sz w:val="28"/>
          <w:szCs w:val="28"/>
        </w:rPr>
        <w:t>：https://www.fjhb.org/huanping/quanben/44832.html）</w:t>
      </w:r>
      <w:r>
        <w:rPr>
          <w:sz w:val="28"/>
          <w:szCs w:val="28"/>
        </w:rPr>
        <w:t>公开建设项目环评文件等信息</w:t>
      </w:r>
      <w:r>
        <w:rPr>
          <w:rFonts w:hint="eastAsia"/>
          <w:sz w:val="28"/>
          <w:szCs w:val="28"/>
        </w:rPr>
        <w:t>（</w:t>
      </w:r>
      <w:r>
        <w:rPr>
          <w:sz w:val="28"/>
          <w:szCs w:val="28"/>
        </w:rPr>
        <w:t>具体见下图</w:t>
      </w:r>
      <w:r>
        <w:rPr>
          <w:rFonts w:hint="eastAsia"/>
          <w:sz w:val="28"/>
          <w:szCs w:val="28"/>
        </w:rPr>
        <w:t>）。</w:t>
      </w:r>
    </w:p>
    <w:p w14:paraId="1D716903">
      <w:pPr>
        <w:pStyle w:val="15"/>
        <w:bidi w:val="0"/>
        <w:jc w:val="center"/>
      </w:pPr>
      <w:r>
        <w:drawing>
          <wp:inline distT="0" distB="0" distL="114300" distR="114300">
            <wp:extent cx="5611495" cy="4184015"/>
            <wp:effectExtent l="0" t="0" r="8255" b="6985"/>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pic:cNvPicPr>
                  </pic:nvPicPr>
                  <pic:blipFill>
                    <a:blip r:embed="rId62"/>
                    <a:stretch>
                      <a:fillRect/>
                    </a:stretch>
                  </pic:blipFill>
                  <pic:spPr>
                    <a:xfrm>
                      <a:off x="0" y="0"/>
                      <a:ext cx="5611495" cy="4184015"/>
                    </a:xfrm>
                    <a:prstGeom prst="rect">
                      <a:avLst/>
                    </a:prstGeom>
                    <a:noFill/>
                    <a:ln>
                      <a:noFill/>
                    </a:ln>
                  </pic:spPr>
                </pic:pic>
              </a:graphicData>
            </a:graphic>
          </wp:inline>
        </w:drawing>
      </w:r>
    </w:p>
    <w:p w14:paraId="15966E38">
      <w:pPr>
        <w:pStyle w:val="15"/>
        <w:bidi w:val="0"/>
        <w:jc w:val="center"/>
      </w:pPr>
    </w:p>
    <w:p w14:paraId="267B60CE">
      <w:pPr>
        <w:bidi w:val="0"/>
        <w:jc w:val="right"/>
        <w:rPr>
          <w:rFonts w:hint="eastAsia"/>
          <w:sz w:val="28"/>
          <w:szCs w:val="28"/>
          <w:lang w:eastAsia="zh-CN"/>
        </w:rPr>
      </w:pPr>
      <w:r>
        <w:rPr>
          <w:rFonts w:hint="eastAsia"/>
          <w:sz w:val="28"/>
          <w:szCs w:val="28"/>
          <w:lang w:eastAsia="zh-CN"/>
        </w:rPr>
        <w:t>福清市三合电子科技有限公司</w:t>
      </w:r>
    </w:p>
    <w:p w14:paraId="3FA94CD7">
      <w:pPr>
        <w:jc w:val="right"/>
        <w:rPr>
          <w:rFonts w:hint="default" w:ascii="Times New Roman" w:hAnsi="Times New Roman" w:eastAsia="宋体" w:cs="Times New Roman"/>
          <w:b/>
          <w:bCs/>
          <w:color w:val="auto"/>
          <w:kern w:val="2"/>
          <w:szCs w:val="32"/>
          <w:lang w:val="en-US" w:eastAsia="zh-CN" w:bidi="ar-SA"/>
        </w:rPr>
      </w:pPr>
      <w:r>
        <w:rPr>
          <w:rFonts w:hint="eastAsia"/>
          <w:sz w:val="28"/>
          <w:szCs w:val="28"/>
        </w:rPr>
        <w:t>202</w:t>
      </w:r>
      <w:r>
        <w:rPr>
          <w:rFonts w:hint="eastAsia"/>
          <w:sz w:val="28"/>
          <w:szCs w:val="28"/>
          <w:lang w:val="en-US" w:eastAsia="zh-CN"/>
        </w:rPr>
        <w:t>6</w:t>
      </w:r>
      <w:r>
        <w:rPr>
          <w:rFonts w:hint="eastAsia"/>
          <w:sz w:val="28"/>
          <w:szCs w:val="28"/>
        </w:rPr>
        <w:t>年</w:t>
      </w:r>
      <w:r>
        <w:rPr>
          <w:rFonts w:hint="eastAsia"/>
          <w:sz w:val="28"/>
          <w:szCs w:val="28"/>
          <w:lang w:val="en-US" w:eastAsia="zh-CN"/>
        </w:rPr>
        <w:t>1</w:t>
      </w:r>
      <w:r>
        <w:rPr>
          <w:rFonts w:hint="eastAsia"/>
          <w:sz w:val="28"/>
          <w:szCs w:val="28"/>
        </w:rPr>
        <w:t>月</w:t>
      </w:r>
      <w:r>
        <w:rPr>
          <w:rFonts w:hint="eastAsia"/>
          <w:sz w:val="28"/>
          <w:szCs w:val="28"/>
          <w:lang w:val="en-US" w:eastAsia="zh-CN"/>
        </w:rPr>
        <w:t>20</w:t>
      </w:r>
      <w:r>
        <w:rPr>
          <w:rFonts w:hint="eastAsia"/>
          <w:sz w:val="28"/>
          <w:szCs w:val="28"/>
        </w:rPr>
        <w:t>日</w:t>
      </w:r>
      <w:r>
        <w:rPr>
          <w:rFonts w:hint="default" w:ascii="Times New Roman" w:hAnsi="Times New Roman" w:eastAsia="宋体" w:cs="Times New Roman"/>
          <w:b/>
          <w:bCs/>
          <w:color w:val="auto"/>
          <w:kern w:val="2"/>
          <w:szCs w:val="32"/>
          <w:lang w:val="en-US" w:eastAsia="zh-CN" w:bidi="ar-SA"/>
        </w:rPr>
        <w:br w:type="page"/>
      </w:r>
    </w:p>
    <w:p w14:paraId="35A87772">
      <w:pPr>
        <w:pStyle w:val="38"/>
        <w:bidi w:val="0"/>
        <w:rPr>
          <w:rFonts w:hint="default"/>
          <w:lang w:val="en-US" w:eastAsia="zh-CN"/>
        </w:rPr>
      </w:pPr>
      <w:r>
        <w:drawing>
          <wp:anchor distT="0" distB="0" distL="114300" distR="114300" simplePos="0" relativeHeight="251672576" behindDoc="0" locked="0" layoutInCell="1" allowOverlap="1">
            <wp:simplePos x="0" y="0"/>
            <wp:positionH relativeFrom="column">
              <wp:posOffset>-128905</wp:posOffset>
            </wp:positionH>
            <wp:positionV relativeFrom="paragraph">
              <wp:posOffset>264160</wp:posOffset>
            </wp:positionV>
            <wp:extent cx="5951220" cy="8459470"/>
            <wp:effectExtent l="0" t="0" r="11430" b="17780"/>
            <wp:wrapNone/>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63"/>
                    <a:stretch>
                      <a:fillRect/>
                    </a:stretch>
                  </pic:blipFill>
                  <pic:spPr>
                    <a:xfrm>
                      <a:off x="0" y="0"/>
                      <a:ext cx="5951220" cy="8459470"/>
                    </a:xfrm>
                    <a:prstGeom prst="rect">
                      <a:avLst/>
                    </a:prstGeom>
                    <a:noFill/>
                    <a:ln>
                      <a:noFill/>
                    </a:ln>
                  </pic:spPr>
                </pic:pic>
              </a:graphicData>
            </a:graphic>
          </wp:anchor>
        </w:drawing>
      </w:r>
      <w:r>
        <w:t xml:space="preserve">附件 </w:t>
      </w:r>
      <w:r>
        <w:fldChar w:fldCharType="begin"/>
      </w:r>
      <w:r>
        <w:instrText xml:space="preserve"> SEQ 附件 \* ARABIC </w:instrText>
      </w:r>
      <w:r>
        <w:fldChar w:fldCharType="separate"/>
      </w:r>
      <w:r>
        <w:t>21</w:t>
      </w:r>
      <w:r>
        <w:fldChar w:fldCharType="end"/>
      </w:r>
      <w:r>
        <w:rPr>
          <w:rFonts w:hint="default"/>
          <w:lang w:val="en-US" w:eastAsia="zh-CN"/>
        </w:rPr>
        <w:t>关于环评文件公开文本删除的涉及国家秘密、商业秘密等内容的说明</w:t>
      </w:r>
    </w:p>
    <w:p w14:paraId="7B2665D2">
      <w:pPr>
        <w:bidi w:val="0"/>
        <w:rPr>
          <w:b/>
          <w:bCs w:val="0"/>
          <w:iCs w:val="0"/>
        </w:rPr>
      </w:pPr>
    </w:p>
    <w:p w14:paraId="5F8AC372">
      <w:pPr>
        <w:keepNext w:val="0"/>
        <w:keepLines w:val="0"/>
        <w:pageBreakBefore w:val="0"/>
        <w:widowControl w:val="0"/>
        <w:kinsoku/>
        <w:wordWrap/>
        <w:overflowPunct/>
        <w:topLinePunct w:val="0"/>
        <w:autoSpaceDE/>
        <w:autoSpaceDN/>
        <w:bidi w:val="0"/>
        <w:adjustRightInd w:val="0"/>
        <w:snapToGrid w:val="0"/>
        <w:spacing w:line="480" w:lineRule="auto"/>
        <w:ind w:firstLine="0" w:firstLineChars="0"/>
        <w:jc w:val="center"/>
        <w:textAlignment w:val="auto"/>
        <w:rPr>
          <w:rFonts w:hint="eastAsia"/>
          <w:b/>
          <w:bCs w:val="0"/>
          <w:iCs w:val="0"/>
          <w:sz w:val="32"/>
          <w:szCs w:val="32"/>
          <w:lang w:val="en-US" w:eastAsia="zh-CN"/>
        </w:rPr>
      </w:pPr>
      <w:r>
        <w:rPr>
          <w:rFonts w:hint="eastAsia"/>
          <w:b/>
          <w:bCs w:val="0"/>
          <w:iCs w:val="0"/>
          <w:sz w:val="32"/>
          <w:szCs w:val="32"/>
          <w:lang w:val="en-US" w:eastAsia="zh-CN"/>
        </w:rPr>
        <w:t>关于环评文件公开文本删除的涉及国家秘密、商业秘密等内容的删除依据和理由说明</w:t>
      </w:r>
    </w:p>
    <w:p w14:paraId="3E09178A">
      <w:pPr>
        <w:bidi w:val="0"/>
        <w:spacing w:line="480" w:lineRule="auto"/>
        <w:rPr>
          <w:rFonts w:hint="eastAsia"/>
          <w:b w:val="0"/>
          <w:bCs/>
          <w:iCs w:val="0"/>
          <w:sz w:val="28"/>
          <w:szCs w:val="28"/>
          <w:lang w:val="en-US" w:eastAsia="zh-CN"/>
        </w:rPr>
      </w:pPr>
      <w:r>
        <w:rPr>
          <w:rFonts w:hint="eastAsia"/>
          <w:b w:val="0"/>
          <w:bCs/>
          <w:iCs w:val="0"/>
          <w:sz w:val="28"/>
          <w:szCs w:val="28"/>
          <w:lang w:val="en-US" w:eastAsia="zh-CN"/>
        </w:rPr>
        <w:t>福州市福清生态环境局：</w:t>
      </w:r>
    </w:p>
    <w:p w14:paraId="047CD7A8">
      <w:pPr>
        <w:bidi w:val="0"/>
        <w:spacing w:line="480" w:lineRule="auto"/>
        <w:rPr>
          <w:rFonts w:hint="eastAsia"/>
          <w:b w:val="0"/>
          <w:bCs/>
          <w:iCs w:val="0"/>
          <w:sz w:val="28"/>
          <w:szCs w:val="28"/>
          <w:lang w:val="en-US" w:eastAsia="zh-CN"/>
        </w:rPr>
      </w:pPr>
      <w:r>
        <w:rPr>
          <w:rFonts w:hint="eastAsia"/>
          <w:b w:val="0"/>
          <w:bCs/>
          <w:iCs w:val="0"/>
          <w:sz w:val="28"/>
          <w:szCs w:val="28"/>
          <w:lang w:val="en-US" w:eastAsia="zh-CN"/>
        </w:rPr>
        <w:t>我司福清市三合电子科技有限公司年加工铝合金20万套、塑胶件30万套、钣金件10万套项目已完成环境影响评价报告表编制，现报送贵局审批。我司已删除涉及国家秘密、商业秘密、个人隐私等内容（具体删除内容、删除依据详见附件）。报送贵局的环境影响评价报告表公开文本已经我司审核，我司同意对《福清市三合电子科技有限公司年加工铝合金20万套、塑胶件30万套、钣金件10万套项目环境影响评价报告表》公开文本全文进行公示，特此声明。</w:t>
      </w:r>
    </w:p>
    <w:p w14:paraId="6011960B">
      <w:pPr>
        <w:bidi w:val="0"/>
        <w:spacing w:line="480" w:lineRule="auto"/>
        <w:rPr>
          <w:rFonts w:hint="eastAsia"/>
          <w:b w:val="0"/>
          <w:bCs/>
          <w:iCs w:val="0"/>
          <w:sz w:val="28"/>
          <w:szCs w:val="28"/>
          <w:lang w:val="en-US" w:eastAsia="zh-CN"/>
        </w:rPr>
      </w:pPr>
      <w:r>
        <w:rPr>
          <w:rFonts w:hint="eastAsia"/>
          <w:b w:val="0"/>
          <w:bCs/>
          <w:iCs w:val="0"/>
          <w:sz w:val="28"/>
          <w:szCs w:val="28"/>
          <w:lang w:val="en-US" w:eastAsia="zh-CN"/>
        </w:rPr>
        <w:t>附件：关于福清市三合电子科技有限公司年加工铝合金20万套、塑胶件30万套、钣金件10万套项目的环境影响评价报告表公开文本删除内容、删除依据的说明</w:t>
      </w:r>
    </w:p>
    <w:p w14:paraId="1BEF9C30">
      <w:pPr>
        <w:bidi w:val="0"/>
      </w:pPr>
    </w:p>
    <w:p w14:paraId="34D75FC5">
      <w:pPr>
        <w:tabs>
          <w:tab w:val="left" w:pos="5920"/>
        </w:tabs>
        <w:spacing w:line="480" w:lineRule="auto"/>
        <w:jc w:val="right"/>
        <w:rPr>
          <w:b/>
          <w:bCs w:val="0"/>
          <w:iCs w:val="0"/>
          <w:color w:val="auto"/>
        </w:rPr>
      </w:pPr>
      <w:r>
        <w:rPr>
          <w:rFonts w:hint="eastAsia"/>
          <w:b/>
          <w:bCs w:val="0"/>
          <w:iCs w:val="0"/>
          <w:color w:val="auto"/>
        </w:rPr>
        <w:t>单位盖章</w:t>
      </w:r>
    </w:p>
    <w:p w14:paraId="4025FDA1">
      <w:pPr>
        <w:tabs>
          <w:tab w:val="left" w:pos="5920"/>
        </w:tabs>
        <w:spacing w:line="480" w:lineRule="auto"/>
        <w:jc w:val="right"/>
        <w:rPr>
          <w:b/>
          <w:bCs w:val="0"/>
          <w:iCs w:val="0"/>
          <w:color w:val="auto"/>
        </w:rPr>
      </w:pPr>
      <w:r>
        <w:rPr>
          <w:rFonts w:hint="eastAsia"/>
          <w:b/>
          <w:bCs w:val="0"/>
          <w:iCs w:val="0"/>
          <w:color w:val="auto"/>
        </w:rPr>
        <w:t>20</w:t>
      </w:r>
      <w:r>
        <w:rPr>
          <w:rFonts w:hint="eastAsia"/>
          <w:b/>
          <w:bCs w:val="0"/>
          <w:iCs w:val="0"/>
          <w:color w:val="auto"/>
          <w:lang w:val="en-US" w:eastAsia="zh-CN"/>
        </w:rPr>
        <w:t>26</w:t>
      </w:r>
      <w:r>
        <w:rPr>
          <w:rFonts w:hint="eastAsia"/>
          <w:b/>
          <w:bCs w:val="0"/>
          <w:iCs w:val="0"/>
          <w:color w:val="auto"/>
        </w:rPr>
        <w:t>年</w:t>
      </w:r>
      <w:r>
        <w:rPr>
          <w:rFonts w:hint="eastAsia"/>
          <w:b/>
          <w:bCs w:val="0"/>
          <w:iCs w:val="0"/>
          <w:color w:val="auto"/>
          <w:lang w:val="en-US" w:eastAsia="zh-CN"/>
        </w:rPr>
        <w:t>1</w:t>
      </w:r>
      <w:r>
        <w:rPr>
          <w:rFonts w:hint="eastAsia"/>
          <w:b/>
          <w:bCs w:val="0"/>
          <w:iCs w:val="0"/>
          <w:color w:val="auto"/>
        </w:rPr>
        <w:t>月</w:t>
      </w:r>
      <w:r>
        <w:rPr>
          <w:rFonts w:hint="eastAsia"/>
          <w:b/>
          <w:bCs w:val="0"/>
          <w:iCs w:val="0"/>
          <w:color w:val="auto"/>
          <w:lang w:val="en-US" w:eastAsia="zh-CN"/>
        </w:rPr>
        <w:t>20</w:t>
      </w:r>
      <w:r>
        <w:rPr>
          <w:rFonts w:hint="eastAsia"/>
          <w:b/>
          <w:bCs w:val="0"/>
          <w:iCs w:val="0"/>
          <w:color w:val="auto"/>
        </w:rPr>
        <w:t>日</w:t>
      </w:r>
    </w:p>
    <w:p w14:paraId="09D4E9B5">
      <w:pPr>
        <w:rPr>
          <w:rFonts w:hint="default" w:ascii="Times New Roman" w:hAnsi="Times New Roman" w:eastAsia="宋体" w:cs="Times New Roman"/>
          <w:b/>
          <w:bCs/>
          <w:color w:val="auto"/>
          <w:kern w:val="2"/>
          <w:sz w:val="32"/>
          <w:szCs w:val="32"/>
          <w:lang w:val="en-US" w:eastAsia="zh-CN" w:bidi="ar-SA"/>
        </w:rPr>
      </w:pPr>
      <w:r>
        <w:rPr>
          <w:rFonts w:hint="default" w:ascii="Times New Roman" w:hAnsi="Times New Roman" w:eastAsia="宋体" w:cs="Times New Roman"/>
          <w:b/>
          <w:bCs/>
          <w:color w:val="auto"/>
          <w:kern w:val="2"/>
          <w:sz w:val="32"/>
          <w:szCs w:val="32"/>
          <w:lang w:val="en-US" w:eastAsia="zh-CN" w:bidi="ar-SA"/>
        </w:rPr>
        <w:br w:type="page"/>
      </w:r>
    </w:p>
    <w:p w14:paraId="23290F26">
      <w:pPr>
        <w:pStyle w:val="38"/>
        <w:bidi w:val="0"/>
        <w:rPr>
          <w:rFonts w:hint="eastAsia"/>
          <w:lang w:val="en-US" w:eastAsia="zh-CN"/>
        </w:rPr>
      </w:pPr>
      <w:bookmarkStart w:id="69" w:name="_Toc2427"/>
      <w:r>
        <w:t xml:space="preserve">附件 </w:t>
      </w:r>
      <w:r>
        <w:fldChar w:fldCharType="begin"/>
      </w:r>
      <w:r>
        <w:instrText xml:space="preserve"> SEQ 附件 \* ARABIC </w:instrText>
      </w:r>
      <w:r>
        <w:fldChar w:fldCharType="separate"/>
      </w:r>
      <w:r>
        <w:t>22</w:t>
      </w:r>
      <w:r>
        <w:fldChar w:fldCharType="end"/>
      </w:r>
      <w:r>
        <w:rPr>
          <w:rFonts w:hint="eastAsia"/>
          <w:lang w:val="en-US" w:eastAsia="zh-CN"/>
        </w:rPr>
        <w:t xml:space="preserve"> 关于福清市三合电子科技有限公司年加工铝合金20万套、塑胶件30万套、钣金件10万套项目的环境影响评价报告表公开文本删除内容、删除依据的说明</w:t>
      </w:r>
      <w:bookmarkEnd w:id="69"/>
    </w:p>
    <w:p w14:paraId="73E4997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bCs/>
          <w:color w:val="000000"/>
          <w:sz w:val="32"/>
          <w:szCs w:val="32"/>
        </w:rPr>
      </w:pPr>
      <w: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614670" cy="7924800"/>
            <wp:effectExtent l="0" t="0" r="5080" b="0"/>
            <wp:wrapNone/>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64"/>
                    <a:stretch>
                      <a:fillRect/>
                    </a:stretch>
                  </pic:blipFill>
                  <pic:spPr>
                    <a:xfrm>
                      <a:off x="0" y="0"/>
                      <a:ext cx="5614670" cy="7924800"/>
                    </a:xfrm>
                    <a:prstGeom prst="rect">
                      <a:avLst/>
                    </a:prstGeom>
                    <a:noFill/>
                    <a:ln>
                      <a:noFill/>
                    </a:ln>
                  </pic:spPr>
                </pic:pic>
              </a:graphicData>
            </a:graphic>
          </wp:anchor>
        </w:drawing>
      </w:r>
      <w:r>
        <w:rPr>
          <w:rFonts w:hint="eastAsia" w:ascii="Times New Roman" w:hAnsi="Times New Roman" w:eastAsia="宋体" w:cs="Times New Roman"/>
          <w:b/>
          <w:bCs/>
          <w:color w:val="000000"/>
          <w:sz w:val="32"/>
          <w:szCs w:val="32"/>
        </w:rPr>
        <w:t>关于</w:t>
      </w:r>
      <w:r>
        <w:rPr>
          <w:rFonts w:hint="eastAsia" w:cs="Times New Roman"/>
          <w:b/>
          <w:bCs/>
          <w:color w:val="000000"/>
          <w:sz w:val="32"/>
          <w:szCs w:val="32"/>
          <w:lang w:eastAsia="zh-CN"/>
        </w:rPr>
        <w:t>福清市三合电子科技有限公司年加工铝合金20万套、塑胶件30万套、钣金件10万套项目</w:t>
      </w:r>
      <w:r>
        <w:rPr>
          <w:rFonts w:hint="eastAsia" w:ascii="Times New Roman" w:hAnsi="Times New Roman" w:eastAsia="宋体" w:cs="Times New Roman"/>
          <w:b/>
          <w:bCs/>
          <w:color w:val="000000"/>
          <w:sz w:val="32"/>
          <w:szCs w:val="32"/>
        </w:rPr>
        <w:t>的环境影响评价报告表公开文本删除内容、删除依据的说明</w:t>
      </w:r>
    </w:p>
    <w:p w14:paraId="31CCA625">
      <w:pPr>
        <w:tabs>
          <w:tab w:val="left" w:pos="5920"/>
        </w:tabs>
        <w:spacing w:line="480" w:lineRule="auto"/>
        <w:ind w:firstLine="482" w:firstLineChars="200"/>
        <w:rPr>
          <w:b/>
          <w:bCs w:val="0"/>
          <w:iCs w:val="0"/>
          <w:color w:val="auto"/>
        </w:rPr>
      </w:pPr>
    </w:p>
    <w:p w14:paraId="78E96178">
      <w:pPr>
        <w:tabs>
          <w:tab w:val="left" w:pos="5920"/>
        </w:tabs>
        <w:spacing w:line="480" w:lineRule="auto"/>
        <w:ind w:firstLine="560" w:firstLineChars="200"/>
        <w:rPr>
          <w:b w:val="0"/>
          <w:bCs/>
          <w:iCs w:val="0"/>
          <w:color w:val="auto"/>
          <w:sz w:val="28"/>
          <w:szCs w:val="28"/>
        </w:rPr>
      </w:pPr>
      <w:r>
        <w:rPr>
          <w:rFonts w:hint="eastAsia"/>
          <w:b w:val="0"/>
          <w:bCs/>
          <w:iCs w:val="0"/>
          <w:color w:val="auto"/>
          <w:sz w:val="28"/>
          <w:szCs w:val="28"/>
        </w:rPr>
        <w:t>我司</w:t>
      </w:r>
      <w:r>
        <w:rPr>
          <w:rFonts w:hint="eastAsia"/>
          <w:b w:val="0"/>
          <w:bCs/>
          <w:iCs w:val="0"/>
          <w:color w:val="auto"/>
          <w:sz w:val="28"/>
          <w:szCs w:val="28"/>
          <w:lang w:eastAsia="zh-CN"/>
        </w:rPr>
        <w:t>福清市三合电子科技有限公司年加工铝合金20万套、塑胶件30万套、钣金件10万套项目</w:t>
      </w:r>
      <w:r>
        <w:rPr>
          <w:rFonts w:hint="eastAsia"/>
          <w:b w:val="0"/>
          <w:bCs/>
          <w:iCs w:val="0"/>
          <w:color w:val="auto"/>
          <w:sz w:val="28"/>
          <w:szCs w:val="28"/>
        </w:rPr>
        <w:t>的环境影响评价报告表部分内容涉及国家秘密、商业秘密、个人隐私等内容，我司删除了环境影响评价报告表中相应内容具体删除内容和删除依据如下：</w:t>
      </w:r>
    </w:p>
    <w:p w14:paraId="7FA7E7F4">
      <w:pPr>
        <w:tabs>
          <w:tab w:val="left" w:pos="5920"/>
        </w:tabs>
        <w:spacing w:line="480" w:lineRule="auto"/>
        <w:ind w:firstLine="560" w:firstLineChars="200"/>
        <w:rPr>
          <w:b w:val="0"/>
          <w:bCs/>
          <w:iCs w:val="0"/>
          <w:color w:val="auto"/>
          <w:sz w:val="28"/>
          <w:szCs w:val="28"/>
        </w:rPr>
      </w:pPr>
      <w:r>
        <w:rPr>
          <w:rFonts w:hint="eastAsia"/>
          <w:b w:val="0"/>
          <w:bCs/>
          <w:iCs w:val="0"/>
          <w:color w:val="auto"/>
          <w:sz w:val="28"/>
          <w:szCs w:val="28"/>
        </w:rPr>
        <w:t>1、删除附图、附件部分，删除理由：涉及商业秘密及个人隐私；</w:t>
      </w:r>
    </w:p>
    <w:p w14:paraId="0A92D50A">
      <w:pPr>
        <w:tabs>
          <w:tab w:val="left" w:pos="5920"/>
        </w:tabs>
        <w:spacing w:line="480" w:lineRule="auto"/>
        <w:ind w:firstLine="560" w:firstLineChars="200"/>
        <w:rPr>
          <w:b w:val="0"/>
          <w:bCs/>
          <w:iCs w:val="0"/>
          <w:color w:val="auto"/>
          <w:sz w:val="28"/>
          <w:szCs w:val="28"/>
        </w:rPr>
      </w:pPr>
      <w:r>
        <w:rPr>
          <w:rFonts w:hint="eastAsia"/>
          <w:b w:val="0"/>
          <w:bCs/>
          <w:iCs w:val="0"/>
          <w:color w:val="auto"/>
          <w:sz w:val="28"/>
          <w:szCs w:val="28"/>
        </w:rPr>
        <w:t>2、删除建设单位联系方式，删除理由：涉及个人隐私；</w:t>
      </w:r>
    </w:p>
    <w:p w14:paraId="20E45D72">
      <w:pPr>
        <w:tabs>
          <w:tab w:val="left" w:pos="5920"/>
        </w:tabs>
        <w:spacing w:line="480" w:lineRule="auto"/>
        <w:ind w:firstLine="560" w:firstLineChars="200"/>
        <w:rPr>
          <w:b w:val="0"/>
          <w:bCs/>
          <w:iCs w:val="0"/>
          <w:color w:val="auto"/>
          <w:sz w:val="28"/>
          <w:szCs w:val="28"/>
        </w:rPr>
      </w:pPr>
      <w:r>
        <w:rPr>
          <w:rFonts w:hint="eastAsia"/>
          <w:b w:val="0"/>
          <w:bCs/>
          <w:iCs w:val="0"/>
          <w:color w:val="auto"/>
          <w:sz w:val="28"/>
          <w:szCs w:val="28"/>
        </w:rPr>
        <w:t>3、删除项目编制单位统一社会信用代码及编制主持人证书编号、信用编号等，删除理由：涉及商业秘密及个人隐私。</w:t>
      </w:r>
    </w:p>
    <w:p w14:paraId="726CF9B4">
      <w:pPr>
        <w:tabs>
          <w:tab w:val="left" w:pos="5920"/>
        </w:tabs>
        <w:spacing w:line="480" w:lineRule="auto"/>
        <w:ind w:firstLine="482" w:firstLineChars="200"/>
        <w:rPr>
          <w:b/>
          <w:bCs w:val="0"/>
          <w:iCs w:val="0"/>
          <w:color w:val="auto"/>
        </w:rPr>
      </w:pPr>
    </w:p>
    <w:p w14:paraId="196ACA7F">
      <w:pPr>
        <w:tabs>
          <w:tab w:val="left" w:pos="5920"/>
        </w:tabs>
        <w:spacing w:line="480" w:lineRule="auto"/>
        <w:ind w:firstLine="482" w:firstLineChars="200"/>
        <w:rPr>
          <w:b/>
          <w:bCs w:val="0"/>
          <w:iCs w:val="0"/>
          <w:color w:val="auto"/>
        </w:rPr>
      </w:pPr>
    </w:p>
    <w:p w14:paraId="7AB247B3">
      <w:pPr>
        <w:tabs>
          <w:tab w:val="left" w:pos="5920"/>
        </w:tabs>
        <w:spacing w:line="480" w:lineRule="auto"/>
        <w:jc w:val="right"/>
        <w:rPr>
          <w:b/>
          <w:bCs w:val="0"/>
          <w:iCs w:val="0"/>
          <w:color w:val="auto"/>
        </w:rPr>
      </w:pPr>
      <w:r>
        <w:rPr>
          <w:rFonts w:hint="eastAsia"/>
          <w:b/>
          <w:bCs w:val="0"/>
          <w:iCs w:val="0"/>
          <w:color w:val="auto"/>
        </w:rPr>
        <w:t>单位盖章</w:t>
      </w:r>
    </w:p>
    <w:p w14:paraId="121F635F">
      <w:pPr>
        <w:tabs>
          <w:tab w:val="left" w:pos="5920"/>
        </w:tabs>
        <w:spacing w:line="480" w:lineRule="auto"/>
        <w:jc w:val="right"/>
        <w:rPr>
          <w:rFonts w:hint="default" w:ascii="Times New Roman" w:hAnsi="Times New Roman" w:eastAsia="宋体" w:cs="Times New Roman"/>
          <w:b/>
          <w:bCs/>
          <w:color w:val="auto"/>
          <w:kern w:val="2"/>
          <w:sz w:val="32"/>
          <w:szCs w:val="32"/>
          <w:lang w:val="en-US" w:eastAsia="zh-CN" w:bidi="ar-SA"/>
        </w:rPr>
      </w:pPr>
      <w:r>
        <w:rPr>
          <w:rFonts w:hint="eastAsia"/>
          <w:b/>
          <w:bCs w:val="0"/>
          <w:iCs w:val="0"/>
          <w:color w:val="auto"/>
          <w:lang w:eastAsia="zh-CN"/>
        </w:rPr>
        <w:t>2026年1月</w:t>
      </w:r>
      <w:r>
        <w:rPr>
          <w:rFonts w:hint="eastAsia"/>
          <w:b/>
          <w:bCs w:val="0"/>
          <w:iCs w:val="0"/>
          <w:color w:val="auto"/>
          <w:lang w:val="en-US" w:eastAsia="zh-CN"/>
        </w:rPr>
        <w:t>20</w:t>
      </w:r>
      <w:r>
        <w:rPr>
          <w:rFonts w:hint="eastAsia"/>
          <w:b/>
          <w:bCs w:val="0"/>
          <w:iCs w:val="0"/>
          <w:color w:val="auto"/>
          <w:lang w:eastAsia="zh-CN"/>
        </w:rPr>
        <w:t>日</w:t>
      </w:r>
    </w:p>
    <w:sectPr>
      <w:headerReference r:id="rId13" w:type="default"/>
      <w:pgSz w:w="11906" w:h="16838"/>
      <w:pgMar w:top="1418"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342AD">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BE63C">
    <w:pPr>
      <w:tabs>
        <w:tab w:val="center" w:pos="4153"/>
        <w:tab w:val="right" w:pos="8306"/>
      </w:tabs>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5EE765">
                          <w:pPr>
                            <w:tabs>
                              <w:tab w:val="center" w:pos="4153"/>
                              <w:tab w:val="right" w:pos="8306"/>
                            </w:tabs>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42</w:t>
                          </w:r>
                          <w:r>
                            <w:rPr>
                              <w:rStyle w:val="34"/>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1RLQazAEAAJ4DAAAOAAAAAAAAAAEAIAAAAB4BAABkcnMvZTJv&#10;RG9jLnhtbFBLBQYAAAAABgAGAFkBAABcBQAAAAA=&#10;">
              <v:fill on="f" focussize="0,0"/>
              <v:stroke on="f"/>
              <v:imagedata o:title=""/>
              <o:lock v:ext="edit" aspectratio="f"/>
              <v:textbox inset="0mm,0mm,0mm,0mm" style="mso-fit-shape-to-text:t;">
                <w:txbxContent>
                  <w:p w14:paraId="0D5EE765">
                    <w:pPr>
                      <w:tabs>
                        <w:tab w:val="center" w:pos="4153"/>
                        <w:tab w:val="right" w:pos="8306"/>
                      </w:tabs>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42</w:t>
                    </w:r>
                    <w:r>
                      <w:rPr>
                        <w:rStyle w:val="34"/>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4695E">
    <w:pPr>
      <w:tabs>
        <w:tab w:val="center" w:pos="4153"/>
        <w:tab w:val="right" w:pos="8306"/>
      </w:tabs>
      <w:ind w:right="360"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0F3A2C">
                          <w:pPr>
                            <w:tabs>
                              <w:tab w:val="center" w:pos="4153"/>
                              <w:tab w:val="right" w:pos="8306"/>
                            </w:tabs>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42</w:t>
                          </w:r>
                          <w:r>
                            <w:rPr>
                              <w:rStyle w:val="34"/>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NfJEczAEAAJ0DAAAOAAAAAAAAAAEAIAAAAB4BAABkcnMvZTJv&#10;RG9jLnhtbFBLBQYAAAAABgAGAFkBAABcBQAAAAA=&#10;">
              <v:fill on="f" focussize="0,0"/>
              <v:stroke on="f"/>
              <v:imagedata o:title=""/>
              <o:lock v:ext="edit" aspectratio="f"/>
              <v:textbox inset="0mm,0mm,0mm,0mm" style="mso-fit-shape-to-text:t;">
                <w:txbxContent>
                  <w:p w14:paraId="6B0F3A2C">
                    <w:pPr>
                      <w:tabs>
                        <w:tab w:val="center" w:pos="4153"/>
                        <w:tab w:val="right" w:pos="8306"/>
                      </w:tabs>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42</w:t>
                    </w:r>
                    <w:r>
                      <w:rPr>
                        <w:rStyle w:val="34"/>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5368B">
    <w:pPr>
      <w:tabs>
        <w:tab w:val="center" w:pos="4153"/>
        <w:tab w:val="right" w:pos="8306"/>
      </w:tabs>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9D12D6">
                          <w:pPr>
                            <w:tabs>
                              <w:tab w:val="center" w:pos="4153"/>
                              <w:tab w:val="right" w:pos="8306"/>
                            </w:tabs>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50</w:t>
                          </w:r>
                          <w:r>
                            <w:rPr>
                              <w:rStyle w:val="34"/>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HWbur4QEAAMMDAAAOAAAA&#10;AAAAAAEAIAAAAB4BAABkcnMvZTJvRG9jLnhtbFBLBQYAAAAABgAGAFkBAABxBQAAAAA=&#10;">
              <v:fill on="f" focussize="0,0"/>
              <v:stroke on="f"/>
              <v:imagedata o:title=""/>
              <o:lock v:ext="edit" aspectratio="f"/>
              <v:textbox inset="0mm,0mm,0mm,0mm" style="mso-fit-shape-to-text:t;">
                <w:txbxContent>
                  <w:p w14:paraId="269D12D6">
                    <w:pPr>
                      <w:tabs>
                        <w:tab w:val="center" w:pos="4153"/>
                        <w:tab w:val="right" w:pos="8306"/>
                      </w:tabs>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50</w:t>
                    </w:r>
                    <w:r>
                      <w:rPr>
                        <w:rStyle w:val="34"/>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6FC33">
    <w:pPr>
      <w:tabs>
        <w:tab w:val="center" w:pos="4153"/>
        <w:tab w:val="right" w:pos="8306"/>
      </w:tabs>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DB1E44">
                          <w:pPr>
                            <w:tabs>
                              <w:tab w:val="center" w:pos="4153"/>
                              <w:tab w:val="right" w:pos="8306"/>
                            </w:tabs>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69</w:t>
                          </w:r>
                          <w:r>
                            <w:rPr>
                              <w:rStyle w:val="34"/>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1hLwouIBAADDAwAADgAA&#10;AAAAAAABACAAAAAeAQAAZHJzL2Uyb0RvYy54bWxQSwUGAAAAAAYABgBZAQAAcgUAAAAA&#10;">
              <v:fill on="f" focussize="0,0"/>
              <v:stroke on="f"/>
              <v:imagedata o:title=""/>
              <o:lock v:ext="edit" aspectratio="f"/>
              <v:textbox inset="0mm,0mm,0mm,0mm" style="mso-fit-shape-to-text:t;">
                <w:txbxContent>
                  <w:p w14:paraId="02DB1E44">
                    <w:pPr>
                      <w:tabs>
                        <w:tab w:val="center" w:pos="4153"/>
                        <w:tab w:val="right" w:pos="8306"/>
                      </w:tabs>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Style w:val="34"/>
                        <w:rFonts w:ascii="宋体" w:hAnsi="宋体"/>
                        <w:sz w:val="26"/>
                        <w:szCs w:val="26"/>
                      </w:rPr>
                      <w:fldChar w:fldCharType="begin"/>
                    </w:r>
                    <w:r>
                      <w:rPr>
                        <w:rStyle w:val="34"/>
                        <w:rFonts w:ascii="宋体" w:hAnsi="宋体"/>
                        <w:sz w:val="26"/>
                        <w:szCs w:val="26"/>
                      </w:rPr>
                      <w:instrText xml:space="preserve">PAGE  </w:instrText>
                    </w:r>
                    <w:r>
                      <w:rPr>
                        <w:rStyle w:val="34"/>
                        <w:rFonts w:ascii="宋体" w:hAnsi="宋体"/>
                        <w:sz w:val="26"/>
                        <w:szCs w:val="26"/>
                      </w:rPr>
                      <w:fldChar w:fldCharType="separate"/>
                    </w:r>
                    <w:r>
                      <w:rPr>
                        <w:rStyle w:val="34"/>
                        <w:rFonts w:ascii="宋体" w:hAnsi="宋体"/>
                        <w:sz w:val="26"/>
                        <w:szCs w:val="26"/>
                      </w:rPr>
                      <w:t>69</w:t>
                    </w:r>
                    <w:r>
                      <w:rPr>
                        <w:rStyle w:val="34"/>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34AF0">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357E0">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9A35C">
    <w:pPr>
      <w:pBdr>
        <w:bottom w:val="none" w:color="auto" w:sz="0" w:space="0"/>
      </w:pBdr>
      <w:tabs>
        <w:tab w:val="center" w:pos="4153"/>
        <w:tab w:val="right" w:pos="83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FA065">
    <w:pPr>
      <w:pBdr>
        <w:bottom w:val="none" w:color="auto" w:sz="0" w:space="0"/>
      </w:pBd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DED8F0"/>
    <w:multiLevelType w:val="multilevel"/>
    <w:tmpl w:val="CDDED8F0"/>
    <w:lvl w:ilvl="0" w:tentative="0">
      <w:start w:val="1"/>
      <w:numFmt w:val="chineseCounting"/>
      <w:pStyle w:val="2"/>
      <w:suff w:val="space"/>
      <w:lvlText w:val="%1、"/>
      <w:lvlJc w:val="center"/>
      <w:pPr>
        <w:tabs>
          <w:tab w:val="left" w:pos="420"/>
        </w:tabs>
        <w:ind w:left="0" w:leftChars="0" w:firstLine="0" w:firstLineChars="0"/>
      </w:pPr>
      <w:rPr>
        <w:rFonts w:hint="eastAsia"/>
      </w:rPr>
    </w:lvl>
    <w:lvl w:ilvl="1" w:tentative="0">
      <w:start w:val="1"/>
      <w:numFmt w:val="decimal"/>
      <w:pStyle w:val="3"/>
      <w:isLgl/>
      <w:suff w:val="space"/>
      <w:lvlText w:val="%1.%2."/>
      <w:lvlJc w:val="left"/>
      <w:pPr>
        <w:tabs>
          <w:tab w:val="left" w:pos="420"/>
        </w:tabs>
        <w:ind w:left="0" w:leftChars="0" w:firstLine="0" w:firstLineChars="0"/>
      </w:pPr>
      <w:rPr>
        <w:rFonts w:hint="eastAsia"/>
      </w:rPr>
    </w:lvl>
    <w:lvl w:ilvl="2" w:tentative="0">
      <w:start w:val="1"/>
      <w:numFmt w:val="decimal"/>
      <w:pStyle w:val="4"/>
      <w:isLgl/>
      <w:suff w:val="space"/>
      <w:lvlText w:val="%1.%2.%3."/>
      <w:lvlJc w:val="left"/>
      <w:pPr>
        <w:tabs>
          <w:tab w:val="left" w:pos="420"/>
        </w:tabs>
        <w:ind w:left="0" w:leftChars="0" w:firstLine="0" w:firstLineChars="0"/>
      </w:pPr>
      <w:rPr>
        <w:rFonts w:hint="eastAsia"/>
      </w:rPr>
    </w:lvl>
    <w:lvl w:ilvl="3" w:tentative="0">
      <w:start w:val="1"/>
      <w:numFmt w:val="decimal"/>
      <w:pStyle w:val="5"/>
      <w:isLgl/>
      <w:suff w:val="space"/>
      <w:lvlText w:val="%1.%2.%3.%4."/>
      <w:lvlJc w:val="left"/>
      <w:pPr>
        <w:tabs>
          <w:tab w:val="left" w:pos="420"/>
        </w:tabs>
        <w:ind w:left="0" w:leftChars="0" w:firstLine="0" w:firstLineChars="0"/>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1" w:hanging="1151"/>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jYmE2OWUyYzkyNDcwZmUwOWVkM2M4NWIyM2NmYWIifQ=="/>
  </w:docVars>
  <w:rsids>
    <w:rsidRoot w:val="00A14947"/>
    <w:rsid w:val="0000199A"/>
    <w:rsid w:val="000060B3"/>
    <w:rsid w:val="000114F5"/>
    <w:rsid w:val="0001247C"/>
    <w:rsid w:val="0002117A"/>
    <w:rsid w:val="00030C12"/>
    <w:rsid w:val="00036739"/>
    <w:rsid w:val="0004364B"/>
    <w:rsid w:val="00051D49"/>
    <w:rsid w:val="00053469"/>
    <w:rsid w:val="000542AE"/>
    <w:rsid w:val="00055863"/>
    <w:rsid w:val="000568CA"/>
    <w:rsid w:val="00061B1F"/>
    <w:rsid w:val="00067AFC"/>
    <w:rsid w:val="000733C4"/>
    <w:rsid w:val="00074783"/>
    <w:rsid w:val="000767FF"/>
    <w:rsid w:val="0008070B"/>
    <w:rsid w:val="000810AC"/>
    <w:rsid w:val="00081A02"/>
    <w:rsid w:val="00082231"/>
    <w:rsid w:val="00085BF9"/>
    <w:rsid w:val="00092D38"/>
    <w:rsid w:val="0009377B"/>
    <w:rsid w:val="00094BF4"/>
    <w:rsid w:val="000A20C9"/>
    <w:rsid w:val="000B0385"/>
    <w:rsid w:val="000B058F"/>
    <w:rsid w:val="000B0E7A"/>
    <w:rsid w:val="000B348A"/>
    <w:rsid w:val="000B4467"/>
    <w:rsid w:val="000B4DB9"/>
    <w:rsid w:val="000C09AC"/>
    <w:rsid w:val="000C2DD0"/>
    <w:rsid w:val="000C5BA7"/>
    <w:rsid w:val="000C767F"/>
    <w:rsid w:val="000D0B87"/>
    <w:rsid w:val="000D5A44"/>
    <w:rsid w:val="000D61D1"/>
    <w:rsid w:val="000E0BE2"/>
    <w:rsid w:val="000E3ED2"/>
    <w:rsid w:val="000E58D2"/>
    <w:rsid w:val="000F3CA0"/>
    <w:rsid w:val="000F5319"/>
    <w:rsid w:val="000F59B7"/>
    <w:rsid w:val="00100CB3"/>
    <w:rsid w:val="001043CB"/>
    <w:rsid w:val="0012173C"/>
    <w:rsid w:val="00123E51"/>
    <w:rsid w:val="001269C3"/>
    <w:rsid w:val="00131F42"/>
    <w:rsid w:val="001357F1"/>
    <w:rsid w:val="00135EFD"/>
    <w:rsid w:val="00140FA8"/>
    <w:rsid w:val="00142FEB"/>
    <w:rsid w:val="00143A2D"/>
    <w:rsid w:val="00144649"/>
    <w:rsid w:val="00145A41"/>
    <w:rsid w:val="00151675"/>
    <w:rsid w:val="00152CD9"/>
    <w:rsid w:val="00157435"/>
    <w:rsid w:val="001669D4"/>
    <w:rsid w:val="00173DD5"/>
    <w:rsid w:val="0017504D"/>
    <w:rsid w:val="0017594B"/>
    <w:rsid w:val="001759E2"/>
    <w:rsid w:val="0017671A"/>
    <w:rsid w:val="00177422"/>
    <w:rsid w:val="0018103D"/>
    <w:rsid w:val="0018166E"/>
    <w:rsid w:val="0018321C"/>
    <w:rsid w:val="001842F5"/>
    <w:rsid w:val="001843C1"/>
    <w:rsid w:val="00184590"/>
    <w:rsid w:val="001870D1"/>
    <w:rsid w:val="0018781E"/>
    <w:rsid w:val="0019105C"/>
    <w:rsid w:val="0019262D"/>
    <w:rsid w:val="001936DE"/>
    <w:rsid w:val="001A1B35"/>
    <w:rsid w:val="001A48A2"/>
    <w:rsid w:val="001A6F61"/>
    <w:rsid w:val="001B6748"/>
    <w:rsid w:val="001B72B8"/>
    <w:rsid w:val="001C5CAE"/>
    <w:rsid w:val="001C69B3"/>
    <w:rsid w:val="001C6A55"/>
    <w:rsid w:val="001D0FE1"/>
    <w:rsid w:val="001D2062"/>
    <w:rsid w:val="001D5595"/>
    <w:rsid w:val="001D7874"/>
    <w:rsid w:val="001D79E4"/>
    <w:rsid w:val="001D7F22"/>
    <w:rsid w:val="001E7F9E"/>
    <w:rsid w:val="001F0F17"/>
    <w:rsid w:val="001F3347"/>
    <w:rsid w:val="001F3D44"/>
    <w:rsid w:val="001F4CAA"/>
    <w:rsid w:val="001F69E4"/>
    <w:rsid w:val="00200A45"/>
    <w:rsid w:val="00204113"/>
    <w:rsid w:val="00205FF4"/>
    <w:rsid w:val="00206696"/>
    <w:rsid w:val="00211806"/>
    <w:rsid w:val="002125B4"/>
    <w:rsid w:val="002155B8"/>
    <w:rsid w:val="00215F0D"/>
    <w:rsid w:val="00224839"/>
    <w:rsid w:val="002249B2"/>
    <w:rsid w:val="00226574"/>
    <w:rsid w:val="002266BE"/>
    <w:rsid w:val="002278EC"/>
    <w:rsid w:val="0023280E"/>
    <w:rsid w:val="00232DAB"/>
    <w:rsid w:val="002377D1"/>
    <w:rsid w:val="00244A4F"/>
    <w:rsid w:val="002506BC"/>
    <w:rsid w:val="00254345"/>
    <w:rsid w:val="00261929"/>
    <w:rsid w:val="00263439"/>
    <w:rsid w:val="00264557"/>
    <w:rsid w:val="00267F1B"/>
    <w:rsid w:val="00276D13"/>
    <w:rsid w:val="00277F41"/>
    <w:rsid w:val="002805AB"/>
    <w:rsid w:val="00281217"/>
    <w:rsid w:val="002838C1"/>
    <w:rsid w:val="00284204"/>
    <w:rsid w:val="00291773"/>
    <w:rsid w:val="00296862"/>
    <w:rsid w:val="00297671"/>
    <w:rsid w:val="002A168C"/>
    <w:rsid w:val="002A1EF1"/>
    <w:rsid w:val="002A3DC7"/>
    <w:rsid w:val="002A655D"/>
    <w:rsid w:val="002A6702"/>
    <w:rsid w:val="002B49E2"/>
    <w:rsid w:val="002B7B00"/>
    <w:rsid w:val="002B7C44"/>
    <w:rsid w:val="002C2B17"/>
    <w:rsid w:val="002D3DD0"/>
    <w:rsid w:val="002D7057"/>
    <w:rsid w:val="002E1BD0"/>
    <w:rsid w:val="002E1EFE"/>
    <w:rsid w:val="002E1F3A"/>
    <w:rsid w:val="002E298A"/>
    <w:rsid w:val="002E3845"/>
    <w:rsid w:val="002E6575"/>
    <w:rsid w:val="002F4FDD"/>
    <w:rsid w:val="00301978"/>
    <w:rsid w:val="0030332C"/>
    <w:rsid w:val="003051C2"/>
    <w:rsid w:val="00312296"/>
    <w:rsid w:val="00314F0E"/>
    <w:rsid w:val="00321D8E"/>
    <w:rsid w:val="00325928"/>
    <w:rsid w:val="00332512"/>
    <w:rsid w:val="00332863"/>
    <w:rsid w:val="00333428"/>
    <w:rsid w:val="0033684D"/>
    <w:rsid w:val="00337B42"/>
    <w:rsid w:val="00341B42"/>
    <w:rsid w:val="0034348F"/>
    <w:rsid w:val="0034722C"/>
    <w:rsid w:val="00356653"/>
    <w:rsid w:val="0035743F"/>
    <w:rsid w:val="00357BE2"/>
    <w:rsid w:val="003606CA"/>
    <w:rsid w:val="0036170C"/>
    <w:rsid w:val="00362CB5"/>
    <w:rsid w:val="003643F6"/>
    <w:rsid w:val="00366E0F"/>
    <w:rsid w:val="00367A6C"/>
    <w:rsid w:val="00372924"/>
    <w:rsid w:val="00381A72"/>
    <w:rsid w:val="00384676"/>
    <w:rsid w:val="00387CC3"/>
    <w:rsid w:val="00390857"/>
    <w:rsid w:val="0039119D"/>
    <w:rsid w:val="003A1AF0"/>
    <w:rsid w:val="003A3AD8"/>
    <w:rsid w:val="003A4BF3"/>
    <w:rsid w:val="003A7AFB"/>
    <w:rsid w:val="003B420D"/>
    <w:rsid w:val="003C03FD"/>
    <w:rsid w:val="003C1000"/>
    <w:rsid w:val="003C67FF"/>
    <w:rsid w:val="003C6C16"/>
    <w:rsid w:val="003D38AF"/>
    <w:rsid w:val="003D794D"/>
    <w:rsid w:val="003E3058"/>
    <w:rsid w:val="003E43AC"/>
    <w:rsid w:val="003E76A9"/>
    <w:rsid w:val="003F0809"/>
    <w:rsid w:val="003F6A8C"/>
    <w:rsid w:val="003F755C"/>
    <w:rsid w:val="00404063"/>
    <w:rsid w:val="00406F01"/>
    <w:rsid w:val="00416D50"/>
    <w:rsid w:val="00416FD5"/>
    <w:rsid w:val="00417772"/>
    <w:rsid w:val="00420E6A"/>
    <w:rsid w:val="0042540D"/>
    <w:rsid w:val="00425A9E"/>
    <w:rsid w:val="00425E35"/>
    <w:rsid w:val="00426D6B"/>
    <w:rsid w:val="00431E6C"/>
    <w:rsid w:val="00433CE7"/>
    <w:rsid w:val="004412B6"/>
    <w:rsid w:val="00442B61"/>
    <w:rsid w:val="004456DF"/>
    <w:rsid w:val="00452738"/>
    <w:rsid w:val="00453B15"/>
    <w:rsid w:val="00453C55"/>
    <w:rsid w:val="00456091"/>
    <w:rsid w:val="00460F99"/>
    <w:rsid w:val="00465B41"/>
    <w:rsid w:val="00466321"/>
    <w:rsid w:val="00470423"/>
    <w:rsid w:val="004739B5"/>
    <w:rsid w:val="004755CD"/>
    <w:rsid w:val="0048461E"/>
    <w:rsid w:val="00484B9B"/>
    <w:rsid w:val="004855F6"/>
    <w:rsid w:val="0048661E"/>
    <w:rsid w:val="00494670"/>
    <w:rsid w:val="004947DD"/>
    <w:rsid w:val="0049549E"/>
    <w:rsid w:val="004A2AF6"/>
    <w:rsid w:val="004A3823"/>
    <w:rsid w:val="004A3BF4"/>
    <w:rsid w:val="004A4952"/>
    <w:rsid w:val="004A57E4"/>
    <w:rsid w:val="004A5E1B"/>
    <w:rsid w:val="004B1FCC"/>
    <w:rsid w:val="004B7914"/>
    <w:rsid w:val="004D0AEA"/>
    <w:rsid w:val="004E569C"/>
    <w:rsid w:val="004E64FE"/>
    <w:rsid w:val="004E6946"/>
    <w:rsid w:val="004E7092"/>
    <w:rsid w:val="004F1AD8"/>
    <w:rsid w:val="004F4418"/>
    <w:rsid w:val="005031BF"/>
    <w:rsid w:val="005039CB"/>
    <w:rsid w:val="0050558F"/>
    <w:rsid w:val="00506286"/>
    <w:rsid w:val="00506B47"/>
    <w:rsid w:val="00510813"/>
    <w:rsid w:val="00510D4F"/>
    <w:rsid w:val="00511990"/>
    <w:rsid w:val="00511DE0"/>
    <w:rsid w:val="00514870"/>
    <w:rsid w:val="00514B9B"/>
    <w:rsid w:val="00515F68"/>
    <w:rsid w:val="00517F02"/>
    <w:rsid w:val="00522525"/>
    <w:rsid w:val="00524303"/>
    <w:rsid w:val="00524EFB"/>
    <w:rsid w:val="005258A2"/>
    <w:rsid w:val="0052747E"/>
    <w:rsid w:val="00530A7E"/>
    <w:rsid w:val="005401AE"/>
    <w:rsid w:val="00542E07"/>
    <w:rsid w:val="00545424"/>
    <w:rsid w:val="00554A7B"/>
    <w:rsid w:val="0055572C"/>
    <w:rsid w:val="00555D04"/>
    <w:rsid w:val="00560AE4"/>
    <w:rsid w:val="0056106A"/>
    <w:rsid w:val="00563B4E"/>
    <w:rsid w:val="005720AE"/>
    <w:rsid w:val="00573434"/>
    <w:rsid w:val="00582F0F"/>
    <w:rsid w:val="00586FEC"/>
    <w:rsid w:val="00594D77"/>
    <w:rsid w:val="005969E4"/>
    <w:rsid w:val="005A06B7"/>
    <w:rsid w:val="005A1759"/>
    <w:rsid w:val="005A63D1"/>
    <w:rsid w:val="005A68A7"/>
    <w:rsid w:val="005B020B"/>
    <w:rsid w:val="005B2720"/>
    <w:rsid w:val="005B2AC7"/>
    <w:rsid w:val="005C20C2"/>
    <w:rsid w:val="005C6AE8"/>
    <w:rsid w:val="005D1D74"/>
    <w:rsid w:val="005D2454"/>
    <w:rsid w:val="005D2D5D"/>
    <w:rsid w:val="005D36AB"/>
    <w:rsid w:val="005D6415"/>
    <w:rsid w:val="005F3911"/>
    <w:rsid w:val="0060344D"/>
    <w:rsid w:val="006049A7"/>
    <w:rsid w:val="00606437"/>
    <w:rsid w:val="006153D8"/>
    <w:rsid w:val="00617CC3"/>
    <w:rsid w:val="00625E0D"/>
    <w:rsid w:val="006377A6"/>
    <w:rsid w:val="00637A3D"/>
    <w:rsid w:val="006411EF"/>
    <w:rsid w:val="006427FA"/>
    <w:rsid w:val="006522F9"/>
    <w:rsid w:val="00662A20"/>
    <w:rsid w:val="00672BDC"/>
    <w:rsid w:val="00673689"/>
    <w:rsid w:val="006748B8"/>
    <w:rsid w:val="006775C3"/>
    <w:rsid w:val="0069290A"/>
    <w:rsid w:val="0069432F"/>
    <w:rsid w:val="00696FF5"/>
    <w:rsid w:val="0069775A"/>
    <w:rsid w:val="00697813"/>
    <w:rsid w:val="006A19DA"/>
    <w:rsid w:val="006A3EE8"/>
    <w:rsid w:val="006A4E8F"/>
    <w:rsid w:val="006A72BF"/>
    <w:rsid w:val="006B03F2"/>
    <w:rsid w:val="006B2E90"/>
    <w:rsid w:val="006B37DC"/>
    <w:rsid w:val="006B4F68"/>
    <w:rsid w:val="006C01D8"/>
    <w:rsid w:val="006C0592"/>
    <w:rsid w:val="006C272E"/>
    <w:rsid w:val="006C5479"/>
    <w:rsid w:val="006C6E94"/>
    <w:rsid w:val="006C77C0"/>
    <w:rsid w:val="006D0479"/>
    <w:rsid w:val="006D13B5"/>
    <w:rsid w:val="006D1BA5"/>
    <w:rsid w:val="006E12FF"/>
    <w:rsid w:val="006E607E"/>
    <w:rsid w:val="006E75F6"/>
    <w:rsid w:val="006F0FAC"/>
    <w:rsid w:val="007019FF"/>
    <w:rsid w:val="00703252"/>
    <w:rsid w:val="00706C5D"/>
    <w:rsid w:val="00711275"/>
    <w:rsid w:val="00713502"/>
    <w:rsid w:val="00713543"/>
    <w:rsid w:val="00732922"/>
    <w:rsid w:val="007356F8"/>
    <w:rsid w:val="00737A29"/>
    <w:rsid w:val="007511F8"/>
    <w:rsid w:val="0075162E"/>
    <w:rsid w:val="00754034"/>
    <w:rsid w:val="00756556"/>
    <w:rsid w:val="007618C4"/>
    <w:rsid w:val="00767980"/>
    <w:rsid w:val="007709D9"/>
    <w:rsid w:val="00770B19"/>
    <w:rsid w:val="0077463F"/>
    <w:rsid w:val="007771A6"/>
    <w:rsid w:val="007836EA"/>
    <w:rsid w:val="00784CDA"/>
    <w:rsid w:val="007906C4"/>
    <w:rsid w:val="007940EA"/>
    <w:rsid w:val="00794E0F"/>
    <w:rsid w:val="007954D3"/>
    <w:rsid w:val="007967E8"/>
    <w:rsid w:val="007A1953"/>
    <w:rsid w:val="007A2170"/>
    <w:rsid w:val="007A22BF"/>
    <w:rsid w:val="007A3323"/>
    <w:rsid w:val="007B4D1C"/>
    <w:rsid w:val="007B5F89"/>
    <w:rsid w:val="007B72B8"/>
    <w:rsid w:val="007B7A58"/>
    <w:rsid w:val="007C21B5"/>
    <w:rsid w:val="007C5164"/>
    <w:rsid w:val="007C52F3"/>
    <w:rsid w:val="007D643C"/>
    <w:rsid w:val="007D6727"/>
    <w:rsid w:val="007E4BD2"/>
    <w:rsid w:val="007E7933"/>
    <w:rsid w:val="007F375C"/>
    <w:rsid w:val="0080088B"/>
    <w:rsid w:val="00801393"/>
    <w:rsid w:val="00802F88"/>
    <w:rsid w:val="00804223"/>
    <w:rsid w:val="0081293E"/>
    <w:rsid w:val="00815465"/>
    <w:rsid w:val="00817E9A"/>
    <w:rsid w:val="008306BD"/>
    <w:rsid w:val="00831A80"/>
    <w:rsid w:val="00833743"/>
    <w:rsid w:val="008340A4"/>
    <w:rsid w:val="0084191A"/>
    <w:rsid w:val="008457A5"/>
    <w:rsid w:val="008465B8"/>
    <w:rsid w:val="0085410E"/>
    <w:rsid w:val="0087135F"/>
    <w:rsid w:val="00872D94"/>
    <w:rsid w:val="00876983"/>
    <w:rsid w:val="00880364"/>
    <w:rsid w:val="00887BB1"/>
    <w:rsid w:val="00891293"/>
    <w:rsid w:val="00891592"/>
    <w:rsid w:val="00891E9E"/>
    <w:rsid w:val="008933AA"/>
    <w:rsid w:val="008A2F68"/>
    <w:rsid w:val="008B0EF2"/>
    <w:rsid w:val="008B2813"/>
    <w:rsid w:val="008B4FA6"/>
    <w:rsid w:val="008B5282"/>
    <w:rsid w:val="008B6756"/>
    <w:rsid w:val="008B7C17"/>
    <w:rsid w:val="008C2D01"/>
    <w:rsid w:val="008C40E6"/>
    <w:rsid w:val="008C45AF"/>
    <w:rsid w:val="008C7767"/>
    <w:rsid w:val="008D0F7A"/>
    <w:rsid w:val="008D68E4"/>
    <w:rsid w:val="008D7E29"/>
    <w:rsid w:val="008E0506"/>
    <w:rsid w:val="008E0CFF"/>
    <w:rsid w:val="008E1911"/>
    <w:rsid w:val="008E5D6B"/>
    <w:rsid w:val="008E76F0"/>
    <w:rsid w:val="008F1176"/>
    <w:rsid w:val="008F15FE"/>
    <w:rsid w:val="008F2D29"/>
    <w:rsid w:val="008F3C35"/>
    <w:rsid w:val="008F5187"/>
    <w:rsid w:val="008F60D8"/>
    <w:rsid w:val="00902727"/>
    <w:rsid w:val="0090312B"/>
    <w:rsid w:val="009049D8"/>
    <w:rsid w:val="00905E90"/>
    <w:rsid w:val="00910EC2"/>
    <w:rsid w:val="00914884"/>
    <w:rsid w:val="0091736D"/>
    <w:rsid w:val="0093037A"/>
    <w:rsid w:val="0094154D"/>
    <w:rsid w:val="00942A68"/>
    <w:rsid w:val="0095155F"/>
    <w:rsid w:val="00954429"/>
    <w:rsid w:val="00956351"/>
    <w:rsid w:val="009563CE"/>
    <w:rsid w:val="00964572"/>
    <w:rsid w:val="00976328"/>
    <w:rsid w:val="0097680D"/>
    <w:rsid w:val="0098238D"/>
    <w:rsid w:val="00982438"/>
    <w:rsid w:val="0098404C"/>
    <w:rsid w:val="00985283"/>
    <w:rsid w:val="00985AD0"/>
    <w:rsid w:val="00995992"/>
    <w:rsid w:val="009A03E5"/>
    <w:rsid w:val="009A0F3B"/>
    <w:rsid w:val="009A1BB4"/>
    <w:rsid w:val="009A23F2"/>
    <w:rsid w:val="009A2628"/>
    <w:rsid w:val="009A3200"/>
    <w:rsid w:val="009B0897"/>
    <w:rsid w:val="009B7BD9"/>
    <w:rsid w:val="009C7DD5"/>
    <w:rsid w:val="009D71A4"/>
    <w:rsid w:val="009E227D"/>
    <w:rsid w:val="009E5019"/>
    <w:rsid w:val="009F074C"/>
    <w:rsid w:val="009F0F1E"/>
    <w:rsid w:val="009F7214"/>
    <w:rsid w:val="00A04E9B"/>
    <w:rsid w:val="00A04F1B"/>
    <w:rsid w:val="00A0501B"/>
    <w:rsid w:val="00A14947"/>
    <w:rsid w:val="00A24475"/>
    <w:rsid w:val="00A32A83"/>
    <w:rsid w:val="00A34E98"/>
    <w:rsid w:val="00A356D4"/>
    <w:rsid w:val="00A368DB"/>
    <w:rsid w:val="00A373F4"/>
    <w:rsid w:val="00A423AA"/>
    <w:rsid w:val="00A50891"/>
    <w:rsid w:val="00A53EC6"/>
    <w:rsid w:val="00A55814"/>
    <w:rsid w:val="00A55C0F"/>
    <w:rsid w:val="00A6212D"/>
    <w:rsid w:val="00A835FE"/>
    <w:rsid w:val="00A8713F"/>
    <w:rsid w:val="00A90B97"/>
    <w:rsid w:val="00A90BA1"/>
    <w:rsid w:val="00A926D1"/>
    <w:rsid w:val="00A95831"/>
    <w:rsid w:val="00A95C47"/>
    <w:rsid w:val="00A97A9A"/>
    <w:rsid w:val="00AA0671"/>
    <w:rsid w:val="00AA2531"/>
    <w:rsid w:val="00AB149E"/>
    <w:rsid w:val="00AB19F7"/>
    <w:rsid w:val="00AB1E09"/>
    <w:rsid w:val="00AB5330"/>
    <w:rsid w:val="00AB630F"/>
    <w:rsid w:val="00AB6D6C"/>
    <w:rsid w:val="00AB7747"/>
    <w:rsid w:val="00AC14CE"/>
    <w:rsid w:val="00AC2A56"/>
    <w:rsid w:val="00AC758F"/>
    <w:rsid w:val="00AD055E"/>
    <w:rsid w:val="00AD3AF9"/>
    <w:rsid w:val="00AD47A7"/>
    <w:rsid w:val="00AE08B5"/>
    <w:rsid w:val="00AF0CBF"/>
    <w:rsid w:val="00AF257F"/>
    <w:rsid w:val="00AF33CF"/>
    <w:rsid w:val="00AF4D50"/>
    <w:rsid w:val="00AF6179"/>
    <w:rsid w:val="00AF7CCC"/>
    <w:rsid w:val="00B007DB"/>
    <w:rsid w:val="00B012EB"/>
    <w:rsid w:val="00B019DD"/>
    <w:rsid w:val="00B11487"/>
    <w:rsid w:val="00B1295A"/>
    <w:rsid w:val="00B131EC"/>
    <w:rsid w:val="00B20506"/>
    <w:rsid w:val="00B20A45"/>
    <w:rsid w:val="00B22BA0"/>
    <w:rsid w:val="00B22C5C"/>
    <w:rsid w:val="00B24F30"/>
    <w:rsid w:val="00B30B1D"/>
    <w:rsid w:val="00B316D2"/>
    <w:rsid w:val="00B31ABF"/>
    <w:rsid w:val="00B33BE3"/>
    <w:rsid w:val="00B403CF"/>
    <w:rsid w:val="00B51008"/>
    <w:rsid w:val="00B53B5D"/>
    <w:rsid w:val="00B6055E"/>
    <w:rsid w:val="00B6283F"/>
    <w:rsid w:val="00B6317D"/>
    <w:rsid w:val="00B728E7"/>
    <w:rsid w:val="00B73B45"/>
    <w:rsid w:val="00B77001"/>
    <w:rsid w:val="00B7723F"/>
    <w:rsid w:val="00B80534"/>
    <w:rsid w:val="00B8433C"/>
    <w:rsid w:val="00B844F6"/>
    <w:rsid w:val="00B87318"/>
    <w:rsid w:val="00B87491"/>
    <w:rsid w:val="00B90267"/>
    <w:rsid w:val="00BA29E9"/>
    <w:rsid w:val="00BA5CC5"/>
    <w:rsid w:val="00BA7142"/>
    <w:rsid w:val="00BB237C"/>
    <w:rsid w:val="00BB41A3"/>
    <w:rsid w:val="00BC32DC"/>
    <w:rsid w:val="00BC35B6"/>
    <w:rsid w:val="00BC3EB3"/>
    <w:rsid w:val="00BD1B51"/>
    <w:rsid w:val="00BD4596"/>
    <w:rsid w:val="00BE1405"/>
    <w:rsid w:val="00BE23FA"/>
    <w:rsid w:val="00BE312D"/>
    <w:rsid w:val="00BF1C20"/>
    <w:rsid w:val="00BF5CBC"/>
    <w:rsid w:val="00C10578"/>
    <w:rsid w:val="00C11C8C"/>
    <w:rsid w:val="00C135BC"/>
    <w:rsid w:val="00C15C95"/>
    <w:rsid w:val="00C256B4"/>
    <w:rsid w:val="00C2596A"/>
    <w:rsid w:val="00C27537"/>
    <w:rsid w:val="00C27E1B"/>
    <w:rsid w:val="00C328FE"/>
    <w:rsid w:val="00C33507"/>
    <w:rsid w:val="00C4409D"/>
    <w:rsid w:val="00C44E72"/>
    <w:rsid w:val="00C45A06"/>
    <w:rsid w:val="00C45D81"/>
    <w:rsid w:val="00C47E5B"/>
    <w:rsid w:val="00C5334A"/>
    <w:rsid w:val="00C61E4B"/>
    <w:rsid w:val="00C64BFF"/>
    <w:rsid w:val="00C704E9"/>
    <w:rsid w:val="00C72EEF"/>
    <w:rsid w:val="00C763C9"/>
    <w:rsid w:val="00C80057"/>
    <w:rsid w:val="00C82232"/>
    <w:rsid w:val="00C82913"/>
    <w:rsid w:val="00C87858"/>
    <w:rsid w:val="00C972B1"/>
    <w:rsid w:val="00CA2CCE"/>
    <w:rsid w:val="00CA43FD"/>
    <w:rsid w:val="00CA6E49"/>
    <w:rsid w:val="00CA7EF8"/>
    <w:rsid w:val="00CB04E8"/>
    <w:rsid w:val="00CB1C14"/>
    <w:rsid w:val="00CB4676"/>
    <w:rsid w:val="00CC489B"/>
    <w:rsid w:val="00CC7ED9"/>
    <w:rsid w:val="00CD2BCD"/>
    <w:rsid w:val="00CD3A4C"/>
    <w:rsid w:val="00CD75D9"/>
    <w:rsid w:val="00CE10E9"/>
    <w:rsid w:val="00CE2910"/>
    <w:rsid w:val="00CE5393"/>
    <w:rsid w:val="00CF2C4E"/>
    <w:rsid w:val="00CF365D"/>
    <w:rsid w:val="00CF36BE"/>
    <w:rsid w:val="00CF39E5"/>
    <w:rsid w:val="00CF3E50"/>
    <w:rsid w:val="00CF5873"/>
    <w:rsid w:val="00CF6000"/>
    <w:rsid w:val="00D003F3"/>
    <w:rsid w:val="00D0364F"/>
    <w:rsid w:val="00D04504"/>
    <w:rsid w:val="00D06834"/>
    <w:rsid w:val="00D10810"/>
    <w:rsid w:val="00D225EC"/>
    <w:rsid w:val="00D2543C"/>
    <w:rsid w:val="00D2683A"/>
    <w:rsid w:val="00D27394"/>
    <w:rsid w:val="00D308ED"/>
    <w:rsid w:val="00D36D86"/>
    <w:rsid w:val="00D41FE8"/>
    <w:rsid w:val="00D428AA"/>
    <w:rsid w:val="00D4663B"/>
    <w:rsid w:val="00D50A34"/>
    <w:rsid w:val="00D51B5C"/>
    <w:rsid w:val="00D53EFA"/>
    <w:rsid w:val="00D5653E"/>
    <w:rsid w:val="00D57055"/>
    <w:rsid w:val="00D7795F"/>
    <w:rsid w:val="00D94A7C"/>
    <w:rsid w:val="00D95896"/>
    <w:rsid w:val="00DB2983"/>
    <w:rsid w:val="00DB500F"/>
    <w:rsid w:val="00DC1257"/>
    <w:rsid w:val="00DC3DC0"/>
    <w:rsid w:val="00DC5B2B"/>
    <w:rsid w:val="00DC652E"/>
    <w:rsid w:val="00DD318D"/>
    <w:rsid w:val="00DD4BC8"/>
    <w:rsid w:val="00DF19A0"/>
    <w:rsid w:val="00DF2E12"/>
    <w:rsid w:val="00DF514A"/>
    <w:rsid w:val="00DF6690"/>
    <w:rsid w:val="00DF6804"/>
    <w:rsid w:val="00E0358D"/>
    <w:rsid w:val="00E04323"/>
    <w:rsid w:val="00E070A2"/>
    <w:rsid w:val="00E1722E"/>
    <w:rsid w:val="00E2656A"/>
    <w:rsid w:val="00E33176"/>
    <w:rsid w:val="00E412D0"/>
    <w:rsid w:val="00E454A5"/>
    <w:rsid w:val="00E55D64"/>
    <w:rsid w:val="00E56322"/>
    <w:rsid w:val="00E60982"/>
    <w:rsid w:val="00E62C62"/>
    <w:rsid w:val="00E63567"/>
    <w:rsid w:val="00E65448"/>
    <w:rsid w:val="00E654C1"/>
    <w:rsid w:val="00E65D97"/>
    <w:rsid w:val="00E6749C"/>
    <w:rsid w:val="00E72A5A"/>
    <w:rsid w:val="00E72F76"/>
    <w:rsid w:val="00E73354"/>
    <w:rsid w:val="00E9242D"/>
    <w:rsid w:val="00EA7066"/>
    <w:rsid w:val="00EB3AD0"/>
    <w:rsid w:val="00EB5255"/>
    <w:rsid w:val="00EB5C47"/>
    <w:rsid w:val="00EC69E9"/>
    <w:rsid w:val="00EC719C"/>
    <w:rsid w:val="00ED0639"/>
    <w:rsid w:val="00EF380A"/>
    <w:rsid w:val="00EF4755"/>
    <w:rsid w:val="00EF7135"/>
    <w:rsid w:val="00F027DB"/>
    <w:rsid w:val="00F041D4"/>
    <w:rsid w:val="00F0534C"/>
    <w:rsid w:val="00F11008"/>
    <w:rsid w:val="00F125A1"/>
    <w:rsid w:val="00F14A7A"/>
    <w:rsid w:val="00F22985"/>
    <w:rsid w:val="00F310E5"/>
    <w:rsid w:val="00F3383E"/>
    <w:rsid w:val="00F34454"/>
    <w:rsid w:val="00F458BC"/>
    <w:rsid w:val="00F465A7"/>
    <w:rsid w:val="00F50B7C"/>
    <w:rsid w:val="00F550E6"/>
    <w:rsid w:val="00F57509"/>
    <w:rsid w:val="00F74345"/>
    <w:rsid w:val="00F7465F"/>
    <w:rsid w:val="00F80A0A"/>
    <w:rsid w:val="00F82B19"/>
    <w:rsid w:val="00F9212D"/>
    <w:rsid w:val="00F965DA"/>
    <w:rsid w:val="00FA1345"/>
    <w:rsid w:val="00FA406A"/>
    <w:rsid w:val="00FA5AA4"/>
    <w:rsid w:val="00FB503A"/>
    <w:rsid w:val="00FB516C"/>
    <w:rsid w:val="00FD0236"/>
    <w:rsid w:val="00FD18F4"/>
    <w:rsid w:val="00FD54DB"/>
    <w:rsid w:val="00FD619F"/>
    <w:rsid w:val="00FE3C4C"/>
    <w:rsid w:val="00FF204F"/>
    <w:rsid w:val="00FF2EEA"/>
    <w:rsid w:val="00FF527C"/>
    <w:rsid w:val="00FF71E2"/>
    <w:rsid w:val="010333FC"/>
    <w:rsid w:val="010E7C0D"/>
    <w:rsid w:val="01290F7E"/>
    <w:rsid w:val="015B4FE6"/>
    <w:rsid w:val="015D1E09"/>
    <w:rsid w:val="01791EC0"/>
    <w:rsid w:val="01934780"/>
    <w:rsid w:val="019B3879"/>
    <w:rsid w:val="01C963F3"/>
    <w:rsid w:val="01CC2B76"/>
    <w:rsid w:val="022C2324"/>
    <w:rsid w:val="0240799E"/>
    <w:rsid w:val="02697903"/>
    <w:rsid w:val="029B4859"/>
    <w:rsid w:val="02AE7397"/>
    <w:rsid w:val="02C00E90"/>
    <w:rsid w:val="02DE7F81"/>
    <w:rsid w:val="02F96569"/>
    <w:rsid w:val="02FE7140"/>
    <w:rsid w:val="03314144"/>
    <w:rsid w:val="03581D84"/>
    <w:rsid w:val="03924FBB"/>
    <w:rsid w:val="03C726D3"/>
    <w:rsid w:val="03CC6D06"/>
    <w:rsid w:val="03EA7B21"/>
    <w:rsid w:val="03F015A1"/>
    <w:rsid w:val="03F6739B"/>
    <w:rsid w:val="04285B7E"/>
    <w:rsid w:val="043F6449"/>
    <w:rsid w:val="044D40A9"/>
    <w:rsid w:val="044E20A2"/>
    <w:rsid w:val="04D10827"/>
    <w:rsid w:val="04D74983"/>
    <w:rsid w:val="04D74C16"/>
    <w:rsid w:val="05295A5E"/>
    <w:rsid w:val="052F2A1F"/>
    <w:rsid w:val="058377C4"/>
    <w:rsid w:val="058F3C48"/>
    <w:rsid w:val="059C797B"/>
    <w:rsid w:val="059D3F45"/>
    <w:rsid w:val="05A26ED6"/>
    <w:rsid w:val="05BD0332"/>
    <w:rsid w:val="05C75664"/>
    <w:rsid w:val="05F83EAE"/>
    <w:rsid w:val="060F03FE"/>
    <w:rsid w:val="06175254"/>
    <w:rsid w:val="0619625A"/>
    <w:rsid w:val="061B2F96"/>
    <w:rsid w:val="061C3F4A"/>
    <w:rsid w:val="06304C93"/>
    <w:rsid w:val="063E7D85"/>
    <w:rsid w:val="06850900"/>
    <w:rsid w:val="068E69AA"/>
    <w:rsid w:val="06A50AB1"/>
    <w:rsid w:val="06A6371A"/>
    <w:rsid w:val="06AB60C8"/>
    <w:rsid w:val="06DA4BFF"/>
    <w:rsid w:val="06DC2889"/>
    <w:rsid w:val="06F32E73"/>
    <w:rsid w:val="06FB43DF"/>
    <w:rsid w:val="07293586"/>
    <w:rsid w:val="07295285"/>
    <w:rsid w:val="07464894"/>
    <w:rsid w:val="07636392"/>
    <w:rsid w:val="07770C56"/>
    <w:rsid w:val="0795047E"/>
    <w:rsid w:val="07CD02C0"/>
    <w:rsid w:val="07CD7D59"/>
    <w:rsid w:val="0802440D"/>
    <w:rsid w:val="08064BBD"/>
    <w:rsid w:val="080C7DE7"/>
    <w:rsid w:val="082641D3"/>
    <w:rsid w:val="084D42F2"/>
    <w:rsid w:val="085E53BC"/>
    <w:rsid w:val="086E1AA3"/>
    <w:rsid w:val="087644C7"/>
    <w:rsid w:val="088B78E9"/>
    <w:rsid w:val="0891281A"/>
    <w:rsid w:val="08FC322B"/>
    <w:rsid w:val="092217DD"/>
    <w:rsid w:val="0928110D"/>
    <w:rsid w:val="093A7294"/>
    <w:rsid w:val="095E01D4"/>
    <w:rsid w:val="098B336E"/>
    <w:rsid w:val="09A137B2"/>
    <w:rsid w:val="09B1399A"/>
    <w:rsid w:val="09DE1759"/>
    <w:rsid w:val="09E82F56"/>
    <w:rsid w:val="09EF43EF"/>
    <w:rsid w:val="0A263993"/>
    <w:rsid w:val="0A2D3AC2"/>
    <w:rsid w:val="0A6429F3"/>
    <w:rsid w:val="0A943317"/>
    <w:rsid w:val="0AA17F77"/>
    <w:rsid w:val="0AA6102D"/>
    <w:rsid w:val="0AA6288F"/>
    <w:rsid w:val="0AA755DF"/>
    <w:rsid w:val="0AB42E07"/>
    <w:rsid w:val="0AB45767"/>
    <w:rsid w:val="0AB949DA"/>
    <w:rsid w:val="0ADB7197"/>
    <w:rsid w:val="0AE25555"/>
    <w:rsid w:val="0AF14009"/>
    <w:rsid w:val="0B071D3B"/>
    <w:rsid w:val="0B0B35D9"/>
    <w:rsid w:val="0B120D44"/>
    <w:rsid w:val="0B386398"/>
    <w:rsid w:val="0B391D91"/>
    <w:rsid w:val="0B472137"/>
    <w:rsid w:val="0B4765DB"/>
    <w:rsid w:val="0B5964AA"/>
    <w:rsid w:val="0B861D13"/>
    <w:rsid w:val="0B9C73B1"/>
    <w:rsid w:val="0BA23811"/>
    <w:rsid w:val="0BD27BF6"/>
    <w:rsid w:val="0C216C91"/>
    <w:rsid w:val="0C3721AC"/>
    <w:rsid w:val="0C39661E"/>
    <w:rsid w:val="0C3B3C7D"/>
    <w:rsid w:val="0C4F5747"/>
    <w:rsid w:val="0C992E66"/>
    <w:rsid w:val="0CAB2EAE"/>
    <w:rsid w:val="0CF21543"/>
    <w:rsid w:val="0CF77927"/>
    <w:rsid w:val="0D467216"/>
    <w:rsid w:val="0D5E1582"/>
    <w:rsid w:val="0D621C7D"/>
    <w:rsid w:val="0D671982"/>
    <w:rsid w:val="0D735465"/>
    <w:rsid w:val="0D86163D"/>
    <w:rsid w:val="0DEB5944"/>
    <w:rsid w:val="0E1815A2"/>
    <w:rsid w:val="0E6B0BD5"/>
    <w:rsid w:val="0E73034D"/>
    <w:rsid w:val="0E8B6E90"/>
    <w:rsid w:val="0EA55AF2"/>
    <w:rsid w:val="0ED10695"/>
    <w:rsid w:val="0EE02463"/>
    <w:rsid w:val="0EEF56B5"/>
    <w:rsid w:val="0F13775A"/>
    <w:rsid w:val="0F1B11A8"/>
    <w:rsid w:val="0F451083"/>
    <w:rsid w:val="0F4D6BFC"/>
    <w:rsid w:val="0F525C51"/>
    <w:rsid w:val="0F5F45FE"/>
    <w:rsid w:val="0F7808AD"/>
    <w:rsid w:val="0F86422D"/>
    <w:rsid w:val="0F9A112B"/>
    <w:rsid w:val="0FA05B46"/>
    <w:rsid w:val="0FA97864"/>
    <w:rsid w:val="0FB52DAD"/>
    <w:rsid w:val="0FC50D03"/>
    <w:rsid w:val="0FE31D1E"/>
    <w:rsid w:val="0FFA7511"/>
    <w:rsid w:val="10117298"/>
    <w:rsid w:val="1034712E"/>
    <w:rsid w:val="103510F8"/>
    <w:rsid w:val="10367AE9"/>
    <w:rsid w:val="104D6442"/>
    <w:rsid w:val="105860C2"/>
    <w:rsid w:val="105D7281"/>
    <w:rsid w:val="106B5E5E"/>
    <w:rsid w:val="106D2F64"/>
    <w:rsid w:val="10A26481"/>
    <w:rsid w:val="10AF0EAA"/>
    <w:rsid w:val="10B63710"/>
    <w:rsid w:val="10DB41CE"/>
    <w:rsid w:val="10EA0A05"/>
    <w:rsid w:val="10F10820"/>
    <w:rsid w:val="111C2F7A"/>
    <w:rsid w:val="112B6488"/>
    <w:rsid w:val="11327CEC"/>
    <w:rsid w:val="11472687"/>
    <w:rsid w:val="115455AE"/>
    <w:rsid w:val="11665CA1"/>
    <w:rsid w:val="117C45F2"/>
    <w:rsid w:val="118506A3"/>
    <w:rsid w:val="11F64BCE"/>
    <w:rsid w:val="12036FB4"/>
    <w:rsid w:val="121E0096"/>
    <w:rsid w:val="121E62E8"/>
    <w:rsid w:val="123000E1"/>
    <w:rsid w:val="128C6E78"/>
    <w:rsid w:val="128F7E52"/>
    <w:rsid w:val="12F86B39"/>
    <w:rsid w:val="137361BF"/>
    <w:rsid w:val="13951726"/>
    <w:rsid w:val="139A38B7"/>
    <w:rsid w:val="13B567D8"/>
    <w:rsid w:val="13BA1147"/>
    <w:rsid w:val="13D6674E"/>
    <w:rsid w:val="13F05194"/>
    <w:rsid w:val="140A0AC3"/>
    <w:rsid w:val="141D63BC"/>
    <w:rsid w:val="14396509"/>
    <w:rsid w:val="14553B17"/>
    <w:rsid w:val="148A076E"/>
    <w:rsid w:val="14A24CDE"/>
    <w:rsid w:val="14DD2C3C"/>
    <w:rsid w:val="14E41DB6"/>
    <w:rsid w:val="14E919E1"/>
    <w:rsid w:val="14F96378"/>
    <w:rsid w:val="15120875"/>
    <w:rsid w:val="1513191C"/>
    <w:rsid w:val="15140336"/>
    <w:rsid w:val="156008E3"/>
    <w:rsid w:val="158F199C"/>
    <w:rsid w:val="1596722A"/>
    <w:rsid w:val="15BA60C3"/>
    <w:rsid w:val="15EC2259"/>
    <w:rsid w:val="16087E1D"/>
    <w:rsid w:val="16113BC8"/>
    <w:rsid w:val="16123F83"/>
    <w:rsid w:val="161B6634"/>
    <w:rsid w:val="161D4EA1"/>
    <w:rsid w:val="163A2FC4"/>
    <w:rsid w:val="16493207"/>
    <w:rsid w:val="16541A37"/>
    <w:rsid w:val="169F0566"/>
    <w:rsid w:val="16A73138"/>
    <w:rsid w:val="16B34B25"/>
    <w:rsid w:val="170151A8"/>
    <w:rsid w:val="17033CFE"/>
    <w:rsid w:val="17355807"/>
    <w:rsid w:val="174014CD"/>
    <w:rsid w:val="17602EFE"/>
    <w:rsid w:val="17701D14"/>
    <w:rsid w:val="17735226"/>
    <w:rsid w:val="17C112A1"/>
    <w:rsid w:val="17E8608F"/>
    <w:rsid w:val="17FB769F"/>
    <w:rsid w:val="18004A42"/>
    <w:rsid w:val="180416BA"/>
    <w:rsid w:val="18100804"/>
    <w:rsid w:val="182932F0"/>
    <w:rsid w:val="184E694B"/>
    <w:rsid w:val="185E1FEE"/>
    <w:rsid w:val="187D53EA"/>
    <w:rsid w:val="188D3413"/>
    <w:rsid w:val="18952734"/>
    <w:rsid w:val="189F624C"/>
    <w:rsid w:val="18AD2173"/>
    <w:rsid w:val="18B21538"/>
    <w:rsid w:val="18B43502"/>
    <w:rsid w:val="18C272A1"/>
    <w:rsid w:val="19016A7F"/>
    <w:rsid w:val="190A2AF7"/>
    <w:rsid w:val="193432B1"/>
    <w:rsid w:val="198A6011"/>
    <w:rsid w:val="19A846E9"/>
    <w:rsid w:val="19D1362D"/>
    <w:rsid w:val="19DB7D9B"/>
    <w:rsid w:val="19E34F42"/>
    <w:rsid w:val="19EE48EF"/>
    <w:rsid w:val="19F05074"/>
    <w:rsid w:val="19F54FD2"/>
    <w:rsid w:val="1A0A7B7F"/>
    <w:rsid w:val="1A0F29BA"/>
    <w:rsid w:val="1A11040C"/>
    <w:rsid w:val="1A1C66C0"/>
    <w:rsid w:val="1A206975"/>
    <w:rsid w:val="1A2E2E40"/>
    <w:rsid w:val="1A3A7A37"/>
    <w:rsid w:val="1A42393B"/>
    <w:rsid w:val="1A4563D1"/>
    <w:rsid w:val="1A4F2DB6"/>
    <w:rsid w:val="1A772B45"/>
    <w:rsid w:val="1A9430D0"/>
    <w:rsid w:val="1A9829AF"/>
    <w:rsid w:val="1AA37490"/>
    <w:rsid w:val="1AAD45DE"/>
    <w:rsid w:val="1AB552BA"/>
    <w:rsid w:val="1ACB7B91"/>
    <w:rsid w:val="1AD01555"/>
    <w:rsid w:val="1B046F80"/>
    <w:rsid w:val="1B1F0B0A"/>
    <w:rsid w:val="1B3267B5"/>
    <w:rsid w:val="1B40161D"/>
    <w:rsid w:val="1B441859"/>
    <w:rsid w:val="1B6606B1"/>
    <w:rsid w:val="1B700C2F"/>
    <w:rsid w:val="1B871D66"/>
    <w:rsid w:val="1B8F2996"/>
    <w:rsid w:val="1B9F28ED"/>
    <w:rsid w:val="1BA334FB"/>
    <w:rsid w:val="1BD21EF1"/>
    <w:rsid w:val="1BD73063"/>
    <w:rsid w:val="1BE20386"/>
    <w:rsid w:val="1C09690A"/>
    <w:rsid w:val="1C0E6FF5"/>
    <w:rsid w:val="1C252021"/>
    <w:rsid w:val="1C4076E9"/>
    <w:rsid w:val="1C5E7925"/>
    <w:rsid w:val="1C675EF1"/>
    <w:rsid w:val="1C8C6544"/>
    <w:rsid w:val="1CB93BC8"/>
    <w:rsid w:val="1CFD070F"/>
    <w:rsid w:val="1D5F6196"/>
    <w:rsid w:val="1D6132A5"/>
    <w:rsid w:val="1D7005FE"/>
    <w:rsid w:val="1D8E56D5"/>
    <w:rsid w:val="1D94745E"/>
    <w:rsid w:val="1DA5525F"/>
    <w:rsid w:val="1DB42596"/>
    <w:rsid w:val="1DBF36D7"/>
    <w:rsid w:val="1DD45D17"/>
    <w:rsid w:val="1DEC63EB"/>
    <w:rsid w:val="1DFA1A6E"/>
    <w:rsid w:val="1DFA762E"/>
    <w:rsid w:val="1E101D19"/>
    <w:rsid w:val="1E293CE7"/>
    <w:rsid w:val="1E37428D"/>
    <w:rsid w:val="1E7A43DA"/>
    <w:rsid w:val="1E8117D1"/>
    <w:rsid w:val="1E926956"/>
    <w:rsid w:val="1E9D2342"/>
    <w:rsid w:val="1EA83F08"/>
    <w:rsid w:val="1EAF3254"/>
    <w:rsid w:val="1EB3600A"/>
    <w:rsid w:val="1EBB0A1A"/>
    <w:rsid w:val="1EDA3596"/>
    <w:rsid w:val="1EDF6DFF"/>
    <w:rsid w:val="1EE77A61"/>
    <w:rsid w:val="1EF06916"/>
    <w:rsid w:val="1F122EBD"/>
    <w:rsid w:val="1F1F544D"/>
    <w:rsid w:val="1F4B7FF0"/>
    <w:rsid w:val="1F666BD8"/>
    <w:rsid w:val="1F890B18"/>
    <w:rsid w:val="1FA56290"/>
    <w:rsid w:val="1FB36856"/>
    <w:rsid w:val="1FBD23A3"/>
    <w:rsid w:val="1FE7539E"/>
    <w:rsid w:val="200B1181"/>
    <w:rsid w:val="20384245"/>
    <w:rsid w:val="203B2300"/>
    <w:rsid w:val="20671BE0"/>
    <w:rsid w:val="20881D31"/>
    <w:rsid w:val="20897C83"/>
    <w:rsid w:val="20963CB8"/>
    <w:rsid w:val="2099122F"/>
    <w:rsid w:val="209A7B04"/>
    <w:rsid w:val="20A81A1B"/>
    <w:rsid w:val="20B07FB6"/>
    <w:rsid w:val="20B646FB"/>
    <w:rsid w:val="20C31E08"/>
    <w:rsid w:val="20C412B9"/>
    <w:rsid w:val="20FB5A46"/>
    <w:rsid w:val="213367B8"/>
    <w:rsid w:val="213B74B1"/>
    <w:rsid w:val="215545E9"/>
    <w:rsid w:val="21593573"/>
    <w:rsid w:val="215A2310"/>
    <w:rsid w:val="21766451"/>
    <w:rsid w:val="217A04FD"/>
    <w:rsid w:val="21920158"/>
    <w:rsid w:val="21983295"/>
    <w:rsid w:val="219C2D85"/>
    <w:rsid w:val="21CD73E2"/>
    <w:rsid w:val="21DE318A"/>
    <w:rsid w:val="21EF5B80"/>
    <w:rsid w:val="220F17A9"/>
    <w:rsid w:val="221B63A0"/>
    <w:rsid w:val="22576990"/>
    <w:rsid w:val="22833F45"/>
    <w:rsid w:val="22CE1BFC"/>
    <w:rsid w:val="22E22A19"/>
    <w:rsid w:val="22E6408F"/>
    <w:rsid w:val="22F47480"/>
    <w:rsid w:val="23030B29"/>
    <w:rsid w:val="23307C29"/>
    <w:rsid w:val="233911DB"/>
    <w:rsid w:val="23453342"/>
    <w:rsid w:val="235E19A3"/>
    <w:rsid w:val="235F2283"/>
    <w:rsid w:val="236553F8"/>
    <w:rsid w:val="236B7C30"/>
    <w:rsid w:val="23701168"/>
    <w:rsid w:val="238166D6"/>
    <w:rsid w:val="238476D4"/>
    <w:rsid w:val="23B81D01"/>
    <w:rsid w:val="23C72304"/>
    <w:rsid w:val="23C93BD9"/>
    <w:rsid w:val="23D04F68"/>
    <w:rsid w:val="23DE1C48"/>
    <w:rsid w:val="240210CD"/>
    <w:rsid w:val="24220153"/>
    <w:rsid w:val="242A60B4"/>
    <w:rsid w:val="24443260"/>
    <w:rsid w:val="24782529"/>
    <w:rsid w:val="24A22229"/>
    <w:rsid w:val="24A563F4"/>
    <w:rsid w:val="24BF09F7"/>
    <w:rsid w:val="24D2349B"/>
    <w:rsid w:val="24FD7FDE"/>
    <w:rsid w:val="25007ACF"/>
    <w:rsid w:val="25196BCA"/>
    <w:rsid w:val="252D53FE"/>
    <w:rsid w:val="25330473"/>
    <w:rsid w:val="253908EB"/>
    <w:rsid w:val="253D17FD"/>
    <w:rsid w:val="2571687C"/>
    <w:rsid w:val="25E90563"/>
    <w:rsid w:val="25EC2D81"/>
    <w:rsid w:val="2604539D"/>
    <w:rsid w:val="26116F62"/>
    <w:rsid w:val="26153106"/>
    <w:rsid w:val="26162C02"/>
    <w:rsid w:val="26410EC7"/>
    <w:rsid w:val="26553F90"/>
    <w:rsid w:val="266E08B1"/>
    <w:rsid w:val="274C2B57"/>
    <w:rsid w:val="274E2D73"/>
    <w:rsid w:val="276952BC"/>
    <w:rsid w:val="277057A2"/>
    <w:rsid w:val="27AB3114"/>
    <w:rsid w:val="27AC64E8"/>
    <w:rsid w:val="27D86AE1"/>
    <w:rsid w:val="28043432"/>
    <w:rsid w:val="28164BB6"/>
    <w:rsid w:val="28697739"/>
    <w:rsid w:val="286A4636"/>
    <w:rsid w:val="286C2D0B"/>
    <w:rsid w:val="28762777"/>
    <w:rsid w:val="28954EF4"/>
    <w:rsid w:val="28A54C15"/>
    <w:rsid w:val="28AD02CF"/>
    <w:rsid w:val="28AF7C79"/>
    <w:rsid w:val="28F22113"/>
    <w:rsid w:val="28F434A6"/>
    <w:rsid w:val="290512CB"/>
    <w:rsid w:val="29206EB8"/>
    <w:rsid w:val="29471E48"/>
    <w:rsid w:val="29595666"/>
    <w:rsid w:val="29874881"/>
    <w:rsid w:val="298F3FE5"/>
    <w:rsid w:val="29932CBF"/>
    <w:rsid w:val="29E325E0"/>
    <w:rsid w:val="2A00087D"/>
    <w:rsid w:val="2A0019A0"/>
    <w:rsid w:val="2A002388"/>
    <w:rsid w:val="2A386542"/>
    <w:rsid w:val="2A452503"/>
    <w:rsid w:val="2ABA4E9A"/>
    <w:rsid w:val="2AC96722"/>
    <w:rsid w:val="2AE8703B"/>
    <w:rsid w:val="2AF36D7E"/>
    <w:rsid w:val="2B375B2B"/>
    <w:rsid w:val="2B864A25"/>
    <w:rsid w:val="2B8F74B6"/>
    <w:rsid w:val="2B9912A2"/>
    <w:rsid w:val="2B9920E3"/>
    <w:rsid w:val="2BA936A8"/>
    <w:rsid w:val="2BDE12E3"/>
    <w:rsid w:val="2C027C88"/>
    <w:rsid w:val="2C315A5A"/>
    <w:rsid w:val="2C3E21E8"/>
    <w:rsid w:val="2C4A5DA1"/>
    <w:rsid w:val="2C4B1C25"/>
    <w:rsid w:val="2C4B33FE"/>
    <w:rsid w:val="2C56507C"/>
    <w:rsid w:val="2C714F6B"/>
    <w:rsid w:val="2C730B86"/>
    <w:rsid w:val="2C762C11"/>
    <w:rsid w:val="2C772A3F"/>
    <w:rsid w:val="2CC05A21"/>
    <w:rsid w:val="2CCC18C4"/>
    <w:rsid w:val="2CD73FCD"/>
    <w:rsid w:val="2D040E66"/>
    <w:rsid w:val="2D3E1F49"/>
    <w:rsid w:val="2D4748BC"/>
    <w:rsid w:val="2D595FCE"/>
    <w:rsid w:val="2D5F174B"/>
    <w:rsid w:val="2D607DBC"/>
    <w:rsid w:val="2D667AF4"/>
    <w:rsid w:val="2D696B06"/>
    <w:rsid w:val="2D6A1F89"/>
    <w:rsid w:val="2D9E56F5"/>
    <w:rsid w:val="2DFF1040"/>
    <w:rsid w:val="2E06410A"/>
    <w:rsid w:val="2E1E4B22"/>
    <w:rsid w:val="2E2246B3"/>
    <w:rsid w:val="2E3D31FA"/>
    <w:rsid w:val="2E5829F5"/>
    <w:rsid w:val="2E625502"/>
    <w:rsid w:val="2E667F96"/>
    <w:rsid w:val="2E8048D8"/>
    <w:rsid w:val="2E8226AB"/>
    <w:rsid w:val="2EAC6B99"/>
    <w:rsid w:val="2EAD4823"/>
    <w:rsid w:val="2ED229F4"/>
    <w:rsid w:val="2EF67EC2"/>
    <w:rsid w:val="2F2D326E"/>
    <w:rsid w:val="2F31572F"/>
    <w:rsid w:val="2F4E37DB"/>
    <w:rsid w:val="2F725125"/>
    <w:rsid w:val="2F7C08E8"/>
    <w:rsid w:val="2F9A3AF9"/>
    <w:rsid w:val="2FBB1C84"/>
    <w:rsid w:val="2FC040E2"/>
    <w:rsid w:val="2FC55B9D"/>
    <w:rsid w:val="2FC74EA6"/>
    <w:rsid w:val="2FD065E6"/>
    <w:rsid w:val="2FD96870"/>
    <w:rsid w:val="2FDE5D01"/>
    <w:rsid w:val="2FED29FE"/>
    <w:rsid w:val="303E362B"/>
    <w:rsid w:val="30403475"/>
    <w:rsid w:val="30412826"/>
    <w:rsid w:val="304F36B8"/>
    <w:rsid w:val="30580BC9"/>
    <w:rsid w:val="3103697D"/>
    <w:rsid w:val="310B75E3"/>
    <w:rsid w:val="311E2ED7"/>
    <w:rsid w:val="311F6EDC"/>
    <w:rsid w:val="31344D88"/>
    <w:rsid w:val="315619EE"/>
    <w:rsid w:val="315B3828"/>
    <w:rsid w:val="315C449C"/>
    <w:rsid w:val="315C470D"/>
    <w:rsid w:val="31605A6B"/>
    <w:rsid w:val="316F3B31"/>
    <w:rsid w:val="318C3907"/>
    <w:rsid w:val="31904157"/>
    <w:rsid w:val="319F049E"/>
    <w:rsid w:val="31B82709"/>
    <w:rsid w:val="31CA749A"/>
    <w:rsid w:val="31D05482"/>
    <w:rsid w:val="31DB3455"/>
    <w:rsid w:val="31FF0327"/>
    <w:rsid w:val="320C1861"/>
    <w:rsid w:val="320C4364"/>
    <w:rsid w:val="320F04F0"/>
    <w:rsid w:val="3238754E"/>
    <w:rsid w:val="32400B34"/>
    <w:rsid w:val="326300E8"/>
    <w:rsid w:val="326A1422"/>
    <w:rsid w:val="3283509C"/>
    <w:rsid w:val="329E6876"/>
    <w:rsid w:val="32D103B5"/>
    <w:rsid w:val="331229FA"/>
    <w:rsid w:val="333015F2"/>
    <w:rsid w:val="33396EC7"/>
    <w:rsid w:val="334735D5"/>
    <w:rsid w:val="334B6320"/>
    <w:rsid w:val="33507242"/>
    <w:rsid w:val="335833CC"/>
    <w:rsid w:val="336638B2"/>
    <w:rsid w:val="33853CB5"/>
    <w:rsid w:val="33CD5888"/>
    <w:rsid w:val="33D934D4"/>
    <w:rsid w:val="33DF3C8C"/>
    <w:rsid w:val="33EB0402"/>
    <w:rsid w:val="33FE2F6A"/>
    <w:rsid w:val="340E07E5"/>
    <w:rsid w:val="34235BF7"/>
    <w:rsid w:val="342F5312"/>
    <w:rsid w:val="346B043A"/>
    <w:rsid w:val="346D6A00"/>
    <w:rsid w:val="34732B28"/>
    <w:rsid w:val="34AF1912"/>
    <w:rsid w:val="34B85CD0"/>
    <w:rsid w:val="34C74165"/>
    <w:rsid w:val="35040FC1"/>
    <w:rsid w:val="35045C40"/>
    <w:rsid w:val="353266A5"/>
    <w:rsid w:val="35496928"/>
    <w:rsid w:val="358C5FA8"/>
    <w:rsid w:val="359009FB"/>
    <w:rsid w:val="359F0C3E"/>
    <w:rsid w:val="35BF2E57"/>
    <w:rsid w:val="35C15DF1"/>
    <w:rsid w:val="35CB4A2B"/>
    <w:rsid w:val="35CD60D9"/>
    <w:rsid w:val="35E234DE"/>
    <w:rsid w:val="3602274C"/>
    <w:rsid w:val="36074A7F"/>
    <w:rsid w:val="36126734"/>
    <w:rsid w:val="367B3B26"/>
    <w:rsid w:val="36923549"/>
    <w:rsid w:val="36B75FBF"/>
    <w:rsid w:val="36BD0C45"/>
    <w:rsid w:val="36C650C3"/>
    <w:rsid w:val="36E061C9"/>
    <w:rsid w:val="36FD34CA"/>
    <w:rsid w:val="370C5E5F"/>
    <w:rsid w:val="37133202"/>
    <w:rsid w:val="3716055B"/>
    <w:rsid w:val="37160A8C"/>
    <w:rsid w:val="37246E82"/>
    <w:rsid w:val="375B0906"/>
    <w:rsid w:val="376D2C86"/>
    <w:rsid w:val="377B6FA6"/>
    <w:rsid w:val="377F7423"/>
    <w:rsid w:val="379D3A55"/>
    <w:rsid w:val="37B54749"/>
    <w:rsid w:val="37E00298"/>
    <w:rsid w:val="37E40B8A"/>
    <w:rsid w:val="381C20D2"/>
    <w:rsid w:val="3821593A"/>
    <w:rsid w:val="38216883"/>
    <w:rsid w:val="3843350F"/>
    <w:rsid w:val="38606463"/>
    <w:rsid w:val="38B302F9"/>
    <w:rsid w:val="38B608F1"/>
    <w:rsid w:val="38F12CD3"/>
    <w:rsid w:val="38F811AC"/>
    <w:rsid w:val="38F94775"/>
    <w:rsid w:val="39000325"/>
    <w:rsid w:val="391505E2"/>
    <w:rsid w:val="391C3E52"/>
    <w:rsid w:val="39215D79"/>
    <w:rsid w:val="39291289"/>
    <w:rsid w:val="392971ED"/>
    <w:rsid w:val="39325651"/>
    <w:rsid w:val="398529C0"/>
    <w:rsid w:val="39D21B51"/>
    <w:rsid w:val="3A173EB4"/>
    <w:rsid w:val="3A2D6818"/>
    <w:rsid w:val="3A741333"/>
    <w:rsid w:val="3A7D728D"/>
    <w:rsid w:val="3A872856"/>
    <w:rsid w:val="3A8E3210"/>
    <w:rsid w:val="3AB51261"/>
    <w:rsid w:val="3AB64A60"/>
    <w:rsid w:val="3ABC3831"/>
    <w:rsid w:val="3ABD721A"/>
    <w:rsid w:val="3AF17846"/>
    <w:rsid w:val="3B077069"/>
    <w:rsid w:val="3B1726FC"/>
    <w:rsid w:val="3B1E676A"/>
    <w:rsid w:val="3B3763D1"/>
    <w:rsid w:val="3B381919"/>
    <w:rsid w:val="3B413138"/>
    <w:rsid w:val="3BCA64A2"/>
    <w:rsid w:val="3BF91372"/>
    <w:rsid w:val="3C2F6E1E"/>
    <w:rsid w:val="3C4449AF"/>
    <w:rsid w:val="3C4D13F4"/>
    <w:rsid w:val="3C4F64BA"/>
    <w:rsid w:val="3C7C2B90"/>
    <w:rsid w:val="3C856C26"/>
    <w:rsid w:val="3C9D2543"/>
    <w:rsid w:val="3CA45516"/>
    <w:rsid w:val="3CC23A44"/>
    <w:rsid w:val="3CDA245A"/>
    <w:rsid w:val="3CDE3DFA"/>
    <w:rsid w:val="3CE07B72"/>
    <w:rsid w:val="3CE37662"/>
    <w:rsid w:val="3CEC4769"/>
    <w:rsid w:val="3CFD1034"/>
    <w:rsid w:val="3D1E06B7"/>
    <w:rsid w:val="3D2C2169"/>
    <w:rsid w:val="3D50494E"/>
    <w:rsid w:val="3D6B7B96"/>
    <w:rsid w:val="3DA16634"/>
    <w:rsid w:val="3DAE5EC2"/>
    <w:rsid w:val="3DD0408A"/>
    <w:rsid w:val="3DFE4BF7"/>
    <w:rsid w:val="3E0755D2"/>
    <w:rsid w:val="3E375EB7"/>
    <w:rsid w:val="3E4B4208"/>
    <w:rsid w:val="3E95464E"/>
    <w:rsid w:val="3E9C1589"/>
    <w:rsid w:val="3EB04831"/>
    <w:rsid w:val="3EB654DA"/>
    <w:rsid w:val="3EDA0523"/>
    <w:rsid w:val="3EDE06FD"/>
    <w:rsid w:val="3EE85404"/>
    <w:rsid w:val="3F295B7E"/>
    <w:rsid w:val="3F487196"/>
    <w:rsid w:val="3F670343"/>
    <w:rsid w:val="3F9C04FB"/>
    <w:rsid w:val="3FC82B68"/>
    <w:rsid w:val="3FE94F8F"/>
    <w:rsid w:val="3FEC2CD2"/>
    <w:rsid w:val="3FF80664"/>
    <w:rsid w:val="3FFA0FFC"/>
    <w:rsid w:val="40041DC9"/>
    <w:rsid w:val="400D48C5"/>
    <w:rsid w:val="400F17BA"/>
    <w:rsid w:val="404B5C4A"/>
    <w:rsid w:val="40597547"/>
    <w:rsid w:val="406D5BC1"/>
    <w:rsid w:val="407A6407"/>
    <w:rsid w:val="407C5194"/>
    <w:rsid w:val="409C0254"/>
    <w:rsid w:val="40A37834"/>
    <w:rsid w:val="40D95004"/>
    <w:rsid w:val="40EC022B"/>
    <w:rsid w:val="40F005A0"/>
    <w:rsid w:val="40FE518C"/>
    <w:rsid w:val="41263DF8"/>
    <w:rsid w:val="41281AE7"/>
    <w:rsid w:val="41313092"/>
    <w:rsid w:val="41384C8F"/>
    <w:rsid w:val="41450811"/>
    <w:rsid w:val="4164341C"/>
    <w:rsid w:val="41A03A5E"/>
    <w:rsid w:val="41AB44E7"/>
    <w:rsid w:val="41B036E3"/>
    <w:rsid w:val="41DB142F"/>
    <w:rsid w:val="4200449D"/>
    <w:rsid w:val="42200B6E"/>
    <w:rsid w:val="42277FF1"/>
    <w:rsid w:val="4233158B"/>
    <w:rsid w:val="423A3BCC"/>
    <w:rsid w:val="424E57D2"/>
    <w:rsid w:val="427B69CF"/>
    <w:rsid w:val="428D34CD"/>
    <w:rsid w:val="42A17DA3"/>
    <w:rsid w:val="42A5457A"/>
    <w:rsid w:val="42A63681"/>
    <w:rsid w:val="42AE2B53"/>
    <w:rsid w:val="42B26C49"/>
    <w:rsid w:val="42D24093"/>
    <w:rsid w:val="42FB2EDE"/>
    <w:rsid w:val="43014CE6"/>
    <w:rsid w:val="43093EAF"/>
    <w:rsid w:val="43102132"/>
    <w:rsid w:val="43217136"/>
    <w:rsid w:val="432F1853"/>
    <w:rsid w:val="433A1F52"/>
    <w:rsid w:val="433A6FE6"/>
    <w:rsid w:val="43480868"/>
    <w:rsid w:val="4350713C"/>
    <w:rsid w:val="436653E0"/>
    <w:rsid w:val="437159C8"/>
    <w:rsid w:val="43783A44"/>
    <w:rsid w:val="43AB44CD"/>
    <w:rsid w:val="43C02C41"/>
    <w:rsid w:val="43C4431A"/>
    <w:rsid w:val="43D20EE8"/>
    <w:rsid w:val="43DB178F"/>
    <w:rsid w:val="43FB727A"/>
    <w:rsid w:val="442E3900"/>
    <w:rsid w:val="4484172B"/>
    <w:rsid w:val="44AC7B54"/>
    <w:rsid w:val="44B951CC"/>
    <w:rsid w:val="44C63A26"/>
    <w:rsid w:val="44CB27D2"/>
    <w:rsid w:val="44CD14E0"/>
    <w:rsid w:val="44D16614"/>
    <w:rsid w:val="44D43279"/>
    <w:rsid w:val="44F20B0B"/>
    <w:rsid w:val="44FC5765"/>
    <w:rsid w:val="45102FBE"/>
    <w:rsid w:val="4510769E"/>
    <w:rsid w:val="451731DD"/>
    <w:rsid w:val="452E5F4C"/>
    <w:rsid w:val="453C48A8"/>
    <w:rsid w:val="454D5C68"/>
    <w:rsid w:val="45612018"/>
    <w:rsid w:val="457C3150"/>
    <w:rsid w:val="458852AF"/>
    <w:rsid w:val="45887BD2"/>
    <w:rsid w:val="458946E9"/>
    <w:rsid w:val="45901137"/>
    <w:rsid w:val="45915571"/>
    <w:rsid w:val="45A47C0E"/>
    <w:rsid w:val="45C23E41"/>
    <w:rsid w:val="45C51AB3"/>
    <w:rsid w:val="45CC3389"/>
    <w:rsid w:val="460348D1"/>
    <w:rsid w:val="46072EDA"/>
    <w:rsid w:val="461566C0"/>
    <w:rsid w:val="46334815"/>
    <w:rsid w:val="464E39F8"/>
    <w:rsid w:val="46577FD6"/>
    <w:rsid w:val="46647140"/>
    <w:rsid w:val="467001B9"/>
    <w:rsid w:val="46A460B4"/>
    <w:rsid w:val="46B83E36"/>
    <w:rsid w:val="46C500F1"/>
    <w:rsid w:val="46C93D6D"/>
    <w:rsid w:val="46D955A7"/>
    <w:rsid w:val="47133957"/>
    <w:rsid w:val="4732546E"/>
    <w:rsid w:val="474154D2"/>
    <w:rsid w:val="476E64BF"/>
    <w:rsid w:val="477523F0"/>
    <w:rsid w:val="47826FC4"/>
    <w:rsid w:val="478E387C"/>
    <w:rsid w:val="47A07E0C"/>
    <w:rsid w:val="47CA56A6"/>
    <w:rsid w:val="47E43D73"/>
    <w:rsid w:val="47E72589"/>
    <w:rsid w:val="47EA5D49"/>
    <w:rsid w:val="480D15C6"/>
    <w:rsid w:val="48337058"/>
    <w:rsid w:val="48380989"/>
    <w:rsid w:val="4870272E"/>
    <w:rsid w:val="48B43D26"/>
    <w:rsid w:val="48B85E47"/>
    <w:rsid w:val="48C77E38"/>
    <w:rsid w:val="48D367DD"/>
    <w:rsid w:val="48F01AB3"/>
    <w:rsid w:val="48F055E1"/>
    <w:rsid w:val="48F57179"/>
    <w:rsid w:val="491F7C74"/>
    <w:rsid w:val="4929069A"/>
    <w:rsid w:val="49470F79"/>
    <w:rsid w:val="49475888"/>
    <w:rsid w:val="495A121A"/>
    <w:rsid w:val="498D2BBA"/>
    <w:rsid w:val="49BF1AFE"/>
    <w:rsid w:val="49DC7715"/>
    <w:rsid w:val="49F421B6"/>
    <w:rsid w:val="4A023139"/>
    <w:rsid w:val="4A071EC2"/>
    <w:rsid w:val="4A743FEF"/>
    <w:rsid w:val="4A76511F"/>
    <w:rsid w:val="4A7B576F"/>
    <w:rsid w:val="4A987CDE"/>
    <w:rsid w:val="4ACB608C"/>
    <w:rsid w:val="4ADA6E16"/>
    <w:rsid w:val="4AE42916"/>
    <w:rsid w:val="4AF561A9"/>
    <w:rsid w:val="4B321EE0"/>
    <w:rsid w:val="4B380023"/>
    <w:rsid w:val="4B5966E5"/>
    <w:rsid w:val="4B5D6832"/>
    <w:rsid w:val="4B6F6C84"/>
    <w:rsid w:val="4B706F82"/>
    <w:rsid w:val="4B8536E4"/>
    <w:rsid w:val="4B8F7333"/>
    <w:rsid w:val="4BB04E7C"/>
    <w:rsid w:val="4BC253CF"/>
    <w:rsid w:val="4BCD39B7"/>
    <w:rsid w:val="4BD632E4"/>
    <w:rsid w:val="4C1B2975"/>
    <w:rsid w:val="4C1C70B8"/>
    <w:rsid w:val="4C4A0649"/>
    <w:rsid w:val="4C79390D"/>
    <w:rsid w:val="4C7B0D38"/>
    <w:rsid w:val="4C7E5ECA"/>
    <w:rsid w:val="4C876AA5"/>
    <w:rsid w:val="4CAA5AA7"/>
    <w:rsid w:val="4CAE1ABA"/>
    <w:rsid w:val="4CB00843"/>
    <w:rsid w:val="4CC50B32"/>
    <w:rsid w:val="4CFD5C34"/>
    <w:rsid w:val="4D0553D3"/>
    <w:rsid w:val="4D0E00FB"/>
    <w:rsid w:val="4D10359A"/>
    <w:rsid w:val="4D176606"/>
    <w:rsid w:val="4D257EFD"/>
    <w:rsid w:val="4D3331FD"/>
    <w:rsid w:val="4D3B658F"/>
    <w:rsid w:val="4D5749A5"/>
    <w:rsid w:val="4D6B78C7"/>
    <w:rsid w:val="4D8758C1"/>
    <w:rsid w:val="4DEC4FB0"/>
    <w:rsid w:val="4DF25C03"/>
    <w:rsid w:val="4E075D8A"/>
    <w:rsid w:val="4E08155A"/>
    <w:rsid w:val="4E1A59EE"/>
    <w:rsid w:val="4E1C1FAE"/>
    <w:rsid w:val="4E546612"/>
    <w:rsid w:val="4E597784"/>
    <w:rsid w:val="4E740A62"/>
    <w:rsid w:val="4EC00FAD"/>
    <w:rsid w:val="4ED94ABC"/>
    <w:rsid w:val="4F0B065C"/>
    <w:rsid w:val="4F3E6BB8"/>
    <w:rsid w:val="4F4C48A4"/>
    <w:rsid w:val="4F55619D"/>
    <w:rsid w:val="4F840E62"/>
    <w:rsid w:val="4F9111A0"/>
    <w:rsid w:val="4F9843DC"/>
    <w:rsid w:val="4F99125A"/>
    <w:rsid w:val="4F9A0054"/>
    <w:rsid w:val="4FBC5A93"/>
    <w:rsid w:val="4FC62A8C"/>
    <w:rsid w:val="4FCC0252"/>
    <w:rsid w:val="4FE20F0D"/>
    <w:rsid w:val="4FE51552"/>
    <w:rsid w:val="50033E4B"/>
    <w:rsid w:val="500E53BA"/>
    <w:rsid w:val="502618E8"/>
    <w:rsid w:val="50275849"/>
    <w:rsid w:val="50504C4B"/>
    <w:rsid w:val="50593094"/>
    <w:rsid w:val="50633A02"/>
    <w:rsid w:val="50650662"/>
    <w:rsid w:val="50836185"/>
    <w:rsid w:val="50861674"/>
    <w:rsid w:val="508C19D3"/>
    <w:rsid w:val="509C6E7C"/>
    <w:rsid w:val="50B14505"/>
    <w:rsid w:val="50C81701"/>
    <w:rsid w:val="50CA7E8A"/>
    <w:rsid w:val="515E76C4"/>
    <w:rsid w:val="5162104E"/>
    <w:rsid w:val="517A638F"/>
    <w:rsid w:val="518A40F8"/>
    <w:rsid w:val="518B5E73"/>
    <w:rsid w:val="51977067"/>
    <w:rsid w:val="51B1799A"/>
    <w:rsid w:val="51BD1D19"/>
    <w:rsid w:val="51C060F6"/>
    <w:rsid w:val="51C07B1A"/>
    <w:rsid w:val="51CF5F06"/>
    <w:rsid w:val="51F6450F"/>
    <w:rsid w:val="520E350C"/>
    <w:rsid w:val="52110E45"/>
    <w:rsid w:val="525A0016"/>
    <w:rsid w:val="52606EB3"/>
    <w:rsid w:val="52B61649"/>
    <w:rsid w:val="52BE30EA"/>
    <w:rsid w:val="52CA6EA2"/>
    <w:rsid w:val="531E71EE"/>
    <w:rsid w:val="532A5B93"/>
    <w:rsid w:val="535F3A8F"/>
    <w:rsid w:val="53635489"/>
    <w:rsid w:val="53A039CC"/>
    <w:rsid w:val="53A1505A"/>
    <w:rsid w:val="53DF34EE"/>
    <w:rsid w:val="54063E08"/>
    <w:rsid w:val="54145386"/>
    <w:rsid w:val="543437E8"/>
    <w:rsid w:val="548412D3"/>
    <w:rsid w:val="548B08B3"/>
    <w:rsid w:val="54E33008"/>
    <w:rsid w:val="54F73313"/>
    <w:rsid w:val="54F80955"/>
    <w:rsid w:val="55043D58"/>
    <w:rsid w:val="551408A9"/>
    <w:rsid w:val="552115FB"/>
    <w:rsid w:val="552247B0"/>
    <w:rsid w:val="552810B5"/>
    <w:rsid w:val="552D17D9"/>
    <w:rsid w:val="55381463"/>
    <w:rsid w:val="55437EC2"/>
    <w:rsid w:val="555170A7"/>
    <w:rsid w:val="5587536D"/>
    <w:rsid w:val="559B174B"/>
    <w:rsid w:val="55A06354"/>
    <w:rsid w:val="55CE0CF4"/>
    <w:rsid w:val="55D9201E"/>
    <w:rsid w:val="55DB79C3"/>
    <w:rsid w:val="55E57E9B"/>
    <w:rsid w:val="564C10A3"/>
    <w:rsid w:val="568C1FF5"/>
    <w:rsid w:val="56B22A9C"/>
    <w:rsid w:val="57534DA2"/>
    <w:rsid w:val="576A0C54"/>
    <w:rsid w:val="576D2E8E"/>
    <w:rsid w:val="57715B3F"/>
    <w:rsid w:val="57A051DB"/>
    <w:rsid w:val="57A06424"/>
    <w:rsid w:val="57B554F4"/>
    <w:rsid w:val="57B72A76"/>
    <w:rsid w:val="57C32112"/>
    <w:rsid w:val="57C3426C"/>
    <w:rsid w:val="57CE1F93"/>
    <w:rsid w:val="584206A2"/>
    <w:rsid w:val="584A457D"/>
    <w:rsid w:val="58564D34"/>
    <w:rsid w:val="58627B7D"/>
    <w:rsid w:val="58644642"/>
    <w:rsid w:val="588743D1"/>
    <w:rsid w:val="5887701A"/>
    <w:rsid w:val="58B50E3B"/>
    <w:rsid w:val="58FD72CB"/>
    <w:rsid w:val="590460C5"/>
    <w:rsid w:val="591103A6"/>
    <w:rsid w:val="592E0CA5"/>
    <w:rsid w:val="59315084"/>
    <w:rsid w:val="59401C6C"/>
    <w:rsid w:val="59684127"/>
    <w:rsid w:val="598C4EB2"/>
    <w:rsid w:val="59981AA8"/>
    <w:rsid w:val="599B50F5"/>
    <w:rsid w:val="599E2E37"/>
    <w:rsid w:val="59AA5338"/>
    <w:rsid w:val="59C0439F"/>
    <w:rsid w:val="59DE0D30"/>
    <w:rsid w:val="59F7217B"/>
    <w:rsid w:val="5A2B02F3"/>
    <w:rsid w:val="5A425C0E"/>
    <w:rsid w:val="5A4D7D77"/>
    <w:rsid w:val="5A93401E"/>
    <w:rsid w:val="5A9D2BBD"/>
    <w:rsid w:val="5ABE2233"/>
    <w:rsid w:val="5AD42FAA"/>
    <w:rsid w:val="5B1A1B5F"/>
    <w:rsid w:val="5B1F145B"/>
    <w:rsid w:val="5B250E62"/>
    <w:rsid w:val="5B413A7A"/>
    <w:rsid w:val="5B57329D"/>
    <w:rsid w:val="5B615ECA"/>
    <w:rsid w:val="5B6339F0"/>
    <w:rsid w:val="5B7606F0"/>
    <w:rsid w:val="5B7C18B8"/>
    <w:rsid w:val="5B8D37DC"/>
    <w:rsid w:val="5BA65FD3"/>
    <w:rsid w:val="5BB71388"/>
    <w:rsid w:val="5BBB7CD0"/>
    <w:rsid w:val="5BDF5D95"/>
    <w:rsid w:val="5BE60778"/>
    <w:rsid w:val="5BE91A6A"/>
    <w:rsid w:val="5BFE7528"/>
    <w:rsid w:val="5C40484A"/>
    <w:rsid w:val="5C4952DC"/>
    <w:rsid w:val="5C5B6DBD"/>
    <w:rsid w:val="5C5C014F"/>
    <w:rsid w:val="5C6D486F"/>
    <w:rsid w:val="5C855BE8"/>
    <w:rsid w:val="5C8A308B"/>
    <w:rsid w:val="5CEB5945"/>
    <w:rsid w:val="5CF07506"/>
    <w:rsid w:val="5CF11A01"/>
    <w:rsid w:val="5D6121B1"/>
    <w:rsid w:val="5D8D2FA6"/>
    <w:rsid w:val="5DA80769"/>
    <w:rsid w:val="5DFE20F6"/>
    <w:rsid w:val="5E010919"/>
    <w:rsid w:val="5E190643"/>
    <w:rsid w:val="5E1A71EB"/>
    <w:rsid w:val="5E2467F1"/>
    <w:rsid w:val="5E506414"/>
    <w:rsid w:val="5EB212A8"/>
    <w:rsid w:val="5EBC489D"/>
    <w:rsid w:val="5EC24ED2"/>
    <w:rsid w:val="5ECA164D"/>
    <w:rsid w:val="5EFA466C"/>
    <w:rsid w:val="5F013C4C"/>
    <w:rsid w:val="5F1A2B43"/>
    <w:rsid w:val="5F1B7228"/>
    <w:rsid w:val="5F350DB4"/>
    <w:rsid w:val="5F353CE5"/>
    <w:rsid w:val="5F64242D"/>
    <w:rsid w:val="5F8018A3"/>
    <w:rsid w:val="5F8A1DD7"/>
    <w:rsid w:val="5F93061C"/>
    <w:rsid w:val="5FA96C00"/>
    <w:rsid w:val="5FB837BB"/>
    <w:rsid w:val="5FBC4017"/>
    <w:rsid w:val="5FC270E8"/>
    <w:rsid w:val="5FDB152F"/>
    <w:rsid w:val="5FE84E0C"/>
    <w:rsid w:val="5FFA12F2"/>
    <w:rsid w:val="60011A2A"/>
    <w:rsid w:val="6009311E"/>
    <w:rsid w:val="60206354"/>
    <w:rsid w:val="60237BF2"/>
    <w:rsid w:val="607246D5"/>
    <w:rsid w:val="608A5231"/>
    <w:rsid w:val="60A87566"/>
    <w:rsid w:val="60B50DF0"/>
    <w:rsid w:val="60BD4A64"/>
    <w:rsid w:val="60CC405A"/>
    <w:rsid w:val="60D235C8"/>
    <w:rsid w:val="60D25C86"/>
    <w:rsid w:val="60D81D03"/>
    <w:rsid w:val="60E4014E"/>
    <w:rsid w:val="60F65306"/>
    <w:rsid w:val="616A650E"/>
    <w:rsid w:val="61A56CE3"/>
    <w:rsid w:val="61BD7601"/>
    <w:rsid w:val="61C340E8"/>
    <w:rsid w:val="61C40F61"/>
    <w:rsid w:val="61CE010D"/>
    <w:rsid w:val="61D17319"/>
    <w:rsid w:val="61D95F6F"/>
    <w:rsid w:val="61E11B13"/>
    <w:rsid w:val="61E215D8"/>
    <w:rsid w:val="61E5789B"/>
    <w:rsid w:val="61F50F1C"/>
    <w:rsid w:val="6214144E"/>
    <w:rsid w:val="621B3775"/>
    <w:rsid w:val="621E1A66"/>
    <w:rsid w:val="621F5935"/>
    <w:rsid w:val="622F0AD0"/>
    <w:rsid w:val="62307044"/>
    <w:rsid w:val="623205C0"/>
    <w:rsid w:val="62340232"/>
    <w:rsid w:val="62364782"/>
    <w:rsid w:val="62407A7D"/>
    <w:rsid w:val="6246684F"/>
    <w:rsid w:val="62824FE7"/>
    <w:rsid w:val="62B21879"/>
    <w:rsid w:val="62C03E1E"/>
    <w:rsid w:val="62D01D85"/>
    <w:rsid w:val="62E25068"/>
    <w:rsid w:val="62EB6F6B"/>
    <w:rsid w:val="62F27F5B"/>
    <w:rsid w:val="633E223A"/>
    <w:rsid w:val="6347190D"/>
    <w:rsid w:val="6355637E"/>
    <w:rsid w:val="635A1B7D"/>
    <w:rsid w:val="636235E6"/>
    <w:rsid w:val="6394356A"/>
    <w:rsid w:val="63B12184"/>
    <w:rsid w:val="63C61B2C"/>
    <w:rsid w:val="63C630B6"/>
    <w:rsid w:val="63C97964"/>
    <w:rsid w:val="63D062E3"/>
    <w:rsid w:val="63D40BE9"/>
    <w:rsid w:val="63D54E77"/>
    <w:rsid w:val="63F87D92"/>
    <w:rsid w:val="64102431"/>
    <w:rsid w:val="641D75A7"/>
    <w:rsid w:val="642C4A06"/>
    <w:rsid w:val="646A4F87"/>
    <w:rsid w:val="646E32A3"/>
    <w:rsid w:val="646F7D9A"/>
    <w:rsid w:val="64A5243A"/>
    <w:rsid w:val="64A826AD"/>
    <w:rsid w:val="64B20CE1"/>
    <w:rsid w:val="64D66A32"/>
    <w:rsid w:val="64E650D1"/>
    <w:rsid w:val="64F531DE"/>
    <w:rsid w:val="65373578"/>
    <w:rsid w:val="6546685C"/>
    <w:rsid w:val="65546FC4"/>
    <w:rsid w:val="65895914"/>
    <w:rsid w:val="65C362F9"/>
    <w:rsid w:val="65DA29BA"/>
    <w:rsid w:val="65E83723"/>
    <w:rsid w:val="65F242EE"/>
    <w:rsid w:val="66165402"/>
    <w:rsid w:val="661D6845"/>
    <w:rsid w:val="6635067F"/>
    <w:rsid w:val="66521231"/>
    <w:rsid w:val="6679056C"/>
    <w:rsid w:val="66803B38"/>
    <w:rsid w:val="66D03A26"/>
    <w:rsid w:val="66D67198"/>
    <w:rsid w:val="66FD391F"/>
    <w:rsid w:val="671F124A"/>
    <w:rsid w:val="674D37A6"/>
    <w:rsid w:val="677A33C6"/>
    <w:rsid w:val="677C145B"/>
    <w:rsid w:val="67B30320"/>
    <w:rsid w:val="67E055A1"/>
    <w:rsid w:val="67EE0AE5"/>
    <w:rsid w:val="681F6961"/>
    <w:rsid w:val="6821246E"/>
    <w:rsid w:val="68550B65"/>
    <w:rsid w:val="68610A2F"/>
    <w:rsid w:val="687E00BB"/>
    <w:rsid w:val="68805514"/>
    <w:rsid w:val="6889691D"/>
    <w:rsid w:val="689B5BED"/>
    <w:rsid w:val="689E42BA"/>
    <w:rsid w:val="68E01088"/>
    <w:rsid w:val="68E503E3"/>
    <w:rsid w:val="68F26B04"/>
    <w:rsid w:val="69146B29"/>
    <w:rsid w:val="69316E2F"/>
    <w:rsid w:val="694E2071"/>
    <w:rsid w:val="69504E69"/>
    <w:rsid w:val="69523277"/>
    <w:rsid w:val="69626818"/>
    <w:rsid w:val="69766163"/>
    <w:rsid w:val="697A3B33"/>
    <w:rsid w:val="6991654B"/>
    <w:rsid w:val="69971DA0"/>
    <w:rsid w:val="69A53FC4"/>
    <w:rsid w:val="69AE369B"/>
    <w:rsid w:val="69C77840"/>
    <w:rsid w:val="69C81065"/>
    <w:rsid w:val="69CF7B58"/>
    <w:rsid w:val="69D44760"/>
    <w:rsid w:val="69E716D5"/>
    <w:rsid w:val="6A09670C"/>
    <w:rsid w:val="6A294057"/>
    <w:rsid w:val="6A520EC7"/>
    <w:rsid w:val="6A525991"/>
    <w:rsid w:val="6A5A4F50"/>
    <w:rsid w:val="6A5E41E4"/>
    <w:rsid w:val="6A763739"/>
    <w:rsid w:val="6A8230A3"/>
    <w:rsid w:val="6A8D6CDC"/>
    <w:rsid w:val="6AD77F57"/>
    <w:rsid w:val="6AEB755E"/>
    <w:rsid w:val="6AF87E20"/>
    <w:rsid w:val="6B272C8C"/>
    <w:rsid w:val="6B2A62D8"/>
    <w:rsid w:val="6B2C1D44"/>
    <w:rsid w:val="6B2D150E"/>
    <w:rsid w:val="6B322639"/>
    <w:rsid w:val="6B4F5D3F"/>
    <w:rsid w:val="6B662F6D"/>
    <w:rsid w:val="6B80218D"/>
    <w:rsid w:val="6B866A9F"/>
    <w:rsid w:val="6BAD2A66"/>
    <w:rsid w:val="6BDE5AD6"/>
    <w:rsid w:val="6BE446D9"/>
    <w:rsid w:val="6BF33551"/>
    <w:rsid w:val="6C042623"/>
    <w:rsid w:val="6C042FCD"/>
    <w:rsid w:val="6C636C38"/>
    <w:rsid w:val="6C7D2605"/>
    <w:rsid w:val="6D083757"/>
    <w:rsid w:val="6D383BCB"/>
    <w:rsid w:val="6D4F2026"/>
    <w:rsid w:val="6D5B4931"/>
    <w:rsid w:val="6D605FE2"/>
    <w:rsid w:val="6D71439B"/>
    <w:rsid w:val="6D714693"/>
    <w:rsid w:val="6D851EEC"/>
    <w:rsid w:val="6D9D7236"/>
    <w:rsid w:val="6DAC7479"/>
    <w:rsid w:val="6DB34098"/>
    <w:rsid w:val="6DB545B6"/>
    <w:rsid w:val="6DC748C4"/>
    <w:rsid w:val="6DE02FB4"/>
    <w:rsid w:val="6DFB23EA"/>
    <w:rsid w:val="6E4753F3"/>
    <w:rsid w:val="6E4C08CD"/>
    <w:rsid w:val="6E514CED"/>
    <w:rsid w:val="6E5813AF"/>
    <w:rsid w:val="6E977CDD"/>
    <w:rsid w:val="6E977E5B"/>
    <w:rsid w:val="6EB563D5"/>
    <w:rsid w:val="6ED92677"/>
    <w:rsid w:val="6F1E29AB"/>
    <w:rsid w:val="6F225983"/>
    <w:rsid w:val="6F433BCE"/>
    <w:rsid w:val="6F7D60E1"/>
    <w:rsid w:val="6F833C84"/>
    <w:rsid w:val="6FB22D40"/>
    <w:rsid w:val="6FCE3484"/>
    <w:rsid w:val="6FCE7B7A"/>
    <w:rsid w:val="6FEC1DAE"/>
    <w:rsid w:val="6FFC5590"/>
    <w:rsid w:val="6FFC636C"/>
    <w:rsid w:val="703D6015"/>
    <w:rsid w:val="704E2A69"/>
    <w:rsid w:val="705773CD"/>
    <w:rsid w:val="706A53C9"/>
    <w:rsid w:val="706D1DD0"/>
    <w:rsid w:val="70856B87"/>
    <w:rsid w:val="708D5594"/>
    <w:rsid w:val="70AC7790"/>
    <w:rsid w:val="70B42D68"/>
    <w:rsid w:val="70B76FC3"/>
    <w:rsid w:val="70C3335B"/>
    <w:rsid w:val="70D527EE"/>
    <w:rsid w:val="71140838"/>
    <w:rsid w:val="71221187"/>
    <w:rsid w:val="712D08D1"/>
    <w:rsid w:val="714D6659"/>
    <w:rsid w:val="715B13A8"/>
    <w:rsid w:val="715B5300"/>
    <w:rsid w:val="7166670A"/>
    <w:rsid w:val="716E5411"/>
    <w:rsid w:val="71B44B4E"/>
    <w:rsid w:val="71D27F8A"/>
    <w:rsid w:val="720A37A0"/>
    <w:rsid w:val="720E0702"/>
    <w:rsid w:val="72387A20"/>
    <w:rsid w:val="724E074F"/>
    <w:rsid w:val="72553024"/>
    <w:rsid w:val="727F30E6"/>
    <w:rsid w:val="728564EA"/>
    <w:rsid w:val="72A5555B"/>
    <w:rsid w:val="72A65B21"/>
    <w:rsid w:val="72D1155E"/>
    <w:rsid w:val="72F323EB"/>
    <w:rsid w:val="73122968"/>
    <w:rsid w:val="731F5D5E"/>
    <w:rsid w:val="73223D39"/>
    <w:rsid w:val="73231B47"/>
    <w:rsid w:val="73351CBE"/>
    <w:rsid w:val="734775F2"/>
    <w:rsid w:val="734F646F"/>
    <w:rsid w:val="73655402"/>
    <w:rsid w:val="73724CC1"/>
    <w:rsid w:val="738A025C"/>
    <w:rsid w:val="738E2BC8"/>
    <w:rsid w:val="739764D5"/>
    <w:rsid w:val="73BF43AC"/>
    <w:rsid w:val="73C37F71"/>
    <w:rsid w:val="73C51AD5"/>
    <w:rsid w:val="73CB5F91"/>
    <w:rsid w:val="740858BB"/>
    <w:rsid w:val="741E11CF"/>
    <w:rsid w:val="741E793C"/>
    <w:rsid w:val="74533F11"/>
    <w:rsid w:val="745E2B51"/>
    <w:rsid w:val="745E3944"/>
    <w:rsid w:val="746315ED"/>
    <w:rsid w:val="74687E72"/>
    <w:rsid w:val="746E2DD8"/>
    <w:rsid w:val="7482314C"/>
    <w:rsid w:val="74CC21AE"/>
    <w:rsid w:val="74D35ED2"/>
    <w:rsid w:val="74D90A92"/>
    <w:rsid w:val="74E20433"/>
    <w:rsid w:val="74FB52B8"/>
    <w:rsid w:val="750D1F96"/>
    <w:rsid w:val="75114065"/>
    <w:rsid w:val="751902BF"/>
    <w:rsid w:val="75297C98"/>
    <w:rsid w:val="75537945"/>
    <w:rsid w:val="755503F6"/>
    <w:rsid w:val="75696518"/>
    <w:rsid w:val="75732004"/>
    <w:rsid w:val="75890BDE"/>
    <w:rsid w:val="758A6119"/>
    <w:rsid w:val="75C31B61"/>
    <w:rsid w:val="75F8032E"/>
    <w:rsid w:val="75F83608"/>
    <w:rsid w:val="760F2C1D"/>
    <w:rsid w:val="76286F0E"/>
    <w:rsid w:val="7635099D"/>
    <w:rsid w:val="763B3A90"/>
    <w:rsid w:val="76772CA8"/>
    <w:rsid w:val="76906942"/>
    <w:rsid w:val="76A35191"/>
    <w:rsid w:val="76D37824"/>
    <w:rsid w:val="76DD1F36"/>
    <w:rsid w:val="76F37D26"/>
    <w:rsid w:val="772D6E8E"/>
    <w:rsid w:val="773F17E4"/>
    <w:rsid w:val="77403417"/>
    <w:rsid w:val="776350D7"/>
    <w:rsid w:val="77660698"/>
    <w:rsid w:val="77762421"/>
    <w:rsid w:val="77A90002"/>
    <w:rsid w:val="77B56B1F"/>
    <w:rsid w:val="77DB7813"/>
    <w:rsid w:val="780F09F4"/>
    <w:rsid w:val="78211F6B"/>
    <w:rsid w:val="782347DB"/>
    <w:rsid w:val="78236589"/>
    <w:rsid w:val="78453352"/>
    <w:rsid w:val="784D3606"/>
    <w:rsid w:val="7853757A"/>
    <w:rsid w:val="78563689"/>
    <w:rsid w:val="78630497"/>
    <w:rsid w:val="787D32BE"/>
    <w:rsid w:val="788A03B6"/>
    <w:rsid w:val="78A90480"/>
    <w:rsid w:val="78B071A9"/>
    <w:rsid w:val="78C05BFB"/>
    <w:rsid w:val="78CB5C49"/>
    <w:rsid w:val="79442C5B"/>
    <w:rsid w:val="79786DA9"/>
    <w:rsid w:val="797D43BF"/>
    <w:rsid w:val="79837A85"/>
    <w:rsid w:val="79B163B3"/>
    <w:rsid w:val="79BC7EB8"/>
    <w:rsid w:val="79CF4125"/>
    <w:rsid w:val="79DF5D1A"/>
    <w:rsid w:val="79FA798D"/>
    <w:rsid w:val="79FD3A44"/>
    <w:rsid w:val="7A08012D"/>
    <w:rsid w:val="7A0B19CB"/>
    <w:rsid w:val="7A2676BD"/>
    <w:rsid w:val="7A2C1408"/>
    <w:rsid w:val="7A314686"/>
    <w:rsid w:val="7A31714E"/>
    <w:rsid w:val="7A336E66"/>
    <w:rsid w:val="7A364017"/>
    <w:rsid w:val="7A401675"/>
    <w:rsid w:val="7A4D1AA9"/>
    <w:rsid w:val="7A5A025C"/>
    <w:rsid w:val="7A8265E1"/>
    <w:rsid w:val="7AB23BF5"/>
    <w:rsid w:val="7AC34408"/>
    <w:rsid w:val="7AD26045"/>
    <w:rsid w:val="7AD46796"/>
    <w:rsid w:val="7B2F65CA"/>
    <w:rsid w:val="7B4F22A3"/>
    <w:rsid w:val="7B56133C"/>
    <w:rsid w:val="7B686D42"/>
    <w:rsid w:val="7B841746"/>
    <w:rsid w:val="7BB06D85"/>
    <w:rsid w:val="7BB43358"/>
    <w:rsid w:val="7BCE76B2"/>
    <w:rsid w:val="7BD000C6"/>
    <w:rsid w:val="7BD465E1"/>
    <w:rsid w:val="7C0B5C60"/>
    <w:rsid w:val="7C2D6BDC"/>
    <w:rsid w:val="7C455644"/>
    <w:rsid w:val="7C573F5C"/>
    <w:rsid w:val="7C6C5AC7"/>
    <w:rsid w:val="7CC6544B"/>
    <w:rsid w:val="7CD41616"/>
    <w:rsid w:val="7D0239FF"/>
    <w:rsid w:val="7D382AD7"/>
    <w:rsid w:val="7D384885"/>
    <w:rsid w:val="7D407BDD"/>
    <w:rsid w:val="7D490A42"/>
    <w:rsid w:val="7D5A39A2"/>
    <w:rsid w:val="7D5E40CD"/>
    <w:rsid w:val="7D621EED"/>
    <w:rsid w:val="7D63567A"/>
    <w:rsid w:val="7DB14EB4"/>
    <w:rsid w:val="7DCD56F2"/>
    <w:rsid w:val="7DDC7906"/>
    <w:rsid w:val="7DE06CCB"/>
    <w:rsid w:val="7DF924A2"/>
    <w:rsid w:val="7E1C5F55"/>
    <w:rsid w:val="7E2E028C"/>
    <w:rsid w:val="7E2E3EDA"/>
    <w:rsid w:val="7E4030DF"/>
    <w:rsid w:val="7E66669B"/>
    <w:rsid w:val="7E761F86"/>
    <w:rsid w:val="7E7F1AD5"/>
    <w:rsid w:val="7E933DC7"/>
    <w:rsid w:val="7EAA3560"/>
    <w:rsid w:val="7EBF4D99"/>
    <w:rsid w:val="7F001CE7"/>
    <w:rsid w:val="7F281721"/>
    <w:rsid w:val="7F335FF7"/>
    <w:rsid w:val="7F3F2227"/>
    <w:rsid w:val="7F420AFE"/>
    <w:rsid w:val="7F4C279C"/>
    <w:rsid w:val="7F922F03"/>
    <w:rsid w:val="7F957DA2"/>
    <w:rsid w:val="7FA51D85"/>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qFormat="1"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qFormat="1"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ocked="1"/>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20" w:semiHidden="0" w:name="Emphasis" w:locked="1"/>
    <w:lsdException w:unhideWhenUsed="0" w:uiPriority="0" w:semiHidden="0" w:name="Document Map" w:locked="1"/>
    <w:lsdException w:qFormat="1" w:unhideWhenUsed="0" w:uiPriority="0" w:semiHidden="0" w:name="Plain Text"/>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locked/>
    <w:uiPriority w:val="99"/>
    <w:pPr>
      <w:numPr>
        <w:ilvl w:val="0"/>
        <w:numId w:val="1"/>
      </w:numPr>
      <w:tabs>
        <w:tab w:val="left" w:pos="715"/>
        <w:tab w:val="clear" w:pos="420"/>
      </w:tabs>
      <w:adjustRightInd/>
      <w:snapToGrid/>
      <w:spacing w:line="360" w:lineRule="auto"/>
      <w:ind w:firstLine="0" w:firstLineChars="0"/>
      <w:jc w:val="center"/>
      <w:outlineLvl w:val="0"/>
    </w:pPr>
    <w:rPr>
      <w:rFonts w:ascii="Times New Roman" w:hAnsi="Times New Roman" w:eastAsia="黑体" w:cs="Times New Roman"/>
      <w:snapToGrid w:val="0"/>
      <w:color w:val="000000"/>
      <w:sz w:val="32"/>
      <w:szCs w:val="30"/>
    </w:rPr>
  </w:style>
  <w:style w:type="paragraph" w:styleId="3">
    <w:name w:val="heading 2"/>
    <w:basedOn w:val="1"/>
    <w:next w:val="1"/>
    <w:link w:val="42"/>
    <w:qFormat/>
    <w:locked/>
    <w:uiPriority w:val="0"/>
    <w:pPr>
      <w:numPr>
        <w:ilvl w:val="1"/>
        <w:numId w:val="1"/>
      </w:numPr>
      <w:tabs>
        <w:tab w:val="left" w:pos="0"/>
        <w:tab w:val="clear" w:pos="420"/>
      </w:tabs>
      <w:adjustRightInd w:val="0"/>
      <w:snapToGrid w:val="0"/>
      <w:ind w:firstLine="0" w:firstLineChars="0"/>
      <w:jc w:val="both"/>
      <w:outlineLvl w:val="1"/>
    </w:pPr>
    <w:rPr>
      <w:rFonts w:ascii="Times New Roman" w:hAnsi="Times New Roman" w:eastAsia="宋体" w:cs="Times New Roman"/>
      <w:b/>
      <w:bCs/>
      <w:color w:val="auto"/>
      <w:sz w:val="24"/>
      <w:szCs w:val="28"/>
    </w:rPr>
  </w:style>
  <w:style w:type="paragraph" w:styleId="4">
    <w:name w:val="heading 3"/>
    <w:basedOn w:val="1"/>
    <w:link w:val="43"/>
    <w:qFormat/>
    <w:locked/>
    <w:uiPriority w:val="0"/>
    <w:pPr>
      <w:keepNext/>
      <w:keepLines/>
      <w:numPr>
        <w:ilvl w:val="2"/>
        <w:numId w:val="1"/>
      </w:numPr>
      <w:tabs>
        <w:tab w:val="left" w:pos="0"/>
        <w:tab w:val="clear" w:pos="420"/>
      </w:tabs>
      <w:spacing w:line="440" w:lineRule="exact"/>
      <w:ind w:firstLine="0" w:firstLineChars="0"/>
      <w:outlineLvl w:val="2"/>
    </w:pPr>
    <w:rPr>
      <w:rFonts w:ascii="Times New Roman" w:hAnsi="Times New Roman" w:eastAsia="宋体"/>
      <w:b/>
      <w:bCs/>
      <w:sz w:val="24"/>
      <w:szCs w:val="32"/>
    </w:rPr>
  </w:style>
  <w:style w:type="paragraph" w:styleId="5">
    <w:name w:val="heading 4"/>
    <w:basedOn w:val="1"/>
    <w:next w:val="1"/>
    <w:qFormat/>
    <w:locked/>
    <w:uiPriority w:val="0"/>
    <w:pPr>
      <w:numPr>
        <w:ilvl w:val="3"/>
        <w:numId w:val="1"/>
      </w:numPr>
      <w:tabs>
        <w:tab w:val="left" w:pos="5400"/>
        <w:tab w:val="clear" w:pos="420"/>
      </w:tabs>
      <w:ind w:firstLine="0" w:firstLineChars="0"/>
      <w:outlineLvl w:val="3"/>
    </w:pPr>
    <w:rPr>
      <w:b/>
      <w:bCs/>
      <w:szCs w:val="28"/>
    </w:rPr>
  </w:style>
  <w:style w:type="paragraph" w:styleId="6">
    <w:name w:val="heading 5"/>
    <w:basedOn w:val="1"/>
    <w:next w:val="1"/>
    <w:unhideWhenUsed/>
    <w:qFormat/>
    <w:locked/>
    <w:uiPriority w:val="0"/>
    <w:pPr>
      <w:keepNext/>
      <w:keepLines/>
      <w:numPr>
        <w:ilvl w:val="4"/>
        <w:numId w:val="1"/>
      </w:numPr>
      <w:tabs>
        <w:tab w:val="left" w:pos="0"/>
      </w:tabs>
      <w:spacing w:before="280" w:after="290" w:line="376" w:lineRule="auto"/>
      <w:ind w:left="1008" w:hanging="1008" w:firstLineChars="0"/>
      <w:outlineLvl w:val="4"/>
    </w:pPr>
    <w:rPr>
      <w:b/>
      <w:bCs/>
      <w:sz w:val="28"/>
      <w:szCs w:val="28"/>
    </w:rPr>
  </w:style>
  <w:style w:type="paragraph" w:styleId="7">
    <w:name w:val="heading 6"/>
    <w:basedOn w:val="1"/>
    <w:next w:val="1"/>
    <w:semiHidden/>
    <w:unhideWhenUsed/>
    <w:qFormat/>
    <w:locked/>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locked/>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locked/>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locked/>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32">
    <w:name w:val="Default Paragraph Font"/>
    <w:semiHidden/>
    <w:qFormat/>
    <w:uiPriority w:val="0"/>
  </w:style>
  <w:style w:type="table" w:default="1" w:styleId="30">
    <w:name w:val="Normal Table"/>
    <w:semiHidden/>
    <w:qFormat/>
    <w:uiPriority w:val="0"/>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11">
    <w:name w:val="table of authorities"/>
    <w:basedOn w:val="1"/>
    <w:next w:val="1"/>
    <w:semiHidden/>
    <w:qFormat/>
    <w:locked/>
    <w:uiPriority w:val="0"/>
    <w:pPr>
      <w:ind w:left="420" w:leftChars="200"/>
    </w:pPr>
  </w:style>
  <w:style w:type="paragraph" w:styleId="12">
    <w:name w:val="Note Heading"/>
    <w:basedOn w:val="1"/>
    <w:next w:val="1"/>
    <w:qFormat/>
    <w:uiPriority w:val="0"/>
  </w:style>
  <w:style w:type="paragraph" w:styleId="13">
    <w:name w:val="Normal Indent"/>
    <w:basedOn w:val="1"/>
    <w:next w:val="1"/>
    <w:qFormat/>
    <w:uiPriority w:val="0"/>
    <w:pPr>
      <w:ind w:firstLine="420"/>
    </w:pPr>
  </w:style>
  <w:style w:type="paragraph" w:styleId="14">
    <w:name w:val="caption"/>
    <w:basedOn w:val="15"/>
    <w:next w:val="1"/>
    <w:unhideWhenUsed/>
    <w:qFormat/>
    <w:locked/>
    <w:uiPriority w:val="0"/>
    <w:pPr>
      <w:tabs>
        <w:tab w:val="left" w:pos="715"/>
      </w:tabs>
    </w:pPr>
    <w:rPr>
      <w:rFonts w:eastAsia="宋体"/>
      <w:b/>
      <w:kern w:val="0"/>
      <w:szCs w:val="20"/>
    </w:rPr>
  </w:style>
  <w:style w:type="paragraph" w:customStyle="1" w:styleId="15">
    <w:name w:val="图"/>
    <w:basedOn w:val="1"/>
    <w:qFormat/>
    <w:uiPriority w:val="0"/>
    <w:pPr>
      <w:ind w:firstLine="0" w:firstLineChars="0"/>
      <w:jc w:val="center"/>
    </w:pPr>
    <w:rPr>
      <w:rFonts w:hint="eastAsia" w:eastAsia="仿宋_GB2312"/>
      <w:color w:val="auto"/>
    </w:rPr>
  </w:style>
  <w:style w:type="paragraph" w:styleId="16">
    <w:name w:val="annotation text"/>
    <w:basedOn w:val="1"/>
    <w:qFormat/>
    <w:uiPriority w:val="0"/>
    <w:pPr>
      <w:jc w:val="left"/>
    </w:pPr>
  </w:style>
  <w:style w:type="paragraph" w:styleId="17">
    <w:name w:val="Salutation"/>
    <w:basedOn w:val="1"/>
    <w:next w:val="1"/>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8">
    <w:name w:val="Body Text"/>
    <w:basedOn w:val="1"/>
    <w:next w:val="19"/>
    <w:qFormat/>
    <w:uiPriority w:val="1"/>
    <w:rPr>
      <w:rFonts w:ascii="宋体" w:hAnsi="宋体" w:eastAsia="宋体" w:cs="宋体"/>
      <w:sz w:val="24"/>
      <w:szCs w:val="24"/>
      <w:lang w:val="zh-CN" w:bidi="zh-CN"/>
    </w:rPr>
  </w:style>
  <w:style w:type="paragraph" w:styleId="19">
    <w:name w:val="Plain Text"/>
    <w:basedOn w:val="1"/>
    <w:next w:val="18"/>
    <w:qFormat/>
    <w:uiPriority w:val="0"/>
    <w:rPr>
      <w:rFonts w:ascii="Times New Roman" w:hAnsi="Times New Roman" w:eastAsia="宋体" w:cs="Courier New"/>
      <w:szCs w:val="21"/>
    </w:rPr>
  </w:style>
  <w:style w:type="paragraph" w:styleId="20">
    <w:name w:val="Body Text Indent"/>
    <w:basedOn w:val="1"/>
    <w:next w:val="21"/>
    <w:qFormat/>
    <w:uiPriority w:val="0"/>
    <w:pPr>
      <w:spacing w:after="120"/>
      <w:ind w:left="420" w:leftChars="200"/>
    </w:pPr>
    <w:rPr>
      <w:kern w:val="0"/>
      <w:sz w:val="24"/>
      <w:szCs w:val="20"/>
    </w:rPr>
  </w:style>
  <w:style w:type="paragraph" w:styleId="21">
    <w:name w:val="Body Text First Indent 2"/>
    <w:basedOn w:val="20"/>
    <w:next w:val="22"/>
    <w:qFormat/>
    <w:uiPriority w:val="0"/>
    <w:pPr>
      <w:spacing w:after="120"/>
      <w:ind w:left="420" w:leftChars="200" w:firstLine="210" w:firstLineChars="200"/>
    </w:pPr>
    <w:rPr>
      <w:sz w:val="21"/>
    </w:rPr>
  </w:style>
  <w:style w:type="paragraph" w:styleId="22">
    <w:name w:val="Body Text First Indent"/>
    <w:basedOn w:val="18"/>
    <w:next w:val="1"/>
    <w:qFormat/>
    <w:uiPriority w:val="0"/>
    <w:pPr>
      <w:spacing w:line="480" w:lineRule="auto"/>
      <w:ind w:firstLine="630" w:firstLineChars="225"/>
    </w:pPr>
    <w:rPr>
      <w:rFonts w:ascii="宋体" w:hAnsi="宋体"/>
      <w:sz w:val="28"/>
      <w:szCs w:val="28"/>
      <w:u w:val="single"/>
      <w:lang w:val="en-US" w:eastAsia="zh-CN" w:bidi="ar-SA"/>
    </w:rPr>
  </w:style>
  <w:style w:type="paragraph" w:styleId="23">
    <w:name w:val="index 4"/>
    <w:basedOn w:val="1"/>
    <w:next w:val="1"/>
    <w:qFormat/>
    <w:locked/>
    <w:uiPriority w:val="0"/>
    <w:pPr>
      <w:ind w:left="600" w:leftChars="600"/>
    </w:pPr>
    <w:rPr>
      <w:sz w:val="21"/>
    </w:rPr>
  </w:style>
  <w:style w:type="paragraph" w:styleId="24">
    <w:name w:val="footer"/>
    <w:basedOn w:val="1"/>
    <w:qFormat/>
    <w:uiPriority w:val="0"/>
    <w:pPr>
      <w:tabs>
        <w:tab w:val="center" w:pos="4153"/>
        <w:tab w:val="right" w:pos="8306"/>
      </w:tabs>
      <w:snapToGrid w:val="0"/>
      <w:jc w:val="left"/>
    </w:pPr>
    <w:rPr>
      <w:sz w:val="18"/>
    </w:rPr>
  </w:style>
  <w:style w:type="paragraph" w:styleId="25">
    <w:name w:val="envelope return"/>
    <w:basedOn w:val="1"/>
    <w:qFormat/>
    <w:locked/>
    <w:uiPriority w:val="0"/>
    <w:pPr>
      <w:snapToGrid w:val="0"/>
    </w:pPr>
    <w:rPr>
      <w:rFonts w:ascii="Arial" w:hAnsi="Arial"/>
    </w:rPr>
  </w:style>
  <w:style w:type="paragraph" w:styleId="2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7">
    <w:name w:val="toc 1"/>
    <w:basedOn w:val="1"/>
    <w:next w:val="1"/>
    <w:qFormat/>
    <w:uiPriority w:val="0"/>
  </w:style>
  <w:style w:type="paragraph" w:styleId="28">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9">
    <w:name w:val="Title"/>
    <w:basedOn w:val="1"/>
    <w:next w:val="1"/>
    <w:qFormat/>
    <w:locked/>
    <w:uiPriority w:val="0"/>
    <w:pPr>
      <w:ind w:firstLine="0" w:firstLineChars="0"/>
      <w:jc w:val="center"/>
      <w:outlineLvl w:val="9"/>
    </w:pPr>
    <w:rPr>
      <w:rFonts w:eastAsia="黑体"/>
      <w:bCs/>
      <w:color w:val="auto"/>
      <w:sz w:val="72"/>
      <w:szCs w:val="72"/>
    </w:r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locked/>
    <w:uiPriority w:val="0"/>
    <w:rPr>
      <w:b/>
    </w:rPr>
  </w:style>
  <w:style w:type="character" w:styleId="34">
    <w:name w:val="page number"/>
    <w:qFormat/>
    <w:locked/>
    <w:uiPriority w:val="0"/>
  </w:style>
  <w:style w:type="character" w:styleId="35">
    <w:name w:val="Emphasis"/>
    <w:qFormat/>
    <w:locked/>
    <w:uiPriority w:val="20"/>
    <w:rPr>
      <w:i/>
      <w:iCs/>
    </w:rPr>
  </w:style>
  <w:style w:type="character" w:styleId="36">
    <w:name w:val="Hyperlink"/>
    <w:unhideWhenUsed/>
    <w:qFormat/>
    <w:locked/>
    <w:uiPriority w:val="99"/>
    <w:rPr>
      <w:color w:val="0000FF"/>
      <w:u w:val="single"/>
    </w:rPr>
  </w:style>
  <w:style w:type="character" w:styleId="37">
    <w:name w:val="annotation reference"/>
    <w:semiHidden/>
    <w:qFormat/>
    <w:uiPriority w:val="0"/>
    <w:rPr>
      <w:sz w:val="21"/>
    </w:rPr>
  </w:style>
  <w:style w:type="paragraph" w:customStyle="1" w:styleId="38">
    <w:name w:val="附件"/>
    <w:basedOn w:val="1"/>
    <w:next w:val="1"/>
    <w:link w:val="46"/>
    <w:qFormat/>
    <w:uiPriority w:val="0"/>
    <w:pPr>
      <w:widowControl/>
      <w:tabs>
        <w:tab w:val="left" w:pos="715"/>
      </w:tabs>
      <w:adjustRightInd w:val="0"/>
      <w:snapToGrid w:val="0"/>
      <w:ind w:firstLine="0" w:firstLineChars="0"/>
      <w:jc w:val="left"/>
      <w:outlineLvl w:val="0"/>
    </w:pPr>
    <w:rPr>
      <w:rFonts w:ascii="Times New Roman" w:hAnsi="Times New Roman" w:eastAsia="宋体" w:cs="Times New Roman"/>
      <w:b/>
      <w:snapToGrid w:val="0"/>
      <w:color w:val="000000"/>
      <w:kern w:val="0"/>
      <w:sz w:val="24"/>
      <w:szCs w:val="30"/>
      <w:highlight w:val="none"/>
    </w:rPr>
  </w:style>
  <w:style w:type="paragraph" w:customStyle="1" w:styleId="39">
    <w:name w:val="表格字体"/>
    <w:next w:val="1"/>
    <w:link w:val="47"/>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40">
    <w:name w:val="表格名称"/>
    <w:basedOn w:val="1"/>
    <w:link w:val="44"/>
    <w:qFormat/>
    <w:uiPriority w:val="0"/>
    <w:pPr>
      <w:widowControl/>
      <w:snapToGrid w:val="0"/>
      <w:ind w:firstLine="0" w:firstLineChars="0"/>
      <w:jc w:val="center"/>
    </w:pPr>
    <w:rPr>
      <w:b/>
      <w:kern w:val="0"/>
      <w:szCs w:val="20"/>
    </w:rPr>
  </w:style>
  <w:style w:type="paragraph" w:customStyle="1" w:styleId="41">
    <w:name w:val="大表格式"/>
    <w:basedOn w:val="1"/>
    <w:qFormat/>
    <w:uiPriority w:val="0"/>
    <w:pPr>
      <w:spacing w:line="240" w:lineRule="auto"/>
      <w:ind w:firstLine="0" w:firstLineChars="0"/>
      <w:jc w:val="center"/>
    </w:pPr>
    <w:rPr>
      <w:color w:val="auto"/>
    </w:rPr>
  </w:style>
  <w:style w:type="character" w:customStyle="1" w:styleId="42">
    <w:name w:val="标题 2 Char"/>
    <w:link w:val="3"/>
    <w:qFormat/>
    <w:uiPriority w:val="0"/>
    <w:rPr>
      <w:rFonts w:ascii="Times New Roman" w:hAnsi="Times New Roman" w:eastAsia="宋体" w:cs="Times New Roman"/>
      <w:b/>
      <w:bCs/>
      <w:snapToGrid w:val="0"/>
      <w:color w:val="auto"/>
      <w:kern w:val="2"/>
      <w:sz w:val="24"/>
      <w:szCs w:val="28"/>
      <w:lang w:val="en-US" w:eastAsia="zh-CN" w:bidi="ar-SA"/>
    </w:rPr>
  </w:style>
  <w:style w:type="character" w:customStyle="1" w:styleId="43">
    <w:name w:val="标题 3 Char"/>
    <w:link w:val="4"/>
    <w:qFormat/>
    <w:uiPriority w:val="0"/>
    <w:rPr>
      <w:rFonts w:ascii="Times New Roman" w:hAnsi="Times New Roman" w:eastAsia="宋体"/>
      <w:b/>
      <w:bCs/>
      <w:sz w:val="24"/>
      <w:szCs w:val="32"/>
    </w:rPr>
  </w:style>
  <w:style w:type="character" w:customStyle="1" w:styleId="44">
    <w:name w:val="表格名称 Char"/>
    <w:link w:val="40"/>
    <w:qFormat/>
    <w:uiPriority w:val="0"/>
    <w:rPr>
      <w:b/>
      <w:kern w:val="0"/>
      <w:szCs w:val="20"/>
    </w:rPr>
  </w:style>
  <w:style w:type="paragraph" w:customStyle="1" w:styleId="45">
    <w:name w:val="封面字体"/>
    <w:basedOn w:val="1"/>
    <w:qFormat/>
    <w:uiPriority w:val="0"/>
    <w:pPr>
      <w:widowControl/>
      <w:ind w:firstLine="0" w:firstLineChars="0"/>
      <w:jc w:val="center"/>
    </w:pPr>
    <w:rPr>
      <w:rFonts w:hint="eastAsia"/>
      <w:color w:val="000000"/>
      <w:sz w:val="28"/>
      <w:szCs w:val="20"/>
    </w:rPr>
  </w:style>
  <w:style w:type="character" w:customStyle="1" w:styleId="46">
    <w:name w:val="附件 Char1"/>
    <w:link w:val="38"/>
    <w:qFormat/>
    <w:uiPriority w:val="0"/>
    <w:rPr>
      <w:rFonts w:ascii="Times New Roman" w:hAnsi="Times New Roman" w:eastAsia="宋体" w:cs="Times New Roman"/>
      <w:b/>
      <w:snapToGrid w:val="0"/>
      <w:color w:val="000000"/>
      <w:kern w:val="0"/>
      <w:sz w:val="24"/>
      <w:szCs w:val="30"/>
      <w:highlight w:val="none"/>
    </w:rPr>
  </w:style>
  <w:style w:type="character" w:customStyle="1" w:styleId="47">
    <w:name w:val="表格字体 Char"/>
    <w:link w:val="39"/>
    <w:qFormat/>
    <w:uiPriority w:val="0"/>
    <w:rPr>
      <w:rFonts w:ascii="Times New Roman" w:hAnsi="Times New Roman" w:eastAsia="宋体" w:cs="Times New Roman"/>
      <w:kern w:val="2"/>
      <w:sz w:val="21"/>
      <w:lang w:val="en-US" w:eastAsia="zh-CN" w:bidi="ar-SA"/>
    </w:rPr>
  </w:style>
  <w:style w:type="table" w:customStyle="1" w:styleId="48">
    <w:name w:val="Table Normal"/>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jpeg"/><Relationship Id="rId6" Type="http://schemas.openxmlformats.org/officeDocument/2006/relationships/footer" Target="footer1.xml"/><Relationship Id="rId59" Type="http://schemas.openxmlformats.org/officeDocument/2006/relationships/image" Target="media/image33.jpeg"/><Relationship Id="rId58" Type="http://schemas.openxmlformats.org/officeDocument/2006/relationships/image" Target="media/image32.jpeg"/><Relationship Id="rId57" Type="http://schemas.openxmlformats.org/officeDocument/2006/relationships/image" Target="media/image31.jpeg"/><Relationship Id="rId56" Type="http://schemas.openxmlformats.org/officeDocument/2006/relationships/image" Target="media/image30.jpeg"/><Relationship Id="rId55" Type="http://schemas.openxmlformats.org/officeDocument/2006/relationships/image" Target="media/image29.jpe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header" Target="header1.xml"/><Relationship Id="rId49" Type="http://schemas.openxmlformats.org/officeDocument/2006/relationships/image" Target="media/image23.jpeg"/><Relationship Id="rId48" Type="http://schemas.openxmlformats.org/officeDocument/2006/relationships/image" Target="media/image22.png"/><Relationship Id="rId47" Type="http://schemas.openxmlformats.org/officeDocument/2006/relationships/image" Target="file:///C:\Users\Admin\AppData\Local\Temp\ksohtml12936\wps12.png" TargetMode="External"/><Relationship Id="rId46" Type="http://schemas.openxmlformats.org/officeDocument/2006/relationships/image" Target="media/image21.png"/><Relationship Id="rId45" Type="http://schemas.openxmlformats.org/officeDocument/2006/relationships/image" Target="file:///C:\Users\Admin\AppData\Local\Temp\ksohtml12936\wps11.png" TargetMode="External"/><Relationship Id="rId44" Type="http://schemas.openxmlformats.org/officeDocument/2006/relationships/image" Target="media/image20.png"/><Relationship Id="rId43" Type="http://schemas.openxmlformats.org/officeDocument/2006/relationships/image" Target="file:///C:\Users\Admin\AppData\Local\Temp\ksohtml12936\wps10.png" TargetMode="External"/><Relationship Id="rId42" Type="http://schemas.openxmlformats.org/officeDocument/2006/relationships/image" Target="media/image19.png"/><Relationship Id="rId41" Type="http://schemas.openxmlformats.org/officeDocument/2006/relationships/image" Target="file:///C:\Users\Admin\AppData\Local\Temp\ksohtml12936\wps9.png" TargetMode="External"/><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file:///C:\Users\Admin\AppData\Local\Temp\ksohtml12936\wps8.png" TargetMode="External"/><Relationship Id="rId38" Type="http://schemas.openxmlformats.org/officeDocument/2006/relationships/image" Target="media/image17.png"/><Relationship Id="rId37" Type="http://schemas.openxmlformats.org/officeDocument/2006/relationships/image" Target="file:///C:\Users\Admin\AppData\Local\Temp\ksohtml12936\wps7.png" TargetMode="External"/><Relationship Id="rId36" Type="http://schemas.openxmlformats.org/officeDocument/2006/relationships/image" Target="media/image16.png"/><Relationship Id="rId35" Type="http://schemas.openxmlformats.org/officeDocument/2006/relationships/image" Target="file:///C:\Users\Admin\AppData\Local\Temp\ksohtml12936\wps6.png" TargetMode="External"/><Relationship Id="rId34" Type="http://schemas.openxmlformats.org/officeDocument/2006/relationships/image" Target="media/image15.png"/><Relationship Id="rId33" Type="http://schemas.openxmlformats.org/officeDocument/2006/relationships/image" Target="file:///C:\Users\Admin\AppData\Local\Temp\ksohtml12936\wps5.png" TargetMode="External"/><Relationship Id="rId32" Type="http://schemas.openxmlformats.org/officeDocument/2006/relationships/image" Target="media/image14.png"/><Relationship Id="rId31" Type="http://schemas.openxmlformats.org/officeDocument/2006/relationships/image" Target="file:///C:\Users\Admin\AppData\Local\Temp\ksohtml12936\wps4.png" TargetMode="External"/><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file:///C:\Users\Admin\AppData\Local\Temp\ksohtml12936\wps3.png" TargetMode="External"/><Relationship Id="rId28" Type="http://schemas.openxmlformats.org/officeDocument/2006/relationships/image" Target="media/image12.png"/><Relationship Id="rId27" Type="http://schemas.openxmlformats.org/officeDocument/2006/relationships/image" Target="file:///C:\Users\Admin\AppData\Local\Temp\ksohtml12936\wps2.png" TargetMode="Externa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emf"/><Relationship Id="rId23" Type="http://schemas.openxmlformats.org/officeDocument/2006/relationships/oleObject" Target="embeddings/oleObject1.bin"/><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"/>
    </extobj>
    <extobj name="F360BE8B-6686-4F3D-AEAF-501FE73E4058-2">
      <extobjdata type="F360BE8B-6686-4F3D-AEAF-501FE73E4058" data="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"/>
    </extobj>
    <extobj name="F360BE8B-6686-4F3D-AEAF-501FE73E4058-3">
      <extobjdata type="F360BE8B-6686-4F3D-AEAF-501FE73E4058" data="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97</Pages>
  <Words>7314</Words>
  <Characters>7889</Characters>
  <Lines>208</Lines>
  <Paragraphs>58</Paragraphs>
  <TotalTime>6</TotalTime>
  <ScaleCrop>false</ScaleCrop>
  <LinksUpToDate>false</LinksUpToDate>
  <CharactersWithSpaces>7969</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cp:lastModifiedBy>
  <cp:lastPrinted>2026-04-14T08:24:00Z</cp:lastPrinted>
  <dcterms:modified xsi:type="dcterms:W3CDTF">2026-04-15T08:37:48Z</dcterms:modified>
  <dc:title>附件2</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55749B522B3D4A399DC755D0C4E4529D_13</vt:lpwstr>
  </property>
  <property fmtid="{D5CDD505-2E9C-101B-9397-08002B2CF9AE}" pid="4" name="KSOTemplateDocerSaveRecord">
    <vt:lpwstr>eyJoZGlkIjoiODNlNDUyMjRiMmY0MmNmODkxOGQ1NThlOGExMTg1NzQiLCJ1c2VySWQiOiI1MTM5MzQzMDgifQ==</vt:lpwstr>
  </property>
</Properties>
</file>