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spacing w:before="0" w:after="0" w:line="606" w:lineRule="exact"/>
        <w:ind w:right="80" w:firstLine="720" w:firstLineChars="200"/>
        <w:jc w:val="both"/>
        <w:rPr>
          <w:rFonts w:hint="eastAsia" w:ascii="方正小标宋简体" w:hAnsi="方正小标宋简体" w:eastAsia="方正小标宋简体" w:cs="方正小标宋简体"/>
          <w:color w:val="000000"/>
          <w:sz w:val="36"/>
          <w:u w:val="none"/>
          <w:lang w:eastAsia="zh-CN"/>
        </w:rPr>
      </w:pPr>
      <w:r>
        <w:rPr>
          <w:rFonts w:hint="eastAsia" w:ascii="方正小标宋简体" w:hAnsi="方正小标宋简体" w:eastAsia="方正小标宋简体" w:cs="方正小标宋简体"/>
          <w:color w:val="000000"/>
          <w:sz w:val="36"/>
          <w:u w:val="none"/>
          <w:lang w:eastAsia="zh-CN"/>
        </w:rPr>
        <w:t>超长期特别国债资金支持设施农业更新改造工</w:t>
      </w:r>
      <w:r>
        <w:rPr>
          <w:rFonts w:hint="eastAsia" w:ascii="方正小标宋简体" w:hAnsi="方正小标宋简体" w:eastAsia="方正小标宋简体" w:cs="方正小标宋简体"/>
          <w:color w:val="000000"/>
          <w:sz w:val="36"/>
          <w:u w:val="none"/>
          <w:lang w:eastAsia="zh-CN"/>
        </w:rPr>
        <w:t>作</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20" w:right="80" w:firstLine="800"/>
        <w:jc w:val="both"/>
        <w:textAlignment w:val="auto"/>
        <w:rPr>
          <w:rFonts w:hint="eastAsia" w:ascii="CESI黑体-GB13000" w:hAnsi="CESI黑体-GB13000" w:eastAsia="CESI黑体-GB13000" w:cs="CESI黑体-GB13000"/>
          <w:color w:val="000000"/>
          <w:sz w:val="32"/>
          <w:szCs w:val="32"/>
          <w:u w:val="none"/>
          <w:lang w:eastAsia="zh-CN"/>
        </w:rPr>
      </w:pPr>
      <w:r>
        <w:rPr>
          <w:rFonts w:hint="eastAsia" w:ascii="CESI黑体-GB13000" w:hAnsi="CESI黑体-GB13000" w:eastAsia="CESI黑体-GB13000" w:cs="CESI黑体-GB13000"/>
          <w:color w:val="000000"/>
          <w:sz w:val="32"/>
          <w:szCs w:val="32"/>
          <w:u w:val="none"/>
          <w:lang w:eastAsia="zh-CN"/>
        </w:rPr>
        <w:t>一、总体要求</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20" w:right="80" w:firstLine="800"/>
        <w:jc w:val="both"/>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eastAsia="zh-CN"/>
        </w:rPr>
        <w:t>推进设施农业更新改造，贯彻落实大食物观，立足满足人已群众多元化食物消费和营养健康需求，以推动设施农业转型升级和增强保供能力为目标，以改造老旧低效设施结构和更新基础生产设备为主要任务，坚持科技引领、节约集约、绿色高效、多元协同，因地制宜谋划、以县为单位推进，充分尊重经营主体意愿、相对集中连片实施，推进设施农业更新改造，不断提升农业综合生产能力和质量效益。</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20" w:right="80" w:firstLine="800"/>
        <w:jc w:val="both"/>
        <w:textAlignment w:val="auto"/>
        <w:rPr>
          <w:rFonts w:hint="eastAsia" w:ascii="CESI黑体-GB13000" w:hAnsi="CESI黑体-GB13000" w:eastAsia="CESI黑体-GB13000" w:cs="CESI黑体-GB13000"/>
          <w:color w:val="000000"/>
          <w:sz w:val="32"/>
          <w:szCs w:val="32"/>
          <w:u w:val="none"/>
          <w:lang w:val="en-US" w:eastAsia="zh-CN"/>
        </w:rPr>
      </w:pPr>
      <w:r>
        <w:rPr>
          <w:rFonts w:hint="eastAsia" w:ascii="CESI黑体-GB13000" w:hAnsi="CESI黑体-GB13000" w:eastAsia="CESI黑体-GB13000" w:cs="CESI黑体-GB13000"/>
          <w:color w:val="000000"/>
          <w:sz w:val="32"/>
          <w:szCs w:val="32"/>
          <w:u w:val="none"/>
          <w:lang w:eastAsia="zh-CN"/>
        </w:rPr>
        <w:t>二、支持范围和申报条件</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20" w:right="80" w:firstLine="6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1．实施区域。在具备较好设施水产养殖产业基础的区域组织实施，重点支持老旧工厂化养殖设施、传统木质渔排（网箱）开展更新改造，项目县工厂化养殖水体不低于5万立方米或木质渔排（网箱）养殖面积不低于8万平方米。</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20" w:right="80" w:firstLine="6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2．实施条件。聚焦生产提质增效和安全生态环保，鼓励推进相对集中区域更新改造，重点支持建成10年及以上的工厂化养殖场（户），养殖水体达2000立方米以上；建成5年及以上传统木质渔排（网箱）养殖场（户），养殖面积达1000平方米以上。</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20" w:right="80" w:firstLine="6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3．建设内容。根据水产养殖生产设施实际使用情况，确定技术方案，开展养殖设施更新升级和环保改造，完善养殖生产功能配套，提高水产养殖生产能力，优化养殖生态环境，实现产业综合升级。</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right="18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（1）老旧工厂化养殖设施更新改造、重点支持养（桶）、车间、温棚等的墙体、框架、棚顶结构改造，以及水处理、环境监测、自动投喂、智能控制等设备更新。</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40" w:right="180" w:firstLine="68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2）老旧传统木质渔排（网箱）更新改造。重点支持浮球、踏板、网衣等结构改造更新，更换环保材质，以及环境监测、精准投喂、自动起捕、网衣清洗、智能控制等设备更新，提高生产能力、生态安全和本质安全水平。</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20" w:right="80" w:firstLine="800"/>
        <w:jc w:val="both"/>
        <w:textAlignment w:val="auto"/>
        <w:rPr>
          <w:rFonts w:hint="eastAsia" w:ascii="CESI黑体-GB13000" w:hAnsi="CESI黑体-GB13000" w:eastAsia="CESI黑体-GB13000" w:cs="CESI黑体-GB13000"/>
          <w:color w:val="000000"/>
          <w:sz w:val="32"/>
          <w:szCs w:val="32"/>
          <w:u w:val="none"/>
          <w:lang w:eastAsia="zh-CN"/>
        </w:rPr>
      </w:pPr>
      <w:r>
        <w:rPr>
          <w:rFonts w:hint="eastAsia" w:ascii="CESI黑体-GB13000" w:hAnsi="CESI黑体-GB13000" w:eastAsia="CESI黑体-GB13000" w:cs="CESI黑体-GB13000"/>
          <w:color w:val="000000"/>
          <w:sz w:val="32"/>
          <w:szCs w:val="32"/>
          <w:u w:val="none"/>
          <w:lang w:eastAsia="zh-CN"/>
        </w:rPr>
        <w:t>三、支持标准</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40" w:right="180" w:firstLine="68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按照自筹为主、中央适当补助的原则，超长期特别国债资金采取投资补助方式对符合条件的老旧设施更新改造项目予以支持，支持比例不超过核定项目总投资的30%，且不超过相应补助限额。其中核定中央投资补助基数的总投资应为工程费用，不包括管理费、监理费、咨询费、评估费等独立费用。</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40" w:right="180" w:firstLine="68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color w:val="000000"/>
          <w:sz w:val="32"/>
          <w:szCs w:val="32"/>
          <w:u w:val="none"/>
        </w:rPr>
        <w:t>补助限额：</w:t>
      </w:r>
      <w:r>
        <w:rPr>
          <w:rFonts w:hint="eastAsia" w:ascii="仿宋_GB2312" w:hAnsi="仿宋_GB2312" w:eastAsia="仿宋_GB2312" w:cs="仿宋_GB2312"/>
          <w:color w:val="000000"/>
          <w:sz w:val="32"/>
          <w:szCs w:val="32"/>
          <w:u w:val="none"/>
        </w:rPr>
        <w:t>渔业方面，工厂化养殖设施补助不超过1500元／立方米，传统木质渔排（网箱）改造补助不超过600元／平方米，且单个养殖场（户）补助不超过300万元 在不突破支持比例及补助限额的前提下，地方可因地制宜分类确定更新改造投资标准。</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right="80" w:firstLine="640" w:firstLineChars="200"/>
        <w:jc w:val="both"/>
        <w:textAlignment w:val="auto"/>
        <w:rPr>
          <w:rFonts w:hint="eastAsia" w:ascii="CESI黑体-GB13000" w:hAnsi="CESI黑体-GB13000" w:eastAsia="CESI黑体-GB13000" w:cs="CESI黑体-GB13000"/>
          <w:color w:val="000000"/>
          <w:sz w:val="32"/>
          <w:szCs w:val="32"/>
          <w:u w:val="none"/>
          <w:lang w:eastAsia="zh-CN"/>
        </w:rPr>
      </w:pPr>
      <w:r>
        <w:rPr>
          <w:rFonts w:hint="eastAsia" w:ascii="CESI黑体-GB13000" w:hAnsi="CESI黑体-GB13000" w:eastAsia="CESI黑体-GB13000" w:cs="CESI黑体-GB13000"/>
          <w:color w:val="000000"/>
          <w:sz w:val="32"/>
          <w:szCs w:val="32"/>
          <w:u w:val="none"/>
          <w:lang w:eastAsia="zh-CN"/>
        </w:rPr>
        <w:t>四、项目申报程序</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（一）项目储备。各类农业经营主体综合考虑市场环境变化以及设施使用情况，自主谋划项目，并根据项目性质完成审批、备案等前期工作程序。以县为单位分别打捆后统一申报，并相应编制工作实施方案</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实施方案应明确更新改造区域、涉及的经营主体、建设类型及实施规模、主要建设内容、实施期限（不超过1.5年）、投资构成和筹资方式等。每个实施方案申报总投资原则上不低于4000万元。项目建设内容不得涉及房地产开发、楼堂馆所等国家政策限制或禁止性内容，不包括周边道路等附属设施，不搞形象工程和政绩工程。每个项目县中的项目，县农业农村部门要认真进行审核，明确项目主体建设内容、中央资金支持规模、招投标方式，按照法律法规要求需要公开招标的，要严格落实招标投标管理要求，有序推进实施。</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right="82"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color w:val="000000"/>
          <w:sz w:val="32"/>
          <w:szCs w:val="32"/>
          <w:u w:val="none"/>
        </w:rPr>
        <w:t>（二）项目申报。项目实施方案应履行公开公示程序，在经县级人民政府同意且取得批复后，逐级报送资金申请文件并附自筹资金承诺等佐证材料，同步在国家重大建设项目库，农业农村投资项目管理平台填报项目信息。项目实施方案应由地市级农业农村部门组织进行批复</w:t>
      </w:r>
      <w:r>
        <w:rPr>
          <w:rFonts w:hint="eastAsia" w:ascii="仿宋_GB2312" w:hAnsi="仿宋_GB2312" w:eastAsia="仿宋_GB2312" w:cs="仿宋_GB2312"/>
          <w:color w:val="000000"/>
          <w:sz w:val="32"/>
          <w:szCs w:val="32"/>
          <w:u w:val="none"/>
          <w:lang w:eastAsia="zh-CN"/>
        </w:rPr>
        <w:t>。</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20" w:right="4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（三）项目审核。将</w:t>
      </w:r>
      <w:r>
        <w:rPr>
          <w:rFonts w:hint="eastAsia" w:ascii="仿宋_GB2312" w:hAnsi="仿宋_GB2312" w:eastAsia="仿宋_GB2312" w:cs="仿宋_GB2312"/>
          <w:b/>
          <w:bCs/>
          <w:color w:val="000000"/>
          <w:sz w:val="32"/>
          <w:szCs w:val="32"/>
          <w:u w:val="none"/>
        </w:rPr>
        <w:t>资金申请文件</w:t>
      </w:r>
      <w:r>
        <w:rPr>
          <w:rFonts w:hint="eastAsia" w:ascii="仿宋_GB2312" w:hAnsi="仿宋_GB2312" w:eastAsia="仿宋_GB2312" w:cs="仿宋_GB2312"/>
          <w:color w:val="000000"/>
          <w:sz w:val="32"/>
          <w:szCs w:val="32"/>
          <w:u w:val="none"/>
        </w:rPr>
        <w:t>报送国家发展改革委、农业农村部，同步在国家重大建设项目库等平台完成项目推送。申请文件须明确说明审核过程，并对项目县实施方案的必要性与可行性、项目建设内容真实性、相关要件完备性、投资估算合理性等负责。</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20" w:right="40" w:firstLine="74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（四）项目复核与投资下达。国家发展改革委会同农业农村部开展复核。通过复核的项目县纳入年度投资支持范围，由国家发展改革委统一下达项目清单，并由项目县分解到具体项目。</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20" w:right="40" w:firstLine="74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五）项目实施。县级要落实项目组织实施的主体责任，确保项目在当年内按期开工，加快实施进度和资金拨付，按时完成年度绩效目标，尽快形成更多实物工作量。省市两级农业农村部门要加强业务指导，保障项目稳步推进实施。要严格按照项目实施方案和审核明确建设内容组织实施，根据实际建设成效拨付中央资金，不得“报大建小”“未报先建”、超范围建设。</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firstLine="76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color w:val="000000"/>
          <w:sz w:val="32"/>
          <w:szCs w:val="32"/>
          <w:u w:val="none"/>
        </w:rPr>
        <w:t>五、项目实施管理</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20" w:right="4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一）持续强化“软建设”。各级农业农村、发展改革部门，要通过制定规划规范、加强技术指导、强化政策保障等方式，统筹推进“软建设”相关工作。制定完善本地区设施农业更新改造项目实施相关制度办法，研究出台参考性技术图册，细化申报程序和管理要求，发挥农技推广体系作用，加强技术指导服务，积极推广设施蔬菜水肥管理、疫病防控等关键技术，强化国产成熟技术装备与工艺材料应用，提升设施农业发展能力。推动创新投入机制，在坚持经营主体为主投入、自主决策的基础上，鼓励有条件的地方出台配套支持政策，合理运用银行贷款等金融工具，为设施农业加快发展创造有利条件。</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20" w:right="40" w:firstLine="8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二）扎实开展项目前期工作。申报老旧设施设备更新改造项目应充分尊重生产经营主体意愿，不得以任何形式搞强迫推动。市县农业农村部门要加大工作力度，指导经营主体立足地方资源禀赋、产业发展优势，综合考虑设施现状、供求关系和市场形势变化，自主决定是否参与更新改造，合理确定技术方案，优化建设内容，避免建后闲置等情形。需要履行规划、用地（用海）、环保等前置手续的，需在审批前完成相关手续办理，夯实建设条件。项目建设须符合国家用地政策，严禁违法违规占用耕地，严禁违规建设“大棚房”。项目实施过程中因为上述问题而导致项目中断且不能继续实施的，将收回支持资金，并暂停接受相关县后续项目申报。</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right="6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三）多渠道筹集项目资金。按照自筹为主、中央适当补助方式支持项目实施。项目单位要通过经营主体自有资金、银行贷款等渠道筹集剩余项目资金，有条件的地方可安排一定比例的财政资金予以适当支持。项目资金拼盘应完整闭合。地方财政性建设资金由当地政府或财政部门出具资金能够到位的承诺函，并明确是否增加地方政府债务；企业或经营主体自有资金应提供银行存款等证明材料；已获得地方政府专项债券支持的项目，需提供相关证明材料，并确保地方政府专项债券与拟申请超长期特别国债资金之和不得超过项目总投资。要积极用好科技创新和技术改造再贷款政策工具，鼓励项目县申报再贷款，争取贷款贴息政策，发挥投贷联动作用。</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right="60" w:firstLine="8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四）防范违规申报。已有投资渠道的项目，应从原渠道申请项目资金，不得同一项目多头、重复申请中央资金支持，不得以其他中央资金作为项目的配套资金。近10年已通过数字农业、农业面源污染治理、畜禽粪污资源化利用、草原畜牧业转型升级等中央资金支持过的项目，不予支持。已纳入所在省份农机购置与应用补贴范围的设备设施，本项目不予支持。列入严重失信主体名单或安全生产严重失信主体名单的单位和主体不予支持。</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right="60" w:firstLine="82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五）加强项目组织实施。省级发展改革、农业农村部门要加强项目统筹实施。省级农业农村部门要强化工作指导，加强项目跟踪调度和实施监管，协调推进项目实施，更好发挥设施农业设备更新改造项目对行业发展带动作用。项目申报地方要抓好项目组织实施，严格项目资金管理，落实主体责任，及时解决项目实施中遇到的问题，严防造假行为；设施农业设备更新改造涉及经营主体、农民切身利益，各地要积极加强宣传引导，确保平稳有序推进。</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六）确保信息准确。资金申请文件中的项目代码、项目名称、主要建设内容、项目总投资等与项目审批等文件保持一致，确保在国家重大建设项目库内推送的各项项目信息与报送文件中的有关信息保持一致。要正确选填投向领域同一个项目不得在多个投向重复报送。要完整全面填报项目信息，关键信息缺失的项目将不予安排。</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firstLine="76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七）把好项目验收关口。按照“谁审批、谁验收”的原则，由项目实施方案审批单位及时开展项目验收，推动项目及时竣工。要对照实施方案，查看项目总体完成、日常监管、资金到位和使用、建设质量、项目变更、法律法规执行、投产使用、竣工财务决算、档案资料等情况，核实改造内容和更新设备类型。</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firstLine="76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color w:val="000000"/>
          <w:sz w:val="32"/>
          <w:szCs w:val="32"/>
          <w:u w:val="none"/>
        </w:rPr>
        <w:t>六、项目监管</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right="6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一）加强日常监管。各级农业农村部门要会同发展改革部门履行日常监督管理责任，建立健全超长期特别国债资金支持设施农业更新改造的监督管理工作机制，组织开展项目实施和资金使用调度监测、监督检查等工作；要适时对超长期特别国债资金支持设施农业更新改造工作推进、项目实施、资金使用、绩效目标实现等情况开展评估自查，及时将资金使用和绩效目标完成情况报送</w:t>
      </w:r>
      <w:r>
        <w:rPr>
          <w:rFonts w:hint="eastAsia" w:ascii="仿宋_GB2312" w:hAnsi="仿宋_GB2312" w:eastAsia="仿宋_GB2312" w:cs="仿宋_GB2312"/>
          <w:color w:val="000000"/>
          <w:sz w:val="32"/>
          <w:szCs w:val="32"/>
          <w:u w:val="none"/>
          <w:lang w:eastAsia="zh-CN"/>
        </w:rPr>
        <w:t>相关部门</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二）按时报送进展。各省级发展改革部门、农业农村部门要督促项目单位严格落实建设管理责任，加强超长期特别国债资金管理，及时准确报送项目实施进展等情况，于每月10日前通过国家重大建设项目库、农业农村投资管理平台填报截至上月底的项目建设、资金使用等进展情况，及时上传项目相关资料或反映工程进展的视频、照片等。建立资金安排与项目建设进度挂钩机制，对存在由于项目调整变更等原因造成项目建设进度缓慢、不按期开工、绩效不达标等情况的省份，视情况调减下年度资金规模。</w:t>
      </w:r>
      <w:r>
        <w:rPr>
          <w:rFonts w:hint="eastAsia" w:ascii="仿宋_GB2312" w:hAnsi="仿宋_GB2312" w:eastAsia="仿宋_GB2312" w:cs="仿宋_GB2312"/>
          <w:sz w:val="32"/>
          <w:szCs w:val="32"/>
          <w:u w:val="none"/>
        </w:rPr>
        <mc:AlternateContent>
          <mc:Choice Requires="wps">
            <w:drawing>
              <wp:anchor distT="0" distB="0" distL="114300" distR="114300" simplePos="0" relativeHeight="251659264" behindDoc="0" locked="0" layoutInCell="1" allowOverlap="1">
                <wp:simplePos x="0" y="0"/>
                <wp:positionH relativeFrom="page">
                  <wp:posOffset>4343400</wp:posOffset>
                </wp:positionH>
                <wp:positionV relativeFrom="page">
                  <wp:posOffset>9055100</wp:posOffset>
                </wp:positionV>
                <wp:extent cx="736600" cy="63500"/>
                <wp:effectExtent l="0" t="0" r="0" b="0"/>
                <wp:wrapNone/>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ordWrap w:val="0"/>
                              <w:autoSpaceDE w:val="0"/>
                              <w:autoSpaceDN w:val="0"/>
                              <w:spacing w:before="0" w:after="0" w:line="80" w:lineRule="exact"/>
                              <w:ind w:firstLine="0"/>
                              <w:jc w:val="both"/>
                              <w:rPr>
                                <w:sz w:val="12"/>
                              </w:rPr>
                            </w:pPr>
                            <w:r>
                              <w:rPr>
                                <w:rFonts w:hint="eastAsia" w:ascii="Calibri" w:hAnsi="Calibri" w:eastAsia="Calibri"/>
                                <w:color w:val="000000"/>
                                <w:sz w:val="12"/>
                              </w:rPr>
                              <w:t>...</w:t>
                            </w:r>
                          </w:p>
                        </w:txbxContent>
                      </wps:txbx>
                      <wps:bodyPr wrap="square" lIns="25400" tIns="0" rIns="25400" bIns="0">
                        <a:noAutofit/>
                      </wps:bodyPr>
                    </wps:wsp>
                  </a:graphicData>
                </a:graphic>
              </wp:anchor>
            </w:drawing>
          </mc:Choice>
          <mc:Fallback>
            <w:pict>
              <v:shape id="_x0000_s1026" o:spid="_x0000_s1026" o:spt="202" type="#_x0000_t202" style="position:absolute;left:0pt;margin-left:342pt;margin-top:713pt;height:5pt;width:58pt;mso-position-horizontal-relative:page;mso-position-vertical-relative:page;z-index:251659264;mso-width-relative:page;mso-height-relative:page;" filled="f" stroked="f" coordsize="21600,21600" o:gfxdata="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Nei3QLZAAAADQEAAA8AAAAAAAAAAQAgAAAAOAAAAGRycy9kb3ducmV2Lnht&#10;bFBLAQIUABQAAAAIAIdO4kBye3F04gEAAKwDAAAOAAAAAAAAAAEAIAAAAD4BAABkcnMvZTJvRG9j&#10;LnhtbFBLBQYAAAAABgAGAFkBAACSBQAAAAA=&#10;">
                <v:fill on="f" focussize="0,0"/>
                <v:stroke on="f" weight="0.5pt"/>
                <v:imagedata o:title=""/>
                <o:lock v:ext="edit" aspectratio="f"/>
                <v:textbox inset="2pt,0mm,2pt,0mm">
                  <w:txbxContent>
                    <w:p>
                      <w:pPr>
                        <w:wordWrap w:val="0"/>
                        <w:autoSpaceDE w:val="0"/>
                        <w:autoSpaceDN w:val="0"/>
                        <w:spacing w:before="0" w:after="0" w:line="80" w:lineRule="exact"/>
                        <w:ind w:firstLine="0"/>
                        <w:jc w:val="both"/>
                        <w:rPr>
                          <w:sz w:val="12"/>
                        </w:rPr>
                      </w:pPr>
                      <w:r>
                        <w:rPr>
                          <w:rFonts w:hint="eastAsia" w:ascii="Calibri" w:hAnsi="Calibri" w:eastAsia="Calibri"/>
                          <w:color w:val="000000"/>
                          <w:sz w:val="12"/>
                        </w:rPr>
                        <w:t>...</w:t>
                      </w:r>
                    </w:p>
                  </w:txbxContent>
                </v:textbox>
              </v:shape>
            </w:pict>
          </mc:Fallback>
        </mc:AlternateConten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right="54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三）及时处理问题。发现项目单位和个人存在违反法律、行政法规和有关规章制度的行为，各省级农业农村部门会同有关部门依法责令限期整改，按照有关法律法规追究相关单位和个人责任；涉嫌犯罪的，移送司法机关处理。国家发展改革委、农业农村部视情节轻重依法依规采取通报等方式予以惩罚，视情况撤销已下达的项目清单。对出现问题较多或问题较严重的地区，将视情况调减后续年度资金或暂停资金安排。</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firstLine="78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color w:val="000000"/>
          <w:sz w:val="32"/>
          <w:szCs w:val="32"/>
          <w:u w:val="none"/>
        </w:rPr>
        <w:t>七、有关时间安排</w:t>
      </w: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right="60" w:firstLine="760"/>
        <w:jc w:val="both"/>
        <w:textAlignment w:val="auto"/>
        <w:rPr>
          <w:rFonts w:hint="eastAsia" w:ascii="仿宋_GB2312" w:hAnsi="仿宋_GB2312" w:eastAsia="仿宋_GB2312" w:cs="仿宋_GB2312"/>
          <w:sz w:val="32"/>
          <w:szCs w:val="32"/>
          <w:u w:val="none"/>
        </w:rPr>
        <w:sectPr>
          <w:headerReference r:id="rId3" w:type="default"/>
          <w:footerReference r:id="rId4" w:type="default"/>
          <w:type w:val="continuous"/>
          <w:pgSz w:w="11900" w:h="15760"/>
          <w:pgMar w:top="960" w:right="1680" w:bottom="680" w:left="1680" w:header="480" w:footer="440" w:gutter="0"/>
          <w:cols w:space="720" w:num="1"/>
        </w:sectPr>
      </w:pPr>
      <w:r>
        <w:rPr>
          <w:rFonts w:hint="eastAsia" w:ascii="仿宋_GB2312" w:hAnsi="仿宋_GB2312" w:eastAsia="仿宋_GB2312" w:cs="仿宋_GB2312"/>
          <w:color w:val="000000"/>
          <w:sz w:val="32"/>
          <w:szCs w:val="32"/>
          <w:u w:val="none"/>
        </w:rPr>
        <w:t>请各有关</w:t>
      </w:r>
      <w:r>
        <w:rPr>
          <w:rFonts w:hint="eastAsia" w:ascii="仿宋_GB2312" w:hAnsi="仿宋_GB2312" w:eastAsia="仿宋_GB2312" w:cs="仿宋_GB2312"/>
          <w:color w:val="000000"/>
          <w:sz w:val="32"/>
          <w:szCs w:val="32"/>
          <w:u w:val="none"/>
          <w:lang w:eastAsia="zh-CN"/>
        </w:rPr>
        <w:t>单位</w:t>
      </w:r>
      <w:r>
        <w:rPr>
          <w:rFonts w:hint="eastAsia" w:ascii="仿宋_GB2312" w:hAnsi="仿宋_GB2312" w:eastAsia="仿宋_GB2312" w:cs="仿宋_GB2312"/>
          <w:color w:val="000000"/>
          <w:sz w:val="32"/>
          <w:szCs w:val="32"/>
          <w:u w:val="none"/>
        </w:rPr>
        <w:t>于2026年2月</w:t>
      </w:r>
      <w:r>
        <w:rPr>
          <w:rFonts w:hint="eastAsia" w:ascii="仿宋_GB2312" w:hAnsi="仿宋_GB2312" w:eastAsia="仿宋_GB2312" w:cs="仿宋_GB2312"/>
          <w:color w:val="000000"/>
          <w:sz w:val="32"/>
          <w:szCs w:val="32"/>
          <w:u w:val="none"/>
          <w:lang w:val="en-US" w:eastAsia="zh-CN"/>
        </w:rPr>
        <w:t>9</w:t>
      </w:r>
      <w:r>
        <w:rPr>
          <w:rFonts w:hint="eastAsia" w:ascii="仿宋_GB2312" w:hAnsi="仿宋_GB2312" w:eastAsia="仿宋_GB2312" w:cs="仿宋_GB2312"/>
          <w:color w:val="000000"/>
          <w:sz w:val="32"/>
          <w:szCs w:val="32"/>
          <w:u w:val="none"/>
        </w:rPr>
        <w:t>日前，完成项目组织申报和审核把关，并通过国家重大建设项目库“2026年超长期特别国债”模块统一填报推送项目，按项目类型选择设施农业方向，并同步向国家发展改革委、农业农村部（按领域报送相关司局）报送正式资金申请文件、盖公章的项目情况汇总表、分领域汇总表（见附件，一式三份，须附可编辑电子版光盘）。</w:t>
      </w:r>
      <w:bookmarkStart w:id="0" w:name="_GoBack"/>
      <w:bookmarkEnd w:id="0"/>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right="60" w:firstLine="640" w:firstLineChars="200"/>
        <w:jc w:val="both"/>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right="60" w:firstLine="820"/>
        <w:jc w:val="both"/>
        <w:textAlignment w:val="auto"/>
        <w:rPr>
          <w:rFonts w:hint="eastAsia" w:ascii="仿宋_GB2312" w:hAnsi="仿宋_GB2312" w:eastAsia="仿宋_GB2312" w:cs="仿宋_GB2312"/>
          <w:sz w:val="32"/>
          <w:szCs w:val="32"/>
          <w:u w:val="none"/>
        </w:rPr>
        <w:sectPr>
          <w:headerReference r:id="rId5" w:type="default"/>
          <w:footerReference r:id="rId6" w:type="default"/>
          <w:type w:val="continuous"/>
          <w:pgSz w:w="11900" w:h="15820"/>
          <w:pgMar w:top="720" w:right="1680" w:bottom="1000" w:left="1680" w:header="360" w:footer="800" w:gutter="0"/>
          <w:cols w:space="720" w:num="1"/>
        </w:sectPr>
      </w:pP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20" w:right="540" w:firstLine="760"/>
        <w:jc w:val="both"/>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40" w:right="180" w:firstLine="760"/>
        <w:jc w:val="both"/>
        <w:textAlignment w:val="auto"/>
        <w:rPr>
          <w:rFonts w:hint="eastAsia" w:ascii="仿宋_GB2312" w:hAnsi="仿宋_GB2312" w:eastAsia="仿宋_GB2312" w:cs="仿宋_GB2312"/>
          <w:sz w:val="32"/>
          <w:szCs w:val="32"/>
          <w:u w:val="none"/>
        </w:rPr>
        <w:sectPr>
          <w:headerReference r:id="rId7" w:type="default"/>
          <w:footerReference r:id="rId8" w:type="default"/>
          <w:type w:val="continuous"/>
          <w:pgSz w:w="11900" w:h="15780"/>
          <w:pgMar w:top="720" w:right="1680" w:bottom="1360" w:left="1680" w:header="360" w:footer="1120" w:gutter="0"/>
          <w:cols w:space="720" w:num="1"/>
        </w:sectPr>
      </w:pP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20" w:right="40" w:firstLine="800"/>
        <w:jc w:val="both"/>
        <w:textAlignment w:val="auto"/>
        <w:rPr>
          <w:rFonts w:hint="eastAsia" w:ascii="仿宋_GB2312" w:hAnsi="仿宋_GB2312" w:eastAsia="仿宋_GB2312" w:cs="仿宋_GB2312"/>
          <w:sz w:val="32"/>
          <w:szCs w:val="32"/>
          <w:u w:val="none"/>
        </w:rPr>
        <w:sectPr>
          <w:headerReference r:id="rId9" w:type="default"/>
          <w:footerReference r:id="rId10" w:type="default"/>
          <w:type w:val="continuous"/>
          <w:pgSz w:w="11900" w:h="16200"/>
          <w:pgMar w:top="720" w:right="1680" w:bottom="1440" w:left="1680" w:header="360" w:footer="720" w:gutter="0"/>
          <w:cols w:space="720" w:num="1"/>
        </w:sectPr>
      </w:pP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20" w:right="40" w:firstLine="740"/>
        <w:jc w:val="both"/>
        <w:textAlignment w:val="auto"/>
        <w:rPr>
          <w:rFonts w:hint="eastAsia" w:ascii="仿宋_GB2312" w:hAnsi="仿宋_GB2312" w:eastAsia="仿宋_GB2312" w:cs="仿宋_GB2312"/>
          <w:sz w:val="32"/>
          <w:szCs w:val="32"/>
          <w:u w:val="none"/>
        </w:rPr>
        <w:sectPr>
          <w:headerReference r:id="rId11" w:type="default"/>
          <w:footerReference r:id="rId12" w:type="default"/>
          <w:type w:val="continuous"/>
          <w:pgSz w:w="11900" w:h="16540"/>
          <w:pgMar w:top="960" w:right="1680" w:bottom="1680" w:left="1680" w:header="480" w:footer="840" w:gutter="0"/>
          <w:cols w:space="720" w:num="1"/>
        </w:sectPr>
      </w:pPr>
    </w:p>
    <w:p>
      <w:pPr>
        <w:keepNext w:val="0"/>
        <w:keepLines w:val="0"/>
        <w:pageBreakBefore w:val="0"/>
        <w:widowControl w:val="0"/>
        <w:kinsoku/>
        <w:wordWrap w:val="0"/>
        <w:overflowPunct/>
        <w:topLinePunct w:val="0"/>
        <w:autoSpaceDE w:val="0"/>
        <w:autoSpaceDN w:val="0"/>
        <w:bidi w:val="0"/>
        <w:adjustRightInd/>
        <w:snapToGrid/>
        <w:spacing w:before="0" w:after="0" w:line="520" w:lineRule="exact"/>
        <w:ind w:left="40" w:right="180" w:firstLine="680"/>
        <w:jc w:val="both"/>
        <w:textAlignment w:val="auto"/>
        <w:rPr>
          <w:rFonts w:hint="eastAsia" w:ascii="仿宋_GB2312" w:hAnsi="仿宋_GB2312" w:eastAsia="仿宋_GB2312" w:cs="仿宋_GB2312"/>
          <w:color w:val="000000"/>
          <w:sz w:val="32"/>
          <w:szCs w:val="32"/>
          <w:u w:val="none"/>
        </w:rPr>
        <w:sectPr>
          <w:headerReference r:id="rId13" w:type="default"/>
          <w:footerReference r:id="rId14" w:type="default"/>
          <w:type w:val="continuous"/>
          <w:pgSz w:w="11900" w:h="17060"/>
          <w:pgMar w:top="960" w:right="1680" w:bottom="1140" w:left="1680" w:header="480" w:footer="920" w:gutter="0"/>
          <w:cols w:space="720" w:num="1"/>
        </w:sectPr>
      </w:pPr>
    </w:p>
    <w:p>
      <w:pPr>
        <w:wordWrap w:val="0"/>
        <w:autoSpaceDE w:val="0"/>
        <w:autoSpaceDN w:val="0"/>
        <w:spacing w:before="0" w:after="0" w:line="460" w:lineRule="exact"/>
        <w:ind w:firstLine="720"/>
        <w:jc w:val="both"/>
        <w:rPr>
          <w:sz w:val="32"/>
          <w:u w:val="none"/>
        </w:rPr>
        <w:sectPr>
          <w:headerReference r:id="rId15" w:type="default"/>
          <w:footerReference r:id="rId16" w:type="default"/>
          <w:type w:val="continuous"/>
          <w:pgSz w:w="11900" w:h="15700"/>
          <w:pgMar w:top="1440" w:right="1680" w:bottom="760" w:left="1680" w:header="720" w:footer="520" w:gutter="0"/>
          <w:cols w:space="720" w:num="1"/>
        </w:sectPr>
      </w:pPr>
    </w:p>
    <w:p>
      <w:pPr>
        <w:wordWrap w:val="0"/>
        <w:autoSpaceDE w:val="0"/>
        <w:autoSpaceDN w:val="0"/>
        <w:spacing w:before="0" w:after="0" w:line="720" w:lineRule="exact"/>
        <w:ind w:firstLine="780"/>
        <w:jc w:val="both"/>
        <w:rPr>
          <w:sz w:val="39"/>
          <w:u w:val="none"/>
        </w:rPr>
      </w:pPr>
      <w:r>
        <w:rPr>
          <w:rFonts w:hint="eastAsia" w:ascii="宋体" w:hAnsi="宋体" w:eastAsia="宋体"/>
          <w:color w:val="000000"/>
          <w:sz w:val="39"/>
          <w:u w:val="none"/>
        </w:rPr>
        <w:t>联系人：</w:t>
      </w:r>
    </w:p>
    <w:sectPr>
      <w:headerReference r:id="rId17" w:type="default"/>
      <w:footerReference r:id="rId18" w:type="default"/>
      <w:type w:val="continuous"/>
      <w:pgSz w:w="11900" w:h="14680"/>
      <w:pgMar w:top="2160" w:right="960" w:bottom="720" w:left="960" w:header="1080" w:footer="3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CESI黑体-GB13000">
    <w:panose1 w:val="02000500000000000000"/>
    <w:charset w:val="86"/>
    <w:family w:val="auto"/>
    <w:pitch w:val="default"/>
    <w:sig w:usb0="800002BF" w:usb1="38CF7CF8"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220" w:lineRule="exact"/>
      <w:jc w:val="center"/>
      <w:rPr>
        <w:sz w:val="17"/>
      </w:rPr>
    </w:pPr>
    <w:r>
      <w:rPr>
        <w:rFonts w:hint="eastAsia" w:ascii="Calibri" w:hAnsi="Calibri" w:eastAsia="Calibri"/>
        <w:color w:val="000000"/>
        <w:sz w:val="17"/>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194" w:lineRule="exact"/>
      <w:jc w:val="center"/>
      <w:rPr>
        <w:sz w:val="15"/>
      </w:rPr>
    </w:pPr>
    <w:r>
      <w:rPr>
        <w:rFonts w:hint="eastAsia" w:ascii="Calibri" w:hAnsi="Calibri" w:eastAsia="Calibri"/>
        <w:color w:val="000000"/>
        <w:sz w:val="15"/>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220" w:lineRule="exact"/>
      <w:jc w:val="center"/>
      <w:rPr>
        <w:sz w:val="17"/>
      </w:rPr>
    </w:pPr>
    <w:r>
      <w:rPr>
        <w:rFonts w:hint="eastAsia" w:ascii="Calibri" w:hAnsi="Calibri" w:eastAsia="Calibri"/>
        <w:color w:val="000000"/>
        <w:sz w:val="17"/>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207" w:lineRule="exact"/>
      <w:jc w:val="center"/>
      <w:rPr>
        <w:sz w:val="16"/>
      </w:rPr>
    </w:pPr>
    <w:r>
      <w:rPr>
        <w:rFonts w:hint="eastAsia" w:ascii="Calibri" w:hAnsi="Calibri" w:eastAsia="Calibri"/>
        <w:color w:val="000000"/>
        <w:sz w:val="16"/>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233" w:lineRule="exact"/>
      <w:jc w:val="center"/>
      <w:rPr>
        <w:sz w:val="18"/>
      </w:rPr>
    </w:pPr>
    <w:r>
      <w:rPr>
        <w:rFonts w:hint="eastAsia" w:ascii="Calibri" w:hAnsi="Calibri" w:eastAsia="Calibri"/>
        <w:color w:val="000000"/>
        <w:sz w:val="18"/>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B7A6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Office_11.8.2.11958_F1E327BC-269C-435d-A152-05C5408002CA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2026-01-15T10:09:13Z</dcterms:created>
  <dc:creator>INTSIG</dc:creator>
  <dc:description>Intsig Word Converter</dc:description>
  <cp:lastModifiedBy>崔凯</cp:lastModifiedBy>
  <dcterms:modified xsi:type="dcterms:W3CDTF">2026-01-15T10:33:22Z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C0768723A9015BA9F2516869D60C5C48</vt:lpwstr>
  </property>
</Properties>
</file>