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C9811">
      <w:pPr>
        <w:keepNext w:val="0"/>
        <w:keepLines w:val="0"/>
        <w:pageBreakBefore w:val="0"/>
        <w:widowControl w:val="0"/>
        <w:kinsoku w:val="0"/>
        <w:wordWrap/>
        <w:overflowPunct w:val="0"/>
        <w:topLinePunct/>
        <w:autoSpaceDE/>
        <w:autoSpaceDN/>
        <w:bidi w:val="0"/>
        <w:adjustRightInd w:val="0"/>
        <w:snapToGrid w:val="0"/>
        <w:spacing w:line="520" w:lineRule="exact"/>
        <w:ind w:left="0" w:leftChars="0" w:firstLine="0" w:firstLineChars="0"/>
        <w:jc w:val="center"/>
        <w:textAlignment w:val="baseline"/>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关于进一步加强福清市</w:t>
      </w:r>
      <w:r>
        <w:rPr>
          <w:rFonts w:hint="eastAsia" w:ascii="方正小标宋简体" w:hAnsi="方正小标宋简体" w:eastAsia="方正小标宋简体" w:cs="方正小标宋简体"/>
          <w:color w:val="auto"/>
          <w:sz w:val="44"/>
          <w:szCs w:val="44"/>
          <w:highlight w:val="none"/>
        </w:rPr>
        <w:t>建设</w:t>
      </w:r>
      <w:r>
        <w:rPr>
          <w:rFonts w:hint="eastAsia" w:ascii="方正小标宋简体" w:hAnsi="方正小标宋简体" w:eastAsia="方正小标宋简体" w:cs="方正小标宋简体"/>
          <w:color w:val="auto"/>
          <w:sz w:val="44"/>
          <w:szCs w:val="44"/>
          <w:highlight w:val="none"/>
          <w:lang w:eastAsia="zh-CN"/>
        </w:rPr>
        <w:t>工程</w:t>
      </w:r>
      <w:r>
        <w:rPr>
          <w:rFonts w:hint="eastAsia" w:ascii="方正小标宋简体" w:hAnsi="方正小标宋简体" w:eastAsia="方正小标宋简体" w:cs="方正小标宋简体"/>
          <w:color w:val="auto"/>
          <w:sz w:val="44"/>
          <w:szCs w:val="44"/>
          <w:highlight w:val="none"/>
        </w:rPr>
        <w:t>项目</w:t>
      </w:r>
      <w:r>
        <w:rPr>
          <w:rFonts w:hint="eastAsia" w:ascii="方正小标宋简体" w:hAnsi="方正小标宋简体" w:eastAsia="方正小标宋简体" w:cs="方正小标宋简体"/>
          <w:color w:val="auto"/>
          <w:sz w:val="44"/>
          <w:szCs w:val="44"/>
          <w:highlight w:val="none"/>
          <w:lang w:eastAsia="zh-CN"/>
        </w:rPr>
        <w:t>涉及</w:t>
      </w:r>
    </w:p>
    <w:p w14:paraId="4D500B8F">
      <w:pPr>
        <w:keepNext w:val="0"/>
        <w:keepLines w:val="0"/>
        <w:pageBreakBefore w:val="0"/>
        <w:widowControl w:val="0"/>
        <w:kinsoku w:val="0"/>
        <w:wordWrap/>
        <w:overflowPunct w:val="0"/>
        <w:topLinePunct/>
        <w:autoSpaceDE/>
        <w:autoSpaceDN/>
        <w:bidi w:val="0"/>
        <w:adjustRightInd w:val="0"/>
        <w:snapToGrid w:val="0"/>
        <w:spacing w:line="520" w:lineRule="exact"/>
        <w:ind w:left="0" w:leftChars="0" w:firstLine="0" w:firstLineChars="0"/>
        <w:jc w:val="center"/>
        <w:textAlignment w:val="baseline"/>
        <w:rPr>
          <w:rFonts w:hint="eastAsia" w:ascii="方正小标宋简体" w:hAnsi="方正小标宋简体" w:eastAsia="方正小标宋简体" w:cs="方正小标宋简体"/>
          <w:color w:val="auto"/>
          <w:sz w:val="44"/>
          <w:szCs w:val="44"/>
          <w:highlight w:val="none"/>
          <w:lang w:eastAsia="zh-CN"/>
        </w:rPr>
      </w:pPr>
      <w:bookmarkStart w:id="0" w:name="_GoBack"/>
      <w:r>
        <w:rPr>
          <w:rFonts w:hint="eastAsia" w:ascii="方正小标宋简体" w:hAnsi="方正小标宋简体" w:eastAsia="方正小标宋简体" w:cs="方正小标宋简体"/>
          <w:color w:val="auto"/>
          <w:sz w:val="44"/>
          <w:szCs w:val="44"/>
          <w:highlight w:val="none"/>
        </w:rPr>
        <w:t>剩余砂石处置管理</w:t>
      </w:r>
      <w:r>
        <w:rPr>
          <w:rFonts w:hint="eastAsia" w:ascii="方正小标宋简体" w:hAnsi="方正小标宋简体" w:eastAsia="方正小标宋简体" w:cs="方正小标宋简体"/>
          <w:color w:val="auto"/>
          <w:sz w:val="44"/>
          <w:szCs w:val="44"/>
          <w:highlight w:val="none"/>
          <w:lang w:eastAsia="zh-CN"/>
        </w:rPr>
        <w:t>的通知</w:t>
      </w:r>
    </w:p>
    <w:bookmarkEnd w:id="0"/>
    <w:p w14:paraId="6C5B3FD3">
      <w:pPr>
        <w:keepNext w:val="0"/>
        <w:keepLines w:val="0"/>
        <w:pageBreakBefore w:val="0"/>
        <w:widowControl w:val="0"/>
        <w:kinsoku w:val="0"/>
        <w:wordWrap/>
        <w:overflowPunct w:val="0"/>
        <w:topLinePunct/>
        <w:autoSpaceDE/>
        <w:autoSpaceDN/>
        <w:bidi w:val="0"/>
        <w:adjustRightInd w:val="0"/>
        <w:snapToGrid w:val="0"/>
        <w:spacing w:line="520" w:lineRule="exact"/>
        <w:ind w:left="0" w:leftChars="0" w:firstLine="0" w:firstLineChars="0"/>
        <w:jc w:val="center"/>
        <w:textAlignment w:val="baseline"/>
        <w:rPr>
          <w:rFonts w:hint="eastAsia" w:ascii="仿宋_GB2312" w:hAnsi="仿宋_GB2312" w:eastAsia="仿宋_GB2312" w:cs="仿宋_GB2312"/>
          <w:color w:val="auto"/>
          <w:spacing w:val="15"/>
          <w:sz w:val="32"/>
          <w:szCs w:val="32"/>
          <w:lang w:val="en-US" w:eastAsia="zh-CN"/>
        </w:rPr>
      </w:pPr>
      <w:r>
        <w:rPr>
          <w:rFonts w:hint="eastAsia" w:ascii="仿宋_GB2312" w:hAnsi="仿宋_GB2312" w:eastAsia="仿宋_GB2312" w:cs="仿宋_GB2312"/>
          <w:color w:val="auto"/>
          <w:spacing w:val="15"/>
          <w:sz w:val="32"/>
          <w:szCs w:val="32"/>
          <w:lang w:val="en-US" w:eastAsia="zh-CN"/>
        </w:rPr>
        <w:t>(征求意见稿)</w:t>
      </w:r>
    </w:p>
    <w:p w14:paraId="7756CC49">
      <w:pPr>
        <w:keepNext w:val="0"/>
        <w:keepLines w:val="0"/>
        <w:pageBreakBefore w:val="0"/>
        <w:widowControl w:val="0"/>
        <w:kinsoku w:val="0"/>
        <w:wordWrap/>
        <w:overflowPunct w:val="0"/>
        <w:topLinePunct/>
        <w:autoSpaceDE/>
        <w:autoSpaceDN/>
        <w:bidi w:val="0"/>
        <w:adjustRightInd w:val="0"/>
        <w:snapToGrid w:val="0"/>
        <w:spacing w:line="520" w:lineRule="exact"/>
        <w:ind w:firstLine="700" w:firstLineChars="200"/>
        <w:jc w:val="center"/>
        <w:textAlignment w:val="baseline"/>
        <w:rPr>
          <w:rFonts w:hint="eastAsia" w:ascii="仿宋_GB2312" w:hAnsi="仿宋_GB2312" w:eastAsia="仿宋_GB2312" w:cs="仿宋_GB2312"/>
          <w:color w:val="auto"/>
          <w:spacing w:val="15"/>
          <w:sz w:val="32"/>
          <w:szCs w:val="32"/>
          <w:lang w:val="en-US" w:eastAsia="zh-CN"/>
        </w:rPr>
      </w:pPr>
    </w:p>
    <w:p w14:paraId="02E7072F">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为贯彻执行新修订的《中华人民共和国矿产资源法》，进一步加强工程建设项目剩余砂石处置管理，</w:t>
      </w:r>
      <w:r>
        <w:rPr>
          <w:rFonts w:hint="eastAsia" w:ascii="仿宋_GB2312" w:hAnsi="仿宋_GB2312" w:eastAsia="仿宋_GB2312" w:cs="仿宋_GB2312"/>
          <w:color w:val="auto"/>
          <w:sz w:val="32"/>
          <w:szCs w:val="32"/>
          <w:highlight w:val="none"/>
          <w:lang w:eastAsia="zh-CN"/>
        </w:rPr>
        <w:t>根据</w:t>
      </w:r>
      <w:r>
        <w:rPr>
          <w:rFonts w:hint="eastAsia" w:ascii="仿宋_GB2312" w:hAnsi="仿宋_GB2312" w:eastAsia="仿宋_GB2312" w:cs="仿宋_GB2312"/>
          <w:color w:val="auto"/>
          <w:sz w:val="32"/>
          <w:szCs w:val="32"/>
          <w:highlight w:val="none"/>
        </w:rPr>
        <w:t>《自然资源部关于规范和完善砂石开采管理的通知》（自然资发〔2023〕57号）和《福建省自然资源厅关于印发福建省规范和完善砂石开采管理暂行规定的通知》（闽自然资发〔2023〕51号）</w:t>
      </w:r>
      <w:r>
        <w:rPr>
          <w:rFonts w:hint="eastAsia" w:ascii="仿宋_GB2312" w:hAnsi="仿宋_GB2312" w:eastAsia="仿宋_GB2312" w:cs="仿宋_GB2312"/>
          <w:color w:val="auto"/>
          <w:sz w:val="32"/>
          <w:szCs w:val="32"/>
          <w:highlight w:val="none"/>
          <w:lang w:eastAsia="zh-CN"/>
        </w:rPr>
        <w:t>、福建省自然资源厅关于进一步加强工程建设项目剩余砂石处置管理的通知</w:t>
      </w:r>
      <w:r>
        <w:rPr>
          <w:rFonts w:hint="eastAsia" w:ascii="仿宋_GB2312" w:hAnsi="仿宋_GB2312" w:eastAsia="仿宋_GB2312" w:cs="仿宋_GB2312"/>
          <w:color w:val="auto"/>
          <w:sz w:val="32"/>
          <w:szCs w:val="32"/>
          <w:highlight w:val="none"/>
        </w:rPr>
        <w:t>（闽自然资发〔202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eastAsia="zh-CN"/>
        </w:rPr>
        <w:t>)</w:t>
      </w:r>
      <w:r>
        <w:rPr>
          <w:rFonts w:hint="eastAsia" w:cs="仿宋_GB2312"/>
          <w:color w:val="auto"/>
          <w:sz w:val="32"/>
          <w:szCs w:val="32"/>
          <w:highlight w:val="none"/>
          <w:lang w:eastAsia="zh-CN"/>
        </w:rPr>
        <w:t>、</w:t>
      </w:r>
      <w:r>
        <w:rPr>
          <w:rFonts w:hint="eastAsia" w:cs="仿宋_GB2312"/>
          <w:b w:val="0"/>
          <w:bCs w:val="0"/>
          <w:color w:val="auto"/>
          <w:sz w:val="32"/>
          <w:szCs w:val="32"/>
          <w:lang w:val="en-US" w:eastAsia="zh-CN"/>
        </w:rPr>
        <w:t>《关于加强工程施工涉及剩余砂石土处置过程监管的通知》（榕</w:t>
      </w:r>
      <w:r>
        <w:rPr>
          <w:rFonts w:hint="eastAsia" w:ascii="仿宋_GB2312" w:hAnsi="仿宋_GB2312" w:eastAsia="仿宋_GB2312" w:cs="仿宋_GB2312"/>
          <w:b w:val="0"/>
          <w:bCs w:val="0"/>
          <w:color w:val="auto"/>
          <w:sz w:val="32"/>
          <w:szCs w:val="32"/>
        </w:rPr>
        <w:t>自然</w:t>
      </w:r>
      <w:r>
        <w:rPr>
          <w:rFonts w:hint="eastAsia" w:cs="仿宋_GB2312"/>
          <w:b w:val="0"/>
          <w:bCs w:val="0"/>
          <w:color w:val="auto"/>
          <w:sz w:val="32"/>
          <w:szCs w:val="32"/>
          <w:lang w:eastAsia="zh-CN"/>
        </w:rPr>
        <w:t>综</w:t>
      </w:r>
      <w:r>
        <w:rPr>
          <w:rFonts w:hint="eastAsia" w:ascii="仿宋_GB2312" w:hAnsi="仿宋_GB2312" w:eastAsia="仿宋_GB2312" w:cs="仿宋_GB2312"/>
          <w:b w:val="0"/>
          <w:bCs w:val="0"/>
          <w:color w:val="auto"/>
          <w:sz w:val="32"/>
          <w:szCs w:val="32"/>
        </w:rPr>
        <w:t>〔202</w:t>
      </w:r>
      <w:r>
        <w:rPr>
          <w:rFonts w:hint="eastAsia"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w:t>
      </w:r>
      <w:r>
        <w:rPr>
          <w:rFonts w:hint="eastAsia" w:cs="仿宋_GB2312"/>
          <w:b w:val="0"/>
          <w:bCs w:val="0"/>
          <w:color w:val="auto"/>
          <w:sz w:val="32"/>
          <w:szCs w:val="32"/>
          <w:lang w:val="en-US" w:eastAsia="zh-CN"/>
        </w:rPr>
        <w:t>1048</w:t>
      </w:r>
      <w:r>
        <w:rPr>
          <w:rFonts w:hint="eastAsia" w:ascii="仿宋_GB2312" w:hAnsi="仿宋_GB2312" w:eastAsia="仿宋_GB2312" w:cs="仿宋_GB2312"/>
          <w:b w:val="0"/>
          <w:bCs w:val="0"/>
          <w:color w:val="auto"/>
          <w:sz w:val="32"/>
          <w:szCs w:val="32"/>
        </w:rPr>
        <w:t>号</w:t>
      </w:r>
      <w:r>
        <w:rPr>
          <w:rFonts w:hint="eastAsia" w:cs="仿宋_GB2312"/>
          <w:b w:val="0"/>
          <w:bCs w:val="0"/>
          <w:color w:val="auto"/>
          <w:sz w:val="32"/>
          <w:szCs w:val="32"/>
          <w:lang w:val="en-US" w:eastAsia="zh-CN"/>
        </w:rPr>
        <w:t>）</w:t>
      </w:r>
      <w:r>
        <w:rPr>
          <w:rFonts w:hint="eastAsia" w:ascii="仿宋_GB2312" w:hAnsi="仿宋_GB2312" w:eastAsia="仿宋_GB2312" w:cs="仿宋_GB2312"/>
          <w:color w:val="auto"/>
          <w:sz w:val="32"/>
          <w:szCs w:val="32"/>
          <w:highlight w:val="none"/>
        </w:rPr>
        <w:t>等相关要求，</w:t>
      </w:r>
      <w:r>
        <w:rPr>
          <w:rFonts w:hint="eastAsia" w:ascii="仿宋_GB2312" w:hAnsi="仿宋_GB2312" w:eastAsia="仿宋_GB2312" w:cs="仿宋_GB2312"/>
          <w:color w:val="auto"/>
          <w:sz w:val="32"/>
          <w:szCs w:val="32"/>
          <w:highlight w:val="none"/>
          <w:lang w:val="en-US" w:eastAsia="zh-CN"/>
        </w:rPr>
        <w:t>结合我市实际情况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现就有关事项通知如下：</w:t>
      </w:r>
    </w:p>
    <w:p w14:paraId="77ABA7C6">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eastAsia="zh-CN"/>
        </w:rPr>
        <w:t>进一步明确</w:t>
      </w:r>
      <w:r>
        <w:rPr>
          <w:rFonts w:hint="eastAsia" w:ascii="黑体" w:hAnsi="黑体" w:eastAsia="黑体" w:cs="黑体"/>
          <w:color w:val="auto"/>
          <w:sz w:val="32"/>
          <w:szCs w:val="32"/>
          <w:highlight w:val="none"/>
        </w:rPr>
        <w:t>处置原则</w:t>
      </w:r>
    </w:p>
    <w:p w14:paraId="352C2C2A">
      <w:pPr>
        <w:keepNext w:val="0"/>
        <w:keepLines w:val="0"/>
        <w:pageBreakBefore w:val="0"/>
        <w:widowControl w:val="0"/>
        <w:kinsoku/>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严格</w:t>
      </w:r>
      <w:r>
        <w:rPr>
          <w:rFonts w:hint="eastAsia" w:ascii="楷体_GB2312" w:hAnsi="楷体_GB2312" w:eastAsia="楷体_GB2312" w:cs="楷体_GB2312"/>
          <w:color w:val="auto"/>
          <w:sz w:val="32"/>
          <w:szCs w:val="32"/>
          <w:highlight w:val="none"/>
          <w:lang w:eastAsia="zh-CN"/>
        </w:rPr>
        <w:t>规范处置程序</w:t>
      </w:r>
      <w:r>
        <w:rPr>
          <w:rFonts w:hint="eastAsia" w:ascii="楷体_GB2312" w:hAnsi="楷体_GB2312" w:eastAsia="楷体_GB2312" w:cs="楷体_GB2312"/>
          <w:color w:val="auto"/>
          <w:sz w:val="32"/>
          <w:szCs w:val="32"/>
          <w:highlight w:val="none"/>
        </w:rPr>
        <w:t>。</w:t>
      </w:r>
      <w:r>
        <w:rPr>
          <w:rFonts w:hint="eastAsia" w:ascii="仿宋_GB2312" w:hAnsi="仿宋_GB2312" w:eastAsia="仿宋_GB2312" w:cs="仿宋_GB2312"/>
          <w:color w:val="auto"/>
          <w:sz w:val="32"/>
          <w:szCs w:val="32"/>
          <w:highlight w:val="none"/>
        </w:rPr>
        <w:t>建设项目</w:t>
      </w:r>
      <w:r>
        <w:rPr>
          <w:rFonts w:hint="eastAsia" w:ascii="仿宋_GB2312" w:hAnsi="仿宋_GB2312" w:eastAsia="仿宋_GB2312" w:cs="仿宋_GB2312"/>
          <w:color w:val="auto"/>
          <w:sz w:val="32"/>
          <w:szCs w:val="32"/>
          <w:highlight w:val="none"/>
          <w:lang w:eastAsia="zh-CN"/>
        </w:rPr>
        <w:t>剩余砂石</w:t>
      </w:r>
      <w:r>
        <w:rPr>
          <w:rFonts w:hint="eastAsia" w:ascii="仿宋_GB2312" w:hAnsi="仿宋_GB2312" w:eastAsia="仿宋_GB2312" w:cs="仿宋_GB2312"/>
          <w:color w:val="auto"/>
          <w:sz w:val="32"/>
          <w:szCs w:val="32"/>
          <w:highlight w:val="none"/>
        </w:rPr>
        <w:t>处置按照“政府主导、部门监管、市场运作”的原则，由</w:t>
      </w:r>
      <w:r>
        <w:rPr>
          <w:rFonts w:hint="eastAsia" w:ascii="仿宋_GB2312" w:hAnsi="仿宋_GB2312" w:eastAsia="仿宋_GB2312" w:cs="仿宋_GB2312"/>
          <w:color w:val="auto"/>
          <w:sz w:val="32"/>
          <w:szCs w:val="32"/>
          <w:highlight w:val="none"/>
          <w:lang w:eastAsia="zh-CN"/>
        </w:rPr>
        <w:t>处置单位（属于政府储备地的，由市土发中心负责剩余砂石资源公开有偿化处置相关工作。政府储备地外其他用地类型的建设工程项目，由属地镇（街）负责剩余砂石资源公开有偿化处置相关工作）</w:t>
      </w:r>
      <w:r>
        <w:rPr>
          <w:rFonts w:hint="eastAsia" w:ascii="仿宋_GB2312" w:hAnsi="仿宋_GB2312" w:eastAsia="仿宋_GB2312" w:cs="仿宋_GB2312"/>
          <w:color w:val="auto"/>
          <w:sz w:val="32"/>
          <w:szCs w:val="32"/>
          <w:highlight w:val="none"/>
        </w:rPr>
        <w:t>制定处置方案报</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政府批准后纳入</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公共资源交易平台公开有偿处置。处置收入全部缴入</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财政。</w:t>
      </w:r>
    </w:p>
    <w:p w14:paraId="73CA099E">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（二）分类实施处置。</w:t>
      </w:r>
      <w:r>
        <w:rPr>
          <w:rFonts w:hint="eastAsia" w:ascii="仿宋_GB2312" w:hAnsi="仿宋_GB2312" w:eastAsia="仿宋_GB2312" w:cs="仿宋_GB2312"/>
          <w:color w:val="auto"/>
          <w:sz w:val="32"/>
          <w:szCs w:val="32"/>
          <w:highlight w:val="none"/>
          <w:lang w:eastAsia="zh-CN"/>
        </w:rPr>
        <w:t>涉及剩余砂石</w:t>
      </w:r>
      <w:r>
        <w:rPr>
          <w:rFonts w:hint="eastAsia" w:ascii="仿宋_GB2312" w:hAnsi="仿宋_GB2312" w:eastAsia="仿宋_GB2312" w:cs="仿宋_GB2312"/>
          <w:color w:val="auto"/>
          <w:sz w:val="32"/>
          <w:szCs w:val="32"/>
          <w:highlight w:val="none"/>
        </w:rPr>
        <w:t>未供地的建设项目，完成处置工作后方可办理供地手续</w:t>
      </w:r>
      <w:r>
        <w:rPr>
          <w:rFonts w:hint="eastAsia" w:ascii="仿宋_GB2312" w:hAnsi="仿宋_GB2312" w:eastAsia="仿宋_GB2312" w:cs="仿宋_GB2312"/>
          <w:color w:val="auto"/>
          <w:sz w:val="32"/>
          <w:szCs w:val="32"/>
          <w:highlight w:val="none"/>
          <w:lang w:val="en-US" w:eastAsia="zh-CN"/>
        </w:rPr>
        <w:t>,其中公共用途项目支持由市属国有企业为主体开展项目报批并完成三通一平</w:t>
      </w:r>
      <w:r>
        <w:rPr>
          <w:rFonts w:hint="eastAsia" w:ascii="仿宋_GB2312" w:hAnsi="仿宋_GB2312" w:eastAsia="仿宋_GB2312" w:cs="仿宋_GB2312"/>
          <w:color w:val="auto"/>
          <w:sz w:val="32"/>
          <w:szCs w:val="32"/>
          <w:highlight w:val="none"/>
        </w:rPr>
        <w:t>；已供地</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建设</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剩</w:t>
      </w:r>
      <w:r>
        <w:rPr>
          <w:rFonts w:hint="eastAsia" w:ascii="仿宋_GB2312" w:hAnsi="仿宋_GB2312" w:eastAsia="仿宋_GB2312" w:cs="仿宋_GB2312"/>
          <w:color w:val="auto"/>
          <w:sz w:val="32"/>
          <w:szCs w:val="32"/>
          <w:highlight w:val="none"/>
        </w:rPr>
        <w:t>余</w:t>
      </w:r>
      <w:r>
        <w:rPr>
          <w:rFonts w:hint="eastAsia" w:ascii="仿宋_GB2312" w:hAnsi="仿宋_GB2312" w:eastAsia="仿宋_GB2312" w:cs="仿宋_GB2312"/>
          <w:color w:val="auto"/>
          <w:sz w:val="32"/>
          <w:szCs w:val="32"/>
          <w:highlight w:val="none"/>
          <w:lang w:eastAsia="zh-CN"/>
        </w:rPr>
        <w:t>砂石</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eastAsia="zh-CN"/>
        </w:rPr>
        <w:t>处置单位</w:t>
      </w:r>
      <w:r>
        <w:rPr>
          <w:rFonts w:hint="eastAsia" w:ascii="仿宋_GB2312" w:hAnsi="仿宋_GB2312" w:eastAsia="仿宋_GB2312" w:cs="仿宋_GB2312"/>
          <w:color w:val="auto"/>
          <w:sz w:val="32"/>
          <w:szCs w:val="32"/>
          <w:highlight w:val="none"/>
        </w:rPr>
        <w:t>统一处置</w:t>
      </w:r>
      <w:r>
        <w:rPr>
          <w:rFonts w:hint="eastAsia" w:ascii="仿宋_GB2312" w:hAnsi="仿宋_GB2312" w:eastAsia="仿宋_GB2312" w:cs="仿宋_GB2312"/>
          <w:color w:val="auto"/>
          <w:sz w:val="32"/>
          <w:szCs w:val="32"/>
          <w:highlight w:val="none"/>
          <w:lang w:eastAsia="zh-CN"/>
        </w:rPr>
        <w:t>后交由用地单位开展建设</w:t>
      </w:r>
      <w:r>
        <w:rPr>
          <w:rFonts w:hint="eastAsia" w:ascii="仿宋_GB2312" w:hAnsi="仿宋_GB2312" w:eastAsia="仿宋_GB2312" w:cs="仿宋_GB2312"/>
          <w:color w:val="auto"/>
          <w:sz w:val="32"/>
          <w:szCs w:val="32"/>
          <w:highlight w:val="none"/>
        </w:rPr>
        <w:t>；在建项目正在土地平整需有偿处置的，由</w:t>
      </w:r>
      <w:r>
        <w:rPr>
          <w:rFonts w:hint="eastAsia" w:ascii="仿宋_GB2312" w:hAnsi="仿宋_GB2312" w:eastAsia="仿宋_GB2312" w:cs="仿宋_GB2312"/>
          <w:color w:val="auto"/>
          <w:sz w:val="32"/>
          <w:szCs w:val="32"/>
          <w:highlight w:val="none"/>
          <w:lang w:eastAsia="zh-CN"/>
        </w:rPr>
        <w:t>处置单位</w:t>
      </w:r>
      <w:r>
        <w:rPr>
          <w:rFonts w:hint="eastAsia" w:ascii="仿宋_GB2312" w:hAnsi="仿宋_GB2312" w:eastAsia="仿宋_GB2312" w:cs="仿宋_GB2312"/>
          <w:color w:val="auto"/>
          <w:sz w:val="32"/>
          <w:szCs w:val="32"/>
          <w:highlight w:val="none"/>
        </w:rPr>
        <w:t>按照场地现状评估处置</w:t>
      </w:r>
      <w:r>
        <w:rPr>
          <w:rFonts w:hint="eastAsia" w:ascii="仿宋_GB2312" w:hAnsi="仿宋_GB2312" w:eastAsia="仿宋_GB2312" w:cs="仿宋_GB2312"/>
          <w:color w:val="auto"/>
          <w:sz w:val="32"/>
          <w:szCs w:val="32"/>
          <w:highlight w:val="none"/>
          <w:lang w:eastAsia="zh-CN"/>
        </w:rPr>
        <w:t>。</w:t>
      </w:r>
    </w:p>
    <w:p w14:paraId="7101689C">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明晰费用</w:t>
      </w:r>
      <w:r>
        <w:rPr>
          <w:rFonts w:hint="eastAsia" w:ascii="仿宋_GB2312" w:hAnsi="仿宋_GB2312" w:eastAsia="仿宋_GB2312" w:cs="仿宋_GB2312"/>
          <w:color w:val="auto"/>
          <w:sz w:val="32"/>
          <w:szCs w:val="32"/>
          <w:highlight w:val="none"/>
          <w:lang w:eastAsia="zh-CN"/>
        </w:rPr>
        <w:t>承担主体</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剩余砂石处置</w:t>
      </w:r>
      <w:r>
        <w:rPr>
          <w:rFonts w:hint="eastAsia" w:ascii="仿宋_GB2312" w:hAnsi="仿宋_GB2312" w:eastAsia="仿宋_GB2312" w:cs="仿宋_GB2312"/>
          <w:color w:val="auto"/>
          <w:sz w:val="32"/>
          <w:szCs w:val="32"/>
          <w:highlight w:val="none"/>
        </w:rPr>
        <w:t>对应的爆破、开采、破碎、运输、场地平整等费用由取得处置权的竞得人承担(工程项目已安排预算除外)。</w:t>
      </w:r>
    </w:p>
    <w:p w14:paraId="76A60137">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进一步界定</w:t>
      </w:r>
      <w:r>
        <w:rPr>
          <w:rFonts w:hint="eastAsia" w:ascii="黑体" w:hAnsi="黑体" w:eastAsia="黑体" w:cs="黑体"/>
          <w:color w:val="auto"/>
          <w:sz w:val="32"/>
          <w:szCs w:val="32"/>
          <w:highlight w:val="none"/>
        </w:rPr>
        <w:t>工程建设项目剩余砂石处置范围</w:t>
      </w:r>
    </w:p>
    <w:p w14:paraId="6EDF9400">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华文仿宋" w:hAnsi="华文仿宋" w:eastAsia="华文仿宋" w:cs="华文仿宋"/>
          <w:color w:val="auto"/>
          <w:sz w:val="32"/>
          <w:szCs w:val="32"/>
          <w:highlight w:val="none"/>
        </w:rPr>
        <w:t>可开展</w:t>
      </w:r>
      <w:r>
        <w:rPr>
          <w:rFonts w:hint="eastAsia" w:ascii="华文仿宋" w:hAnsi="华文仿宋" w:eastAsia="华文仿宋" w:cs="华文仿宋"/>
          <w:color w:val="auto"/>
          <w:sz w:val="32"/>
          <w:szCs w:val="32"/>
          <w:highlight w:val="none"/>
          <w:lang w:eastAsia="zh-CN"/>
        </w:rPr>
        <w:t>剩余</w:t>
      </w:r>
      <w:r>
        <w:rPr>
          <w:rFonts w:hint="eastAsia" w:ascii="华文仿宋" w:hAnsi="华文仿宋" w:eastAsia="华文仿宋" w:cs="华文仿宋"/>
          <w:color w:val="auto"/>
          <w:sz w:val="32"/>
          <w:szCs w:val="32"/>
          <w:highlight w:val="none"/>
        </w:rPr>
        <w:t>处置的建设项目类型</w:t>
      </w:r>
      <w:r>
        <w:rPr>
          <w:rFonts w:hint="eastAsia" w:ascii="楷体_GB2312" w:hAnsi="楷体_GB2312" w:eastAsia="楷体_GB2312" w:cs="楷体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经批准设立的能源、交通、水利等基础设施、线性工程等建设项目用地范围，经批准或备案的生态修复工程、地质灾害治理、海域航道疏浚工程等项目范围，不包括临时用地范围。河道疏浚工程涉及的砂石疏浚物由水主管部门按照有关规定审批处置。</w:t>
      </w:r>
    </w:p>
    <w:p w14:paraId="0A889210">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建设项目范围</w:t>
      </w:r>
      <w:r>
        <w:rPr>
          <w:rFonts w:hint="eastAsia" w:ascii="仿宋_GB2312" w:hAnsi="仿宋_GB2312" w:eastAsia="仿宋_GB2312" w:cs="仿宋_GB2312"/>
          <w:color w:val="auto"/>
          <w:sz w:val="32"/>
          <w:szCs w:val="32"/>
          <w:highlight w:val="none"/>
          <w:lang w:eastAsia="zh-CN"/>
        </w:rPr>
        <w:t>是指有权限的</w:t>
      </w:r>
      <w:r>
        <w:rPr>
          <w:rFonts w:hint="eastAsia" w:ascii="仿宋_GB2312" w:hAnsi="仿宋_GB2312" w:eastAsia="仿宋_GB2312" w:cs="仿宋_GB2312"/>
          <w:color w:val="auto"/>
          <w:sz w:val="32"/>
          <w:szCs w:val="32"/>
          <w:highlight w:val="none"/>
          <w:lang w:val="en-US" w:eastAsia="zh-CN"/>
        </w:rPr>
        <w:t>自然资源部门批准的建设项目红线范围。</w:t>
      </w:r>
    </w:p>
    <w:p w14:paraId="538AB41E">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自用范围</w:t>
      </w:r>
      <w:r>
        <w:rPr>
          <w:rFonts w:hint="eastAsia" w:ascii="仿宋_GB2312" w:hAnsi="仿宋_GB2312" w:eastAsia="仿宋_GB2312" w:cs="仿宋_GB2312"/>
          <w:color w:val="auto"/>
          <w:sz w:val="32"/>
          <w:szCs w:val="32"/>
          <w:highlight w:val="none"/>
          <w:lang w:eastAsia="zh-CN"/>
        </w:rPr>
        <w:t>是指仅</w:t>
      </w:r>
      <w:r>
        <w:rPr>
          <w:rFonts w:hint="eastAsia" w:ascii="仿宋_GB2312" w:hAnsi="仿宋_GB2312" w:eastAsia="仿宋_GB2312" w:cs="仿宋_GB2312"/>
          <w:color w:val="auto"/>
          <w:sz w:val="32"/>
          <w:szCs w:val="32"/>
          <w:highlight w:val="none"/>
        </w:rPr>
        <w:t>用于本项目场地平整回填、挡土墙及护坡砌筑所需的部分。</w:t>
      </w:r>
    </w:p>
    <w:p w14:paraId="32C9EEEB">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临时用地、</w:t>
      </w:r>
      <w:r>
        <w:rPr>
          <w:rFonts w:hint="eastAsia" w:ascii="仿宋_GB2312" w:hAnsi="仿宋_GB2312" w:eastAsia="仿宋_GB2312" w:cs="仿宋_GB2312"/>
          <w:color w:val="auto"/>
          <w:sz w:val="32"/>
          <w:szCs w:val="32"/>
          <w:highlight w:val="none"/>
        </w:rPr>
        <w:t>设施农用地</w:t>
      </w:r>
      <w:r>
        <w:rPr>
          <w:rFonts w:hint="eastAsia" w:ascii="仿宋_GB2312" w:hAnsi="仿宋_GB2312" w:eastAsia="仿宋_GB2312" w:cs="仿宋_GB2312"/>
          <w:color w:val="auto"/>
          <w:sz w:val="32"/>
          <w:szCs w:val="32"/>
          <w:highlight w:val="none"/>
          <w:lang w:eastAsia="zh-CN"/>
        </w:rPr>
        <w:t>、土地平整</w:t>
      </w:r>
      <w:r>
        <w:rPr>
          <w:rFonts w:hint="eastAsia" w:ascii="仿宋_GB2312" w:hAnsi="仿宋_GB2312" w:eastAsia="仿宋_GB2312" w:cs="仿宋_GB2312"/>
          <w:color w:val="auto"/>
          <w:sz w:val="32"/>
          <w:szCs w:val="32"/>
          <w:highlight w:val="none"/>
        </w:rPr>
        <w:t>项目范围内的</w:t>
      </w:r>
      <w:r>
        <w:rPr>
          <w:rFonts w:hint="eastAsia" w:ascii="仿宋_GB2312" w:hAnsi="仿宋_GB2312" w:eastAsia="仿宋_GB2312" w:cs="仿宋_GB2312"/>
          <w:color w:val="auto"/>
          <w:sz w:val="32"/>
          <w:szCs w:val="32"/>
          <w:highlight w:val="none"/>
          <w:lang w:eastAsia="zh-CN"/>
        </w:rPr>
        <w:t>砂石</w:t>
      </w:r>
      <w:r>
        <w:rPr>
          <w:rFonts w:hint="eastAsia" w:ascii="仿宋_GB2312" w:hAnsi="仿宋_GB2312" w:eastAsia="仿宋_GB2312" w:cs="仿宋_GB2312"/>
          <w:color w:val="auto"/>
          <w:sz w:val="32"/>
          <w:szCs w:val="32"/>
          <w:highlight w:val="none"/>
        </w:rPr>
        <w:t>应在场地内自平衡，不纳入公开有偿处置。</w:t>
      </w:r>
    </w:p>
    <w:p w14:paraId="038A2A92">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工程建设项目范围内涉及饰面用石材等其它矿种，符合该矿种设立采矿权条件的，应按规定办理采矿权登记及采矿许可。</w:t>
      </w:r>
    </w:p>
    <w:p w14:paraId="21C156DC">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w:t>
      </w:r>
      <w:r>
        <w:rPr>
          <w:rFonts w:hint="eastAsia" w:ascii="黑体" w:hAnsi="黑体" w:eastAsia="黑体" w:cs="黑体"/>
          <w:color w:val="auto"/>
          <w:sz w:val="32"/>
          <w:szCs w:val="32"/>
          <w:highlight w:val="none"/>
          <w:lang w:eastAsia="zh-CN"/>
        </w:rPr>
        <w:t>进一步完善</w:t>
      </w:r>
      <w:r>
        <w:rPr>
          <w:rFonts w:hint="eastAsia" w:ascii="黑体" w:hAnsi="黑体" w:eastAsia="黑体" w:cs="黑体"/>
          <w:color w:val="auto"/>
          <w:sz w:val="32"/>
          <w:szCs w:val="32"/>
          <w:highlight w:val="none"/>
        </w:rPr>
        <w:t>处置流程</w:t>
      </w:r>
    </w:p>
    <w:p w14:paraId="1EBA5B2D">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（一）剩余</w:t>
      </w:r>
      <w:r>
        <w:rPr>
          <w:rFonts w:hint="eastAsia" w:ascii="楷体_GB2312" w:hAnsi="楷体_GB2312" w:eastAsia="楷体_GB2312" w:cs="楷体_GB2312"/>
          <w:color w:val="auto"/>
          <w:sz w:val="32"/>
          <w:szCs w:val="32"/>
          <w:highlight w:val="none"/>
        </w:rPr>
        <w:t>砂石</w:t>
      </w:r>
      <w:r>
        <w:rPr>
          <w:rFonts w:hint="eastAsia" w:ascii="楷体_GB2312" w:hAnsi="楷体_GB2312" w:eastAsia="楷体_GB2312" w:cs="楷体_GB2312"/>
          <w:color w:val="auto"/>
          <w:sz w:val="32"/>
          <w:szCs w:val="32"/>
          <w:highlight w:val="none"/>
          <w:lang w:eastAsia="zh-CN"/>
        </w:rPr>
        <w:t>量评估</w:t>
      </w:r>
      <w:r>
        <w:rPr>
          <w:rFonts w:hint="eastAsia" w:ascii="楷体_GB2312" w:hAnsi="楷体_GB2312" w:eastAsia="楷体_GB2312" w:cs="楷体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处置单位在工程建设项目施工前应委托第三方机构进行工程建设项目剩余砂石量评估。</w:t>
      </w:r>
      <w:r>
        <w:rPr>
          <w:rFonts w:hint="eastAsia" w:ascii="仿宋_GB2312" w:hAnsi="仿宋_GB2312" w:eastAsia="仿宋_GB2312" w:cs="仿宋_GB2312"/>
          <w:color w:val="auto"/>
          <w:sz w:val="32"/>
          <w:szCs w:val="32"/>
          <w:highlight w:val="none"/>
        </w:rPr>
        <w:t>第三方机构在开展砂石量评估时，应认真调查该区域的岩石类型、质量、空间分布，以及风化壳和覆盖层分布等情况，并参照《矿产地质勘查规范建筑用石料类》对应矿种的一般工业指标进行划分，提出可利用的方向。工程建设项目可利用工程地质勘查资料和设计文件，采用分区、分段评估的方式进行砂石评估。工程建设项目场地平整的砂石评估勘查控制程度原则上应达到普查，砂石总量超过50万立方米的，原则上勘查控制程度应达到详查。</w:t>
      </w:r>
      <w:r>
        <w:rPr>
          <w:rFonts w:hint="eastAsia" w:ascii="仿宋_GB2312" w:hAnsi="仿宋_GB2312" w:eastAsia="仿宋_GB2312" w:cs="仿宋_GB2312"/>
          <w:color w:val="auto"/>
          <w:sz w:val="32"/>
          <w:szCs w:val="32"/>
          <w:highlight w:val="none"/>
          <w:lang w:val="en-US" w:eastAsia="zh-CN"/>
        </w:rPr>
        <w:t>工程建设项目剩余砂石量评估报告应明确砂石总量、自用量、剩余量等内容，评估报告由市自然资源部门负责组织专家审查通过，方可采用。</w:t>
      </w:r>
    </w:p>
    <w:p w14:paraId="42DD7D55">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（二）剩余砂石价格评估。</w:t>
      </w:r>
      <w:r>
        <w:rPr>
          <w:rFonts w:hint="eastAsia" w:ascii="仿宋_GB2312" w:hAnsi="仿宋_GB2312" w:eastAsia="仿宋_GB2312" w:cs="仿宋_GB2312"/>
          <w:color w:val="auto"/>
          <w:sz w:val="32"/>
          <w:szCs w:val="32"/>
          <w:highlight w:val="none"/>
        </w:rPr>
        <w:t>工程建设项目剩余砂石</w:t>
      </w:r>
      <w:r>
        <w:rPr>
          <w:rFonts w:hint="eastAsia" w:ascii="仿宋_GB2312" w:hAnsi="仿宋_GB2312" w:eastAsia="仿宋_GB2312" w:cs="仿宋_GB2312"/>
          <w:color w:val="auto"/>
          <w:sz w:val="32"/>
          <w:szCs w:val="32"/>
          <w:highlight w:val="none"/>
          <w:lang w:eastAsia="zh-CN"/>
        </w:rPr>
        <w:t>量</w:t>
      </w:r>
      <w:r>
        <w:rPr>
          <w:rFonts w:hint="eastAsia" w:ascii="仿宋_GB2312" w:hAnsi="仿宋_GB2312" w:eastAsia="仿宋_GB2312" w:cs="仿宋_GB2312"/>
          <w:color w:val="auto"/>
          <w:sz w:val="32"/>
          <w:szCs w:val="32"/>
          <w:highlight w:val="none"/>
        </w:rPr>
        <w:t>评估报告经专家评审通过后，由处置单位委托有资质的机构进行剩余砂石价格评估。在价格评估时，应对不同类别的砂石和有利用价值的覆盖层分别估算其价格</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自然资源主管部门</w:t>
      </w:r>
      <w:r>
        <w:rPr>
          <w:rFonts w:hint="eastAsia" w:ascii="仿宋_GB2312" w:hAnsi="仿宋_GB2312" w:eastAsia="仿宋_GB2312" w:cs="仿宋_GB2312"/>
          <w:color w:val="auto"/>
          <w:sz w:val="32"/>
          <w:szCs w:val="32"/>
          <w:highlight w:val="none"/>
          <w:lang w:eastAsia="zh-CN"/>
        </w:rPr>
        <w:t>综合考虑评估价格、矿业权出让收益市场基准价、周边项目市场价、前期成本等因素</w:t>
      </w:r>
      <w:r>
        <w:rPr>
          <w:rFonts w:hint="eastAsia" w:ascii="仿宋_GB2312" w:hAnsi="仿宋_GB2312" w:eastAsia="仿宋_GB2312" w:cs="仿宋_GB2312"/>
          <w:color w:val="auto"/>
          <w:sz w:val="32"/>
          <w:szCs w:val="32"/>
          <w:highlight w:val="none"/>
        </w:rPr>
        <w:t>经集体研究</w:t>
      </w:r>
      <w:r>
        <w:rPr>
          <w:rFonts w:hint="eastAsia" w:ascii="仿宋_GB2312" w:hAnsi="仿宋_GB2312" w:eastAsia="仿宋_GB2312" w:cs="仿宋_GB2312"/>
          <w:color w:val="auto"/>
          <w:sz w:val="32"/>
          <w:szCs w:val="32"/>
          <w:highlight w:val="none"/>
          <w:lang w:eastAsia="zh-CN"/>
        </w:rPr>
        <w:t>确定出让起始价。</w:t>
      </w:r>
    </w:p>
    <w:p w14:paraId="029B992B">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（三）报批处置方案。</w:t>
      </w:r>
      <w:r>
        <w:rPr>
          <w:rFonts w:hint="eastAsia" w:ascii="仿宋_GB2312" w:hAnsi="仿宋_GB2312" w:eastAsia="仿宋_GB2312" w:cs="仿宋_GB2312"/>
          <w:color w:val="auto"/>
          <w:sz w:val="32"/>
          <w:szCs w:val="32"/>
          <w:highlight w:val="none"/>
          <w:lang w:eastAsia="zh-CN"/>
        </w:rPr>
        <w:t>处置单位拟定剩余砂石处置方案报市政府研究审定后组织实施，</w:t>
      </w:r>
      <w:r>
        <w:rPr>
          <w:rFonts w:hint="eastAsia" w:ascii="仿宋_GB2312" w:hAnsi="仿宋_GB2312" w:eastAsia="仿宋_GB2312" w:cs="仿宋_GB2312"/>
          <w:strike w:val="0"/>
          <w:dstrike w:val="0"/>
          <w:color w:val="auto"/>
          <w:sz w:val="32"/>
          <w:szCs w:val="32"/>
          <w:highlight w:val="none"/>
          <w:lang w:eastAsia="zh-CN"/>
        </w:rPr>
        <w:t>方案要</w:t>
      </w:r>
      <w:r>
        <w:rPr>
          <w:rFonts w:hint="eastAsia" w:ascii="仿宋_GB2312" w:hAnsi="仿宋_GB2312" w:eastAsia="仿宋_GB2312" w:cs="仿宋_GB2312"/>
          <w:color w:val="auto"/>
          <w:sz w:val="32"/>
          <w:szCs w:val="32"/>
          <w:highlight w:val="none"/>
          <w:lang w:eastAsia="zh-CN"/>
        </w:rPr>
        <w:t>明确地块规划设计条件、场地平整的平面范围、竖向控制高程、平整期限、边坡治理、剩余砂石量、产品种类和数量、起始价、竞拍(履约)保证金，安全生产、生态环保、资源权益监管责任，违约条款等。</w:t>
      </w:r>
    </w:p>
    <w:p w14:paraId="54E33DB5">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工程建设项目剩余处置期限不得超过该项目的建设工期。工程建设项目场地平整剩余处置期限原则上不得超过2年(按处置合同约定动工之日起算)；确需超过2年的，</w:t>
      </w:r>
      <w:r>
        <w:rPr>
          <w:rFonts w:hint="eastAsia" w:ascii="仿宋_GB2312" w:hAnsi="仿宋_GB2312" w:eastAsia="仿宋_GB2312" w:cs="仿宋_GB2312"/>
          <w:color w:val="auto"/>
          <w:sz w:val="32"/>
          <w:szCs w:val="32"/>
          <w:highlight w:val="none"/>
          <w:lang w:val="en-US" w:eastAsia="zh-CN"/>
        </w:rPr>
        <w:t>按规定报</w:t>
      </w:r>
      <w:r>
        <w:rPr>
          <w:rFonts w:hint="eastAsia" w:ascii="仿宋_GB2312" w:hAnsi="仿宋_GB2312" w:eastAsia="仿宋_GB2312" w:cs="仿宋_GB2312"/>
          <w:color w:val="auto"/>
          <w:sz w:val="32"/>
          <w:szCs w:val="32"/>
          <w:highlight w:val="none"/>
          <w:lang w:eastAsia="zh-CN"/>
        </w:rPr>
        <w:t>福州市</w:t>
      </w:r>
      <w:r>
        <w:rPr>
          <w:rFonts w:hint="eastAsia" w:ascii="仿宋_GB2312" w:hAnsi="仿宋_GB2312" w:eastAsia="仿宋_GB2312" w:cs="仿宋_GB2312"/>
          <w:color w:val="auto"/>
          <w:sz w:val="32"/>
          <w:szCs w:val="32"/>
          <w:highlight w:val="none"/>
        </w:rPr>
        <w:t>自然资源主管部门批准，最长不得超过4年。竞得人应当在合同约定期限内处置完毕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逾期未处置的由</w:t>
      </w:r>
      <w:r>
        <w:rPr>
          <w:rFonts w:hint="eastAsia" w:ascii="仿宋_GB2312" w:hAnsi="仿宋_GB2312" w:eastAsia="仿宋_GB2312" w:cs="仿宋_GB2312"/>
          <w:color w:val="auto"/>
          <w:sz w:val="32"/>
          <w:szCs w:val="32"/>
          <w:highlight w:val="none"/>
          <w:lang w:eastAsia="zh-CN"/>
        </w:rPr>
        <w:t>处置单位</w:t>
      </w:r>
      <w:r>
        <w:rPr>
          <w:rFonts w:hint="eastAsia" w:ascii="仿宋_GB2312" w:hAnsi="仿宋_GB2312" w:eastAsia="仿宋_GB2312" w:cs="仿宋_GB2312"/>
          <w:color w:val="auto"/>
          <w:sz w:val="32"/>
          <w:szCs w:val="32"/>
          <w:highlight w:val="none"/>
        </w:rPr>
        <w:t>按照合同约定无偿收回处置权。</w:t>
      </w:r>
    </w:p>
    <w:p w14:paraId="0A9ABDF5">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（四）组织公开招拍挂</w:t>
      </w:r>
      <w:r>
        <w:rPr>
          <w:rFonts w:hint="eastAsia" w:ascii="仿宋_GB2312" w:hAnsi="仿宋_GB2312" w:eastAsia="仿宋_GB2312" w:cs="仿宋_GB2312"/>
          <w:color w:val="auto"/>
          <w:sz w:val="32"/>
          <w:szCs w:val="32"/>
          <w:highlight w:val="none"/>
          <w:lang w:eastAsia="zh-CN"/>
        </w:rPr>
        <w:t>。经市公共资源交易平台公开交易后，由处置单位与竞得人签订剩余有偿处置合同。出现流拍的，起始价逐次下调15%后组织公开招拍挂，下调后的最低起始价不得低于基准价的；</w:t>
      </w:r>
      <w:r>
        <w:rPr>
          <w:rFonts w:hint="eastAsia" w:ascii="仿宋_GB2312" w:hAnsi="仿宋_GB2312" w:eastAsia="仿宋_GB2312" w:cs="仿宋_GB2312"/>
          <w:color w:val="auto"/>
          <w:sz w:val="32"/>
          <w:szCs w:val="32"/>
          <w:highlight w:val="none"/>
          <w:lang w:val="en-US" w:eastAsia="zh-CN"/>
        </w:rPr>
        <w:t>鼓励市属国有企业参与竞拍。</w:t>
      </w:r>
    </w:p>
    <w:p w14:paraId="1538F2B4">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（五）处置收入收缴</w:t>
      </w:r>
      <w:r>
        <w:rPr>
          <w:rFonts w:hint="eastAsia" w:ascii="仿宋_GB2312" w:hAnsi="仿宋_GB2312" w:eastAsia="仿宋_GB2312" w:cs="仿宋_GB2312"/>
          <w:color w:val="auto"/>
          <w:sz w:val="32"/>
          <w:szCs w:val="32"/>
          <w:highlight w:val="none"/>
          <w:lang w:eastAsia="zh-CN"/>
        </w:rPr>
        <w:t>。剩余砂石处置收入按“收支两条线”的要求全部上缴市财政。处置收入扣除前期成本(包括前期地质报告编制费、交易服务费、公告刊登费、价值评估费、处置后复核费等)后，收益部分按比例分成结算。</w:t>
      </w:r>
    </w:p>
    <w:p w14:paraId="3BC26638">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五、进一步</w:t>
      </w:r>
      <w:r>
        <w:rPr>
          <w:rFonts w:hint="eastAsia" w:ascii="黑体" w:hAnsi="黑体" w:eastAsia="黑体" w:cs="黑体"/>
          <w:color w:val="auto"/>
          <w:sz w:val="32"/>
          <w:szCs w:val="32"/>
          <w:highlight w:val="none"/>
          <w:lang w:val="en-US" w:eastAsia="zh-CN"/>
        </w:rPr>
        <w:t>强化过程监管</w:t>
      </w:r>
    </w:p>
    <w:p w14:paraId="2B12AE04">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1、竞得人处置要求。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制定处置具体施工方案。竞得人编制的具体施工方案除挖、坡、运等措施外，还应编制生态环保、安全生产、水土保持专章。对山体开挖形成的终了边坡高度超过8米的，竞得人还需按照《福建省建筑边坡与深基坑工程管理规定》严格落实勘察、边坡支护设计、施工、检测、监理、监测、验收等规范要求</w:t>
      </w:r>
      <w:r>
        <w:rPr>
          <w:rFonts w:hint="eastAsia" w:ascii="仿宋_GB2312" w:hAnsi="仿宋_GB2312" w:eastAsia="仿宋_GB2312" w:cs="仿宋_GB2312"/>
          <w:color w:val="auto"/>
          <w:sz w:val="32"/>
          <w:szCs w:val="32"/>
          <w:highlight w:val="none"/>
          <w:lang w:val="en-US" w:eastAsia="zh-CN"/>
        </w:rPr>
        <w:t>并征询住建部门意见，</w:t>
      </w:r>
      <w:r>
        <w:rPr>
          <w:rFonts w:hint="eastAsia" w:ascii="仿宋_GB2312" w:hAnsi="仿宋_GB2312" w:eastAsia="仿宋_GB2312" w:cs="仿宋_GB2312"/>
          <w:color w:val="auto"/>
          <w:sz w:val="32"/>
          <w:szCs w:val="32"/>
          <w:highlight w:val="none"/>
          <w:lang w:eastAsia="zh-CN"/>
        </w:rPr>
        <w:t>确保安全。（</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）建设项目自用原则上应当在项目用地红线范围内堆放；确不能堆放的，应在项目用地红线范围外就近申请审批临时用地用于堆放，并由</w:t>
      </w:r>
      <w:r>
        <w:rPr>
          <w:rFonts w:hint="eastAsia" w:ascii="仿宋_GB2312" w:hAnsi="仿宋_GB2312" w:eastAsia="仿宋_GB2312" w:cs="仿宋_GB2312"/>
          <w:color w:val="auto"/>
          <w:sz w:val="32"/>
          <w:szCs w:val="32"/>
          <w:highlight w:val="none"/>
          <w:lang w:val="en-US" w:eastAsia="zh-CN"/>
        </w:rPr>
        <w:t>竞得人</w:t>
      </w:r>
      <w:r>
        <w:rPr>
          <w:rFonts w:hint="eastAsia" w:ascii="仿宋_GB2312" w:hAnsi="仿宋_GB2312" w:eastAsia="仿宋_GB2312" w:cs="仿宋_GB2312"/>
          <w:color w:val="auto"/>
          <w:sz w:val="32"/>
          <w:szCs w:val="32"/>
          <w:highlight w:val="none"/>
          <w:lang w:eastAsia="zh-CN"/>
        </w:rPr>
        <w:t>负责做好有关防护措施。</w:t>
      </w:r>
    </w:p>
    <w:p w14:paraId="24067488">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处置单位应加强对</w:t>
      </w:r>
      <w:r>
        <w:rPr>
          <w:rFonts w:hint="eastAsia" w:ascii="仿宋_GB2312" w:hAnsi="仿宋_GB2312" w:eastAsia="仿宋_GB2312" w:cs="仿宋_GB2312"/>
          <w:color w:val="auto"/>
          <w:sz w:val="32"/>
          <w:szCs w:val="32"/>
          <w:highlight w:val="none"/>
        </w:rPr>
        <w:t>砂石采挖</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监管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对工程建设项目开展巡查，巡查频率不少于每</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rPr>
        <w:t>一次，巡查时要详细了解相关工程建设项目砂石土采挖及砂石土使用情况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若发现未经批准擅自组织加工对外销售</w:t>
      </w:r>
      <w:r>
        <w:rPr>
          <w:rFonts w:hint="eastAsia" w:ascii="仿宋_GB2312" w:hAnsi="仿宋_GB2312" w:eastAsia="仿宋_GB2312" w:cs="仿宋_GB2312"/>
          <w:color w:val="auto"/>
          <w:sz w:val="32"/>
          <w:szCs w:val="32"/>
          <w:highlight w:val="none"/>
          <w:lang w:eastAsia="zh-CN"/>
        </w:rPr>
        <w:t>、越界采挖等违规</w:t>
      </w:r>
      <w:r>
        <w:rPr>
          <w:rFonts w:hint="eastAsia" w:ascii="仿宋_GB2312" w:hAnsi="仿宋_GB2312" w:eastAsia="仿宋_GB2312" w:cs="仿宋_GB2312"/>
          <w:color w:val="auto"/>
          <w:sz w:val="32"/>
          <w:szCs w:val="32"/>
          <w:highlight w:val="none"/>
        </w:rPr>
        <w:t>行为的，应第一时间制止</w:t>
      </w:r>
      <w:r>
        <w:rPr>
          <w:rFonts w:hint="eastAsia" w:ascii="仿宋_GB2312" w:hAnsi="仿宋_GB2312" w:eastAsia="仿宋_GB2312" w:cs="仿宋_GB2312"/>
          <w:color w:val="auto"/>
          <w:sz w:val="32"/>
          <w:szCs w:val="32"/>
          <w:highlight w:val="none"/>
          <w:lang w:eastAsia="zh-CN"/>
        </w:rPr>
        <w:t>纠正</w:t>
      </w:r>
      <w:r>
        <w:rPr>
          <w:rFonts w:hint="eastAsia" w:ascii="仿宋_GB2312" w:hAnsi="仿宋_GB2312" w:eastAsia="仿宋_GB2312" w:cs="仿宋_GB2312"/>
          <w:color w:val="auto"/>
          <w:sz w:val="32"/>
          <w:szCs w:val="32"/>
          <w:highlight w:val="none"/>
        </w:rPr>
        <w:t>。</w:t>
      </w:r>
    </w:p>
    <w:p w14:paraId="5508D0E9">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项目采挖完成后，竞得人应向</w:t>
      </w:r>
      <w:r>
        <w:rPr>
          <w:rFonts w:hint="eastAsia" w:ascii="仿宋_GB2312" w:hAnsi="仿宋_GB2312" w:eastAsia="仿宋_GB2312" w:cs="仿宋_GB2312"/>
          <w:color w:val="auto"/>
          <w:sz w:val="32"/>
          <w:szCs w:val="32"/>
          <w:highlight w:val="none"/>
          <w:lang w:eastAsia="zh-CN"/>
        </w:rPr>
        <w:t>处置单位</w:t>
      </w:r>
      <w:r>
        <w:rPr>
          <w:rFonts w:hint="eastAsia" w:ascii="仿宋_GB2312" w:hAnsi="仿宋_GB2312" w:eastAsia="仿宋_GB2312" w:cs="仿宋_GB2312"/>
          <w:color w:val="auto"/>
          <w:sz w:val="32"/>
          <w:szCs w:val="32"/>
          <w:highlight w:val="none"/>
        </w:rPr>
        <w:t>申请项目验收，由</w:t>
      </w:r>
      <w:r>
        <w:rPr>
          <w:rFonts w:hint="eastAsia" w:ascii="仿宋_GB2312" w:hAnsi="仿宋_GB2312" w:eastAsia="仿宋_GB2312" w:cs="仿宋_GB2312"/>
          <w:color w:val="auto"/>
          <w:sz w:val="32"/>
          <w:szCs w:val="32"/>
          <w:highlight w:val="none"/>
          <w:lang w:eastAsia="zh-CN"/>
        </w:rPr>
        <w:t>处置单位</w:t>
      </w:r>
      <w:r>
        <w:rPr>
          <w:rFonts w:hint="eastAsia" w:ascii="仿宋_GB2312" w:hAnsi="仿宋_GB2312" w:eastAsia="仿宋_GB2312" w:cs="仿宋_GB2312"/>
          <w:color w:val="auto"/>
          <w:sz w:val="32"/>
          <w:szCs w:val="32"/>
          <w:highlight w:val="none"/>
        </w:rPr>
        <w:t>负责委托技术单位编制</w:t>
      </w:r>
      <w:r>
        <w:rPr>
          <w:rFonts w:hint="eastAsia" w:ascii="仿宋_GB2312" w:hAnsi="仿宋_GB2312" w:eastAsia="仿宋_GB2312" w:cs="仿宋_GB2312"/>
          <w:color w:val="auto"/>
          <w:sz w:val="32"/>
          <w:szCs w:val="32"/>
          <w:highlight w:val="none"/>
          <w:lang w:eastAsia="zh-CN"/>
        </w:rPr>
        <w:t>验收</w:t>
      </w:r>
      <w:r>
        <w:rPr>
          <w:rFonts w:hint="eastAsia" w:ascii="仿宋_GB2312" w:hAnsi="仿宋_GB2312" w:eastAsia="仿宋_GB2312" w:cs="仿宋_GB2312"/>
          <w:color w:val="auto"/>
          <w:sz w:val="32"/>
          <w:szCs w:val="32"/>
          <w:highlight w:val="none"/>
        </w:rPr>
        <w:t>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确保不越界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不超标高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不超期采挖</w:t>
      </w:r>
      <w:r>
        <w:rPr>
          <w:rFonts w:hint="eastAsia" w:ascii="仿宋_GB2312" w:hAnsi="仿宋_GB2312" w:eastAsia="仿宋_GB2312" w:cs="仿宋_GB2312"/>
          <w:color w:val="auto"/>
          <w:sz w:val="32"/>
          <w:szCs w:val="32"/>
          <w:highlight w:val="none"/>
          <w:lang w:eastAsia="zh-CN"/>
        </w:rPr>
        <w:t>，否则按有关规定处理</w:t>
      </w:r>
      <w:r>
        <w:rPr>
          <w:rFonts w:hint="eastAsia" w:ascii="仿宋_GB2312" w:hAnsi="仿宋_GB2312" w:eastAsia="仿宋_GB2312" w:cs="仿宋_GB2312"/>
          <w:color w:val="auto"/>
          <w:sz w:val="32"/>
          <w:szCs w:val="32"/>
          <w:highlight w:val="none"/>
        </w:rPr>
        <w:t>。</w:t>
      </w:r>
    </w:p>
    <w:p w14:paraId="3A08E985">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4、市自然资源部门对正在开展的工程建设项目剩余砂石处置情况每季度组织一次抽查，对涉嫌违法采矿、违规处置砂石等行为组织调查核实。</w:t>
      </w:r>
    </w:p>
    <w:p w14:paraId="7D981DD8">
      <w:pPr>
        <w:keepNext w:val="0"/>
        <w:keepLines w:val="0"/>
        <w:pageBreakBefore w:val="0"/>
        <w:widowControl w:val="0"/>
        <w:kinsoku w:val="0"/>
        <w:wordWrap/>
        <w:overflowPunct w:val="0"/>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本通知下发前有关规定内容与本通知不一致的，按照本通知执行。</w:t>
      </w:r>
    </w:p>
    <w:p w14:paraId="400DD9ED">
      <w:pPr>
        <w:keepNext w:val="0"/>
        <w:keepLines w:val="0"/>
        <w:pageBreakBefore w:val="0"/>
        <w:widowControl w:val="0"/>
        <w:numPr>
          <w:ilvl w:val="0"/>
          <w:numId w:val="0"/>
        </w:numPr>
        <w:wordWrap/>
        <w:overflowPunct w:val="0"/>
        <w:topLinePunct/>
        <w:autoSpaceDE/>
        <w:autoSpaceDN/>
        <w:bidi w:val="0"/>
        <w:spacing w:line="560" w:lineRule="exact"/>
        <w:jc w:val="both"/>
        <w:rPr>
          <w:rFonts w:hint="default" w:ascii="仿宋_GB2312" w:hAnsi="仿宋_GB2312" w:eastAsia="仿宋_GB2312" w:cs="仿宋_GB2312"/>
          <w:color w:val="auto"/>
          <w:sz w:val="32"/>
          <w:szCs w:val="32"/>
          <w:highlight w:val="none"/>
          <w:lang w:val="en-US" w:eastAsia="zh-CN"/>
        </w:rPr>
      </w:pPr>
    </w:p>
    <w:p w14:paraId="5A76A34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B5223"/>
    <w:rsid w:val="23BB5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pPr>
    <w:rPr>
      <w:rFonts w:ascii="仿宋_GB2312" w:hAnsi="仿宋_GB2312" w:eastAsia="仿宋_GB2312" w:cs="仿宋_GB2312"/>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2026-02-04T02:36:00Z</dcterms:created>
  <dc:creator>何叶波</dc:creator>
  <cp:lastModifiedBy>何叶波</cp:lastModifiedBy>
  <dcterms:modified xsi:type="dcterms:W3CDTF">2026-02-04T02:37:22Z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328BE6E128C64D93B5BB4BE806A001FD_11</vt:lpwstr>
  </property>
  <property fmtid="{D5CDD505-2E9C-101B-9397-08002B2CF9AE}" pid="4" name="KSOTemplateDocerSaveRecord">
    <vt:lpwstr>eyJoZGlkIjoiMjk5MzRmZTRkMTg5MWI3NTMzNDNlODFlNTA4ZDIzMDciLCJ1c2VySWQiOiIxMDQyODUyMzc1In0=</vt:lpwstr>
  </property>
</Properties>
</file>