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D1E8A">
      <w:pPr>
        <w:jc w:val="center"/>
        <w:rPr>
          <w:rFonts w:hint="eastAsia" w:ascii="宋体" w:hAnsi="宋体"/>
          <w:b/>
          <w:bCs/>
          <w:color w:val="auto"/>
          <w:sz w:val="44"/>
          <w:szCs w:val="44"/>
          <w:highlight w:val="none"/>
          <w:u w:val="none"/>
          <w:lang w:eastAsia="zh-CN"/>
        </w:rPr>
      </w:pPr>
      <w:r>
        <w:rPr>
          <w:rFonts w:hint="eastAsia" w:ascii="宋体" w:hAnsi="宋体" w:eastAsia="宋体" w:cs="宋体"/>
          <w:b/>
          <w:bCs/>
          <w:kern w:val="0"/>
          <w:sz w:val="44"/>
          <w:szCs w:val="44"/>
          <w:lang w:eastAsia="zh-CN"/>
        </w:rPr>
        <w:t>洋中厝公园</w:t>
      </w:r>
      <w:r>
        <w:rPr>
          <w:rFonts w:hint="eastAsia" w:ascii="宋体" w:hAnsi="宋体"/>
          <w:b/>
          <w:bCs/>
          <w:color w:val="auto"/>
          <w:sz w:val="44"/>
          <w:szCs w:val="44"/>
          <w:highlight w:val="none"/>
          <w:u w:val="none"/>
          <w:lang w:eastAsia="zh-CN"/>
        </w:rPr>
        <w:t>项目</w:t>
      </w:r>
      <w:r>
        <w:rPr>
          <w:rFonts w:hint="eastAsia" w:ascii="宋体" w:hAnsi="宋体"/>
          <w:b/>
          <w:bCs/>
          <w:color w:val="auto"/>
          <w:sz w:val="44"/>
          <w:szCs w:val="44"/>
          <w:highlight w:val="none"/>
          <w:u w:val="none"/>
          <w:lang w:val="en-US" w:eastAsia="zh-CN"/>
        </w:rPr>
        <w:t>集体土地上</w:t>
      </w:r>
      <w:r>
        <w:rPr>
          <w:rFonts w:hint="eastAsia" w:ascii="宋体" w:hAnsi="宋体"/>
          <w:b/>
          <w:bCs/>
          <w:color w:val="auto"/>
          <w:sz w:val="44"/>
          <w:szCs w:val="44"/>
          <w:highlight w:val="none"/>
          <w:u w:val="none"/>
          <w:lang w:eastAsia="zh-CN"/>
        </w:rPr>
        <w:t>房屋征收补偿方案</w:t>
      </w:r>
    </w:p>
    <w:p w14:paraId="7B1C856C">
      <w:pPr>
        <w:jc w:val="center"/>
        <w:rPr>
          <w:rFonts w:hint="eastAsia" w:ascii="仿宋_GB2312" w:eastAsia="仿宋_GB2312" w:cs="Times New Roman"/>
          <w:color w:val="auto"/>
          <w:w w:val="100"/>
          <w:kern w:val="0"/>
          <w:sz w:val="32"/>
          <w:szCs w:val="32"/>
          <w:highlight w:val="none"/>
          <w:u w:val="none"/>
          <w:lang w:val="en-US" w:eastAsia="zh-CN" w:bidi="ar-SA"/>
        </w:rPr>
      </w:pPr>
      <w:r>
        <w:rPr>
          <w:rFonts w:hint="eastAsia" w:ascii="仿宋_GB2312" w:eastAsia="仿宋_GB2312" w:cs="Times New Roman"/>
          <w:color w:val="auto"/>
          <w:w w:val="100"/>
          <w:kern w:val="0"/>
          <w:sz w:val="32"/>
          <w:szCs w:val="32"/>
          <w:highlight w:val="none"/>
          <w:u w:val="none"/>
          <w:lang w:val="en-US" w:eastAsia="zh-CN" w:bidi="ar-SA"/>
        </w:rPr>
        <w:t>（</w:t>
      </w:r>
      <w:r>
        <w:rPr>
          <w:rFonts w:hint="eastAsia" w:ascii="仿宋_GB2312" w:hAnsi="Times New Roman" w:eastAsia="仿宋_GB2312" w:cs="Times New Roman"/>
          <w:color w:val="auto"/>
          <w:w w:val="100"/>
          <w:kern w:val="0"/>
          <w:sz w:val="32"/>
          <w:szCs w:val="32"/>
          <w:highlight w:val="none"/>
          <w:u w:val="none"/>
          <w:lang w:val="en-US" w:eastAsia="zh-CN" w:bidi="ar-SA"/>
        </w:rPr>
        <w:t>适用私人自建住宅部分征求意见稿</w:t>
      </w:r>
      <w:r>
        <w:rPr>
          <w:rFonts w:hint="eastAsia" w:ascii="仿宋_GB2312" w:eastAsia="仿宋_GB2312" w:cs="Times New Roman"/>
          <w:color w:val="auto"/>
          <w:w w:val="100"/>
          <w:kern w:val="0"/>
          <w:sz w:val="32"/>
          <w:szCs w:val="32"/>
          <w:highlight w:val="none"/>
          <w:u w:val="none"/>
          <w:lang w:val="en-US" w:eastAsia="zh-CN" w:bidi="ar-SA"/>
        </w:rPr>
        <w:t>）</w:t>
      </w:r>
    </w:p>
    <w:p w14:paraId="252F38E2">
      <w:pPr>
        <w:pStyle w:val="14"/>
        <w:shd w:val="clear" w:color="auto" w:fill="auto"/>
        <w:tabs>
          <w:tab w:val="left" w:pos="7085"/>
        </w:tabs>
        <w:spacing w:before="0" w:after="0" w:line="600" w:lineRule="exact"/>
        <w:ind w:firstLine="640" w:firstLineChars="200"/>
        <w:jc w:val="both"/>
        <w:rPr>
          <w:rFonts w:hint="eastAsia" w:ascii="仿宋_GB2312" w:eastAsia="仿宋_GB2312"/>
          <w:color w:val="auto"/>
          <w:w w:val="100"/>
          <w:sz w:val="32"/>
          <w:szCs w:val="32"/>
          <w:highlight w:val="none"/>
          <w:u w:val="none"/>
          <w:lang w:eastAsia="zh-CN"/>
        </w:rPr>
      </w:pPr>
    </w:p>
    <w:p w14:paraId="47967524">
      <w:pPr>
        <w:pStyle w:val="14"/>
        <w:shd w:val="clear" w:color="auto" w:fill="auto"/>
        <w:tabs>
          <w:tab w:val="left" w:pos="7085"/>
        </w:tabs>
        <w:spacing w:before="0" w:after="0" w:line="600" w:lineRule="exact"/>
        <w:ind w:firstLine="640" w:firstLineChars="200"/>
        <w:jc w:val="both"/>
        <w:rPr>
          <w:rFonts w:ascii="仿宋_GB2312" w:eastAsia="仿宋_GB2312"/>
          <w:color w:val="auto"/>
          <w:w w:val="100"/>
          <w:sz w:val="32"/>
          <w:szCs w:val="32"/>
          <w:highlight w:val="none"/>
          <w:u w:val="none"/>
          <w:lang w:eastAsia="zh-CN"/>
        </w:rPr>
      </w:pPr>
      <w:r>
        <w:rPr>
          <w:rFonts w:hint="eastAsia" w:ascii="仿宋" w:hAnsi="仿宋" w:eastAsia="仿宋" w:cs="仿宋"/>
          <w:color w:val="auto"/>
          <w:w w:val="100"/>
          <w:sz w:val="32"/>
          <w:szCs w:val="32"/>
          <w:highlight w:val="none"/>
          <w:u w:val="none"/>
          <w:lang w:eastAsia="zh-CN"/>
        </w:rPr>
        <w:t>因洋中厝公园</w:t>
      </w:r>
      <w:r>
        <w:rPr>
          <w:rFonts w:hint="eastAsia" w:ascii="仿宋_GB2312" w:eastAsia="仿宋_GB2312"/>
          <w:color w:val="auto"/>
          <w:w w:val="100"/>
          <w:sz w:val="32"/>
          <w:szCs w:val="32"/>
          <w:highlight w:val="none"/>
          <w:u w:val="none"/>
          <w:lang w:eastAsia="zh-CN"/>
        </w:rPr>
        <w:t>项目建设需要，福清市人民政府决定征收</w:t>
      </w:r>
      <w:r>
        <w:rPr>
          <w:rFonts w:hint="eastAsia" w:ascii="仿宋" w:hAnsi="仿宋" w:eastAsia="仿宋" w:cs="仿宋"/>
          <w:color w:val="auto"/>
          <w:w w:val="100"/>
          <w:sz w:val="32"/>
          <w:szCs w:val="32"/>
          <w:highlight w:val="none"/>
          <w:u w:val="none"/>
          <w:lang w:eastAsia="zh-CN"/>
        </w:rPr>
        <w:t>洋中厝公园</w:t>
      </w:r>
      <w:r>
        <w:rPr>
          <w:rFonts w:hint="eastAsia" w:ascii="仿宋_GB2312" w:eastAsia="仿宋_GB2312"/>
          <w:color w:val="auto"/>
          <w:w w:val="100"/>
          <w:sz w:val="32"/>
          <w:szCs w:val="32"/>
          <w:highlight w:val="none"/>
          <w:u w:val="none"/>
          <w:lang w:eastAsia="zh-CN"/>
        </w:rPr>
        <w:t>项目规划红线内的房屋。根据《中华人民共和国土地管理法</w:t>
      </w:r>
      <w:r>
        <w:rPr>
          <w:rFonts w:hint="eastAsia" w:ascii="仿宋_GB2312" w:eastAsia="仿宋_GB2312"/>
          <w:color w:val="auto"/>
          <w:w w:val="100"/>
          <w:sz w:val="32"/>
          <w:szCs w:val="32"/>
          <w:highlight w:val="none"/>
          <w:u w:val="none"/>
          <w:shd w:val="clear" w:fill="FFFFFF"/>
          <w:lang w:eastAsia="zh-CN"/>
        </w:rPr>
        <w:t>》、《</w:t>
      </w:r>
      <w:r>
        <w:rPr>
          <w:rFonts w:hint="eastAsia" w:ascii="仿宋_GB2312" w:eastAsia="仿宋_GB2312"/>
          <w:color w:val="auto"/>
          <w:w w:val="100"/>
          <w:sz w:val="32"/>
          <w:szCs w:val="32"/>
          <w:highlight w:val="none"/>
          <w:u w:val="none"/>
          <w:lang w:eastAsia="zh-CN"/>
        </w:rPr>
        <w:t>国有土地上房屋征收与补偿条例》等有关</w:t>
      </w:r>
      <w:r>
        <w:rPr>
          <w:rFonts w:hint="eastAsia" w:ascii="仿宋_GB2312" w:eastAsia="仿宋_GB2312"/>
          <w:color w:val="auto"/>
          <w:w w:val="100"/>
          <w:sz w:val="32"/>
          <w:szCs w:val="32"/>
          <w:highlight w:val="none"/>
          <w:u w:val="none"/>
          <w:shd w:val="clear" w:fill="FFFFFF"/>
          <w:lang w:eastAsia="zh-CN"/>
        </w:rPr>
        <w:t>法律、法规</w:t>
      </w:r>
      <w:r>
        <w:rPr>
          <w:rFonts w:hint="eastAsia" w:ascii="仿宋_GB2312" w:eastAsia="仿宋_GB2312"/>
          <w:color w:val="auto"/>
          <w:w w:val="100"/>
          <w:sz w:val="32"/>
          <w:szCs w:val="32"/>
          <w:highlight w:val="none"/>
          <w:u w:val="none"/>
          <w:lang w:eastAsia="zh-CN"/>
        </w:rPr>
        <w:t>及政策规定，为规范征收补偿安置行为，维护被征收人合法权益，</w:t>
      </w:r>
      <w:r>
        <w:rPr>
          <w:rFonts w:hint="eastAsia" w:ascii="仿宋_GB2312" w:eastAsia="仿宋_GB2312"/>
          <w:color w:val="auto"/>
          <w:w w:val="100"/>
          <w:sz w:val="32"/>
          <w:szCs w:val="32"/>
          <w:highlight w:val="none"/>
          <w:u w:val="none"/>
        </w:rPr>
        <w:t>制定本征收补偿方案。</w:t>
      </w:r>
    </w:p>
    <w:p w14:paraId="10AB2FDC">
      <w:pPr>
        <w:pStyle w:val="9"/>
        <w:keepNext/>
        <w:keepLines/>
        <w:shd w:val="clear" w:color="auto" w:fill="auto"/>
        <w:spacing w:before="0" w:after="0" w:line="600" w:lineRule="exact"/>
        <w:ind w:firstLine="643" w:firstLineChars="200"/>
        <w:jc w:val="both"/>
        <w:rPr>
          <w:rFonts w:hint="eastAsia" w:ascii="仿宋_GB2312" w:eastAsia="仿宋_GB2312"/>
          <w:color w:val="auto"/>
          <w:sz w:val="32"/>
          <w:szCs w:val="32"/>
          <w:highlight w:val="none"/>
          <w:u w:val="none"/>
          <w:lang w:val="zh-CN" w:eastAsia="zh-CN"/>
        </w:rPr>
      </w:pPr>
      <w:bookmarkStart w:id="0" w:name="bookmark5"/>
    </w:p>
    <w:p w14:paraId="5B73A0C9">
      <w:pPr>
        <w:pStyle w:val="9"/>
        <w:keepNext/>
        <w:keepLines/>
        <w:shd w:val="clear" w:color="auto" w:fill="auto"/>
        <w:spacing w:before="0" w:after="0" w:line="600" w:lineRule="exact"/>
        <w:ind w:firstLine="643"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第一部分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总则</w:t>
      </w:r>
      <w:bookmarkEnd w:id="0"/>
    </w:p>
    <w:p w14:paraId="6A6004FD">
      <w:pPr>
        <w:pStyle w:val="9"/>
        <w:keepNext/>
        <w:keepLines/>
        <w:shd w:val="clear" w:color="auto" w:fill="auto"/>
        <w:spacing w:before="0" w:after="0" w:line="600" w:lineRule="exact"/>
        <w:ind w:firstLine="580" w:firstLineChars="200"/>
        <w:jc w:val="both"/>
        <w:rPr>
          <w:rFonts w:eastAsia="宋体"/>
          <w:b w:val="0"/>
          <w:color w:val="auto"/>
          <w:highlight w:val="none"/>
          <w:u w:val="none"/>
        </w:rPr>
      </w:pPr>
      <w:bookmarkStart w:id="1" w:name="bookmark6"/>
    </w:p>
    <w:p w14:paraId="38D06C96">
      <w:pPr>
        <w:pStyle w:val="9"/>
        <w:keepNext/>
        <w:keepLines/>
        <w:shd w:val="clear" w:color="auto" w:fill="auto"/>
        <w:spacing w:before="0" w:after="0" w:line="600" w:lineRule="exact"/>
        <w:ind w:firstLine="725" w:firstLineChars="250"/>
        <w:jc w:val="both"/>
        <w:rPr>
          <w:rFonts w:ascii="仿宋_GB2312" w:eastAsia="仿宋_GB2312"/>
          <w:color w:val="auto"/>
          <w:sz w:val="32"/>
          <w:szCs w:val="32"/>
          <w:highlight w:val="none"/>
          <w:u w:val="none"/>
          <w:lang w:val="zh-CN"/>
        </w:rPr>
      </w:pPr>
      <w:r>
        <w:rPr>
          <w:rFonts w:hint="eastAsia" w:eastAsia="宋体"/>
          <w:b w:val="0"/>
          <w:color w:val="auto"/>
          <w:highlight w:val="none"/>
          <w:u w:val="none"/>
          <w:lang w:eastAsia="zh-CN"/>
        </w:rPr>
        <w:t>一、</w:t>
      </w:r>
      <w:r>
        <w:rPr>
          <w:rFonts w:hint="eastAsia" w:ascii="仿宋_GB2312" w:eastAsia="仿宋_GB2312"/>
          <w:color w:val="auto"/>
          <w:sz w:val="32"/>
          <w:szCs w:val="32"/>
          <w:highlight w:val="none"/>
          <w:u w:val="none"/>
          <w:lang w:val="zh-CN"/>
        </w:rPr>
        <w:t>基本原则</w:t>
      </w:r>
      <w:bookmarkEnd w:id="1"/>
    </w:p>
    <w:p w14:paraId="4DCBF04C">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征收工作坚持“依法依规、民主公开、以人为本、权益保障、和谐征收”的原则，征收人主动接受监督部门、被征收人及社会各界人士的监督。</w:t>
      </w:r>
    </w:p>
    <w:p w14:paraId="45864D8B">
      <w:pPr>
        <w:pStyle w:val="9"/>
        <w:keepNext/>
        <w:keepLines/>
        <w:shd w:val="clear" w:color="auto" w:fill="auto"/>
        <w:spacing w:before="0" w:after="0" w:line="600" w:lineRule="exact"/>
        <w:ind w:firstLine="643" w:firstLineChars="200"/>
        <w:jc w:val="both"/>
        <w:rPr>
          <w:rFonts w:ascii="仿宋_GB2312" w:eastAsia="仿宋_GB2312"/>
          <w:color w:val="auto"/>
          <w:sz w:val="32"/>
          <w:szCs w:val="32"/>
          <w:highlight w:val="none"/>
          <w:u w:val="none"/>
        </w:rPr>
      </w:pPr>
      <w:bookmarkStart w:id="2" w:name="bookmark7"/>
      <w:r>
        <w:rPr>
          <w:rFonts w:hint="eastAsia" w:ascii="仿宋_GB2312" w:eastAsia="仿宋_GB2312"/>
          <w:color w:val="auto"/>
          <w:sz w:val="32"/>
          <w:szCs w:val="32"/>
          <w:highlight w:val="none"/>
          <w:u w:val="none"/>
          <w:lang w:val="zh-CN"/>
        </w:rPr>
        <w:t>二、征收范围</w:t>
      </w:r>
      <w:bookmarkEnd w:id="2"/>
    </w:p>
    <w:p w14:paraId="1AA6980D">
      <w:pPr>
        <w:pStyle w:val="9"/>
        <w:keepNext/>
        <w:keepLines/>
        <w:shd w:val="clear" w:color="auto" w:fill="auto"/>
        <w:spacing w:before="0" w:after="0" w:line="600" w:lineRule="exact"/>
        <w:ind w:firstLine="640" w:firstLineChars="200"/>
        <w:jc w:val="both"/>
        <w:rPr>
          <w:rFonts w:hint="eastAsia" w:ascii="仿宋_GB2312" w:eastAsia="仿宋_GB2312"/>
          <w:b w:val="0"/>
          <w:bCs w:val="0"/>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具体征收范围以</w:t>
      </w:r>
      <w:r>
        <w:rPr>
          <w:rFonts w:hint="eastAsia" w:ascii="仿宋" w:hAnsi="仿宋" w:eastAsia="仿宋" w:cs="仿宋"/>
          <w:b w:val="0"/>
          <w:bCs w:val="0"/>
          <w:kern w:val="0"/>
          <w:sz w:val="32"/>
          <w:szCs w:val="32"/>
          <w:lang w:eastAsia="zh-CN"/>
        </w:rPr>
        <w:t>洋中厝公园</w:t>
      </w:r>
      <w:r>
        <w:rPr>
          <w:rFonts w:hint="eastAsia" w:ascii="仿宋_GB2312" w:eastAsia="仿宋_GB2312"/>
          <w:b w:val="0"/>
          <w:bCs w:val="0"/>
          <w:color w:val="auto"/>
          <w:w w:val="100"/>
          <w:sz w:val="32"/>
          <w:szCs w:val="32"/>
          <w:highlight w:val="none"/>
          <w:u w:val="none"/>
          <w:lang w:eastAsia="zh-CN"/>
        </w:rPr>
        <w:t>项目</w:t>
      </w:r>
      <w:r>
        <w:rPr>
          <w:rFonts w:hint="eastAsia" w:ascii="仿宋_GB2312" w:eastAsia="仿宋_GB2312"/>
          <w:b w:val="0"/>
          <w:bCs w:val="0"/>
          <w:color w:val="auto"/>
          <w:sz w:val="32"/>
          <w:szCs w:val="32"/>
          <w:highlight w:val="none"/>
          <w:u w:val="none"/>
          <w:lang w:val="zh-CN"/>
        </w:rPr>
        <w:t>红线图为准。</w:t>
      </w:r>
      <w:bookmarkStart w:id="3" w:name="bookmark8"/>
    </w:p>
    <w:p w14:paraId="6B4F7FA0">
      <w:pPr>
        <w:pStyle w:val="2"/>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rPr>
        <w:t>三、征收补偿对象及方式</w:t>
      </w:r>
      <w:bookmarkEnd w:id="3"/>
    </w:p>
    <w:p w14:paraId="01A061C9">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（一）凡本征收范围内的被征收人均列入征收补偿对象，以被征收人的房屋所有权证、土地使用证或有权机构认证证明作为征收补偿依据。</w:t>
      </w:r>
    </w:p>
    <w:p w14:paraId="7470AD81">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对具有认定补偿安置面积的房屋，</w:t>
      </w:r>
      <w:r>
        <w:rPr>
          <w:rFonts w:hint="eastAsia" w:ascii="仿宋_GB2312" w:eastAsia="仿宋_GB2312"/>
          <w:color w:val="auto"/>
          <w:sz w:val="32"/>
          <w:szCs w:val="32"/>
          <w:highlight w:val="none"/>
          <w:u w:val="none"/>
          <w:lang w:val="zh-CN"/>
        </w:rPr>
        <w:t>被征收人可以选择以分户评估方式确定被征收房屋价值，也可以在签约期内选择按照公布的征收补偿方案进行补偿。</w:t>
      </w:r>
    </w:p>
    <w:p w14:paraId="1DD996B8">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选择以分户评估方式确定被征收房屋价值</w:t>
      </w:r>
      <w:r>
        <w:rPr>
          <w:rFonts w:hint="eastAsia" w:ascii="仿宋_GB2312" w:eastAsia="仿宋_GB2312"/>
          <w:color w:val="auto"/>
          <w:sz w:val="32"/>
          <w:szCs w:val="32"/>
          <w:highlight w:val="none"/>
          <w:u w:val="none"/>
          <w:lang w:val="zh-CN" w:eastAsia="zh-CN"/>
        </w:rPr>
        <w:t>的（评估内容不含管理费、利润、税费等），不得再选择征收补偿方案进行补偿</w:t>
      </w:r>
      <w:r>
        <w:rPr>
          <w:rFonts w:hint="eastAsia" w:ascii="仿宋_GB2312" w:eastAsia="仿宋_GB2312"/>
          <w:color w:val="auto"/>
          <w:sz w:val="32"/>
          <w:szCs w:val="32"/>
          <w:highlight w:val="none"/>
          <w:u w:val="none"/>
          <w:lang w:val="en-US" w:eastAsia="zh-CN"/>
        </w:rPr>
        <w:t>,在评估价值的基础上，再给予搬迁补助费和临时过渡费，以现金一次性结算</w:t>
      </w:r>
      <w:r>
        <w:rPr>
          <w:rFonts w:hint="eastAsia" w:ascii="仿宋_GB2312" w:eastAsia="仿宋_GB2312"/>
          <w:color w:val="auto"/>
          <w:sz w:val="32"/>
          <w:szCs w:val="32"/>
          <w:highlight w:val="none"/>
          <w:u w:val="none"/>
          <w:lang w:val="zh-CN"/>
        </w:rPr>
        <w:t>；在签约期内选择按照公布的征收补偿方案进行补偿的，不再进行分户评估，但房屋装修档次超出方案标准的，可以</w:t>
      </w:r>
      <w:r>
        <w:rPr>
          <w:rFonts w:hint="eastAsia" w:ascii="仿宋_GB2312" w:eastAsia="仿宋_GB2312"/>
          <w:color w:val="auto"/>
          <w:sz w:val="32"/>
          <w:szCs w:val="32"/>
          <w:highlight w:val="none"/>
          <w:u w:val="none"/>
          <w:lang w:val="zh-CN" w:eastAsia="zh-CN"/>
        </w:rPr>
        <w:t>单独</w:t>
      </w:r>
      <w:r>
        <w:rPr>
          <w:rFonts w:hint="eastAsia" w:ascii="仿宋_GB2312" w:eastAsia="仿宋_GB2312"/>
          <w:color w:val="auto"/>
          <w:sz w:val="32"/>
          <w:szCs w:val="32"/>
          <w:highlight w:val="none"/>
          <w:u w:val="none"/>
          <w:lang w:val="zh-CN"/>
        </w:rPr>
        <w:t>对装修进行评估。</w:t>
      </w:r>
    </w:p>
    <w:p w14:paraId="54E99BFC">
      <w:pPr>
        <w:pStyle w:val="2"/>
        <w:shd w:val="clear" w:color="auto" w:fill="auto"/>
        <w:spacing w:after="0" w:line="600" w:lineRule="exact"/>
        <w:ind w:firstLine="640" w:firstLineChars="200"/>
        <w:jc w:val="both"/>
        <w:rPr>
          <w:rFonts w:hint="eastAsia" w:ascii="仿宋_GB2312" w:eastAsia="仿宋_GB2312"/>
          <w:i w:val="0"/>
          <w:iCs w:val="0"/>
          <w:color w:val="auto"/>
          <w:sz w:val="32"/>
          <w:szCs w:val="32"/>
          <w:highlight w:val="none"/>
          <w:u w:val="none"/>
          <w:lang w:val="en-US" w:eastAsia="zh-CN"/>
        </w:rPr>
      </w:pPr>
      <w:r>
        <w:rPr>
          <w:rFonts w:hint="eastAsia" w:ascii="仿宋_GB2312" w:eastAsia="仿宋_GB2312"/>
          <w:i w:val="0"/>
          <w:iCs w:val="0"/>
          <w:color w:val="auto"/>
          <w:sz w:val="32"/>
          <w:szCs w:val="32"/>
          <w:highlight w:val="none"/>
          <w:u w:val="none"/>
          <w:lang w:val="en-US" w:eastAsia="zh-CN"/>
        </w:rPr>
        <w:t>被征收房屋不具有认定补偿安置面积的违章建筑，其建安造价（含房屋及二次装修重置价）的补偿不以评估为依据，一律按本补偿方案规定的标准给予补偿。</w:t>
      </w:r>
    </w:p>
    <w:p w14:paraId="2E8B521A">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rPr>
        <w:t>（三</w:t>
      </w:r>
      <w:r>
        <w:rPr>
          <w:rFonts w:hint="eastAsia" w:ascii="仿宋_GB2312" w:hAnsi="宋体" w:eastAsia="仿宋_GB2312" w:cs="宋体"/>
          <w:color w:val="auto"/>
          <w:sz w:val="32"/>
          <w:szCs w:val="32"/>
          <w:highlight w:val="none"/>
          <w:u w:val="none"/>
          <w:lang w:val="zh-CN"/>
        </w:rPr>
        <w:t>）</w:t>
      </w:r>
      <w:r>
        <w:rPr>
          <w:rFonts w:hint="eastAsia" w:ascii="仿宋_GB2312" w:eastAsia="仿宋_GB2312"/>
          <w:color w:val="auto"/>
          <w:sz w:val="32"/>
          <w:szCs w:val="32"/>
          <w:highlight w:val="none"/>
          <w:u w:val="none"/>
          <w:lang w:val="zh-CN"/>
        </w:rPr>
        <w:t>本地块征收补偿方式：实行货币补偿</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产权调换</w:t>
      </w:r>
      <w:r>
        <w:rPr>
          <w:rFonts w:hint="eastAsia" w:ascii="仿宋_GB2312" w:eastAsia="仿宋_GB2312"/>
          <w:color w:val="auto"/>
          <w:sz w:val="32"/>
          <w:szCs w:val="32"/>
          <w:highlight w:val="none"/>
          <w:u w:val="none"/>
          <w:lang w:val="zh-CN" w:eastAsia="zh-CN"/>
        </w:rPr>
        <w:t>、部分产权调换与部分货币补偿</w:t>
      </w:r>
      <w:r>
        <w:rPr>
          <w:rFonts w:hint="eastAsia" w:ascii="仿宋_GB2312" w:eastAsia="仿宋_GB2312"/>
          <w:color w:val="auto"/>
          <w:sz w:val="32"/>
          <w:szCs w:val="32"/>
          <w:highlight w:val="none"/>
          <w:u w:val="none"/>
          <w:lang w:val="zh-CN"/>
        </w:rPr>
        <w:t>相结合的</w:t>
      </w:r>
      <w:r>
        <w:rPr>
          <w:rFonts w:hint="eastAsia" w:ascii="仿宋_GB2312" w:eastAsia="仿宋_GB2312"/>
          <w:color w:val="auto"/>
          <w:sz w:val="32"/>
          <w:szCs w:val="32"/>
          <w:highlight w:val="none"/>
          <w:u w:val="none"/>
          <w:lang w:val="zh-CN" w:eastAsia="zh-CN"/>
        </w:rPr>
        <w:t>三种</w:t>
      </w:r>
      <w:r>
        <w:rPr>
          <w:rFonts w:hint="eastAsia" w:ascii="仿宋_GB2312" w:eastAsia="仿宋_GB2312"/>
          <w:color w:val="auto"/>
          <w:sz w:val="32"/>
          <w:szCs w:val="32"/>
          <w:highlight w:val="none"/>
          <w:u w:val="none"/>
          <w:lang w:val="zh-CN"/>
        </w:rPr>
        <w:t>方式，若被征收房屋属于本方案</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四</w:t>
      </w:r>
      <w:r>
        <w:rPr>
          <w:rFonts w:hint="eastAsia" w:ascii="仿宋_GB2312" w:eastAsia="仿宋_GB2312"/>
          <w:color w:val="auto"/>
          <w:sz w:val="32"/>
          <w:szCs w:val="32"/>
          <w:highlight w:val="none"/>
          <w:u w:val="none"/>
          <w:lang w:val="zh-CN" w:eastAsia="zh-CN"/>
        </w:rPr>
        <w:t>、补偿安置”中第</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点</w:t>
      </w:r>
      <w:r>
        <w:rPr>
          <w:rFonts w:hint="eastAsia" w:ascii="仿宋_GB2312" w:eastAsia="仿宋_GB2312"/>
          <w:color w:val="auto"/>
          <w:sz w:val="32"/>
          <w:szCs w:val="32"/>
          <w:highlight w:val="none"/>
          <w:u w:val="none"/>
          <w:lang w:val="zh-CN"/>
        </w:rPr>
        <w:t>规定的，不能实行货币补偿。</w:t>
      </w:r>
    </w:p>
    <w:p w14:paraId="7EE50918">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（四）产权人认定：《房屋所有权证</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土地使用证》登记的产权人为准，或经审批的《用地申请表</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建筑许可证》以及其他证明产权材料为认定依据。</w:t>
      </w:r>
    </w:p>
    <w:p w14:paraId="46CCBD07">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bookmarkStart w:id="4" w:name="bookmark9"/>
      <w:r>
        <w:rPr>
          <w:rFonts w:hint="eastAsia" w:ascii="仿宋_GB2312" w:eastAsia="仿宋_GB2312"/>
          <w:color w:val="auto"/>
          <w:sz w:val="32"/>
          <w:szCs w:val="32"/>
          <w:highlight w:val="none"/>
          <w:u w:val="none"/>
          <w:lang w:val="zh-CN"/>
        </w:rPr>
        <w:t>四、补偿安置</w:t>
      </w:r>
      <w:bookmarkEnd w:id="4"/>
    </w:p>
    <w:p w14:paraId="38B4B0C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方式。分为产权调换、货币补偿、部分产权调换与部分货币补偿相结合三种方式</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选择部分产权调换与部分货币补偿相结合的方式，</w:t>
      </w:r>
      <w:r>
        <w:rPr>
          <w:rFonts w:hint="eastAsia" w:ascii="仿宋_GB2312" w:eastAsia="仿宋_GB2312"/>
          <w:color w:val="auto"/>
          <w:sz w:val="32"/>
          <w:szCs w:val="32"/>
          <w:highlight w:val="none"/>
          <w:u w:val="none"/>
          <w:lang w:val="zh-CN" w:eastAsia="zh-CN"/>
        </w:rPr>
        <w:t>其</w:t>
      </w:r>
      <w:r>
        <w:rPr>
          <w:rFonts w:hint="eastAsia" w:ascii="仿宋_GB2312" w:eastAsia="仿宋_GB2312"/>
          <w:color w:val="auto"/>
          <w:sz w:val="32"/>
          <w:szCs w:val="32"/>
          <w:highlight w:val="none"/>
          <w:u w:val="none"/>
          <w:lang w:val="zh-CN"/>
        </w:rPr>
        <w:t>用于产权调换部分的面积只能</w:t>
      </w:r>
      <w:r>
        <w:rPr>
          <w:rFonts w:hint="eastAsia" w:ascii="仿宋_GB2312" w:eastAsia="仿宋_GB2312"/>
          <w:color w:val="auto"/>
          <w:sz w:val="32"/>
          <w:szCs w:val="32"/>
          <w:highlight w:val="none"/>
          <w:u w:val="none"/>
          <w:lang w:val="zh-CN" w:eastAsia="zh-CN"/>
        </w:rPr>
        <w:t>从</w:t>
      </w:r>
      <w:r>
        <w:rPr>
          <w:rFonts w:hint="eastAsia" w:ascii="仿宋_GB2312" w:eastAsia="仿宋_GB2312"/>
          <w:color w:val="auto"/>
          <w:sz w:val="32"/>
          <w:szCs w:val="32"/>
          <w:highlight w:val="none"/>
          <w:u w:val="none"/>
          <w:lang w:val="zh-CN"/>
        </w:rPr>
        <w:t>一层</w:t>
      </w:r>
      <w:r>
        <w:rPr>
          <w:rFonts w:hint="eastAsia" w:ascii="仿宋_GB2312" w:eastAsia="仿宋_GB2312"/>
          <w:color w:val="auto"/>
          <w:sz w:val="32"/>
          <w:szCs w:val="32"/>
          <w:highlight w:val="none"/>
          <w:u w:val="none"/>
          <w:lang w:val="zh-CN" w:eastAsia="zh-CN"/>
        </w:rPr>
        <w:t>开始</w:t>
      </w:r>
      <w:r>
        <w:rPr>
          <w:rFonts w:hint="eastAsia" w:ascii="仿宋_GB2312" w:eastAsia="仿宋_GB2312"/>
          <w:color w:val="auto"/>
          <w:sz w:val="32"/>
          <w:szCs w:val="32"/>
          <w:highlight w:val="none"/>
          <w:u w:val="none"/>
          <w:lang w:val="zh-CN"/>
        </w:rPr>
        <w:t>依次往上累积</w:t>
      </w:r>
      <w:r>
        <w:rPr>
          <w:rFonts w:hint="eastAsia" w:ascii="仿宋_GB2312" w:eastAsia="仿宋_GB2312"/>
          <w:color w:val="auto"/>
          <w:sz w:val="32"/>
          <w:szCs w:val="32"/>
          <w:highlight w:val="none"/>
          <w:u w:val="none"/>
          <w:lang w:val="zh-CN" w:eastAsia="zh-CN"/>
        </w:rPr>
        <w:t>进行产权调换，</w:t>
      </w:r>
      <w:r>
        <w:rPr>
          <w:rFonts w:hint="eastAsia" w:ascii="仿宋_GB2312" w:eastAsia="仿宋_GB2312"/>
          <w:color w:val="auto"/>
          <w:sz w:val="32"/>
          <w:szCs w:val="32"/>
          <w:highlight w:val="none"/>
          <w:u w:val="none"/>
          <w:lang w:val="zh-CN"/>
        </w:rPr>
        <w:t>土地价值按产权调换与货币补偿面积比例分摊。</w:t>
      </w:r>
    </w:p>
    <w:p w14:paraId="7B924082">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（二）补偿计算。</w:t>
      </w:r>
      <w:r>
        <w:rPr>
          <w:rFonts w:hint="eastAsia" w:ascii="仿宋_GB2312" w:eastAsia="仿宋_GB2312"/>
          <w:color w:val="auto"/>
          <w:sz w:val="32"/>
          <w:szCs w:val="32"/>
          <w:highlight w:val="none"/>
          <w:u w:val="none"/>
          <w:lang w:val="zh-CN" w:eastAsia="zh-CN"/>
        </w:rPr>
        <w:t>房屋</w:t>
      </w:r>
      <w:r>
        <w:rPr>
          <w:rFonts w:hint="eastAsia" w:ascii="仿宋_GB2312" w:eastAsia="仿宋_GB2312"/>
          <w:color w:val="auto"/>
          <w:sz w:val="32"/>
          <w:szCs w:val="32"/>
          <w:highlight w:val="none"/>
          <w:u w:val="none"/>
          <w:lang w:val="zh-CN"/>
        </w:rPr>
        <w:t>补偿实行土地、房屋分别计算，合并结算。土地补偿</w:t>
      </w:r>
      <w:r>
        <w:rPr>
          <w:rFonts w:hint="eastAsia" w:ascii="仿宋_GB2312" w:eastAsia="仿宋_GB2312"/>
          <w:color w:val="auto"/>
          <w:sz w:val="32"/>
          <w:szCs w:val="32"/>
          <w:highlight w:val="none"/>
          <w:u w:val="none"/>
          <w:lang w:val="zh-CN" w:eastAsia="zh-CN"/>
        </w:rPr>
        <w:t>（专指住宅）</w:t>
      </w:r>
      <w:r>
        <w:rPr>
          <w:rFonts w:hint="eastAsia" w:ascii="仿宋_GB2312" w:eastAsia="仿宋_GB2312"/>
          <w:color w:val="auto"/>
          <w:sz w:val="32"/>
          <w:szCs w:val="32"/>
          <w:highlight w:val="none"/>
          <w:u w:val="none"/>
          <w:lang w:val="zh-CN"/>
        </w:rPr>
        <w:t>，经批准的房屋建筑占地土地补偿价格</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万元/亩；房屋补偿，由房屋重置价和二次装修重置价结合成新率组成。埕地、空地的补偿：经国土部门确权的，属出让土地的按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万元/亩计算，属划拨土地或持有集体土地使用证的按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万元/亩的60%计算；经市镇（街）两级清理收费的，按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万元/亩的</w:t>
      </w:r>
      <w:r>
        <w:rPr>
          <w:rFonts w:hint="eastAsia" w:ascii="仿宋_GB2312" w:eastAsia="仿宋_GB2312"/>
          <w:color w:val="auto"/>
          <w:sz w:val="32"/>
          <w:szCs w:val="32"/>
          <w:highlight w:val="none"/>
          <w:u w:val="none"/>
          <w:lang w:val="zh-CN"/>
        </w:rPr>
        <w:t>40</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计算；其他未确权和未经市镇（街）两级清理收费的，按4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万元/亩计算。埕地、空地是指房屋四</w:t>
      </w:r>
      <w:r>
        <w:rPr>
          <w:rFonts w:hint="eastAsia" w:ascii="仿宋_GB2312" w:eastAsia="仿宋_GB2312"/>
          <w:color w:val="auto"/>
          <w:sz w:val="32"/>
          <w:szCs w:val="32"/>
          <w:highlight w:val="none"/>
          <w:u w:val="none"/>
          <w:lang w:val="zh-CN" w:eastAsia="zh-CN"/>
        </w:rPr>
        <w:t>至</w:t>
      </w:r>
      <w:r>
        <w:rPr>
          <w:rFonts w:hint="eastAsia" w:ascii="仿宋_GB2312" w:eastAsia="仿宋_GB2312"/>
          <w:color w:val="auto"/>
          <w:sz w:val="32"/>
          <w:szCs w:val="32"/>
          <w:highlight w:val="none"/>
          <w:u w:val="none"/>
          <w:lang w:val="zh-CN"/>
        </w:rPr>
        <w:t>权属明确、界址明显范围内的用地面积扣除建筑物占地后余下的土地。</w:t>
      </w:r>
    </w:p>
    <w:p w14:paraId="2B3A42F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w:t>
      </w:r>
      <w:r>
        <w:rPr>
          <w:rFonts w:hint="eastAsia" w:ascii="仿宋_GB2312" w:eastAsia="仿宋_GB2312"/>
          <w:color w:val="auto"/>
          <w:sz w:val="32"/>
          <w:szCs w:val="32"/>
          <w:highlight w:val="none"/>
          <w:u w:val="none"/>
          <w:lang w:val="zh-CN" w:eastAsia="zh-CN"/>
        </w:rPr>
        <w:t>产权调换补偿方式</w:t>
      </w:r>
      <w:r>
        <w:rPr>
          <w:rFonts w:hint="eastAsia" w:ascii="仿宋_GB2312" w:eastAsia="仿宋_GB2312"/>
          <w:color w:val="auto"/>
          <w:sz w:val="32"/>
          <w:szCs w:val="32"/>
          <w:highlight w:val="none"/>
          <w:u w:val="none"/>
          <w:lang w:val="zh-CN"/>
        </w:rPr>
        <w:t>安置</w:t>
      </w:r>
      <w:r>
        <w:rPr>
          <w:rFonts w:hint="eastAsia" w:ascii="仿宋_GB2312" w:eastAsia="仿宋_GB2312"/>
          <w:color w:val="auto"/>
          <w:sz w:val="32"/>
          <w:szCs w:val="32"/>
          <w:highlight w:val="none"/>
          <w:u w:val="none"/>
          <w:lang w:val="zh-CN" w:eastAsia="zh-CN"/>
        </w:rPr>
        <w:t>原则</w:t>
      </w:r>
      <w:r>
        <w:rPr>
          <w:rFonts w:hint="eastAsia" w:ascii="仿宋_GB2312" w:eastAsia="仿宋_GB2312"/>
          <w:color w:val="auto"/>
          <w:sz w:val="32"/>
          <w:szCs w:val="32"/>
          <w:highlight w:val="none"/>
          <w:u w:val="none"/>
          <w:lang w:val="zh-CN"/>
        </w:rPr>
        <w:t>。住宅按照“等面积调换、差价互补、严控扩购、就近安置”的原则，采取“先签约、先</w:t>
      </w:r>
      <w:r>
        <w:rPr>
          <w:rFonts w:hint="eastAsia" w:ascii="仿宋_GB2312" w:eastAsia="仿宋_GB2312"/>
          <w:color w:val="auto"/>
          <w:sz w:val="32"/>
          <w:szCs w:val="32"/>
          <w:highlight w:val="none"/>
          <w:u w:val="none"/>
          <w:lang w:val="zh-CN" w:eastAsia="zh-CN"/>
        </w:rPr>
        <w:t>封房</w:t>
      </w:r>
      <w:r>
        <w:rPr>
          <w:rFonts w:hint="eastAsia" w:ascii="仿宋_GB2312" w:eastAsia="仿宋_GB2312"/>
          <w:color w:val="auto"/>
          <w:sz w:val="32"/>
          <w:szCs w:val="32"/>
          <w:highlight w:val="none"/>
          <w:u w:val="none"/>
          <w:lang w:val="zh-CN"/>
        </w:rPr>
        <w:t>、先选房”的办法，在相应安置区内按选房顺序号进行选房，</w:t>
      </w:r>
      <w:r>
        <w:rPr>
          <w:rFonts w:hint="eastAsia" w:ascii="仿宋_GB2312" w:eastAsia="仿宋_GB2312"/>
          <w:color w:val="auto"/>
          <w:sz w:val="32"/>
          <w:szCs w:val="32"/>
          <w:highlight w:val="none"/>
          <w:u w:val="none"/>
          <w:lang w:val="zh-CN" w:eastAsia="zh-CN"/>
        </w:rPr>
        <w:t>安置房朝向、楼层不做价格</w:t>
      </w:r>
      <w:r>
        <w:rPr>
          <w:rFonts w:hint="eastAsia" w:ascii="仿宋_GB2312" w:eastAsia="仿宋_GB2312"/>
          <w:color w:val="auto"/>
          <w:sz w:val="32"/>
          <w:szCs w:val="32"/>
          <w:highlight w:val="none"/>
          <w:u w:val="none"/>
          <w:shd w:val="clear" w:fill="FFFFFF"/>
          <w:lang w:val="zh-CN" w:eastAsia="zh-CN"/>
        </w:rPr>
        <w:t>调差</w:t>
      </w:r>
      <w:r>
        <w:rPr>
          <w:rFonts w:hint="eastAsia" w:ascii="仿宋_GB2312" w:eastAsia="仿宋_GB2312"/>
          <w:color w:val="auto"/>
          <w:sz w:val="32"/>
          <w:szCs w:val="32"/>
          <w:highlight w:val="none"/>
          <w:u w:val="none"/>
          <w:lang w:val="zh-CN"/>
        </w:rPr>
        <w:t>具体详见选房细则。</w:t>
      </w:r>
    </w:p>
    <w:p w14:paraId="40127C49">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）根据本区域房屋的结构状况，将房屋结构划归为</w:t>
      </w:r>
      <w:r>
        <w:rPr>
          <w:rFonts w:hint="eastAsia" w:ascii="仿宋_GB2312" w:eastAsia="仿宋_GB2312"/>
          <w:color w:val="auto"/>
          <w:sz w:val="32"/>
          <w:szCs w:val="32"/>
          <w:highlight w:val="none"/>
          <w:u w:val="none"/>
          <w:lang w:val="zh-CN" w:eastAsia="zh-CN"/>
        </w:rPr>
        <w:t>8</w:t>
      </w:r>
      <w:r>
        <w:rPr>
          <w:rFonts w:hint="eastAsia" w:ascii="仿宋_GB2312" w:eastAsia="仿宋_GB2312"/>
          <w:color w:val="auto"/>
          <w:sz w:val="32"/>
          <w:szCs w:val="32"/>
          <w:highlight w:val="none"/>
          <w:u w:val="none"/>
          <w:lang w:val="zh-CN"/>
        </w:rPr>
        <w:t>类</w:t>
      </w:r>
      <w:r>
        <w:rPr>
          <w:rFonts w:hint="eastAsia" w:ascii="仿宋_GB2312" w:eastAsia="仿宋_GB2312"/>
          <w:color w:val="auto"/>
          <w:sz w:val="32"/>
          <w:szCs w:val="32"/>
          <w:highlight w:val="none"/>
          <w:u w:val="none"/>
          <w:lang w:val="zh-CN" w:eastAsia="zh-CN"/>
        </w:rPr>
        <w:t>22</w:t>
      </w:r>
      <w:r>
        <w:rPr>
          <w:rFonts w:hint="eastAsia" w:ascii="仿宋_GB2312" w:eastAsia="仿宋_GB2312"/>
          <w:color w:val="auto"/>
          <w:sz w:val="32"/>
          <w:szCs w:val="32"/>
          <w:highlight w:val="none"/>
          <w:u w:val="none"/>
          <w:lang w:val="zh-CN"/>
        </w:rPr>
        <w:t>等，其重置价标准详见附</w:t>
      </w:r>
      <w:r>
        <w:rPr>
          <w:rFonts w:hint="eastAsia" w:ascii="仿宋_GB2312" w:eastAsia="仿宋_GB2312"/>
          <w:color w:val="auto"/>
          <w:sz w:val="32"/>
          <w:szCs w:val="32"/>
          <w:highlight w:val="none"/>
          <w:u w:val="none"/>
          <w:lang w:val="zh-CN" w:eastAsia="zh-CN"/>
        </w:rPr>
        <w:t>表一</w:t>
      </w:r>
      <w:r>
        <w:rPr>
          <w:rFonts w:hint="eastAsia" w:ascii="仿宋_GB2312" w:eastAsia="仿宋_GB2312"/>
          <w:color w:val="auto"/>
          <w:sz w:val="32"/>
          <w:szCs w:val="32"/>
          <w:highlight w:val="none"/>
          <w:u w:val="none"/>
          <w:lang w:val="zh-CN"/>
        </w:rPr>
        <w:t>。</w:t>
      </w:r>
    </w:p>
    <w:p w14:paraId="2A34C783">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根据原城乡建设</w:t>
      </w:r>
      <w:r>
        <w:rPr>
          <w:rFonts w:hint="eastAsia" w:ascii="仿宋_GB2312" w:eastAsia="仿宋_GB2312"/>
          <w:color w:val="auto"/>
          <w:sz w:val="32"/>
          <w:szCs w:val="32"/>
          <w:highlight w:val="none"/>
          <w:u w:val="none"/>
          <w:shd w:val="clear" w:fill="FFFFFF"/>
          <w:lang w:val="zh-CN"/>
        </w:rPr>
        <w:t>环境保护部</w:t>
      </w:r>
      <w:r>
        <w:rPr>
          <w:rFonts w:hint="eastAsia" w:ascii="仿宋_GB2312" w:eastAsia="仿宋_GB2312"/>
          <w:color w:val="auto"/>
          <w:sz w:val="32"/>
          <w:szCs w:val="32"/>
          <w:highlight w:val="none"/>
          <w:u w:val="none"/>
          <w:lang w:val="zh-CN"/>
        </w:rPr>
        <w:t>发布的《房屋完损等级评定标准》，结合被征收房屋的残值后，制定出不同完损等级房屋的成新标准，具体详见附</w:t>
      </w:r>
      <w:r>
        <w:rPr>
          <w:rFonts w:hint="eastAsia" w:ascii="仿宋_GB2312" w:eastAsia="仿宋_GB2312"/>
          <w:color w:val="auto"/>
          <w:sz w:val="32"/>
          <w:szCs w:val="32"/>
          <w:highlight w:val="none"/>
          <w:u w:val="none"/>
          <w:lang w:val="zh-CN" w:eastAsia="zh-CN"/>
        </w:rPr>
        <w:t>表二</w:t>
      </w:r>
      <w:r>
        <w:rPr>
          <w:rFonts w:hint="eastAsia" w:ascii="仿宋_GB2312" w:eastAsia="仿宋_GB2312"/>
          <w:color w:val="auto"/>
          <w:sz w:val="32"/>
          <w:szCs w:val="32"/>
          <w:highlight w:val="none"/>
          <w:u w:val="none"/>
          <w:lang w:val="zh-CN"/>
        </w:rPr>
        <w:t>。</w:t>
      </w:r>
    </w:p>
    <w:p w14:paraId="66666CA8">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装修价值按附表</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补偿标准进行补偿（按实际装修面积计算），并视装修新旧程度按</w:t>
      </w:r>
      <w:r>
        <w:rPr>
          <w:rFonts w:hint="eastAsia" w:ascii="仿宋_GB2312" w:eastAsia="仿宋_GB2312"/>
          <w:color w:val="auto"/>
          <w:sz w:val="32"/>
          <w:szCs w:val="32"/>
          <w:highlight w:val="none"/>
          <w:u w:val="none"/>
          <w:lang w:val="zh-CN" w:eastAsia="zh-CN"/>
        </w:rPr>
        <w:t>附表四</w:t>
      </w:r>
      <w:r>
        <w:rPr>
          <w:rFonts w:hint="eastAsia" w:ascii="仿宋_GB2312" w:eastAsia="仿宋_GB2312"/>
          <w:color w:val="auto"/>
          <w:sz w:val="32"/>
          <w:szCs w:val="32"/>
          <w:highlight w:val="none"/>
          <w:u w:val="none"/>
          <w:lang w:val="zh-CN"/>
        </w:rPr>
        <w:t>折旧率计价。</w:t>
      </w:r>
    </w:p>
    <w:p w14:paraId="2FA120DB">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）被征收房屋属于以下情形的只作产权调换，不作货币补偿：</w:t>
      </w:r>
    </w:p>
    <w:p w14:paraId="6A928259">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、被征收私有房屋的共有人对安置方式的选择达不成一致意见的；</w:t>
      </w:r>
    </w:p>
    <w:p w14:paraId="5BFA520F">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、被征收房屋产权有纠纷、权属不清或产权人下落不明的；</w:t>
      </w:r>
    </w:p>
    <w:p w14:paraId="564FC738">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rPr>
        <w:t>、被征收房屋设有抵押权的，抵押权人和抵押人未重新设立抵押权或抵押人未清偿债务的。</w:t>
      </w:r>
    </w:p>
    <w:p w14:paraId="1E952ACA">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4、被征收房屋被法院查封的。</w:t>
      </w:r>
    </w:p>
    <w:p w14:paraId="3E2D41A1">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（六）补偿安置及签约程序</w:t>
      </w:r>
    </w:p>
    <w:p w14:paraId="7FB1A45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1、征收人与被征收人</w:t>
      </w:r>
      <w:r>
        <w:rPr>
          <w:rFonts w:hint="eastAsia" w:ascii="仿宋_GB2312" w:eastAsia="仿宋_GB2312"/>
          <w:color w:val="auto"/>
          <w:sz w:val="32"/>
          <w:szCs w:val="32"/>
          <w:highlight w:val="none"/>
          <w:u w:val="none"/>
          <w:shd w:val="clear" w:fill="FFFFFF"/>
          <w:lang w:val="zh-CN"/>
        </w:rPr>
        <w:t>签定</w:t>
      </w:r>
      <w:r>
        <w:rPr>
          <w:rFonts w:hint="eastAsia" w:ascii="仿宋_GB2312" w:eastAsia="仿宋_GB2312"/>
          <w:color w:val="auto"/>
          <w:sz w:val="32"/>
          <w:szCs w:val="32"/>
          <w:highlight w:val="none"/>
          <w:u w:val="none"/>
          <w:lang w:val="zh-CN"/>
        </w:rPr>
        <w:t>房屋征收补偿安置协议书，内容含：认定补偿安置建筑、土地面积，认定不予补偿安置建筑、土地面积，认定补偿安置中选择货币补偿和产权调换的具体面积。</w:t>
      </w:r>
    </w:p>
    <w:p w14:paraId="36A052E5">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选择产权调换或享受照顾购买的</w:t>
      </w:r>
      <w:r>
        <w:rPr>
          <w:rFonts w:hint="eastAsia" w:ascii="仿宋_GB2312" w:eastAsia="仿宋_GB2312"/>
          <w:color w:val="auto"/>
          <w:sz w:val="32"/>
          <w:szCs w:val="32"/>
          <w:highlight w:val="none"/>
          <w:u w:val="none"/>
          <w:lang w:val="zh-CN"/>
        </w:rPr>
        <w:t>被征收人进行安置房选择</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eastAsia="zh-CN"/>
        </w:rPr>
        <w:t>详</w:t>
      </w:r>
      <w:r>
        <w:rPr>
          <w:rFonts w:hint="eastAsia" w:ascii="仿宋_GB2312" w:eastAsia="仿宋_GB2312"/>
          <w:color w:val="auto"/>
          <w:sz w:val="32"/>
          <w:szCs w:val="32"/>
          <w:highlight w:val="none"/>
          <w:u w:val="none"/>
          <w:lang w:val="zh-CN" w:eastAsia="zh-CN"/>
        </w:rPr>
        <w:t>安置房选房细则）</w:t>
      </w:r>
      <w:r>
        <w:rPr>
          <w:rFonts w:hint="eastAsia" w:ascii="仿宋_GB2312" w:eastAsia="仿宋_GB2312"/>
          <w:color w:val="auto"/>
          <w:sz w:val="32"/>
          <w:szCs w:val="32"/>
          <w:highlight w:val="none"/>
          <w:u w:val="none"/>
          <w:lang w:val="zh-CN"/>
        </w:rPr>
        <w:t>。</w:t>
      </w:r>
    </w:p>
    <w:p w14:paraId="3B193D0F">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3、征收人作出房屋征收补偿结果计算表，如选择安置房面积与《房屋征收补偿协议书》有出入，则由征收人与被征收人</w:t>
      </w:r>
      <w:r>
        <w:rPr>
          <w:rFonts w:hint="eastAsia" w:ascii="仿宋_GB2312" w:eastAsia="仿宋_GB2312"/>
          <w:color w:val="auto"/>
          <w:sz w:val="32"/>
          <w:szCs w:val="32"/>
          <w:highlight w:val="none"/>
          <w:u w:val="none"/>
          <w:shd w:val="clear" w:fill="FFFFFF"/>
          <w:lang w:val="zh-CN"/>
        </w:rPr>
        <w:t>签定</w:t>
      </w:r>
      <w:r>
        <w:rPr>
          <w:rFonts w:hint="eastAsia" w:ascii="仿宋_GB2312" w:eastAsia="仿宋_GB2312"/>
          <w:color w:val="auto"/>
          <w:sz w:val="32"/>
          <w:szCs w:val="32"/>
          <w:highlight w:val="none"/>
          <w:u w:val="none"/>
          <w:lang w:val="zh-CN"/>
        </w:rPr>
        <w:t>房屋征收补偿安置补充协议书，予以明确。</w:t>
      </w:r>
    </w:p>
    <w:p w14:paraId="35A8DA8F">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五、面积计算</w:t>
      </w:r>
    </w:p>
    <w:p w14:paraId="05A27D6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有权证的土地、房屋面积按权证确权的计算，无权证的土地、房屋面积按现状实地测量计算，选房时安置房面积按图纸测算，交房时按产权登记面积结算。面积测量由征收实施单位委托具有房地产测绘资质的测量单位，依据国家、省、市现行房地产测绘技术规范测量。</w:t>
      </w:r>
    </w:p>
    <w:p w14:paraId="293E45CD">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六、补偿结算</w:t>
      </w:r>
    </w:p>
    <w:p w14:paraId="490A875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（一）选择货币补偿的，在被征收人签订协议并封房</w:t>
      </w:r>
      <w:r>
        <w:rPr>
          <w:rFonts w:hint="eastAsia" w:ascii="仿宋_GB2312" w:eastAsia="仿宋_GB2312"/>
          <w:color w:val="auto"/>
          <w:sz w:val="32"/>
          <w:szCs w:val="32"/>
          <w:highlight w:val="none"/>
          <w:u w:val="none"/>
          <w:lang w:val="zh-CN" w:eastAsia="zh-CN"/>
        </w:rPr>
        <w:t>交拆后</w:t>
      </w:r>
      <w:r>
        <w:rPr>
          <w:rFonts w:hint="eastAsia" w:ascii="仿宋_GB2312" w:eastAsia="仿宋_GB2312"/>
          <w:color w:val="auto"/>
          <w:sz w:val="32"/>
          <w:szCs w:val="32"/>
          <w:highlight w:val="none"/>
          <w:u w:val="none"/>
          <w:lang w:val="zh-CN"/>
        </w:rPr>
        <w:t>，由征收人在10个工作日内一次性付清补偿款；</w:t>
      </w:r>
    </w:p>
    <w:p w14:paraId="03FCE30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（二）全部选择产权调换的，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17004A35">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选</w:t>
      </w:r>
      <w:r>
        <w:rPr>
          <w:rFonts w:hint="eastAsia" w:ascii="仿宋_GB2312" w:eastAsia="仿宋_GB2312"/>
          <w:color w:val="auto"/>
          <w:sz w:val="32"/>
          <w:szCs w:val="32"/>
          <w:highlight w:val="none"/>
          <w:u w:val="none"/>
          <w:lang w:val="zh-CN"/>
        </w:rPr>
        <w:t>房时结算的款项</w:t>
      </w:r>
    </w:p>
    <w:p w14:paraId="78D95EC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4AE357F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55EDBA0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4DBCCA78">
      <w:pPr>
        <w:pStyle w:val="2"/>
        <w:shd w:val="clear" w:color="auto" w:fill="auto"/>
        <w:spacing w:after="0" w:line="600" w:lineRule="exact"/>
        <w:ind w:firstLine="467" w:firstLineChars="146"/>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)二次装修补偿款</w:t>
      </w:r>
    </w:p>
    <w:p w14:paraId="6582F40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自行</w:t>
      </w:r>
      <w:r>
        <w:rPr>
          <w:rFonts w:hint="eastAsia" w:ascii="仿宋_GB2312" w:eastAsia="仿宋_GB2312"/>
          <w:color w:val="auto"/>
          <w:sz w:val="32"/>
          <w:szCs w:val="32"/>
          <w:highlight w:val="none"/>
          <w:u w:val="none"/>
          <w:lang w:val="zh-CN"/>
        </w:rPr>
        <w:t>签约交拆奖励金</w:t>
      </w:r>
    </w:p>
    <w:p w14:paraId="2640B22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)自行过渡奖励金</w:t>
      </w:r>
    </w:p>
    <w:p w14:paraId="6BAA9BA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shd w:val="clear" w:fill="FFFFFF"/>
          <w:lang w:val="zh-CN" w:eastAsia="zh-CN"/>
        </w:rPr>
        <w:t>埕地</w:t>
      </w:r>
      <w:r>
        <w:rPr>
          <w:rFonts w:hint="eastAsia" w:ascii="仿宋_GB2312" w:eastAsia="仿宋_GB2312"/>
          <w:color w:val="auto"/>
          <w:sz w:val="32"/>
          <w:szCs w:val="32"/>
          <w:highlight w:val="none"/>
          <w:u w:val="none"/>
          <w:lang w:val="zh-CN" w:eastAsia="zh-CN"/>
        </w:rPr>
        <w:t>、空地及奖励）</w:t>
      </w:r>
      <w:r>
        <w:rPr>
          <w:rFonts w:hint="eastAsia" w:ascii="仿宋_GB2312" w:eastAsia="仿宋_GB2312"/>
          <w:color w:val="auto"/>
          <w:sz w:val="32"/>
          <w:szCs w:val="32"/>
          <w:highlight w:val="none"/>
          <w:u w:val="none"/>
          <w:lang w:val="zh-CN"/>
        </w:rPr>
        <w:t>补偿款</w:t>
      </w:r>
    </w:p>
    <w:p w14:paraId="028A631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2785FA5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62563F7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)照顾购买面积应缴款</w:t>
      </w:r>
    </w:p>
    <w:p w14:paraId="40A9BE1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 xml:space="preserve">)等面积产权调换应补缴款     </w:t>
      </w:r>
    </w:p>
    <w:p w14:paraId="4F8D5EF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)选房时面积误差产生的款（面积限制原则按十一、</w:t>
      </w:r>
      <w:r>
        <w:rPr>
          <w:rFonts w:hint="eastAsia" w:ascii="仿宋_GB2312" w:eastAsia="仿宋_GB2312"/>
          <w:color w:val="auto"/>
          <w:sz w:val="32"/>
          <w:szCs w:val="32"/>
          <w:highlight w:val="none"/>
          <w:u w:val="none"/>
          <w:shd w:val="clear" w:fill="FFFFFF"/>
          <w:lang w:val="zh-CN"/>
        </w:rPr>
        <w:t>（三）、</w:t>
      </w:r>
      <w:r>
        <w:rPr>
          <w:rFonts w:hint="eastAsia" w:ascii="仿宋_GB2312" w:eastAsia="仿宋_GB2312"/>
          <w:color w:val="auto"/>
          <w:sz w:val="32"/>
          <w:szCs w:val="32"/>
          <w:highlight w:val="none"/>
          <w:u w:val="none"/>
          <w:lang w:val="en-US" w:eastAsia="zh-CN"/>
        </w:rPr>
        <w:t>3执行</w:t>
      </w:r>
      <w:r>
        <w:rPr>
          <w:rFonts w:hint="eastAsia" w:ascii="仿宋_GB2312" w:eastAsia="仿宋_GB2312"/>
          <w:color w:val="auto"/>
          <w:sz w:val="32"/>
          <w:szCs w:val="32"/>
          <w:highlight w:val="none"/>
          <w:u w:val="none"/>
          <w:lang w:val="zh-CN"/>
        </w:rPr>
        <w:t>）</w:t>
      </w:r>
    </w:p>
    <w:p w14:paraId="05D0EA3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2A2AC07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住宅改经营性用房补助款</w:t>
      </w:r>
    </w:p>
    <w:p w14:paraId="6D5E6BB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shd w:val="clear" w:fill="FFFFFF"/>
          <w:lang w:val="en-US" w:eastAsia="zh-CN"/>
        </w:rPr>
        <w:t>11</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7E901F5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交房时面积误差产生的款</w:t>
      </w:r>
    </w:p>
    <w:p w14:paraId="22B9C3B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（三）部分产权调换与部分货币补偿相结合的，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1356F49B">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1、选房时结算的款项</w:t>
      </w:r>
    </w:p>
    <w:p w14:paraId="55F4717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5710EE8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676ABD6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2B6AE3E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认定补偿安置面积选择货币补偿部分房屋全部补偿款</w:t>
      </w:r>
    </w:p>
    <w:p w14:paraId="77D48AC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shd w:val="clear" w:fill="FFFFFF"/>
          <w:lang w:val="zh-CN" w:eastAsia="zh-CN"/>
        </w:rPr>
        <w:t>埕地</w:t>
      </w:r>
      <w:r>
        <w:rPr>
          <w:rFonts w:hint="eastAsia" w:ascii="仿宋_GB2312" w:eastAsia="仿宋_GB2312"/>
          <w:color w:val="auto"/>
          <w:sz w:val="32"/>
          <w:szCs w:val="32"/>
          <w:highlight w:val="none"/>
          <w:u w:val="none"/>
          <w:lang w:val="zh-CN" w:eastAsia="zh-CN"/>
        </w:rPr>
        <w:t>、空地及奖励）</w:t>
      </w:r>
      <w:r>
        <w:rPr>
          <w:rFonts w:hint="eastAsia" w:ascii="仿宋_GB2312" w:eastAsia="仿宋_GB2312"/>
          <w:color w:val="auto"/>
          <w:sz w:val="32"/>
          <w:szCs w:val="32"/>
          <w:highlight w:val="none"/>
          <w:u w:val="none"/>
          <w:lang w:val="zh-CN"/>
        </w:rPr>
        <w:t>补偿款</w:t>
      </w:r>
    </w:p>
    <w:p w14:paraId="26AB831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二次装修补偿款</w:t>
      </w:r>
    </w:p>
    <w:p w14:paraId="14DE16E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按时签约封房奖励金</w:t>
      </w:r>
    </w:p>
    <w:p w14:paraId="0CE5704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)自行过渡奖励金</w:t>
      </w:r>
    </w:p>
    <w:p w14:paraId="35D01DA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3F03ABD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15F0B67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)照顾购买面积应缴款</w:t>
      </w:r>
    </w:p>
    <w:p w14:paraId="0A2D212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 xml:space="preserve">)等面积产权调换部分应补缴款 </w:t>
      </w:r>
    </w:p>
    <w:p w14:paraId="6D66F51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选房时面积误差产生的款 （面积限制原则按十一、</w:t>
      </w:r>
      <w:r>
        <w:rPr>
          <w:rFonts w:hint="eastAsia" w:ascii="仿宋_GB2312" w:eastAsia="仿宋_GB2312"/>
          <w:color w:val="auto"/>
          <w:sz w:val="32"/>
          <w:szCs w:val="32"/>
          <w:highlight w:val="none"/>
          <w:u w:val="none"/>
          <w:shd w:val="clear" w:fill="FFFFFF"/>
          <w:lang w:val="zh-CN" w:eastAsia="zh-CN"/>
        </w:rPr>
        <w:t>（三）、</w:t>
      </w:r>
      <w:r>
        <w:rPr>
          <w:rFonts w:hint="eastAsia" w:ascii="仿宋_GB2312" w:eastAsia="仿宋_GB2312"/>
          <w:color w:val="auto"/>
          <w:sz w:val="32"/>
          <w:szCs w:val="32"/>
          <w:highlight w:val="none"/>
          <w:u w:val="none"/>
          <w:lang w:val="zh-CN" w:eastAsia="zh-CN"/>
        </w:rPr>
        <w:t>3执行）</w:t>
      </w:r>
    </w:p>
    <w:p w14:paraId="4413551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5C90692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15</w:t>
      </w:r>
      <w:r>
        <w:rPr>
          <w:rFonts w:hint="eastAsia" w:ascii="仿宋_GB2312" w:eastAsia="仿宋_GB2312"/>
          <w:color w:val="auto"/>
          <w:sz w:val="32"/>
          <w:szCs w:val="32"/>
          <w:highlight w:val="none"/>
          <w:u w:val="none"/>
          <w:lang w:val="zh-CN"/>
        </w:rPr>
        <w:t>)住宅改经营性用房补助款</w:t>
      </w:r>
    </w:p>
    <w:p w14:paraId="7C083A16">
      <w:pPr>
        <w:pStyle w:val="2"/>
        <w:shd w:val="clear" w:color="auto" w:fill="auto"/>
        <w:spacing w:after="0" w:line="600" w:lineRule="exact"/>
        <w:ind w:firstLine="640" w:firstLineChars="200"/>
        <w:jc w:val="left"/>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shd w:val="clear" w:fill="FFFFFF"/>
          <w:lang w:val="en-US" w:eastAsia="zh-CN"/>
        </w:rPr>
        <w:t>12</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7DCDC201">
      <w:pPr>
        <w:pStyle w:val="2"/>
        <w:shd w:val="clear" w:color="auto" w:fill="auto"/>
        <w:spacing w:after="0" w:line="600" w:lineRule="exact"/>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：交房时面积误差产生的款</w:t>
      </w:r>
    </w:p>
    <w:p w14:paraId="00E234A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选房时面积误差产生结算款项，在正式签约前结清；交房时面积误差产生的款项交房前结清。</w:t>
      </w:r>
    </w:p>
    <w:p w14:paraId="4DA1772D">
      <w:pPr>
        <w:pStyle w:val="13"/>
        <w:shd w:val="clear" w:color="auto" w:fill="auto"/>
        <w:spacing w:line="600" w:lineRule="exact"/>
        <w:jc w:val="center"/>
        <w:rPr>
          <w:rFonts w:hint="eastAsia" w:ascii="仿宋_GB2312" w:eastAsia="仿宋_GB2312"/>
          <w:color w:val="auto"/>
          <w:sz w:val="32"/>
          <w:szCs w:val="32"/>
          <w:highlight w:val="none"/>
          <w:u w:val="none"/>
          <w:lang w:val="zh-CN"/>
        </w:rPr>
      </w:pPr>
    </w:p>
    <w:p w14:paraId="00F8CCDC">
      <w:pPr>
        <w:pStyle w:val="13"/>
        <w:shd w:val="clear" w:color="auto" w:fill="auto"/>
        <w:spacing w:line="600" w:lineRule="exact"/>
        <w:jc w:val="center"/>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第二部分  手续认定</w:t>
      </w:r>
    </w:p>
    <w:p w14:paraId="1F84743B">
      <w:pPr>
        <w:pStyle w:val="13"/>
        <w:shd w:val="clear" w:color="auto" w:fill="auto"/>
        <w:spacing w:line="600" w:lineRule="exact"/>
        <w:ind w:firstLine="803" w:firstLineChars="250"/>
        <w:jc w:val="both"/>
        <w:rPr>
          <w:rFonts w:hint="eastAsia" w:ascii="仿宋_GB2312" w:eastAsia="仿宋_GB2312"/>
          <w:color w:val="auto"/>
          <w:sz w:val="32"/>
          <w:szCs w:val="32"/>
          <w:highlight w:val="none"/>
          <w:u w:val="none"/>
          <w:lang w:val="zh-CN" w:eastAsia="zh-CN"/>
        </w:rPr>
      </w:pPr>
    </w:p>
    <w:p w14:paraId="399FD904">
      <w:pPr>
        <w:pStyle w:val="13"/>
        <w:shd w:val="clear" w:color="auto" w:fill="auto"/>
        <w:spacing w:line="600" w:lineRule="exact"/>
        <w:ind w:firstLine="643"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七</w:t>
      </w:r>
      <w:r>
        <w:rPr>
          <w:rFonts w:hint="eastAsia" w:ascii="仿宋_GB2312" w:eastAsia="仿宋_GB2312"/>
          <w:color w:val="auto"/>
          <w:sz w:val="32"/>
          <w:szCs w:val="32"/>
          <w:highlight w:val="none"/>
          <w:u w:val="none"/>
          <w:lang w:val="zh-CN"/>
        </w:rPr>
        <w:t>、手续完整</w:t>
      </w:r>
    </w:p>
    <w:p w14:paraId="4D2C4817">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i w:val="0"/>
          <w:iCs w:val="0"/>
          <w:color w:val="auto"/>
          <w:kern w:val="0"/>
          <w:sz w:val="32"/>
          <w:szCs w:val="32"/>
          <w:highlight w:val="none"/>
          <w:u w:val="none"/>
          <w:lang w:val="zh-CN"/>
        </w:rPr>
        <w:t>持有有权机关颁发的《土地使用证》及《房屋所有权证》的，持有镇街及以上人民政府审批的《用地申请表》或《用地通知书》及《建筑许可证》或《建设工程规划许可证》的，</w:t>
      </w:r>
      <w:r>
        <w:rPr>
          <w:rFonts w:hint="eastAsia" w:ascii="仿宋_GB2312" w:eastAsia="仿宋_GB2312"/>
          <w:color w:val="auto"/>
          <w:kern w:val="0"/>
          <w:sz w:val="32"/>
          <w:szCs w:val="32"/>
          <w:highlight w:val="none"/>
          <w:u w:val="none"/>
          <w:lang w:val="zh-CN"/>
        </w:rPr>
        <w:t>为土地、房屋手续完整，按权证登记的</w:t>
      </w:r>
      <w:r>
        <w:rPr>
          <w:rFonts w:hint="eastAsia" w:ascii="仿宋_GB2312" w:eastAsia="仿宋_GB2312"/>
          <w:color w:val="auto"/>
          <w:sz w:val="32"/>
          <w:szCs w:val="32"/>
          <w:highlight w:val="none"/>
          <w:u w:val="none"/>
          <w:lang w:val="zh-CN"/>
        </w:rPr>
        <w:t>房屋占地及建筑面积的</w:t>
      </w:r>
      <w:r>
        <w:rPr>
          <w:rFonts w:hint="eastAsia" w:ascii="仿宋_GB2312" w:eastAsia="仿宋_GB2312"/>
          <w:color w:val="auto"/>
          <w:kern w:val="0"/>
          <w:sz w:val="32"/>
          <w:szCs w:val="32"/>
          <w:highlight w:val="none"/>
          <w:u w:val="none"/>
          <w:lang w:val="zh-CN"/>
        </w:rPr>
        <w:t>100%认定补偿安置面积。</w:t>
      </w:r>
    </w:p>
    <w:p w14:paraId="593BDE75">
      <w:pPr>
        <w:pStyle w:val="13"/>
        <w:shd w:val="clear" w:color="auto" w:fill="auto"/>
        <w:spacing w:line="600" w:lineRule="exact"/>
        <w:ind w:firstLine="643"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八、手续不完整</w:t>
      </w:r>
    </w:p>
    <w:p w14:paraId="530DA927">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下列情形属于手续不完整，被征收人在规定签约期限内签订协议并封房的，按下列规定认定补偿安置面积：</w:t>
      </w:r>
    </w:p>
    <w:p w14:paraId="02AEBBF2">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（一）对年代久远的老房屋（</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日前已建成），未经权属登记且确系本人居住使用，房屋使用人能提供建房证明等有关材料的，按房屋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100%</w:t>
      </w:r>
      <w:r>
        <w:rPr>
          <w:rFonts w:hint="eastAsia" w:ascii="仿宋_GB2312" w:eastAsia="仿宋_GB2312"/>
          <w:color w:val="auto"/>
          <w:sz w:val="32"/>
          <w:szCs w:val="32"/>
          <w:highlight w:val="none"/>
          <w:u w:val="none"/>
          <w:lang w:val="zh-CN"/>
        </w:rPr>
        <w:t>予以认定补偿安置面积</w:t>
      </w:r>
      <w:r>
        <w:rPr>
          <w:rFonts w:hint="eastAsia" w:ascii="仿宋_GB2312" w:eastAsia="仿宋_GB2312"/>
          <w:color w:val="auto"/>
          <w:sz w:val="32"/>
          <w:szCs w:val="32"/>
          <w:highlight w:val="none"/>
          <w:u w:val="none"/>
          <w:lang w:val="zh-CN" w:eastAsia="zh-CN"/>
        </w:rPr>
        <w:t>；天井及其房前进深不超过3</w:t>
      </w:r>
      <w:r>
        <w:rPr>
          <w:rFonts w:hint="eastAsia" w:ascii="仿宋_GB2312" w:eastAsia="仿宋_GB2312"/>
          <w:color w:val="auto"/>
          <w:sz w:val="32"/>
          <w:szCs w:val="32"/>
          <w:highlight w:val="none"/>
          <w:u w:val="none"/>
          <w:lang w:val="zh-CN"/>
        </w:rPr>
        <w:t>m</w:t>
      </w:r>
      <w:r>
        <w:rPr>
          <w:rFonts w:hint="eastAsia" w:ascii="仿宋_GB2312" w:eastAsia="仿宋_GB2312"/>
          <w:color w:val="auto"/>
          <w:sz w:val="32"/>
          <w:szCs w:val="32"/>
          <w:highlight w:val="none"/>
          <w:u w:val="none"/>
          <w:lang w:val="zh-CN" w:eastAsia="zh-CN"/>
        </w:rPr>
        <w:t>范围等面宽的埕地、空地按确权划拨土地认定补偿。</w:t>
      </w:r>
    </w:p>
    <w:p w14:paraId="4C6CF25B">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中华人民共和国土地管理法》实施以后，持有“两证”（《土地使用证》和《房屋所有权证》）之一的。持有镇街及以上人民政府审批的《用地申请表》或《用地通知书》和《建筑许可证》或《建设工程规划许可证》之一的，手续不完整的建房户，按权证（或表格、通知书）登记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95%</w:t>
      </w:r>
      <w:r>
        <w:rPr>
          <w:rFonts w:hint="eastAsia" w:ascii="仿宋_GB2312" w:eastAsia="仿宋_GB2312"/>
          <w:color w:val="auto"/>
          <w:sz w:val="32"/>
          <w:szCs w:val="32"/>
          <w:highlight w:val="none"/>
          <w:u w:val="none"/>
          <w:lang w:val="zh-CN"/>
        </w:rPr>
        <w:t>予以认定补偿安置面积。</w:t>
      </w:r>
    </w:p>
    <w:p w14:paraId="68EAA511">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经镇</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建房清理（持有有效凭证</w:t>
      </w:r>
      <w:r>
        <w:rPr>
          <w:rFonts w:hint="eastAsia" w:ascii="仿宋_GB2312" w:eastAsia="仿宋_GB2312"/>
          <w:color w:val="auto"/>
          <w:sz w:val="32"/>
          <w:szCs w:val="32"/>
          <w:highlight w:val="none"/>
          <w:u w:val="none"/>
          <w:shd w:val="clear" w:fill="FFFFFF"/>
          <w:lang w:val="zh-CN" w:eastAsia="zh-CN"/>
        </w:rPr>
        <w:t>、且</w:t>
      </w:r>
      <w:r>
        <w:rPr>
          <w:rFonts w:hint="eastAsia" w:ascii="仿宋_GB2312" w:eastAsia="仿宋_GB2312"/>
          <w:color w:val="auto"/>
          <w:sz w:val="32"/>
          <w:szCs w:val="32"/>
          <w:highlight w:val="none"/>
          <w:u w:val="none"/>
          <w:lang w:val="zh-CN" w:eastAsia="zh-CN"/>
        </w:rPr>
        <w:t>四至清楚、权属明确）的，</w:t>
      </w:r>
      <w:r>
        <w:rPr>
          <w:rFonts w:hint="eastAsia" w:ascii="仿宋_GB2312" w:eastAsia="仿宋_GB2312"/>
          <w:color w:val="auto"/>
          <w:sz w:val="32"/>
          <w:szCs w:val="32"/>
          <w:highlight w:val="none"/>
          <w:u w:val="none"/>
          <w:lang w:val="zh-CN"/>
        </w:rPr>
        <w:t>按清理的房屋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90%</w:t>
      </w:r>
      <w:r>
        <w:rPr>
          <w:rFonts w:hint="eastAsia" w:ascii="仿宋_GB2312" w:eastAsia="仿宋_GB2312"/>
          <w:color w:val="auto"/>
          <w:sz w:val="32"/>
          <w:szCs w:val="32"/>
          <w:highlight w:val="none"/>
          <w:u w:val="none"/>
          <w:lang w:val="zh-CN"/>
        </w:rPr>
        <w:t>予以认定补偿安置面积。</w:t>
      </w:r>
    </w:p>
    <w:p w14:paraId="551AFD38">
      <w:pPr>
        <w:pStyle w:val="2"/>
        <w:shd w:val="clear" w:color="auto" w:fill="auto"/>
        <w:spacing w:after="0" w:line="600" w:lineRule="exact"/>
        <w:ind w:firstLine="643" w:firstLineChars="200"/>
        <w:jc w:val="both"/>
        <w:rPr>
          <w:rFonts w:hint="eastAsia" w:ascii="仿宋_GB2312" w:eastAsia="仿宋_GB2312"/>
          <w:color w:val="auto"/>
          <w:sz w:val="32"/>
          <w:szCs w:val="32"/>
          <w:highlight w:val="none"/>
          <w:u w:val="none"/>
          <w:lang w:val="zh-CN"/>
        </w:rPr>
      </w:pPr>
      <w:r>
        <w:rPr>
          <w:rFonts w:hint="eastAsia" w:ascii="仿宋_GB2312" w:eastAsia="仿宋_GB2312"/>
          <w:b/>
          <w:color w:val="auto"/>
          <w:sz w:val="32"/>
          <w:szCs w:val="32"/>
          <w:highlight w:val="none"/>
          <w:u w:val="none"/>
          <w:lang w:val="zh-CN"/>
        </w:rPr>
        <w:t>（</w:t>
      </w:r>
      <w:r>
        <w:rPr>
          <w:rFonts w:hint="eastAsia" w:ascii="仿宋_GB2312" w:eastAsia="仿宋_GB2312"/>
          <w:color w:val="auto"/>
          <w:sz w:val="32"/>
          <w:szCs w:val="32"/>
          <w:highlight w:val="none"/>
          <w:u w:val="none"/>
          <w:lang w:val="zh-CN"/>
        </w:rPr>
        <w:t>四）原持有</w:t>
      </w:r>
      <w:r>
        <w:rPr>
          <w:rFonts w:hint="eastAsia" w:ascii="仿宋_GB2312" w:eastAsia="仿宋_GB2312"/>
          <w:color w:val="auto"/>
          <w:sz w:val="32"/>
          <w:szCs w:val="32"/>
          <w:highlight w:val="none"/>
          <w:u w:val="none"/>
          <w:lang w:val="zh-CN" w:eastAsia="zh-CN"/>
        </w:rPr>
        <w:t>“两证”</w:t>
      </w:r>
      <w:r>
        <w:rPr>
          <w:rFonts w:hint="eastAsia" w:ascii="仿宋_GB2312" w:eastAsia="仿宋_GB2312"/>
          <w:color w:val="auto"/>
          <w:sz w:val="32"/>
          <w:szCs w:val="32"/>
          <w:highlight w:val="none"/>
          <w:u w:val="none"/>
          <w:lang w:val="zh-CN"/>
        </w:rPr>
        <w:t>（《土地使用证》和《房屋所有权证》）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但未经审批擅自进行翻建、改建、扩建的，经村</w:t>
      </w:r>
      <w:r>
        <w:rPr>
          <w:rFonts w:hint="eastAsia" w:ascii="仿宋_GB2312" w:eastAsia="仿宋_GB2312"/>
          <w:color w:val="auto"/>
          <w:sz w:val="32"/>
          <w:szCs w:val="32"/>
          <w:highlight w:val="none"/>
          <w:u w:val="none"/>
          <w:lang w:val="zh-CN" w:eastAsia="zh-CN"/>
        </w:rPr>
        <w:t>（居）</w:t>
      </w:r>
      <w:r>
        <w:rPr>
          <w:rFonts w:hint="eastAsia" w:ascii="仿宋_GB2312" w:eastAsia="仿宋_GB2312"/>
          <w:color w:val="auto"/>
          <w:sz w:val="32"/>
          <w:szCs w:val="32"/>
          <w:highlight w:val="none"/>
          <w:u w:val="none"/>
          <w:lang w:val="zh-CN"/>
        </w:rPr>
        <w:t>和</w:t>
      </w:r>
      <w:r>
        <w:rPr>
          <w:rFonts w:hint="eastAsia" w:ascii="仿宋_GB2312" w:eastAsia="仿宋_GB2312"/>
          <w:color w:val="auto"/>
          <w:sz w:val="32"/>
          <w:szCs w:val="32"/>
          <w:highlight w:val="none"/>
          <w:u w:val="none"/>
          <w:lang w:val="zh-CN" w:eastAsia="zh-CN"/>
        </w:rPr>
        <w:t>镇（街）</w:t>
      </w:r>
      <w:r>
        <w:rPr>
          <w:rFonts w:hint="eastAsia" w:ascii="仿宋_GB2312" w:eastAsia="仿宋_GB2312"/>
          <w:color w:val="auto"/>
          <w:sz w:val="32"/>
          <w:szCs w:val="32"/>
          <w:highlight w:val="none"/>
          <w:u w:val="none"/>
          <w:lang w:val="zh-CN"/>
        </w:rPr>
        <w:t>确认后，在原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范围内的房屋占地及建筑面积按100%认定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，超出原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房屋占</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及建筑面积，</w:t>
      </w:r>
      <w:r>
        <w:rPr>
          <w:rFonts w:hint="eastAsia" w:ascii="仿宋_GB2312" w:eastAsia="仿宋_GB2312"/>
          <w:color w:val="auto"/>
          <w:sz w:val="32"/>
          <w:szCs w:val="32"/>
          <w:highlight w:val="none"/>
          <w:u w:val="none"/>
          <w:lang w:val="zh-CN"/>
        </w:rPr>
        <w:t>按本实施方案</w:t>
      </w:r>
      <w:r>
        <w:rPr>
          <w:rFonts w:hint="eastAsia" w:ascii="仿宋_GB2312" w:eastAsia="仿宋_GB2312"/>
          <w:color w:val="auto"/>
          <w:sz w:val="32"/>
          <w:szCs w:val="32"/>
          <w:highlight w:val="none"/>
          <w:u w:val="none"/>
          <w:lang w:val="zh-CN" w:eastAsia="zh-CN"/>
        </w:rPr>
        <w:t>“九、无手续”</w:t>
      </w:r>
      <w:r>
        <w:rPr>
          <w:rFonts w:hint="eastAsia" w:ascii="仿宋_GB2312" w:eastAsia="仿宋_GB2312"/>
          <w:color w:val="auto"/>
          <w:sz w:val="32"/>
          <w:szCs w:val="32"/>
          <w:highlight w:val="none"/>
          <w:u w:val="none"/>
          <w:lang w:val="zh-CN"/>
        </w:rPr>
        <w:t>的相关规定认定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w:t>
      </w:r>
    </w:p>
    <w:p w14:paraId="0FFD689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（五）在已审批、经镇（街）清理的以及未审批的土地搭建的建筑物上被认定为临时搭盖的</w:t>
      </w:r>
      <w:r>
        <w:rPr>
          <w:rFonts w:hint="eastAsia" w:ascii="仿宋_GB2312" w:eastAsia="仿宋_GB2312"/>
          <w:color w:val="auto"/>
          <w:sz w:val="32"/>
          <w:szCs w:val="32"/>
          <w:highlight w:val="none"/>
          <w:u w:val="none"/>
          <w:lang w:val="en-US" w:eastAsia="zh-CN"/>
        </w:rPr>
        <w:t>(指2016年4月1日前建成的）</w:t>
      </w:r>
      <w:r>
        <w:rPr>
          <w:rFonts w:hint="eastAsia" w:ascii="仿宋_GB2312" w:eastAsia="仿宋_GB2312"/>
          <w:color w:val="auto"/>
          <w:sz w:val="32"/>
          <w:szCs w:val="32"/>
          <w:highlight w:val="none"/>
          <w:u w:val="none"/>
          <w:lang w:val="zh-CN"/>
        </w:rPr>
        <w:t>，不予认定补偿安置面积。在规定期限内配合拆除的，可给予适当的补偿，详见附件七。</w:t>
      </w:r>
    </w:p>
    <w:p w14:paraId="662A94D9">
      <w:pPr>
        <w:spacing w:line="560" w:lineRule="exact"/>
        <w:ind w:firstLine="643" w:firstLineChars="200"/>
        <w:rPr>
          <w:rFonts w:hint="eastAsia" w:ascii="仿宋_GB2312" w:eastAsia="仿宋_GB2312"/>
          <w:b/>
          <w:color w:val="auto"/>
          <w:kern w:val="0"/>
          <w:sz w:val="32"/>
          <w:szCs w:val="32"/>
          <w:highlight w:val="none"/>
          <w:u w:val="none"/>
          <w:lang w:val="zh-CN"/>
        </w:rPr>
      </w:pPr>
      <w:r>
        <w:rPr>
          <w:rFonts w:hint="eastAsia" w:ascii="仿宋_GB2312" w:eastAsia="仿宋_GB2312"/>
          <w:b/>
          <w:color w:val="auto"/>
          <w:kern w:val="0"/>
          <w:sz w:val="32"/>
          <w:szCs w:val="32"/>
          <w:highlight w:val="none"/>
          <w:u w:val="none"/>
          <w:lang w:val="zh-CN"/>
        </w:rPr>
        <w:t>九、无手续</w:t>
      </w:r>
    </w:p>
    <w:p w14:paraId="08EA94FA">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无</w:t>
      </w:r>
      <w:r>
        <w:rPr>
          <w:rFonts w:hint="eastAsia" w:ascii="仿宋_GB2312" w:eastAsia="仿宋_GB2312"/>
          <w:color w:val="auto"/>
          <w:sz w:val="32"/>
          <w:szCs w:val="32"/>
          <w:highlight w:val="none"/>
          <w:u w:val="none"/>
          <w:lang w:val="zh-CN" w:eastAsia="zh-CN"/>
        </w:rPr>
        <w:t>任何</w:t>
      </w:r>
      <w:r>
        <w:rPr>
          <w:rFonts w:hint="eastAsia" w:ascii="仿宋_GB2312" w:eastAsia="仿宋_GB2312"/>
          <w:color w:val="auto"/>
          <w:sz w:val="32"/>
          <w:szCs w:val="32"/>
          <w:highlight w:val="none"/>
          <w:u w:val="none"/>
          <w:lang w:val="zh-CN"/>
        </w:rPr>
        <w:t>手续建成的房屋</w:t>
      </w:r>
      <w:r>
        <w:rPr>
          <w:rFonts w:hint="eastAsia" w:ascii="仿宋_GB2312" w:eastAsia="仿宋_GB2312"/>
          <w:color w:val="auto"/>
          <w:sz w:val="32"/>
          <w:szCs w:val="32"/>
          <w:highlight w:val="none"/>
          <w:u w:val="none"/>
          <w:lang w:val="zh-CN" w:eastAsia="zh-CN"/>
        </w:rPr>
        <w:t>，被征收人</w:t>
      </w:r>
      <w:r>
        <w:rPr>
          <w:rFonts w:hint="eastAsia" w:ascii="仿宋_GB2312" w:eastAsia="仿宋_GB2312"/>
          <w:color w:val="auto"/>
          <w:sz w:val="32"/>
          <w:szCs w:val="32"/>
          <w:highlight w:val="none"/>
          <w:u w:val="none"/>
          <w:lang w:val="zh-CN"/>
        </w:rPr>
        <w:t>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的，可按</w:t>
      </w:r>
      <w:r>
        <w:rPr>
          <w:rFonts w:hint="eastAsia" w:ascii="仿宋_GB2312" w:eastAsia="仿宋_GB2312"/>
          <w:color w:val="auto"/>
          <w:sz w:val="32"/>
          <w:szCs w:val="32"/>
          <w:highlight w:val="none"/>
          <w:u w:val="none"/>
          <w:lang w:val="zh-CN" w:eastAsia="zh-CN"/>
        </w:rPr>
        <w:t>下列</w:t>
      </w:r>
      <w:r>
        <w:rPr>
          <w:rFonts w:hint="eastAsia" w:ascii="仿宋_GB2312" w:eastAsia="仿宋_GB2312"/>
          <w:color w:val="auto"/>
          <w:sz w:val="32"/>
          <w:szCs w:val="32"/>
          <w:highlight w:val="none"/>
          <w:u w:val="none"/>
          <w:lang w:val="zh-CN"/>
        </w:rPr>
        <w:t>规定认定补偿安置面积：</w:t>
      </w:r>
    </w:p>
    <w:p w14:paraId="78262546">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1992</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85%</w:t>
      </w:r>
      <w:r>
        <w:rPr>
          <w:rFonts w:hint="eastAsia" w:ascii="仿宋_GB2312" w:eastAsia="仿宋_GB2312"/>
          <w:color w:val="auto"/>
          <w:sz w:val="32"/>
          <w:szCs w:val="32"/>
          <w:highlight w:val="none"/>
          <w:u w:val="none"/>
          <w:lang w:val="zh-CN"/>
        </w:rPr>
        <w:t>认定补偿安置面积。</w:t>
      </w:r>
    </w:p>
    <w:p w14:paraId="21739D26">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1993</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1999</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8</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16EA913B">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ascii="仿宋_GB2312" w:eastAsia="仿宋_GB2312"/>
          <w:color w:val="auto"/>
          <w:sz w:val="32"/>
          <w:szCs w:val="32"/>
          <w:highlight w:val="none"/>
          <w:u w:val="none"/>
          <w:lang w:val="zh-CN"/>
        </w:rPr>
        <w:t>2000</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日</w:t>
      </w:r>
      <w:r>
        <w:rPr>
          <w:rFonts w:hint="eastAsia" w:ascii="仿宋_GB2312" w:eastAsia="仿宋_GB2312"/>
          <w:color w:val="auto"/>
          <w:sz w:val="32"/>
          <w:szCs w:val="32"/>
          <w:highlight w:val="none"/>
          <w:u w:val="none"/>
          <w:lang w:val="zh-CN"/>
        </w:rPr>
        <w:t>至</w:t>
      </w:r>
      <w:r>
        <w:rPr>
          <w:rFonts w:ascii="仿宋_GB2312" w:eastAsia="仿宋_GB2312"/>
          <w:color w:val="auto"/>
          <w:sz w:val="32"/>
          <w:szCs w:val="32"/>
          <w:highlight w:val="none"/>
          <w:u w:val="none"/>
          <w:lang w:val="zh-CN"/>
        </w:rPr>
        <w:t>2006</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7</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34FD68D9">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（四）</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日之后，无审批手续建成的房屋在签约期限内</w:t>
      </w:r>
      <w:r>
        <w:rPr>
          <w:rFonts w:hint="eastAsia" w:ascii="仿宋_GB2312" w:eastAsia="仿宋_GB2312"/>
          <w:color w:val="auto"/>
          <w:sz w:val="32"/>
          <w:szCs w:val="32"/>
          <w:highlight w:val="none"/>
          <w:u w:val="none"/>
          <w:lang w:val="zh-CN" w:eastAsia="zh-CN"/>
        </w:rPr>
        <w:t>签订协议并封房交拆</w:t>
      </w:r>
      <w:r>
        <w:rPr>
          <w:rFonts w:hint="eastAsia" w:ascii="仿宋_GB2312" w:eastAsia="仿宋_GB2312"/>
          <w:color w:val="auto"/>
          <w:sz w:val="32"/>
          <w:szCs w:val="32"/>
          <w:highlight w:val="none"/>
          <w:u w:val="none"/>
          <w:lang w:val="zh-CN"/>
        </w:rPr>
        <w:t>的，可按以下规定给予认定补偿安置面积</w:t>
      </w:r>
      <w:r>
        <w:rPr>
          <w:rFonts w:hint="eastAsia" w:ascii="仿宋_GB2312" w:eastAsia="仿宋_GB2312"/>
          <w:color w:val="auto"/>
          <w:sz w:val="32"/>
          <w:szCs w:val="32"/>
          <w:highlight w:val="none"/>
          <w:u w:val="none"/>
          <w:lang w:val="zh-CN" w:eastAsia="zh-CN"/>
        </w:rPr>
        <w:t>，超过签约期限或被依法强制拆除的不予认定补偿安置</w:t>
      </w:r>
      <w:r>
        <w:rPr>
          <w:rFonts w:hint="eastAsia" w:ascii="仿宋_GB2312" w:eastAsia="仿宋_GB2312"/>
          <w:color w:val="auto"/>
          <w:sz w:val="32"/>
          <w:szCs w:val="32"/>
          <w:highlight w:val="none"/>
          <w:u w:val="none"/>
          <w:lang w:val="zh-CN"/>
        </w:rPr>
        <w:t>：</w:t>
      </w:r>
    </w:p>
    <w:p w14:paraId="69C50905">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1、</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50%</w:t>
      </w:r>
      <w:r>
        <w:rPr>
          <w:rFonts w:hint="eastAsia" w:ascii="仿宋_GB2312" w:eastAsia="仿宋_GB2312"/>
          <w:color w:val="auto"/>
          <w:sz w:val="32"/>
          <w:szCs w:val="32"/>
          <w:highlight w:val="none"/>
          <w:u w:val="none"/>
          <w:lang w:val="zh-CN"/>
        </w:rPr>
        <w:t>认定补偿安置面积；</w:t>
      </w:r>
    </w:p>
    <w:p w14:paraId="3CEE0453">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2、</w:t>
      </w:r>
      <w:r>
        <w:rPr>
          <w:rFonts w:ascii="仿宋_GB2312" w:eastAsia="仿宋_GB2312"/>
          <w:color w:val="auto"/>
          <w:sz w:val="32"/>
          <w:szCs w:val="32"/>
          <w:highlight w:val="none"/>
          <w:u w:val="none"/>
          <w:lang w:val="zh-CN"/>
        </w:rPr>
        <w:t>2008</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认定补偿安置面积；</w:t>
      </w:r>
    </w:p>
    <w:p w14:paraId="5A12045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3、</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日以后建成的，一律不予认定补偿安置面积，</w:t>
      </w:r>
      <w:r>
        <w:rPr>
          <w:rFonts w:hint="eastAsia" w:ascii="仿宋_GB2312" w:eastAsia="仿宋_GB2312"/>
          <w:color w:val="auto"/>
          <w:sz w:val="32"/>
          <w:szCs w:val="32"/>
          <w:highlight w:val="none"/>
          <w:u w:val="none"/>
          <w:lang w:val="zh-CN" w:eastAsia="zh-CN"/>
        </w:rPr>
        <w:t>只给予建安造价补偿，并可视</w:t>
      </w:r>
      <w:r>
        <w:rPr>
          <w:rFonts w:hint="eastAsia" w:ascii="仿宋_GB2312" w:eastAsia="仿宋_GB2312"/>
          <w:color w:val="auto"/>
          <w:sz w:val="32"/>
          <w:szCs w:val="32"/>
          <w:highlight w:val="none"/>
          <w:u w:val="none"/>
          <w:lang w:val="zh-CN"/>
        </w:rPr>
        <w:t>实际情况</w:t>
      </w:r>
      <w:r>
        <w:rPr>
          <w:rFonts w:hint="eastAsia" w:ascii="仿宋_GB2312" w:eastAsia="仿宋_GB2312"/>
          <w:color w:val="auto"/>
          <w:sz w:val="32"/>
          <w:szCs w:val="32"/>
          <w:highlight w:val="none"/>
          <w:u w:val="none"/>
          <w:lang w:val="zh-CN" w:eastAsia="zh-CN"/>
        </w:rPr>
        <w:t>给予</w:t>
      </w:r>
      <w:r>
        <w:rPr>
          <w:rFonts w:ascii="仿宋_GB2312" w:eastAsia="仿宋_GB2312"/>
          <w:color w:val="auto"/>
          <w:sz w:val="32"/>
          <w:szCs w:val="32"/>
          <w:highlight w:val="none"/>
          <w:u w:val="none"/>
          <w:lang w:val="zh-CN"/>
        </w:rPr>
        <w:t>150-300</w:t>
      </w:r>
      <w:r>
        <w:rPr>
          <w:rFonts w:hint="eastAsia" w:ascii="仿宋_GB2312" w:eastAsia="仿宋_GB2312"/>
          <w:color w:val="auto"/>
          <w:sz w:val="32"/>
          <w:szCs w:val="32"/>
          <w:highlight w:val="none"/>
          <w:u w:val="none"/>
          <w:lang w:val="zh-CN"/>
        </w:rPr>
        <w:t>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㎡一次性搬迁补助。</w:t>
      </w:r>
    </w:p>
    <w:p w14:paraId="587DB3D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4、2016年4月1日后未经审批建成的，一律不予认定补偿安置面积，且不给予含建安造价、一次性搬迁补助在内的任何补偿。</w:t>
      </w:r>
    </w:p>
    <w:p w14:paraId="661339B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以上“九、无手续”中（一）至（三）项及（四）项第1、2点，</w:t>
      </w:r>
      <w:r>
        <w:rPr>
          <w:rFonts w:hint="eastAsia" w:ascii="仿宋_GB2312" w:eastAsia="仿宋_GB2312"/>
          <w:color w:val="auto"/>
          <w:sz w:val="32"/>
          <w:szCs w:val="32"/>
          <w:highlight w:val="none"/>
          <w:u w:val="none"/>
          <w:lang w:val="zh-CN"/>
        </w:rPr>
        <w:t>未经权属登记</w:t>
      </w:r>
      <w:r>
        <w:rPr>
          <w:rFonts w:hint="eastAsia" w:ascii="仿宋_GB2312" w:eastAsia="仿宋_GB2312"/>
          <w:color w:val="auto"/>
          <w:sz w:val="32"/>
          <w:szCs w:val="32"/>
          <w:highlight w:val="none"/>
          <w:u w:val="none"/>
          <w:lang w:val="zh-CN" w:eastAsia="zh-CN"/>
        </w:rPr>
        <w:t>、未经镇（街）建房清理等无审批手续</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非公寓式住宅，</w:t>
      </w:r>
      <w:r>
        <w:rPr>
          <w:rFonts w:hint="eastAsia" w:ascii="仿宋_GB2312" w:eastAsia="仿宋_GB2312"/>
          <w:color w:val="auto"/>
          <w:sz w:val="32"/>
          <w:szCs w:val="32"/>
          <w:highlight w:val="none"/>
          <w:u w:val="none"/>
          <w:lang w:val="zh-CN"/>
        </w:rPr>
        <w:t>以栋为单位，</w:t>
      </w:r>
      <w:r>
        <w:rPr>
          <w:rFonts w:hint="eastAsia" w:ascii="仿宋_GB2312" w:eastAsia="仿宋_GB2312"/>
          <w:color w:val="auto"/>
          <w:sz w:val="32"/>
          <w:szCs w:val="32"/>
          <w:highlight w:val="none"/>
          <w:u w:val="none"/>
          <w:lang w:val="zh-CN" w:eastAsia="zh-CN"/>
        </w:rPr>
        <w:t>土地、建筑</w:t>
      </w:r>
      <w:r>
        <w:rPr>
          <w:rFonts w:hint="eastAsia" w:ascii="仿宋_GB2312" w:eastAsia="仿宋_GB2312"/>
          <w:color w:val="auto"/>
          <w:sz w:val="32"/>
          <w:szCs w:val="32"/>
          <w:highlight w:val="none"/>
          <w:u w:val="none"/>
          <w:lang w:val="zh-CN"/>
        </w:rPr>
        <w:t>单层认定安置补偿面积</w:t>
      </w:r>
      <w:r>
        <w:rPr>
          <w:rFonts w:hint="eastAsia" w:ascii="仿宋_GB2312" w:eastAsia="仿宋_GB2312"/>
          <w:color w:val="auto"/>
          <w:sz w:val="32"/>
          <w:szCs w:val="32"/>
          <w:highlight w:val="none"/>
          <w:u w:val="none"/>
          <w:lang w:val="zh-CN" w:eastAsia="zh-CN"/>
        </w:rPr>
        <w:t>以15</w:t>
      </w:r>
      <w:r>
        <w:rPr>
          <w:rFonts w:hint="eastAsia"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eastAsia="zh-CN"/>
        </w:rPr>
        <w:t>为限，</w:t>
      </w:r>
      <w:r>
        <w:rPr>
          <w:rFonts w:hint="eastAsia" w:ascii="仿宋_GB2312" w:eastAsia="仿宋_GB2312"/>
          <w:color w:val="auto"/>
          <w:sz w:val="32"/>
          <w:szCs w:val="32"/>
          <w:highlight w:val="none"/>
          <w:u w:val="none"/>
          <w:lang w:val="zh-CN"/>
        </w:rPr>
        <w:t>超过</w:t>
      </w:r>
      <w:r>
        <w:rPr>
          <w:rFonts w:hint="eastAsia" w:ascii="仿宋_GB2312" w:eastAsia="仿宋_GB2312"/>
          <w:color w:val="auto"/>
          <w:sz w:val="32"/>
          <w:szCs w:val="32"/>
          <w:highlight w:val="none"/>
          <w:u w:val="none"/>
          <w:lang w:val="zh-CN" w:eastAsia="zh-CN"/>
        </w:rPr>
        <w:t>150㎡的，土地部分按征地价4.3</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计算，建筑部分按房屋建安造价（含房屋和二次装修重置价，下同）给予补偿。</w:t>
      </w:r>
    </w:p>
    <w:p w14:paraId="0DFB1476">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以上“八、手续不完整”和“九、无手续”中除“八、手续不完整”中第（五）点、“九、无手续”中第（四）点第</w:t>
      </w:r>
      <w:r>
        <w:rPr>
          <w:rFonts w:hint="eastAsia" w:ascii="仿宋_GB2312" w:eastAsia="仿宋_GB2312"/>
          <w:color w:val="auto"/>
          <w:sz w:val="32"/>
          <w:szCs w:val="32"/>
          <w:highlight w:val="none"/>
          <w:u w:val="none"/>
          <w:lang w:val="en-US" w:eastAsia="zh-CN"/>
        </w:rPr>
        <w:t>4小点</w:t>
      </w:r>
      <w:r>
        <w:rPr>
          <w:rFonts w:hint="eastAsia" w:ascii="仿宋_GB2312" w:eastAsia="仿宋_GB2312"/>
          <w:color w:val="auto"/>
          <w:sz w:val="32"/>
          <w:szCs w:val="32"/>
          <w:highlight w:val="none"/>
          <w:u w:val="none"/>
          <w:lang w:val="zh-CN" w:eastAsia="zh-CN"/>
        </w:rPr>
        <w:t>外，所有被认定不予补偿安置的房屋占地及建筑面积，按征地和建安造价给予一次性货币补偿。</w:t>
      </w:r>
    </w:p>
    <w:p w14:paraId="141F3E01">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建房时间和建房手续由村（居）审核并公示后，由项目所在街道会同征迁工作组结合航拍图等技术资料予以审核确认。</w:t>
      </w:r>
    </w:p>
    <w:p w14:paraId="1C1C5E74">
      <w:pPr>
        <w:pStyle w:val="13"/>
        <w:shd w:val="clear" w:color="auto" w:fill="auto"/>
        <w:spacing w:line="600" w:lineRule="exact"/>
        <w:jc w:val="center"/>
        <w:rPr>
          <w:rFonts w:hint="eastAsia" w:ascii="仿宋_GB2312" w:eastAsia="仿宋_GB2312"/>
          <w:color w:val="auto"/>
          <w:sz w:val="32"/>
          <w:szCs w:val="32"/>
          <w:highlight w:val="none"/>
          <w:u w:val="none"/>
          <w:lang w:val="zh-CN"/>
        </w:rPr>
      </w:pPr>
    </w:p>
    <w:p w14:paraId="321E3D50">
      <w:pPr>
        <w:pStyle w:val="13"/>
        <w:shd w:val="clear" w:color="auto" w:fill="auto"/>
        <w:spacing w:line="600" w:lineRule="exact"/>
        <w:jc w:val="center"/>
        <w:rPr>
          <w:rFonts w:hint="eastAsia" w:ascii="仿宋_GB2312" w:eastAsia="仿宋_GB2312"/>
          <w:b w:val="0"/>
          <w:color w:val="auto"/>
          <w:sz w:val="32"/>
          <w:szCs w:val="32"/>
          <w:highlight w:val="none"/>
          <w:u w:val="none"/>
          <w:lang w:val="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住宅补偿安置</w:t>
      </w:r>
    </w:p>
    <w:p w14:paraId="7240DBCF">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p>
    <w:p w14:paraId="143EB02E">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rPr>
        <w:t>十、补偿计算</w:t>
      </w:r>
    </w:p>
    <w:p w14:paraId="37FDDEA4">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补偿金额实行土地、房屋</w:t>
      </w:r>
      <w:r>
        <w:rPr>
          <w:rFonts w:ascii="仿宋_GB2312" w:eastAsia="仿宋_GB2312"/>
          <w:color w:val="auto"/>
          <w:sz w:val="32"/>
          <w:szCs w:val="32"/>
          <w:highlight w:val="none"/>
          <w:u w:val="none"/>
          <w:lang w:val="zh-CN"/>
        </w:rPr>
        <w:t>分</w:t>
      </w:r>
      <w:r>
        <w:rPr>
          <w:rFonts w:hint="eastAsia" w:ascii="仿宋_GB2312" w:eastAsia="仿宋_GB2312"/>
          <w:color w:val="auto"/>
          <w:sz w:val="32"/>
          <w:szCs w:val="32"/>
          <w:highlight w:val="none"/>
          <w:u w:val="none"/>
          <w:lang w:val="zh-CN"/>
        </w:rPr>
        <w:t>别</w:t>
      </w:r>
      <w:r>
        <w:rPr>
          <w:rFonts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rPr>
        <w:t>，合并结算。</w:t>
      </w:r>
    </w:p>
    <w:p w14:paraId="36AA117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1、选择货币补偿的结算：</w:t>
      </w:r>
    </w:p>
    <w:p w14:paraId="29671E1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计算公式：私人自建民宅补偿金额=</w:t>
      </w:r>
      <w:r>
        <w:rPr>
          <w:rFonts w:hint="eastAsia" w:ascii="仿宋_GB2312" w:eastAsia="仿宋_GB2312"/>
          <w:color w:val="auto"/>
          <w:sz w:val="32"/>
          <w:szCs w:val="32"/>
          <w:highlight w:val="none"/>
          <w:u w:val="none"/>
          <w:lang w:val="zh-CN" w:eastAsia="zh-CN"/>
        </w:rPr>
        <w:t>经认定可补偿安置的房屋建筑占地面积</w:t>
      </w:r>
      <w:r>
        <w:rPr>
          <w:rFonts w:hint="eastAsia" w:ascii="仿宋_GB2312" w:eastAsia="仿宋_GB2312"/>
          <w:color w:val="auto"/>
          <w:sz w:val="32"/>
          <w:szCs w:val="32"/>
          <w:highlight w:val="none"/>
          <w:u w:val="none"/>
          <w:lang w:val="zh-CN"/>
        </w:rPr>
        <w:t>×土地补偿价</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埕地、空</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面积</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属划拨土地</w:t>
      </w:r>
      <w:r>
        <w:rPr>
          <w:rFonts w:hint="eastAsia" w:ascii="仿宋_GB2312" w:eastAsia="仿宋_GB2312"/>
          <w:color w:val="auto"/>
          <w:sz w:val="32"/>
          <w:szCs w:val="32"/>
          <w:highlight w:val="none"/>
          <w:u w:val="none"/>
          <w:lang w:val="zh-CN" w:eastAsia="zh-CN"/>
        </w:rPr>
        <w:t>或持有集体土地使用证</w:t>
      </w:r>
      <w:r>
        <w:rPr>
          <w:rFonts w:hint="eastAsia" w:ascii="仿宋_GB2312" w:eastAsia="仿宋_GB2312"/>
          <w:color w:val="auto"/>
          <w:sz w:val="32"/>
          <w:szCs w:val="32"/>
          <w:highlight w:val="none"/>
          <w:u w:val="none"/>
          <w:lang w:val="zh-CN"/>
        </w:rPr>
        <w:t>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的</w:t>
      </w:r>
      <w:r>
        <w:rPr>
          <w:rFonts w:ascii="仿宋_GB2312" w:eastAsia="仿宋_GB2312"/>
          <w:color w:val="auto"/>
          <w:sz w:val="32"/>
          <w:szCs w:val="32"/>
          <w:highlight w:val="none"/>
          <w:u w:val="none"/>
          <w:lang w:val="zh-CN"/>
        </w:rPr>
        <w:t>60%</w:t>
      </w:r>
      <w:r>
        <w:rPr>
          <w:rFonts w:hint="eastAsia"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经市镇（街）两级清理收费的，按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rPr>
        <w:t>万元/亩的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其他未确权和未经市镇（街）两级清理收费的，按4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面积×（房屋重置价×房屋成新率＋室内二次装修×二次装修成新率）+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被认定不予补偿安置的土地面积×征地价格＋被认定不予补偿安置的房屋建筑面积×建安造价×成新率</w:t>
      </w:r>
      <w:r>
        <w:rPr>
          <w:rFonts w:hint="eastAsia" w:ascii="仿宋_GB2312" w:eastAsia="仿宋_GB2312"/>
          <w:color w:val="auto"/>
          <w:sz w:val="32"/>
          <w:szCs w:val="32"/>
          <w:highlight w:val="none"/>
          <w:u w:val="none"/>
          <w:lang w:val="en-US" w:eastAsia="zh-CN"/>
        </w:rPr>
        <w:t>+各项奖励、补助等费用</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房屋重置价、房屋成新率、室内二次装修及成新率</w:t>
      </w:r>
      <w:r>
        <w:rPr>
          <w:rFonts w:hint="eastAsia" w:ascii="仿宋_GB2312" w:eastAsia="仿宋_GB2312"/>
          <w:color w:val="auto"/>
          <w:sz w:val="32"/>
          <w:szCs w:val="32"/>
          <w:highlight w:val="none"/>
          <w:u w:val="none"/>
          <w:lang w:val="zh-CN"/>
        </w:rPr>
        <w:t>详见附表一、二、三、四。</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1"/>
        <w:gridCol w:w="783"/>
        <w:gridCol w:w="1960"/>
        <w:gridCol w:w="55"/>
        <w:gridCol w:w="2590"/>
        <w:gridCol w:w="825"/>
        <w:gridCol w:w="1710"/>
        <w:gridCol w:w="390"/>
        <w:gridCol w:w="596"/>
      </w:tblGrid>
      <w:tr w14:paraId="4146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7" w:hRule="atLeast"/>
        </w:trPr>
        <w:tc>
          <w:tcPr>
            <w:tcW w:w="9460" w:type="dxa"/>
            <w:gridSpan w:val="9"/>
            <w:tcBorders>
              <w:tl2br w:val="nil"/>
              <w:tr2bl w:val="nil"/>
            </w:tcBorders>
            <w:noWrap w:val="0"/>
            <w:vAlign w:val="center"/>
          </w:tcPr>
          <w:p w14:paraId="29DFE2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房屋征收补偿结果计算表（全部货币补偿）</w:t>
            </w:r>
          </w:p>
        </w:tc>
      </w:tr>
      <w:tr w14:paraId="431A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4" w:hRule="atLeast"/>
        </w:trPr>
        <w:tc>
          <w:tcPr>
            <w:tcW w:w="1334" w:type="dxa"/>
            <w:gridSpan w:val="2"/>
            <w:tcBorders>
              <w:tl2br w:val="nil"/>
              <w:tr2bl w:val="nil"/>
            </w:tcBorders>
            <w:noWrap w:val="0"/>
            <w:vAlign w:val="center"/>
          </w:tcPr>
          <w:p w14:paraId="62C1C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款  项</w:t>
            </w:r>
          </w:p>
        </w:tc>
        <w:tc>
          <w:tcPr>
            <w:tcW w:w="4605" w:type="dxa"/>
            <w:gridSpan w:val="3"/>
            <w:tcBorders>
              <w:tl2br w:val="nil"/>
              <w:tr2bl w:val="nil"/>
            </w:tcBorders>
            <w:noWrap w:val="0"/>
            <w:vAlign w:val="center"/>
          </w:tcPr>
          <w:p w14:paraId="1494BE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  目</w:t>
            </w:r>
          </w:p>
        </w:tc>
        <w:tc>
          <w:tcPr>
            <w:tcW w:w="825" w:type="dxa"/>
            <w:tcBorders>
              <w:tl2br w:val="nil"/>
              <w:tr2bl w:val="nil"/>
            </w:tcBorders>
            <w:noWrap w:val="0"/>
            <w:vAlign w:val="center"/>
          </w:tcPr>
          <w:p w14:paraId="54FFAB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面积（㎡）</w:t>
            </w:r>
          </w:p>
        </w:tc>
        <w:tc>
          <w:tcPr>
            <w:tcW w:w="1710" w:type="dxa"/>
            <w:tcBorders>
              <w:tl2br w:val="nil"/>
              <w:tr2bl w:val="nil"/>
            </w:tcBorders>
            <w:noWrap w:val="0"/>
            <w:vAlign w:val="center"/>
          </w:tcPr>
          <w:p w14:paraId="5A01D5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390" w:type="dxa"/>
            <w:tcBorders>
              <w:tl2br w:val="nil"/>
              <w:tr2bl w:val="nil"/>
            </w:tcBorders>
            <w:noWrap w:val="0"/>
            <w:vAlign w:val="center"/>
          </w:tcPr>
          <w:p w14:paraId="3A335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系数</w:t>
            </w:r>
          </w:p>
        </w:tc>
        <w:tc>
          <w:tcPr>
            <w:tcW w:w="596" w:type="dxa"/>
            <w:tcBorders>
              <w:tl2br w:val="nil"/>
              <w:tr2bl w:val="nil"/>
            </w:tcBorders>
            <w:noWrap w:val="0"/>
            <w:vAlign w:val="center"/>
          </w:tcPr>
          <w:p w14:paraId="0A631B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金额（元）</w:t>
            </w:r>
          </w:p>
        </w:tc>
      </w:tr>
      <w:tr w14:paraId="5691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2" w:hRule="atLeast"/>
        </w:trPr>
        <w:tc>
          <w:tcPr>
            <w:tcW w:w="1334" w:type="dxa"/>
            <w:gridSpan w:val="2"/>
            <w:vMerge w:val="restart"/>
            <w:tcBorders>
              <w:tl2br w:val="nil"/>
              <w:tr2bl w:val="nil"/>
            </w:tcBorders>
            <w:shd w:val="clear" w:color="auto" w:fill="auto"/>
            <w:noWrap w:val="0"/>
            <w:vAlign w:val="center"/>
          </w:tcPr>
          <w:p w14:paraId="3ADBD8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各项补助   A</w:t>
            </w:r>
          </w:p>
        </w:tc>
        <w:tc>
          <w:tcPr>
            <w:tcW w:w="4605" w:type="dxa"/>
            <w:gridSpan w:val="3"/>
            <w:tcBorders>
              <w:tl2br w:val="nil"/>
              <w:tr2bl w:val="nil"/>
            </w:tcBorders>
            <w:shd w:val="clear" w:color="auto" w:fill="auto"/>
            <w:noWrap w:val="0"/>
            <w:vAlign w:val="center"/>
          </w:tcPr>
          <w:p w14:paraId="18CA2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搬迁补助</w:t>
            </w:r>
          </w:p>
        </w:tc>
        <w:tc>
          <w:tcPr>
            <w:tcW w:w="825" w:type="dxa"/>
            <w:tcBorders>
              <w:tl2br w:val="nil"/>
              <w:tr2bl w:val="nil"/>
            </w:tcBorders>
            <w:shd w:val="clear" w:color="auto" w:fill="auto"/>
            <w:noWrap w:val="0"/>
            <w:vAlign w:val="center"/>
          </w:tcPr>
          <w:p w14:paraId="4F4F32F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0260DC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r>
              <w:rPr>
                <w:rFonts w:hint="eastAsia" w:ascii="宋体" w:hAnsi="宋体" w:eastAsia="宋体" w:cs="宋体"/>
                <w:i w:val="0"/>
                <w:color w:val="auto"/>
                <w:kern w:val="0"/>
                <w:sz w:val="20"/>
                <w:szCs w:val="20"/>
                <w:highlight w:val="none"/>
                <w:u w:val="none"/>
                <w:lang w:val="en-US" w:eastAsia="zh-CN" w:bidi="ar"/>
              </w:rPr>
              <w:t>元/㎡</w:t>
            </w:r>
          </w:p>
        </w:tc>
        <w:tc>
          <w:tcPr>
            <w:tcW w:w="390" w:type="dxa"/>
            <w:tcBorders>
              <w:tl2br w:val="nil"/>
              <w:tr2bl w:val="nil"/>
            </w:tcBorders>
            <w:shd w:val="clear" w:color="auto" w:fill="C0C0C0"/>
            <w:noWrap w:val="0"/>
            <w:vAlign w:val="center"/>
          </w:tcPr>
          <w:p w14:paraId="250FEA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6F9EC46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E09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1334" w:type="dxa"/>
            <w:gridSpan w:val="2"/>
            <w:vMerge w:val="continue"/>
            <w:tcBorders>
              <w:tl2br w:val="nil"/>
              <w:tr2bl w:val="nil"/>
            </w:tcBorders>
            <w:shd w:val="clear" w:color="auto" w:fill="auto"/>
            <w:noWrap w:val="0"/>
            <w:vAlign w:val="center"/>
          </w:tcPr>
          <w:p w14:paraId="21BD806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auto"/>
            <w:noWrap w:val="0"/>
            <w:vAlign w:val="center"/>
          </w:tcPr>
          <w:p w14:paraId="025F00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临时过渡补助</w:t>
            </w:r>
          </w:p>
        </w:tc>
        <w:tc>
          <w:tcPr>
            <w:tcW w:w="825" w:type="dxa"/>
            <w:tcBorders>
              <w:tl2br w:val="nil"/>
              <w:tr2bl w:val="nil"/>
            </w:tcBorders>
            <w:shd w:val="clear" w:color="auto" w:fill="auto"/>
            <w:noWrap w:val="0"/>
            <w:vAlign w:val="center"/>
          </w:tcPr>
          <w:p w14:paraId="4023C81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07916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r>
              <w:rPr>
                <w:rFonts w:hint="eastAsia" w:ascii="宋体" w:hAnsi="宋体" w:eastAsia="宋体" w:cs="宋体"/>
                <w:i w:val="0"/>
                <w:color w:val="auto"/>
                <w:kern w:val="0"/>
                <w:sz w:val="20"/>
                <w:szCs w:val="20"/>
                <w:highlight w:val="none"/>
                <w:u w:val="none"/>
                <w:lang w:val="en-US" w:eastAsia="zh-CN" w:bidi="ar"/>
              </w:rPr>
              <w:t>元/㎡/</w:t>
            </w:r>
            <w:r>
              <w:rPr>
                <w:rFonts w:hint="eastAsia" w:ascii="宋体" w:hAnsi="宋体" w:cs="宋体"/>
                <w:i w:val="0"/>
                <w:color w:val="auto"/>
                <w:kern w:val="0"/>
                <w:sz w:val="20"/>
                <w:szCs w:val="20"/>
                <w:highlight w:val="none"/>
                <w:u w:val="none"/>
                <w:lang w:val="en-US" w:eastAsia="zh-CN" w:bidi="ar"/>
              </w:rPr>
              <w:t>月</w:t>
            </w:r>
          </w:p>
        </w:tc>
        <w:tc>
          <w:tcPr>
            <w:tcW w:w="390" w:type="dxa"/>
            <w:tcBorders>
              <w:tl2br w:val="nil"/>
              <w:tr2bl w:val="nil"/>
            </w:tcBorders>
            <w:shd w:val="clear" w:color="auto" w:fill="C0C0C0"/>
            <w:noWrap w:val="0"/>
            <w:vAlign w:val="center"/>
          </w:tcPr>
          <w:p w14:paraId="6C9811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596" w:type="dxa"/>
            <w:tcBorders>
              <w:tl2br w:val="nil"/>
              <w:tr2bl w:val="nil"/>
            </w:tcBorders>
            <w:noWrap w:val="0"/>
            <w:vAlign w:val="center"/>
          </w:tcPr>
          <w:p w14:paraId="0B8464F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3028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1334" w:type="dxa"/>
            <w:gridSpan w:val="2"/>
            <w:vMerge w:val="continue"/>
            <w:tcBorders>
              <w:tl2br w:val="nil"/>
              <w:tr2bl w:val="nil"/>
            </w:tcBorders>
            <w:shd w:val="clear" w:color="auto" w:fill="auto"/>
            <w:noWrap w:val="0"/>
            <w:vAlign w:val="center"/>
          </w:tcPr>
          <w:p w14:paraId="0B629C0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auto"/>
            <w:noWrap w:val="0"/>
            <w:vAlign w:val="center"/>
          </w:tcPr>
          <w:p w14:paraId="3DEEB9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低保户/五保户/孤寡老人补助</w:t>
            </w:r>
          </w:p>
        </w:tc>
        <w:tc>
          <w:tcPr>
            <w:tcW w:w="825" w:type="dxa"/>
            <w:tcBorders>
              <w:tl2br w:val="nil"/>
              <w:tr2bl w:val="nil"/>
            </w:tcBorders>
            <w:shd w:val="clear" w:color="auto" w:fill="auto"/>
            <w:noWrap w:val="0"/>
            <w:vAlign w:val="center"/>
          </w:tcPr>
          <w:p w14:paraId="4837E1D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5632C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lang w:eastAsia="zh-CN"/>
              </w:rPr>
            </w:pPr>
            <w:r>
              <w:rPr>
                <w:rFonts w:hint="eastAsia" w:ascii="宋体" w:hAnsi="宋体" w:eastAsia="宋体" w:cs="宋体"/>
                <w:i w:val="0"/>
                <w:color w:val="auto"/>
                <w:kern w:val="0"/>
                <w:sz w:val="18"/>
                <w:szCs w:val="18"/>
                <w:highlight w:val="none"/>
                <w:u w:val="none"/>
                <w:lang w:val="en-US" w:eastAsia="zh-CN" w:bidi="ar"/>
              </w:rPr>
              <w:t>30000</w:t>
            </w:r>
            <w:r>
              <w:rPr>
                <w:rFonts w:hint="eastAsia" w:ascii="宋体" w:hAnsi="宋体" w:cs="宋体"/>
                <w:i w:val="0"/>
                <w:color w:val="auto"/>
                <w:kern w:val="0"/>
                <w:sz w:val="18"/>
                <w:szCs w:val="18"/>
                <w:highlight w:val="none"/>
                <w:u w:val="none"/>
                <w:lang w:val="en-US" w:eastAsia="zh-CN" w:bidi="ar"/>
              </w:rPr>
              <w:t>元/户</w:t>
            </w:r>
          </w:p>
        </w:tc>
        <w:tc>
          <w:tcPr>
            <w:tcW w:w="390" w:type="dxa"/>
            <w:tcBorders>
              <w:tl2br w:val="nil"/>
              <w:tr2bl w:val="nil"/>
            </w:tcBorders>
            <w:shd w:val="clear" w:color="auto" w:fill="C0C0C0"/>
            <w:noWrap w:val="0"/>
            <w:vAlign w:val="center"/>
          </w:tcPr>
          <w:p w14:paraId="69B48E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44D15E6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5DA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restart"/>
            <w:tcBorders>
              <w:tl2br w:val="nil"/>
              <w:tr2bl w:val="nil"/>
            </w:tcBorders>
            <w:shd w:val="clear" w:color="auto" w:fill="FFFFFF"/>
            <w:noWrap w:val="0"/>
            <w:vAlign w:val="center"/>
          </w:tcPr>
          <w:p w14:paraId="4F829C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各项补偿款</w:t>
            </w:r>
          </w:p>
        </w:tc>
        <w:tc>
          <w:tcPr>
            <w:tcW w:w="783" w:type="dxa"/>
            <w:vMerge w:val="restart"/>
            <w:tcBorders>
              <w:tl2br w:val="nil"/>
              <w:tr2bl w:val="nil"/>
            </w:tcBorders>
            <w:shd w:val="clear" w:color="auto" w:fill="FFFFFF"/>
            <w:noWrap w:val="0"/>
            <w:vAlign w:val="center"/>
          </w:tcPr>
          <w:p w14:paraId="2058F1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建筑占地补偿</w:t>
            </w:r>
          </w:p>
        </w:tc>
        <w:tc>
          <w:tcPr>
            <w:tcW w:w="4605" w:type="dxa"/>
            <w:gridSpan w:val="3"/>
            <w:tcBorders>
              <w:tl2br w:val="nil"/>
              <w:tr2bl w:val="nil"/>
            </w:tcBorders>
            <w:shd w:val="clear" w:color="auto" w:fill="FFFFFF"/>
            <w:noWrap w:val="0"/>
            <w:vAlign w:val="center"/>
          </w:tcPr>
          <w:p w14:paraId="6CBFDC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认定补偿安置建筑占地     B</w:t>
            </w:r>
          </w:p>
        </w:tc>
        <w:tc>
          <w:tcPr>
            <w:tcW w:w="825" w:type="dxa"/>
            <w:tcBorders>
              <w:tl2br w:val="nil"/>
              <w:tr2bl w:val="nil"/>
            </w:tcBorders>
            <w:shd w:val="clear" w:color="auto" w:fill="auto"/>
            <w:noWrap w:val="0"/>
            <w:vAlign w:val="center"/>
          </w:tcPr>
          <w:p w14:paraId="19726B2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4D2418B2">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7E8E75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6EEE307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4A2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03B0828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09A6B25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15" w:type="dxa"/>
            <w:gridSpan w:val="2"/>
            <w:vMerge w:val="restart"/>
            <w:tcBorders>
              <w:tl2br w:val="nil"/>
              <w:tr2bl w:val="nil"/>
            </w:tcBorders>
            <w:shd w:val="clear" w:color="auto" w:fill="FFFFFF"/>
            <w:noWrap w:val="0"/>
            <w:vAlign w:val="center"/>
          </w:tcPr>
          <w:p w14:paraId="3C1C2A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认定不予补偿安置建筑占地 (h)</w:t>
            </w:r>
          </w:p>
        </w:tc>
        <w:tc>
          <w:tcPr>
            <w:tcW w:w="2590" w:type="dxa"/>
            <w:tcBorders>
              <w:tl2br w:val="nil"/>
              <w:tr2bl w:val="nil"/>
            </w:tcBorders>
            <w:shd w:val="clear" w:color="auto" w:fill="FFFFFF"/>
            <w:noWrap w:val="0"/>
            <w:vAlign w:val="center"/>
          </w:tcPr>
          <w:p w14:paraId="183BC7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825" w:type="dxa"/>
            <w:tcBorders>
              <w:tl2br w:val="nil"/>
              <w:tr2bl w:val="nil"/>
            </w:tcBorders>
            <w:shd w:val="clear" w:color="auto" w:fill="auto"/>
            <w:noWrap w:val="0"/>
            <w:vAlign w:val="center"/>
          </w:tcPr>
          <w:p w14:paraId="3617AF1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4C4F9C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64.5</w:t>
            </w:r>
            <w:r>
              <w:rPr>
                <w:rFonts w:hint="eastAsia" w:ascii="宋体" w:hAnsi="宋体" w:eastAsia="宋体" w:cs="宋体"/>
                <w:i w:val="0"/>
                <w:color w:val="auto"/>
                <w:kern w:val="0"/>
                <w:sz w:val="20"/>
                <w:szCs w:val="20"/>
                <w:highlight w:val="none"/>
                <w:u w:val="none"/>
                <w:lang w:val="en-US" w:eastAsia="zh-CN" w:bidi="ar"/>
              </w:rPr>
              <w:t>元/㎡</w:t>
            </w:r>
          </w:p>
          <w:p w14:paraId="65BEF8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（4.3万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390" w:type="dxa"/>
            <w:tcBorders>
              <w:tl2br w:val="nil"/>
              <w:tr2bl w:val="nil"/>
            </w:tcBorders>
            <w:shd w:val="clear" w:color="auto" w:fill="C0C0C0"/>
            <w:noWrap w:val="0"/>
            <w:vAlign w:val="center"/>
          </w:tcPr>
          <w:p w14:paraId="6E55B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4C180A9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13F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7" w:hRule="atLeast"/>
        </w:trPr>
        <w:tc>
          <w:tcPr>
            <w:tcW w:w="551" w:type="dxa"/>
            <w:vMerge w:val="continue"/>
            <w:tcBorders>
              <w:tl2br w:val="nil"/>
              <w:tr2bl w:val="nil"/>
            </w:tcBorders>
            <w:shd w:val="clear" w:color="auto" w:fill="FFFFFF"/>
            <w:noWrap w:val="0"/>
            <w:vAlign w:val="center"/>
          </w:tcPr>
          <w:p w14:paraId="613DE69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0FA657F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15" w:type="dxa"/>
            <w:gridSpan w:val="2"/>
            <w:vMerge w:val="continue"/>
            <w:tcBorders>
              <w:tl2br w:val="nil"/>
              <w:tr2bl w:val="nil"/>
            </w:tcBorders>
            <w:shd w:val="clear" w:color="auto" w:fill="FFFFFF"/>
            <w:noWrap w:val="0"/>
            <w:vAlign w:val="center"/>
          </w:tcPr>
          <w:p w14:paraId="7475BC6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590" w:type="dxa"/>
            <w:tcBorders>
              <w:tl2br w:val="nil"/>
              <w:tr2bl w:val="nil"/>
            </w:tcBorders>
            <w:shd w:val="clear" w:color="auto" w:fill="FFFFFF"/>
            <w:noWrap w:val="0"/>
            <w:vAlign w:val="center"/>
          </w:tcPr>
          <w:p w14:paraId="5A2A8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825" w:type="dxa"/>
            <w:tcBorders>
              <w:tl2br w:val="nil"/>
              <w:tr2bl w:val="nil"/>
            </w:tcBorders>
            <w:shd w:val="clear" w:color="auto" w:fill="auto"/>
            <w:noWrap w:val="0"/>
            <w:vAlign w:val="center"/>
          </w:tcPr>
          <w:p w14:paraId="703DF01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1F240B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210</w:t>
            </w:r>
            <w:r>
              <w:rPr>
                <w:rFonts w:hint="eastAsia" w:ascii="宋体" w:hAnsi="宋体" w:eastAsia="宋体" w:cs="宋体"/>
                <w:i w:val="0"/>
                <w:color w:val="auto"/>
                <w:kern w:val="0"/>
                <w:sz w:val="20"/>
                <w:szCs w:val="20"/>
                <w:highlight w:val="none"/>
                <w:u w:val="none"/>
                <w:lang w:val="en-US" w:eastAsia="zh-CN" w:bidi="ar"/>
              </w:rPr>
              <w:t>元/㎡</w:t>
            </w:r>
          </w:p>
          <w:p w14:paraId="6DA67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390" w:type="dxa"/>
            <w:tcBorders>
              <w:tl2br w:val="nil"/>
              <w:tr2bl w:val="nil"/>
            </w:tcBorders>
            <w:shd w:val="clear" w:color="auto" w:fill="C0C0C0"/>
            <w:noWrap w:val="0"/>
            <w:vAlign w:val="center"/>
          </w:tcPr>
          <w:p w14:paraId="5235CF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33AB9D5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B85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10A9E4E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restart"/>
            <w:tcBorders>
              <w:tl2br w:val="nil"/>
              <w:tr2bl w:val="nil"/>
            </w:tcBorders>
            <w:shd w:val="clear" w:color="auto" w:fill="FFFFFF"/>
            <w:noWrap w:val="0"/>
            <w:vAlign w:val="center"/>
          </w:tcPr>
          <w:p w14:paraId="1CF6A3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埕空地补偿</w:t>
            </w:r>
          </w:p>
        </w:tc>
        <w:tc>
          <w:tcPr>
            <w:tcW w:w="2015" w:type="dxa"/>
            <w:gridSpan w:val="2"/>
            <w:vMerge w:val="restart"/>
            <w:tcBorders>
              <w:tl2br w:val="nil"/>
              <w:tr2bl w:val="nil"/>
            </w:tcBorders>
            <w:shd w:val="clear" w:color="auto" w:fill="FFFFFF"/>
            <w:noWrap w:val="0"/>
            <w:vAlign w:val="center"/>
          </w:tcPr>
          <w:p w14:paraId="5F801F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确权的埕空地</w:t>
            </w:r>
          </w:p>
        </w:tc>
        <w:tc>
          <w:tcPr>
            <w:tcW w:w="2590" w:type="dxa"/>
            <w:tcBorders>
              <w:tl2br w:val="nil"/>
              <w:tr2bl w:val="nil"/>
            </w:tcBorders>
            <w:shd w:val="clear" w:color="auto" w:fill="FFFFFF"/>
            <w:noWrap w:val="0"/>
            <w:vAlign w:val="center"/>
          </w:tcPr>
          <w:p w14:paraId="545580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出让</w:t>
            </w:r>
          </w:p>
        </w:tc>
        <w:tc>
          <w:tcPr>
            <w:tcW w:w="825" w:type="dxa"/>
            <w:tcBorders>
              <w:tl2br w:val="nil"/>
              <w:tr2bl w:val="nil"/>
            </w:tcBorders>
            <w:shd w:val="clear" w:color="auto" w:fill="auto"/>
            <w:noWrap w:val="0"/>
            <w:vAlign w:val="center"/>
          </w:tcPr>
          <w:p w14:paraId="2BB17C1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717B0DD8">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6F9531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14598AA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852B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0D13106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6CAA237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15" w:type="dxa"/>
            <w:gridSpan w:val="2"/>
            <w:vMerge w:val="continue"/>
            <w:tcBorders>
              <w:tl2br w:val="nil"/>
              <w:tr2bl w:val="nil"/>
            </w:tcBorders>
            <w:shd w:val="clear" w:color="auto" w:fill="FFFFFF"/>
            <w:noWrap w:val="0"/>
            <w:vAlign w:val="center"/>
          </w:tcPr>
          <w:p w14:paraId="3C8338B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590" w:type="dxa"/>
            <w:tcBorders>
              <w:tl2br w:val="nil"/>
              <w:tr2bl w:val="nil"/>
            </w:tcBorders>
            <w:shd w:val="clear" w:color="auto" w:fill="FFFFFF"/>
            <w:noWrap w:val="0"/>
            <w:vAlign w:val="center"/>
          </w:tcPr>
          <w:p w14:paraId="743A99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划拨及集体</w:t>
            </w:r>
          </w:p>
        </w:tc>
        <w:tc>
          <w:tcPr>
            <w:tcW w:w="825" w:type="dxa"/>
            <w:tcBorders>
              <w:tl2br w:val="nil"/>
              <w:tr2bl w:val="nil"/>
            </w:tcBorders>
            <w:shd w:val="clear" w:color="auto" w:fill="auto"/>
            <w:noWrap w:val="0"/>
            <w:vAlign w:val="center"/>
          </w:tcPr>
          <w:p w14:paraId="427B239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159944AD">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3D733A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60%</w:t>
            </w:r>
          </w:p>
        </w:tc>
        <w:tc>
          <w:tcPr>
            <w:tcW w:w="596" w:type="dxa"/>
            <w:tcBorders>
              <w:tl2br w:val="nil"/>
              <w:tr2bl w:val="nil"/>
            </w:tcBorders>
            <w:noWrap w:val="0"/>
            <w:vAlign w:val="center"/>
          </w:tcPr>
          <w:p w14:paraId="10D8AD6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23E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2" w:hRule="atLeast"/>
        </w:trPr>
        <w:tc>
          <w:tcPr>
            <w:tcW w:w="551" w:type="dxa"/>
            <w:vMerge w:val="continue"/>
            <w:tcBorders>
              <w:tl2br w:val="nil"/>
              <w:tr2bl w:val="nil"/>
            </w:tcBorders>
            <w:shd w:val="clear" w:color="auto" w:fill="FFFFFF"/>
            <w:noWrap w:val="0"/>
            <w:vAlign w:val="center"/>
          </w:tcPr>
          <w:p w14:paraId="2E1C642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1C8CB7A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FFFFFF"/>
            <w:noWrap w:val="0"/>
            <w:vAlign w:val="center"/>
          </w:tcPr>
          <w:p w14:paraId="3500B5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清理手续的埕空地</w:t>
            </w:r>
          </w:p>
        </w:tc>
        <w:tc>
          <w:tcPr>
            <w:tcW w:w="825" w:type="dxa"/>
            <w:tcBorders>
              <w:tl2br w:val="nil"/>
              <w:tr2bl w:val="nil"/>
            </w:tcBorders>
            <w:shd w:val="clear" w:color="auto" w:fill="auto"/>
            <w:noWrap w:val="0"/>
            <w:vAlign w:val="center"/>
          </w:tcPr>
          <w:p w14:paraId="2ED3A13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76D032FC">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2FDEA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40%</w:t>
            </w:r>
          </w:p>
        </w:tc>
        <w:tc>
          <w:tcPr>
            <w:tcW w:w="596" w:type="dxa"/>
            <w:tcBorders>
              <w:tl2br w:val="nil"/>
              <w:tr2bl w:val="nil"/>
            </w:tcBorders>
            <w:noWrap w:val="0"/>
            <w:vAlign w:val="center"/>
          </w:tcPr>
          <w:p w14:paraId="3452D1E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3B86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2C7560B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273AD34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15" w:type="dxa"/>
            <w:gridSpan w:val="2"/>
            <w:vMerge w:val="restart"/>
            <w:tcBorders>
              <w:tl2br w:val="nil"/>
              <w:tr2bl w:val="nil"/>
            </w:tcBorders>
            <w:shd w:val="clear" w:color="auto" w:fill="FFFFFF"/>
            <w:noWrap w:val="0"/>
            <w:vAlign w:val="center"/>
          </w:tcPr>
          <w:p w14:paraId="1CFA24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无手续的埕空地  </w:t>
            </w:r>
          </w:p>
        </w:tc>
        <w:tc>
          <w:tcPr>
            <w:tcW w:w="2590" w:type="dxa"/>
            <w:tcBorders>
              <w:tl2br w:val="nil"/>
              <w:tr2bl w:val="nil"/>
            </w:tcBorders>
            <w:shd w:val="clear" w:color="auto" w:fill="FFFFFF"/>
            <w:noWrap w:val="0"/>
            <w:vAlign w:val="center"/>
          </w:tcPr>
          <w:p w14:paraId="0E7C03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825" w:type="dxa"/>
            <w:tcBorders>
              <w:tl2br w:val="nil"/>
              <w:tr2bl w:val="nil"/>
            </w:tcBorders>
            <w:shd w:val="clear" w:color="auto" w:fill="auto"/>
            <w:noWrap w:val="0"/>
            <w:vAlign w:val="center"/>
          </w:tcPr>
          <w:p w14:paraId="4AC030D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26DA57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64.5</w:t>
            </w:r>
            <w:r>
              <w:rPr>
                <w:rFonts w:hint="eastAsia" w:ascii="宋体" w:hAnsi="宋体" w:eastAsia="宋体" w:cs="宋体"/>
                <w:i w:val="0"/>
                <w:color w:val="auto"/>
                <w:kern w:val="0"/>
                <w:sz w:val="20"/>
                <w:szCs w:val="20"/>
                <w:highlight w:val="none"/>
                <w:u w:val="none"/>
                <w:lang w:val="en-US" w:eastAsia="zh-CN" w:bidi="ar"/>
              </w:rPr>
              <w:t>元/㎡</w:t>
            </w:r>
          </w:p>
          <w:p w14:paraId="7CD860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（4.3万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390" w:type="dxa"/>
            <w:tcBorders>
              <w:tl2br w:val="nil"/>
              <w:tr2bl w:val="nil"/>
            </w:tcBorders>
            <w:shd w:val="clear" w:color="auto" w:fill="C0C0C0"/>
            <w:noWrap w:val="0"/>
            <w:vAlign w:val="center"/>
          </w:tcPr>
          <w:p w14:paraId="710FB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158BBA5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96F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6F4F92A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3A73A3B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15" w:type="dxa"/>
            <w:gridSpan w:val="2"/>
            <w:vMerge w:val="continue"/>
            <w:tcBorders>
              <w:tl2br w:val="nil"/>
              <w:tr2bl w:val="nil"/>
            </w:tcBorders>
            <w:shd w:val="clear" w:color="auto" w:fill="FFFFFF"/>
            <w:noWrap w:val="0"/>
            <w:vAlign w:val="center"/>
          </w:tcPr>
          <w:p w14:paraId="25BD8B2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590" w:type="dxa"/>
            <w:tcBorders>
              <w:tl2br w:val="nil"/>
              <w:tr2bl w:val="nil"/>
            </w:tcBorders>
            <w:shd w:val="clear" w:color="auto" w:fill="FFFFFF"/>
            <w:noWrap w:val="0"/>
            <w:vAlign w:val="center"/>
          </w:tcPr>
          <w:p w14:paraId="1EA362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825" w:type="dxa"/>
            <w:tcBorders>
              <w:tl2br w:val="nil"/>
              <w:tr2bl w:val="nil"/>
            </w:tcBorders>
            <w:shd w:val="clear" w:color="auto" w:fill="auto"/>
            <w:noWrap w:val="0"/>
            <w:vAlign w:val="center"/>
          </w:tcPr>
          <w:p w14:paraId="6282D42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1A251C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210</w:t>
            </w:r>
            <w:r>
              <w:rPr>
                <w:rFonts w:hint="eastAsia" w:ascii="宋体" w:hAnsi="宋体" w:eastAsia="宋体" w:cs="宋体"/>
                <w:i w:val="0"/>
                <w:color w:val="auto"/>
                <w:kern w:val="0"/>
                <w:sz w:val="20"/>
                <w:szCs w:val="20"/>
                <w:highlight w:val="none"/>
                <w:u w:val="none"/>
                <w:lang w:val="en-US" w:eastAsia="zh-CN" w:bidi="ar"/>
              </w:rPr>
              <w:t>元/㎡</w:t>
            </w:r>
          </w:p>
          <w:p w14:paraId="50E7A8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390" w:type="dxa"/>
            <w:tcBorders>
              <w:tl2br w:val="nil"/>
              <w:tr2bl w:val="nil"/>
            </w:tcBorders>
            <w:shd w:val="clear" w:color="auto" w:fill="C0C0C0"/>
            <w:noWrap w:val="0"/>
            <w:vAlign w:val="center"/>
          </w:tcPr>
          <w:p w14:paraId="2671E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57F1E0F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843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50A56B9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restart"/>
            <w:tcBorders>
              <w:tl2br w:val="nil"/>
              <w:tr2bl w:val="nil"/>
            </w:tcBorders>
            <w:shd w:val="clear" w:color="auto" w:fill="FFFFFF"/>
            <w:noWrap w:val="0"/>
            <w:vAlign w:val="center"/>
          </w:tcPr>
          <w:p w14:paraId="7B711A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建筑物补偿</w:t>
            </w:r>
          </w:p>
        </w:tc>
        <w:tc>
          <w:tcPr>
            <w:tcW w:w="4605" w:type="dxa"/>
            <w:gridSpan w:val="3"/>
            <w:vMerge w:val="restart"/>
            <w:tcBorders>
              <w:tl2br w:val="nil"/>
              <w:tr2bl w:val="nil"/>
            </w:tcBorders>
            <w:shd w:val="clear" w:color="auto" w:fill="FFFFFF"/>
            <w:noWrap w:val="0"/>
            <w:vAlign w:val="center"/>
          </w:tcPr>
          <w:p w14:paraId="7D04A7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认定补偿安置面积的重置价      C</w:t>
            </w:r>
          </w:p>
        </w:tc>
        <w:tc>
          <w:tcPr>
            <w:tcW w:w="825" w:type="dxa"/>
            <w:tcBorders>
              <w:tl2br w:val="nil"/>
              <w:tr2bl w:val="nil"/>
            </w:tcBorders>
            <w:noWrap w:val="0"/>
            <w:vAlign w:val="center"/>
          </w:tcPr>
          <w:p w14:paraId="6EC8A72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noWrap w:val="0"/>
            <w:vAlign w:val="center"/>
          </w:tcPr>
          <w:p w14:paraId="6197A375">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noWrap w:val="0"/>
            <w:vAlign w:val="center"/>
          </w:tcPr>
          <w:p w14:paraId="15474AD7">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15D59E1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771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51" w:type="dxa"/>
            <w:vMerge w:val="continue"/>
            <w:tcBorders>
              <w:tl2br w:val="nil"/>
              <w:tr2bl w:val="nil"/>
            </w:tcBorders>
            <w:shd w:val="clear" w:color="auto" w:fill="FFFFFF"/>
            <w:noWrap w:val="0"/>
            <w:vAlign w:val="center"/>
          </w:tcPr>
          <w:p w14:paraId="1D494B0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6D662B0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vMerge w:val="continue"/>
            <w:tcBorders>
              <w:tl2br w:val="nil"/>
              <w:tr2bl w:val="nil"/>
            </w:tcBorders>
            <w:shd w:val="clear" w:color="auto" w:fill="FFFFFF"/>
            <w:noWrap w:val="0"/>
            <w:vAlign w:val="center"/>
          </w:tcPr>
          <w:p w14:paraId="7C14C8C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25" w:type="dxa"/>
            <w:tcBorders>
              <w:tl2br w:val="nil"/>
              <w:tr2bl w:val="nil"/>
            </w:tcBorders>
            <w:noWrap w:val="0"/>
            <w:vAlign w:val="center"/>
          </w:tcPr>
          <w:p w14:paraId="2F2F7AB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noWrap w:val="0"/>
            <w:vAlign w:val="center"/>
          </w:tcPr>
          <w:p w14:paraId="2E72166A">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noWrap w:val="0"/>
            <w:vAlign w:val="center"/>
          </w:tcPr>
          <w:p w14:paraId="250C05B1">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6CCE71C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145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291FBE3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6137B1E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FFFFFF"/>
            <w:noWrap w:val="0"/>
            <w:vAlign w:val="center"/>
          </w:tcPr>
          <w:p w14:paraId="1A80962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认定不予补偿安置面积的重置价      (i)</w:t>
            </w:r>
          </w:p>
        </w:tc>
        <w:tc>
          <w:tcPr>
            <w:tcW w:w="825" w:type="dxa"/>
            <w:tcBorders>
              <w:tl2br w:val="nil"/>
              <w:tr2bl w:val="nil"/>
            </w:tcBorders>
            <w:noWrap w:val="0"/>
            <w:vAlign w:val="center"/>
          </w:tcPr>
          <w:p w14:paraId="3A7E1AA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noWrap w:val="0"/>
            <w:vAlign w:val="center"/>
          </w:tcPr>
          <w:p w14:paraId="40FDC107">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noWrap w:val="0"/>
            <w:vAlign w:val="center"/>
          </w:tcPr>
          <w:p w14:paraId="0A110C43">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368DE94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42B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4D69F96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298B587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vMerge w:val="restart"/>
            <w:tcBorders>
              <w:tl2br w:val="nil"/>
              <w:tr2bl w:val="nil"/>
            </w:tcBorders>
            <w:shd w:val="clear" w:color="auto" w:fill="FFFFFF"/>
            <w:noWrap w:val="0"/>
            <w:vAlign w:val="center"/>
          </w:tcPr>
          <w:p w14:paraId="5DD9304D">
            <w:pPr>
              <w:keepNext w:val="0"/>
              <w:keepLines w:val="0"/>
              <w:widowControl/>
              <w:suppressLineNumbers w:val="0"/>
              <w:spacing w:before="0" w:beforeAutospacing="0" w:after="0" w:afterAutospacing="0"/>
              <w:ind w:left="0" w:right="0" w:firstLine="200" w:firstLineChars="10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认定补偿安置面积的二次装修         D</w:t>
            </w:r>
          </w:p>
        </w:tc>
        <w:tc>
          <w:tcPr>
            <w:tcW w:w="825" w:type="dxa"/>
            <w:tcBorders>
              <w:tl2br w:val="nil"/>
              <w:tr2bl w:val="nil"/>
            </w:tcBorders>
            <w:noWrap w:val="0"/>
            <w:vAlign w:val="center"/>
          </w:tcPr>
          <w:p w14:paraId="3555944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noWrap w:val="0"/>
            <w:vAlign w:val="center"/>
          </w:tcPr>
          <w:p w14:paraId="35B83A95">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noWrap w:val="0"/>
            <w:vAlign w:val="center"/>
          </w:tcPr>
          <w:p w14:paraId="46AC9E14">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2D4F0B0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DBD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51" w:type="dxa"/>
            <w:vMerge w:val="continue"/>
            <w:tcBorders>
              <w:tl2br w:val="nil"/>
              <w:tr2bl w:val="nil"/>
            </w:tcBorders>
            <w:shd w:val="clear" w:color="auto" w:fill="FFFFFF"/>
            <w:noWrap w:val="0"/>
            <w:vAlign w:val="center"/>
          </w:tcPr>
          <w:p w14:paraId="3908B10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14F98EA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vMerge w:val="continue"/>
            <w:tcBorders>
              <w:tl2br w:val="nil"/>
              <w:tr2bl w:val="nil"/>
            </w:tcBorders>
            <w:shd w:val="clear" w:color="auto" w:fill="FFFFFF"/>
            <w:noWrap w:val="0"/>
            <w:vAlign w:val="center"/>
          </w:tcPr>
          <w:p w14:paraId="522C9B0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25" w:type="dxa"/>
            <w:tcBorders>
              <w:tl2br w:val="nil"/>
              <w:tr2bl w:val="nil"/>
            </w:tcBorders>
            <w:noWrap w:val="0"/>
            <w:vAlign w:val="center"/>
          </w:tcPr>
          <w:p w14:paraId="360B3B7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noWrap w:val="0"/>
            <w:vAlign w:val="center"/>
          </w:tcPr>
          <w:p w14:paraId="1D4DC606">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noWrap w:val="0"/>
            <w:vAlign w:val="center"/>
          </w:tcPr>
          <w:p w14:paraId="1C2484FA">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6D46020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F86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2D1667F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4084E11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vMerge w:val="restart"/>
            <w:tcBorders>
              <w:tl2br w:val="nil"/>
              <w:tr2bl w:val="nil"/>
            </w:tcBorders>
            <w:shd w:val="clear" w:color="auto" w:fill="FFFFFF"/>
            <w:noWrap w:val="0"/>
            <w:vAlign w:val="center"/>
          </w:tcPr>
          <w:p w14:paraId="45E6D41E">
            <w:pPr>
              <w:keepNext w:val="0"/>
              <w:keepLines w:val="0"/>
              <w:widowControl/>
              <w:suppressLineNumbers w:val="0"/>
              <w:spacing w:before="0" w:beforeAutospacing="0" w:after="0" w:afterAutospacing="0"/>
              <w:ind w:left="0" w:right="0" w:firstLine="200" w:firstLineChars="10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认定不予补偿安置面积的二次装修     (j)  </w:t>
            </w:r>
          </w:p>
        </w:tc>
        <w:tc>
          <w:tcPr>
            <w:tcW w:w="825" w:type="dxa"/>
            <w:tcBorders>
              <w:tl2br w:val="nil"/>
              <w:tr2bl w:val="nil"/>
            </w:tcBorders>
            <w:noWrap w:val="0"/>
            <w:vAlign w:val="center"/>
          </w:tcPr>
          <w:p w14:paraId="14A5678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noWrap w:val="0"/>
            <w:vAlign w:val="center"/>
          </w:tcPr>
          <w:p w14:paraId="78C047A5">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noWrap w:val="0"/>
            <w:vAlign w:val="center"/>
          </w:tcPr>
          <w:p w14:paraId="19D40E48">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4958B7F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0EC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7" w:hRule="atLeast"/>
        </w:trPr>
        <w:tc>
          <w:tcPr>
            <w:tcW w:w="551" w:type="dxa"/>
            <w:vMerge w:val="continue"/>
            <w:tcBorders>
              <w:tl2br w:val="nil"/>
              <w:tr2bl w:val="nil"/>
            </w:tcBorders>
            <w:shd w:val="clear" w:color="auto" w:fill="FFFFFF"/>
            <w:noWrap w:val="0"/>
            <w:vAlign w:val="center"/>
          </w:tcPr>
          <w:p w14:paraId="560C013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0E25A98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vMerge w:val="continue"/>
            <w:tcBorders>
              <w:tl2br w:val="nil"/>
              <w:tr2bl w:val="nil"/>
            </w:tcBorders>
            <w:shd w:val="clear" w:color="auto" w:fill="FFFFFF"/>
            <w:noWrap w:val="0"/>
            <w:vAlign w:val="center"/>
          </w:tcPr>
          <w:p w14:paraId="3A3DAF1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25" w:type="dxa"/>
            <w:tcBorders>
              <w:tl2br w:val="nil"/>
              <w:tr2bl w:val="nil"/>
            </w:tcBorders>
            <w:noWrap w:val="0"/>
            <w:vAlign w:val="center"/>
          </w:tcPr>
          <w:p w14:paraId="682DF73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noWrap w:val="0"/>
            <w:vAlign w:val="center"/>
          </w:tcPr>
          <w:p w14:paraId="1DD7C2A5">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noWrap w:val="0"/>
            <w:vAlign w:val="center"/>
          </w:tcPr>
          <w:p w14:paraId="77AA30C4">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2CCD644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301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332770F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restart"/>
            <w:tcBorders>
              <w:tl2br w:val="nil"/>
              <w:tr2bl w:val="nil"/>
            </w:tcBorders>
            <w:shd w:val="clear" w:color="auto" w:fill="FFFFFF"/>
            <w:noWrap w:val="0"/>
            <w:vAlign w:val="center"/>
          </w:tcPr>
          <w:p w14:paraId="695301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各项奖励E</w:t>
            </w:r>
          </w:p>
        </w:tc>
        <w:tc>
          <w:tcPr>
            <w:tcW w:w="4605" w:type="dxa"/>
            <w:gridSpan w:val="3"/>
            <w:tcBorders>
              <w:tl2br w:val="nil"/>
              <w:tr2bl w:val="nil"/>
            </w:tcBorders>
            <w:shd w:val="clear" w:color="auto" w:fill="FFFFFF"/>
            <w:noWrap w:val="0"/>
            <w:vAlign w:val="center"/>
          </w:tcPr>
          <w:p w14:paraId="5F5A85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按时签约奖励</w:t>
            </w:r>
          </w:p>
        </w:tc>
        <w:tc>
          <w:tcPr>
            <w:tcW w:w="825" w:type="dxa"/>
            <w:tcBorders>
              <w:tl2br w:val="nil"/>
              <w:tr2bl w:val="nil"/>
            </w:tcBorders>
            <w:shd w:val="clear" w:color="auto" w:fill="auto"/>
            <w:noWrap w:val="0"/>
            <w:vAlign w:val="center"/>
          </w:tcPr>
          <w:p w14:paraId="1DECA63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2A11F4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3</w:t>
            </w:r>
            <w:r>
              <w:rPr>
                <w:rFonts w:hint="eastAsia" w:ascii="宋体" w:hAnsi="宋体" w:eastAsia="宋体" w:cs="宋体"/>
                <w:i w:val="0"/>
                <w:color w:val="auto"/>
                <w:kern w:val="0"/>
                <w:sz w:val="18"/>
                <w:szCs w:val="18"/>
                <w:highlight w:val="none"/>
                <w:u w:val="none"/>
                <w:lang w:val="en-US" w:eastAsia="zh-CN" w:bidi="ar"/>
              </w:rPr>
              <w:t>00</w:t>
            </w:r>
            <w:r>
              <w:rPr>
                <w:rFonts w:hint="eastAsia" w:ascii="宋体" w:hAnsi="宋体" w:eastAsia="宋体" w:cs="宋体"/>
                <w:i w:val="0"/>
                <w:color w:val="auto"/>
                <w:kern w:val="0"/>
                <w:sz w:val="20"/>
                <w:szCs w:val="20"/>
                <w:highlight w:val="none"/>
                <w:u w:val="none"/>
                <w:lang w:val="en-US" w:eastAsia="zh-CN" w:bidi="ar"/>
              </w:rPr>
              <w:t>元/㎡</w:t>
            </w:r>
          </w:p>
        </w:tc>
        <w:tc>
          <w:tcPr>
            <w:tcW w:w="390" w:type="dxa"/>
            <w:tcBorders>
              <w:tl2br w:val="nil"/>
              <w:tr2bl w:val="nil"/>
            </w:tcBorders>
            <w:shd w:val="clear" w:color="auto" w:fill="C0C0C0"/>
            <w:noWrap w:val="0"/>
            <w:vAlign w:val="center"/>
          </w:tcPr>
          <w:p w14:paraId="76EAF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6853078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E3C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0815717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18FE87E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FFFFFF"/>
            <w:noWrap w:val="0"/>
            <w:vAlign w:val="center"/>
          </w:tcPr>
          <w:p w14:paraId="76D6B6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自行</w:t>
            </w:r>
            <w:r>
              <w:rPr>
                <w:rFonts w:hint="eastAsia" w:ascii="宋体" w:hAnsi="宋体" w:eastAsia="宋体" w:cs="宋体"/>
                <w:i w:val="0"/>
                <w:color w:val="auto"/>
                <w:kern w:val="0"/>
                <w:sz w:val="20"/>
                <w:szCs w:val="20"/>
                <w:highlight w:val="none"/>
                <w:u w:val="none"/>
                <w:lang w:val="en-US" w:eastAsia="zh-CN" w:bidi="ar"/>
              </w:rPr>
              <w:t>封房</w:t>
            </w:r>
            <w:r>
              <w:rPr>
                <w:rFonts w:hint="eastAsia" w:ascii="宋体" w:hAnsi="宋体" w:cs="宋体"/>
                <w:i w:val="0"/>
                <w:color w:val="auto"/>
                <w:kern w:val="0"/>
                <w:sz w:val="20"/>
                <w:szCs w:val="20"/>
                <w:highlight w:val="none"/>
                <w:u w:val="none"/>
                <w:lang w:val="en-US" w:eastAsia="zh-CN" w:bidi="ar"/>
              </w:rPr>
              <w:t>交拆</w:t>
            </w:r>
            <w:r>
              <w:rPr>
                <w:rFonts w:hint="eastAsia" w:ascii="宋体" w:hAnsi="宋体" w:eastAsia="宋体" w:cs="宋体"/>
                <w:i w:val="0"/>
                <w:color w:val="auto"/>
                <w:kern w:val="0"/>
                <w:sz w:val="20"/>
                <w:szCs w:val="20"/>
                <w:highlight w:val="none"/>
                <w:u w:val="none"/>
                <w:lang w:val="en-US" w:eastAsia="zh-CN" w:bidi="ar"/>
              </w:rPr>
              <w:t>奖励</w:t>
            </w:r>
          </w:p>
        </w:tc>
        <w:tc>
          <w:tcPr>
            <w:tcW w:w="825" w:type="dxa"/>
            <w:tcBorders>
              <w:tl2br w:val="nil"/>
              <w:tr2bl w:val="nil"/>
            </w:tcBorders>
            <w:shd w:val="clear" w:color="auto" w:fill="auto"/>
            <w:noWrap w:val="0"/>
            <w:vAlign w:val="center"/>
          </w:tcPr>
          <w:p w14:paraId="19BFC83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30118F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4</w:t>
            </w:r>
            <w:r>
              <w:rPr>
                <w:rFonts w:hint="eastAsia" w:ascii="宋体" w:hAnsi="宋体" w:eastAsia="宋体" w:cs="宋体"/>
                <w:i w:val="0"/>
                <w:color w:val="auto"/>
                <w:kern w:val="0"/>
                <w:sz w:val="18"/>
                <w:szCs w:val="18"/>
                <w:highlight w:val="none"/>
                <w:u w:val="none"/>
                <w:lang w:val="en-US" w:eastAsia="zh-CN" w:bidi="ar"/>
              </w:rPr>
              <w:t>00</w:t>
            </w:r>
            <w:r>
              <w:rPr>
                <w:rFonts w:hint="eastAsia" w:ascii="宋体" w:hAnsi="宋体" w:eastAsia="宋体" w:cs="宋体"/>
                <w:i w:val="0"/>
                <w:color w:val="auto"/>
                <w:kern w:val="0"/>
                <w:sz w:val="20"/>
                <w:szCs w:val="20"/>
                <w:highlight w:val="none"/>
                <w:u w:val="none"/>
                <w:lang w:val="en-US" w:eastAsia="zh-CN" w:bidi="ar"/>
              </w:rPr>
              <w:t>元/㎡</w:t>
            </w:r>
          </w:p>
        </w:tc>
        <w:tc>
          <w:tcPr>
            <w:tcW w:w="390" w:type="dxa"/>
            <w:tcBorders>
              <w:tl2br w:val="nil"/>
              <w:tr2bl w:val="nil"/>
            </w:tcBorders>
            <w:shd w:val="clear" w:color="auto" w:fill="C0C0C0"/>
            <w:noWrap w:val="0"/>
            <w:vAlign w:val="center"/>
          </w:tcPr>
          <w:p w14:paraId="5168AC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3E3008F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3A78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554C37E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0BB8CAB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FFFFFF"/>
            <w:noWrap w:val="0"/>
            <w:vAlign w:val="center"/>
          </w:tcPr>
          <w:p w14:paraId="388FBE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自行过渡奖励</w:t>
            </w:r>
          </w:p>
        </w:tc>
        <w:tc>
          <w:tcPr>
            <w:tcW w:w="825" w:type="dxa"/>
            <w:tcBorders>
              <w:tl2br w:val="nil"/>
              <w:tr2bl w:val="nil"/>
            </w:tcBorders>
            <w:shd w:val="clear" w:color="auto" w:fill="auto"/>
            <w:noWrap w:val="0"/>
            <w:vAlign w:val="center"/>
          </w:tcPr>
          <w:p w14:paraId="0CB0EAC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4F29E2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200</w:t>
            </w:r>
            <w:r>
              <w:rPr>
                <w:rFonts w:hint="eastAsia" w:ascii="宋体" w:hAnsi="宋体" w:eastAsia="宋体" w:cs="宋体"/>
                <w:i w:val="0"/>
                <w:color w:val="auto"/>
                <w:kern w:val="0"/>
                <w:sz w:val="20"/>
                <w:szCs w:val="20"/>
                <w:highlight w:val="none"/>
                <w:u w:val="none"/>
                <w:lang w:val="en-US" w:eastAsia="zh-CN" w:bidi="ar"/>
              </w:rPr>
              <w:t>元/㎡</w:t>
            </w:r>
          </w:p>
        </w:tc>
        <w:tc>
          <w:tcPr>
            <w:tcW w:w="390" w:type="dxa"/>
            <w:tcBorders>
              <w:tl2br w:val="nil"/>
              <w:tr2bl w:val="nil"/>
            </w:tcBorders>
            <w:shd w:val="clear" w:color="auto" w:fill="C0C0C0"/>
            <w:noWrap w:val="0"/>
            <w:vAlign w:val="center"/>
          </w:tcPr>
          <w:p w14:paraId="071411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4E37801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B6E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1F1026B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noWrap w:val="0"/>
            <w:vAlign w:val="center"/>
          </w:tcPr>
          <w:p w14:paraId="4011F2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公摊面积奖励</w:t>
            </w:r>
          </w:p>
        </w:tc>
        <w:tc>
          <w:tcPr>
            <w:tcW w:w="825" w:type="dxa"/>
            <w:tcBorders>
              <w:tl2br w:val="nil"/>
              <w:tr2bl w:val="nil"/>
            </w:tcBorders>
            <w:shd w:val="clear" w:color="auto" w:fill="auto"/>
            <w:noWrap w:val="0"/>
            <w:vAlign w:val="center"/>
          </w:tcPr>
          <w:p w14:paraId="568E2AC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FFFFFF"/>
            <w:noWrap w:val="0"/>
            <w:vAlign w:val="center"/>
          </w:tcPr>
          <w:p w14:paraId="71BC7A9E">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5F3808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4A50BB7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005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382C5C0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vMerge w:val="restart"/>
            <w:tcBorders>
              <w:tl2br w:val="nil"/>
              <w:tr2bl w:val="nil"/>
            </w:tcBorders>
            <w:shd w:val="clear" w:color="auto" w:fill="FFFFFF"/>
            <w:noWrap w:val="0"/>
            <w:vAlign w:val="center"/>
          </w:tcPr>
          <w:p w14:paraId="583472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放弃产权调换安置的补差               F          </w:t>
            </w:r>
          </w:p>
        </w:tc>
        <w:tc>
          <w:tcPr>
            <w:tcW w:w="825" w:type="dxa"/>
            <w:tcBorders>
              <w:tl2br w:val="nil"/>
              <w:tr2bl w:val="nil"/>
            </w:tcBorders>
            <w:shd w:val="clear" w:color="auto" w:fill="auto"/>
            <w:noWrap w:val="0"/>
            <w:vAlign w:val="center"/>
          </w:tcPr>
          <w:p w14:paraId="465C1FD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079804A6">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442DF8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3C41A25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BA8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52A2326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vMerge w:val="continue"/>
            <w:tcBorders>
              <w:tl2br w:val="nil"/>
              <w:tr2bl w:val="nil"/>
            </w:tcBorders>
            <w:shd w:val="clear" w:color="auto" w:fill="FFFFFF"/>
            <w:noWrap w:val="0"/>
            <w:vAlign w:val="center"/>
          </w:tcPr>
          <w:p w14:paraId="0EDE93F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25" w:type="dxa"/>
            <w:tcBorders>
              <w:tl2br w:val="nil"/>
              <w:tr2bl w:val="nil"/>
            </w:tcBorders>
            <w:shd w:val="clear" w:color="auto" w:fill="auto"/>
            <w:noWrap w:val="0"/>
            <w:vAlign w:val="center"/>
          </w:tcPr>
          <w:p w14:paraId="7ADE05A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33A9079A">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7C6E62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455F6CB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E12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 w:hRule="atLeast"/>
        </w:trPr>
        <w:tc>
          <w:tcPr>
            <w:tcW w:w="551" w:type="dxa"/>
            <w:vMerge w:val="continue"/>
            <w:tcBorders>
              <w:tl2br w:val="nil"/>
              <w:tr2bl w:val="nil"/>
            </w:tcBorders>
            <w:shd w:val="clear" w:color="auto" w:fill="FFFFFF"/>
            <w:noWrap w:val="0"/>
            <w:vAlign w:val="center"/>
          </w:tcPr>
          <w:p w14:paraId="186E08C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vMerge w:val="continue"/>
            <w:tcBorders>
              <w:tl2br w:val="nil"/>
              <w:tr2bl w:val="nil"/>
            </w:tcBorders>
            <w:shd w:val="clear" w:color="auto" w:fill="FFFFFF"/>
            <w:noWrap w:val="0"/>
            <w:vAlign w:val="center"/>
          </w:tcPr>
          <w:p w14:paraId="047DB60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25" w:type="dxa"/>
            <w:tcBorders>
              <w:tl2br w:val="nil"/>
              <w:tr2bl w:val="nil"/>
            </w:tcBorders>
            <w:shd w:val="clear" w:color="auto" w:fill="auto"/>
            <w:noWrap w:val="0"/>
            <w:vAlign w:val="center"/>
          </w:tcPr>
          <w:p w14:paraId="64281D6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36A2F8AE">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56F777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50B6893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595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7DEDCAD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noWrap w:val="0"/>
            <w:vAlign w:val="center"/>
          </w:tcPr>
          <w:p w14:paraId="4F672E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店面补助</w:t>
            </w:r>
          </w:p>
        </w:tc>
        <w:tc>
          <w:tcPr>
            <w:tcW w:w="825" w:type="dxa"/>
            <w:tcBorders>
              <w:tl2br w:val="nil"/>
              <w:tr2bl w:val="nil"/>
            </w:tcBorders>
            <w:shd w:val="clear" w:color="auto" w:fill="auto"/>
            <w:noWrap w:val="0"/>
            <w:vAlign w:val="center"/>
          </w:tcPr>
          <w:p w14:paraId="7B9F65C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7BAEA969">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5F574C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66A2FAA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ECC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18FF811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noWrap w:val="0"/>
            <w:vAlign w:val="center"/>
          </w:tcPr>
          <w:p w14:paraId="2E5760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附属物补偿（详表</w:t>
            </w:r>
            <w:r>
              <w:rPr>
                <w:rFonts w:hint="eastAsia" w:ascii="宋体" w:hAnsi="宋体" w:cs="宋体"/>
                <w:i w:val="0"/>
                <w:color w:val="auto"/>
                <w:kern w:val="0"/>
                <w:sz w:val="20"/>
                <w:szCs w:val="20"/>
                <w:highlight w:val="none"/>
                <w:u w:val="none"/>
                <w:lang w:val="en-US" w:eastAsia="zh-CN" w:bidi="ar"/>
              </w:rPr>
              <w:t>六</w:t>
            </w:r>
            <w:r>
              <w:rPr>
                <w:rFonts w:hint="eastAsia" w:ascii="宋体" w:hAnsi="宋体" w:eastAsia="宋体" w:cs="宋体"/>
                <w:i w:val="0"/>
                <w:color w:val="auto"/>
                <w:kern w:val="0"/>
                <w:sz w:val="20"/>
                <w:szCs w:val="20"/>
                <w:highlight w:val="none"/>
                <w:u w:val="none"/>
                <w:lang w:val="en-US" w:eastAsia="zh-CN" w:bidi="ar"/>
              </w:rPr>
              <w:t xml:space="preserve">）         </w:t>
            </w:r>
          </w:p>
        </w:tc>
        <w:tc>
          <w:tcPr>
            <w:tcW w:w="825" w:type="dxa"/>
            <w:tcBorders>
              <w:tl2br w:val="nil"/>
              <w:tr2bl w:val="nil"/>
            </w:tcBorders>
            <w:shd w:val="clear" w:color="auto" w:fill="auto"/>
            <w:noWrap w:val="0"/>
            <w:vAlign w:val="center"/>
          </w:tcPr>
          <w:p w14:paraId="3A9A042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224B9608">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26D472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0D6C07E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A42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1EC4CA4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noWrap w:val="0"/>
            <w:vAlign w:val="center"/>
          </w:tcPr>
          <w:p w14:paraId="61243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照顾购买面积应缴款</w:t>
            </w:r>
          </w:p>
        </w:tc>
        <w:tc>
          <w:tcPr>
            <w:tcW w:w="825" w:type="dxa"/>
            <w:tcBorders>
              <w:tl2br w:val="nil"/>
              <w:tr2bl w:val="nil"/>
            </w:tcBorders>
            <w:shd w:val="clear" w:color="auto" w:fill="auto"/>
            <w:noWrap w:val="0"/>
            <w:vAlign w:val="center"/>
          </w:tcPr>
          <w:p w14:paraId="14CEA82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1B2C74DB">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7111A6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3D2F7D9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6EA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11DCBAA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noWrap w:val="0"/>
            <w:vAlign w:val="center"/>
          </w:tcPr>
          <w:p w14:paraId="569ECF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小  计</w:t>
            </w:r>
          </w:p>
        </w:tc>
        <w:tc>
          <w:tcPr>
            <w:tcW w:w="825" w:type="dxa"/>
            <w:tcBorders>
              <w:tl2br w:val="nil"/>
              <w:tr2bl w:val="nil"/>
            </w:tcBorders>
            <w:shd w:val="clear" w:color="auto" w:fill="C0C0C0"/>
            <w:noWrap w:val="0"/>
            <w:vAlign w:val="center"/>
          </w:tcPr>
          <w:p w14:paraId="64EC9AC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17B9F45D">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2BE329EA">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3774327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762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3294" w:type="dxa"/>
            <w:gridSpan w:val="3"/>
            <w:tcBorders>
              <w:tl2br w:val="nil"/>
              <w:tr2bl w:val="nil"/>
            </w:tcBorders>
            <w:shd w:val="clear" w:color="auto" w:fill="FFFFFF"/>
            <w:noWrap w:val="0"/>
            <w:vAlign w:val="center"/>
          </w:tcPr>
          <w:p w14:paraId="57FD32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照顾购买房交房时结算的款项   G</w:t>
            </w:r>
          </w:p>
        </w:tc>
        <w:tc>
          <w:tcPr>
            <w:tcW w:w="2645" w:type="dxa"/>
            <w:gridSpan w:val="2"/>
            <w:tcBorders>
              <w:tl2br w:val="nil"/>
              <w:tr2bl w:val="nil"/>
            </w:tcBorders>
            <w:shd w:val="clear" w:color="auto" w:fill="FFFFFF"/>
            <w:noWrap w:val="0"/>
            <w:vAlign w:val="center"/>
          </w:tcPr>
          <w:p w14:paraId="20EFEE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交房时面积误差</w:t>
            </w:r>
          </w:p>
          <w:p w14:paraId="5C37E2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产生的款</w:t>
            </w:r>
          </w:p>
        </w:tc>
        <w:tc>
          <w:tcPr>
            <w:tcW w:w="825" w:type="dxa"/>
            <w:tcBorders>
              <w:tl2br w:val="nil"/>
              <w:tr2bl w:val="nil"/>
            </w:tcBorders>
            <w:shd w:val="clear" w:color="auto" w:fill="auto"/>
            <w:noWrap w:val="0"/>
            <w:vAlign w:val="center"/>
          </w:tcPr>
          <w:p w14:paraId="0697CEC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24FA8D7F">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602ACC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1B9E03E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B76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9" w:hRule="atLeast"/>
        </w:trPr>
        <w:tc>
          <w:tcPr>
            <w:tcW w:w="5939" w:type="dxa"/>
            <w:gridSpan w:val="5"/>
            <w:tcBorders>
              <w:tl2br w:val="nil"/>
              <w:tr2bl w:val="nil"/>
            </w:tcBorders>
            <w:shd w:val="clear" w:color="auto" w:fill="auto"/>
            <w:noWrap w:val="0"/>
            <w:vAlign w:val="center"/>
          </w:tcPr>
          <w:p w14:paraId="18325C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合   计                   </w:t>
            </w:r>
          </w:p>
        </w:tc>
        <w:tc>
          <w:tcPr>
            <w:tcW w:w="825" w:type="dxa"/>
            <w:tcBorders>
              <w:tl2br w:val="nil"/>
              <w:tr2bl w:val="nil"/>
            </w:tcBorders>
            <w:shd w:val="clear" w:color="auto" w:fill="C0C0C0"/>
            <w:noWrap w:val="0"/>
            <w:vAlign w:val="center"/>
          </w:tcPr>
          <w:p w14:paraId="2A44414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2C86ED37">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0478793E">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452EC8EF">
            <w:pPr>
              <w:keepNext w:val="0"/>
              <w:keepLines w:val="0"/>
              <w:suppressLineNumbers w:val="0"/>
              <w:spacing w:before="0" w:beforeAutospacing="0" w:after="0" w:afterAutospacing="0"/>
              <w:ind w:left="0" w:right="0"/>
              <w:jc w:val="left"/>
              <w:rPr>
                <w:rFonts w:hint="eastAsia" w:ascii="宋体" w:hAnsi="宋体" w:eastAsia="宋体" w:cs="宋体"/>
                <w:i w:val="0"/>
                <w:color w:val="auto"/>
                <w:sz w:val="24"/>
                <w:szCs w:val="24"/>
                <w:highlight w:val="none"/>
                <w:u w:val="none"/>
              </w:rPr>
            </w:pPr>
          </w:p>
        </w:tc>
      </w:tr>
    </w:tbl>
    <w:p w14:paraId="77E2BD8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2、选择产权调换的结算：</w:t>
      </w:r>
    </w:p>
    <w:p w14:paraId="03BF5016">
      <w:pPr>
        <w:pStyle w:val="2"/>
        <w:shd w:val="clear" w:color="auto" w:fill="auto"/>
        <w:spacing w:after="0" w:line="600" w:lineRule="exact"/>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在等面积产权调换的基础上，按以下计算：</w:t>
      </w:r>
    </w:p>
    <w:p w14:paraId="55FE473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被征收人领回款=</w:t>
      </w:r>
      <w:r>
        <w:rPr>
          <w:rFonts w:hint="eastAsia" w:ascii="仿宋_GB2312" w:eastAsia="仿宋_GB2312"/>
          <w:color w:val="auto"/>
          <w:sz w:val="32"/>
          <w:szCs w:val="32"/>
          <w:highlight w:val="none"/>
          <w:u w:val="none"/>
          <w:lang w:val="zh-CN" w:eastAsia="zh-CN"/>
        </w:rPr>
        <w:t>埕地、空</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面积</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rPr>
        <w:t>万元/亩计算，属划拨土地或持有集体土地使用证的按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rPr>
        <w:t>万元/亩的</w:t>
      </w:r>
      <w:r>
        <w:rPr>
          <w:rFonts w:ascii="仿宋_GB2312" w:eastAsia="仿宋_GB2312"/>
          <w:color w:val="auto"/>
          <w:sz w:val="32"/>
          <w:szCs w:val="32"/>
          <w:highlight w:val="none"/>
          <w:u w:val="none"/>
          <w:lang w:val="zh-CN"/>
        </w:rPr>
        <w:t>60%</w:t>
      </w:r>
      <w:r>
        <w:rPr>
          <w:rFonts w:hint="eastAsia" w:ascii="仿宋_GB2312" w:eastAsia="仿宋_GB2312"/>
          <w:color w:val="auto"/>
          <w:sz w:val="32"/>
          <w:szCs w:val="32"/>
          <w:highlight w:val="none"/>
          <w:u w:val="none"/>
          <w:lang w:val="zh-CN"/>
        </w:rPr>
        <w:t>计算；经市镇（街）两级清理收费的，按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rPr>
        <w:t>万元/亩的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计算；其他未确权和未经市镇（街）两级清理收费的，按4.3万元/亩计算</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被认定不予补偿安置的土地面积×征地价格＋被认定不予补偿安置的房屋建筑面积×建安造价×成新率</w:t>
      </w:r>
      <w:r>
        <w:rPr>
          <w:rFonts w:hint="eastAsia" w:ascii="仿宋_GB2312" w:eastAsia="仿宋_GB2312"/>
          <w:color w:val="auto"/>
          <w:sz w:val="32"/>
          <w:szCs w:val="32"/>
          <w:highlight w:val="none"/>
          <w:u w:val="none"/>
          <w:lang w:val="en-US" w:eastAsia="zh-CN"/>
        </w:rPr>
        <w:t>+各项奖励、补助费用（扣除放弃产权调换安置的补差款）</w:t>
      </w:r>
      <w:r>
        <w:rPr>
          <w:rFonts w:hint="eastAsia" w:ascii="仿宋_GB2312" w:eastAsia="仿宋_GB2312"/>
          <w:color w:val="auto"/>
          <w:sz w:val="32"/>
          <w:szCs w:val="32"/>
          <w:highlight w:val="none"/>
          <w:u w:val="none"/>
          <w:lang w:val="zh-CN"/>
        </w:rPr>
        <w:t>，详见附表一、二、三、四。</w:t>
      </w:r>
    </w:p>
    <w:p w14:paraId="158C226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被征收人应缴款</w:t>
      </w:r>
      <w:r>
        <w:rPr>
          <w:rFonts w:hint="eastAsia" w:ascii="仿宋_GB2312" w:eastAsia="仿宋_GB2312"/>
          <w:color w:val="auto"/>
          <w:sz w:val="32"/>
          <w:szCs w:val="32"/>
          <w:highlight w:val="none"/>
          <w:u w:val="none"/>
          <w:lang w:val="en-US" w:eastAsia="zh-CN"/>
        </w:rPr>
        <w:t>=照顾购买面积×照顾购买价+选择产权调换的面积</w:t>
      </w:r>
      <w:r>
        <w:rPr>
          <w:rFonts w:hint="eastAsia" w:ascii="仿宋_GB2312" w:eastAsia="仿宋_GB2312"/>
          <w:color w:val="auto"/>
          <w:sz w:val="32"/>
          <w:szCs w:val="32"/>
          <w:highlight w:val="none"/>
          <w:u w:val="none"/>
          <w:lang w:val="zh-CN"/>
        </w:rPr>
        <w:t>×等面积应补缴价格（附表五）</w:t>
      </w:r>
    </w:p>
    <w:p w14:paraId="75106FA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692EF80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152A58F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70E0969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5288AA0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167C088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76D09D4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24EAAE9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110B461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681C004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tbl>
      <w:tblPr>
        <w:tblStyle w:val="5"/>
        <w:tblpPr w:leftFromText="180" w:rightFromText="180" w:vertAnchor="text" w:horzAnchor="page" w:tblpX="1444" w:tblpY="1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03"/>
        <w:gridCol w:w="777"/>
        <w:gridCol w:w="784"/>
        <w:gridCol w:w="994"/>
        <w:gridCol w:w="407"/>
        <w:gridCol w:w="1661"/>
        <w:gridCol w:w="884"/>
        <w:gridCol w:w="1711"/>
        <w:gridCol w:w="509"/>
        <w:gridCol w:w="1130"/>
      </w:tblGrid>
      <w:tr w14:paraId="653D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2" w:hRule="atLeast"/>
        </w:trPr>
        <w:tc>
          <w:tcPr>
            <w:tcW w:w="9360" w:type="dxa"/>
            <w:gridSpan w:val="10"/>
            <w:tcBorders>
              <w:tl2br w:val="nil"/>
              <w:tr2bl w:val="nil"/>
            </w:tcBorders>
            <w:noWrap w:val="0"/>
            <w:vAlign w:val="center"/>
          </w:tcPr>
          <w:p w14:paraId="03409E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房屋征收补偿结果计算表（全部产权调换）</w:t>
            </w:r>
          </w:p>
        </w:tc>
      </w:tr>
      <w:tr w14:paraId="065D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7" w:hRule="atLeast"/>
        </w:trPr>
        <w:tc>
          <w:tcPr>
            <w:tcW w:w="1280" w:type="dxa"/>
            <w:gridSpan w:val="2"/>
            <w:tcBorders>
              <w:tl2br w:val="nil"/>
              <w:tr2bl w:val="nil"/>
            </w:tcBorders>
            <w:noWrap w:val="0"/>
            <w:vAlign w:val="center"/>
          </w:tcPr>
          <w:p w14:paraId="2928DC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款项</w:t>
            </w:r>
          </w:p>
        </w:tc>
        <w:tc>
          <w:tcPr>
            <w:tcW w:w="3846" w:type="dxa"/>
            <w:gridSpan w:val="4"/>
            <w:tcBorders>
              <w:tl2br w:val="nil"/>
              <w:tr2bl w:val="nil"/>
            </w:tcBorders>
            <w:noWrap w:val="0"/>
            <w:vAlign w:val="center"/>
          </w:tcPr>
          <w:p w14:paraId="79A959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w:t>
            </w:r>
          </w:p>
        </w:tc>
        <w:tc>
          <w:tcPr>
            <w:tcW w:w="884" w:type="dxa"/>
            <w:tcBorders>
              <w:tl2br w:val="nil"/>
              <w:tr2bl w:val="nil"/>
            </w:tcBorders>
            <w:noWrap w:val="0"/>
            <w:vAlign w:val="center"/>
          </w:tcPr>
          <w:p w14:paraId="485D9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面积（㎡）</w:t>
            </w:r>
          </w:p>
        </w:tc>
        <w:tc>
          <w:tcPr>
            <w:tcW w:w="1711" w:type="dxa"/>
            <w:tcBorders>
              <w:tl2br w:val="nil"/>
              <w:tr2bl w:val="nil"/>
            </w:tcBorders>
            <w:noWrap w:val="0"/>
            <w:vAlign w:val="center"/>
          </w:tcPr>
          <w:p w14:paraId="4DD8BA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509" w:type="dxa"/>
            <w:tcBorders>
              <w:tl2br w:val="nil"/>
              <w:tr2bl w:val="nil"/>
            </w:tcBorders>
            <w:noWrap w:val="0"/>
            <w:vAlign w:val="center"/>
          </w:tcPr>
          <w:p w14:paraId="1139FC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系数</w:t>
            </w:r>
          </w:p>
        </w:tc>
        <w:tc>
          <w:tcPr>
            <w:tcW w:w="1130" w:type="dxa"/>
            <w:tcBorders>
              <w:tl2br w:val="nil"/>
              <w:tr2bl w:val="nil"/>
            </w:tcBorders>
            <w:noWrap w:val="0"/>
            <w:vAlign w:val="center"/>
          </w:tcPr>
          <w:p w14:paraId="28BDD6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14:paraId="6D1E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7" w:hRule="atLeast"/>
        </w:trPr>
        <w:tc>
          <w:tcPr>
            <w:tcW w:w="503" w:type="dxa"/>
            <w:vMerge w:val="restart"/>
            <w:tcBorders>
              <w:tl2br w:val="nil"/>
              <w:tr2bl w:val="nil"/>
            </w:tcBorders>
            <w:shd w:val="clear" w:color="auto" w:fill="auto"/>
            <w:noWrap w:val="0"/>
            <w:vAlign w:val="center"/>
          </w:tcPr>
          <w:p w14:paraId="32AC47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选房时结算的款项</w:t>
            </w:r>
          </w:p>
        </w:tc>
        <w:tc>
          <w:tcPr>
            <w:tcW w:w="777" w:type="dxa"/>
            <w:vMerge w:val="restart"/>
            <w:tcBorders>
              <w:tl2br w:val="nil"/>
              <w:tr2bl w:val="nil"/>
            </w:tcBorders>
            <w:shd w:val="clear" w:color="auto" w:fill="auto"/>
            <w:noWrap w:val="0"/>
            <w:vAlign w:val="center"/>
          </w:tcPr>
          <w:p w14:paraId="7A5FD2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各项补助</w:t>
            </w:r>
          </w:p>
          <w:p w14:paraId="28ED5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A</w:t>
            </w:r>
          </w:p>
        </w:tc>
        <w:tc>
          <w:tcPr>
            <w:tcW w:w="3846" w:type="dxa"/>
            <w:gridSpan w:val="4"/>
            <w:tcBorders>
              <w:tl2br w:val="nil"/>
              <w:tr2bl w:val="nil"/>
            </w:tcBorders>
            <w:shd w:val="clear" w:color="auto" w:fill="auto"/>
            <w:noWrap w:val="0"/>
            <w:vAlign w:val="center"/>
          </w:tcPr>
          <w:p w14:paraId="49ED16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搬迁补助</w:t>
            </w:r>
          </w:p>
        </w:tc>
        <w:tc>
          <w:tcPr>
            <w:tcW w:w="884" w:type="dxa"/>
            <w:tcBorders>
              <w:tl2br w:val="nil"/>
              <w:tr2bl w:val="nil"/>
            </w:tcBorders>
            <w:shd w:val="clear" w:color="auto" w:fill="auto"/>
            <w:noWrap w:val="0"/>
            <w:vAlign w:val="center"/>
          </w:tcPr>
          <w:p w14:paraId="0F51664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4E691E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r>
              <w:rPr>
                <w:rFonts w:hint="eastAsia" w:ascii="宋体" w:hAnsi="宋体" w:eastAsia="宋体" w:cs="宋体"/>
                <w:i w:val="0"/>
                <w:color w:val="auto"/>
                <w:kern w:val="0"/>
                <w:sz w:val="20"/>
                <w:szCs w:val="20"/>
                <w:highlight w:val="none"/>
                <w:u w:val="none"/>
                <w:lang w:val="en-US" w:eastAsia="zh-CN" w:bidi="ar"/>
              </w:rPr>
              <w:t>元/㎡</w:t>
            </w:r>
          </w:p>
        </w:tc>
        <w:tc>
          <w:tcPr>
            <w:tcW w:w="509" w:type="dxa"/>
            <w:tcBorders>
              <w:tl2br w:val="nil"/>
              <w:tr2bl w:val="nil"/>
            </w:tcBorders>
            <w:shd w:val="clear" w:color="auto" w:fill="C0C0C0"/>
            <w:noWrap w:val="0"/>
            <w:vAlign w:val="center"/>
          </w:tcPr>
          <w:p w14:paraId="190433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130" w:type="dxa"/>
            <w:tcBorders>
              <w:tl2br w:val="nil"/>
              <w:tr2bl w:val="nil"/>
            </w:tcBorders>
            <w:noWrap w:val="0"/>
            <w:vAlign w:val="center"/>
          </w:tcPr>
          <w:p w14:paraId="14B8607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41C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noWrap w:val="0"/>
            <w:vAlign w:val="center"/>
          </w:tcPr>
          <w:p w14:paraId="582ACB1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29346E9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noWrap w:val="0"/>
            <w:vAlign w:val="center"/>
          </w:tcPr>
          <w:p w14:paraId="517D04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临时过渡补助</w:t>
            </w:r>
          </w:p>
        </w:tc>
        <w:tc>
          <w:tcPr>
            <w:tcW w:w="884" w:type="dxa"/>
            <w:tcBorders>
              <w:tl2br w:val="nil"/>
              <w:tr2bl w:val="nil"/>
            </w:tcBorders>
            <w:shd w:val="clear" w:color="auto" w:fill="auto"/>
            <w:noWrap w:val="0"/>
            <w:vAlign w:val="center"/>
          </w:tcPr>
          <w:p w14:paraId="2F2CB79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610783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kern w:val="0"/>
                <w:sz w:val="18"/>
                <w:szCs w:val="18"/>
                <w:highlight w:val="none"/>
                <w:u w:val="none"/>
                <w:lang w:val="en-US" w:eastAsia="zh-CN" w:bidi="ar"/>
              </w:rPr>
              <w:t>10</w:t>
            </w:r>
            <w:r>
              <w:rPr>
                <w:rFonts w:hint="eastAsia" w:ascii="宋体" w:hAnsi="宋体" w:eastAsia="宋体" w:cs="宋体"/>
                <w:i w:val="0"/>
                <w:color w:val="auto"/>
                <w:kern w:val="0"/>
                <w:sz w:val="20"/>
                <w:szCs w:val="20"/>
                <w:highlight w:val="none"/>
                <w:u w:val="none"/>
                <w:lang w:val="en-US" w:eastAsia="zh-CN" w:bidi="ar"/>
              </w:rPr>
              <w:t>元/㎡/</w:t>
            </w:r>
            <w:r>
              <w:rPr>
                <w:rFonts w:hint="eastAsia" w:ascii="宋体" w:hAnsi="宋体" w:cs="宋体"/>
                <w:i w:val="0"/>
                <w:color w:val="auto"/>
                <w:kern w:val="0"/>
                <w:sz w:val="20"/>
                <w:szCs w:val="20"/>
                <w:highlight w:val="none"/>
                <w:u w:val="none"/>
                <w:lang w:val="en-US" w:eastAsia="zh-CN" w:bidi="ar"/>
              </w:rPr>
              <w:t>月</w:t>
            </w:r>
          </w:p>
        </w:tc>
        <w:tc>
          <w:tcPr>
            <w:tcW w:w="509" w:type="dxa"/>
            <w:tcBorders>
              <w:tl2br w:val="nil"/>
              <w:tr2bl w:val="nil"/>
            </w:tcBorders>
            <w:shd w:val="clear" w:color="auto" w:fill="FFFFFF"/>
            <w:noWrap w:val="0"/>
            <w:vAlign w:val="center"/>
          </w:tcPr>
          <w:p w14:paraId="7A992F8E">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0B4B20B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360E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noWrap w:val="0"/>
            <w:vAlign w:val="center"/>
          </w:tcPr>
          <w:p w14:paraId="21EFB60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7BDE09D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noWrap w:val="0"/>
            <w:vAlign w:val="center"/>
          </w:tcPr>
          <w:p w14:paraId="41832C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低保户/五保户/孤寡老人补助</w:t>
            </w:r>
          </w:p>
        </w:tc>
        <w:tc>
          <w:tcPr>
            <w:tcW w:w="884" w:type="dxa"/>
            <w:tcBorders>
              <w:tl2br w:val="nil"/>
              <w:tr2bl w:val="nil"/>
            </w:tcBorders>
            <w:shd w:val="clear" w:color="auto" w:fill="auto"/>
            <w:noWrap w:val="0"/>
            <w:vAlign w:val="center"/>
          </w:tcPr>
          <w:p w14:paraId="7570B84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600E67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kern w:val="0"/>
                <w:sz w:val="18"/>
                <w:szCs w:val="18"/>
                <w:highlight w:val="none"/>
                <w:u w:val="none"/>
                <w:lang w:val="en-US" w:eastAsia="zh-CN" w:bidi="ar"/>
              </w:rPr>
              <w:t>30000</w:t>
            </w:r>
            <w:r>
              <w:rPr>
                <w:rFonts w:hint="eastAsia" w:ascii="宋体" w:hAnsi="宋体" w:cs="宋体"/>
                <w:i w:val="0"/>
                <w:color w:val="auto"/>
                <w:kern w:val="0"/>
                <w:sz w:val="18"/>
                <w:szCs w:val="18"/>
                <w:highlight w:val="none"/>
                <w:u w:val="none"/>
                <w:lang w:val="en-US" w:eastAsia="zh-CN" w:bidi="ar"/>
              </w:rPr>
              <w:t>元/户</w:t>
            </w:r>
          </w:p>
        </w:tc>
        <w:tc>
          <w:tcPr>
            <w:tcW w:w="509" w:type="dxa"/>
            <w:tcBorders>
              <w:tl2br w:val="nil"/>
              <w:tr2bl w:val="nil"/>
            </w:tcBorders>
            <w:shd w:val="clear" w:color="auto" w:fill="C0C0C0"/>
            <w:noWrap w:val="0"/>
            <w:vAlign w:val="center"/>
          </w:tcPr>
          <w:p w14:paraId="7F3C89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7B59E3E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60B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503" w:type="dxa"/>
            <w:vMerge w:val="continue"/>
            <w:tcBorders>
              <w:tl2br w:val="nil"/>
              <w:tr2bl w:val="nil"/>
            </w:tcBorders>
            <w:shd w:val="clear" w:color="auto" w:fill="auto"/>
            <w:noWrap w:val="0"/>
            <w:vAlign w:val="center"/>
          </w:tcPr>
          <w:p w14:paraId="535130B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restart"/>
            <w:tcBorders>
              <w:tl2br w:val="nil"/>
              <w:tr2bl w:val="nil"/>
            </w:tcBorders>
            <w:shd w:val="clear" w:color="auto" w:fill="auto"/>
            <w:noWrap w:val="0"/>
            <w:vAlign w:val="center"/>
          </w:tcPr>
          <w:p w14:paraId="29CEAA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建筑占地补偿</w:t>
            </w:r>
          </w:p>
        </w:tc>
        <w:tc>
          <w:tcPr>
            <w:tcW w:w="2185" w:type="dxa"/>
            <w:gridSpan w:val="3"/>
            <w:vMerge w:val="restart"/>
            <w:tcBorders>
              <w:tl2br w:val="nil"/>
              <w:tr2bl w:val="nil"/>
            </w:tcBorders>
            <w:shd w:val="clear" w:color="auto" w:fill="auto"/>
            <w:noWrap w:val="0"/>
            <w:vAlign w:val="center"/>
          </w:tcPr>
          <w:p w14:paraId="4528D5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认定不予补偿安置建筑占地(g)</w:t>
            </w:r>
          </w:p>
        </w:tc>
        <w:tc>
          <w:tcPr>
            <w:tcW w:w="1661" w:type="dxa"/>
            <w:tcBorders>
              <w:tl2br w:val="nil"/>
              <w:tr2bl w:val="nil"/>
            </w:tcBorders>
            <w:shd w:val="clear" w:color="auto" w:fill="auto"/>
            <w:noWrap w:val="0"/>
            <w:vAlign w:val="center"/>
          </w:tcPr>
          <w:p w14:paraId="18A526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884" w:type="dxa"/>
            <w:tcBorders>
              <w:tl2br w:val="nil"/>
              <w:tr2bl w:val="nil"/>
            </w:tcBorders>
            <w:shd w:val="clear" w:color="auto" w:fill="auto"/>
            <w:noWrap w:val="0"/>
            <w:vAlign w:val="center"/>
          </w:tcPr>
          <w:p w14:paraId="596C96B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580A2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64.5</w:t>
            </w:r>
            <w:r>
              <w:rPr>
                <w:rFonts w:hint="eastAsia" w:ascii="宋体" w:hAnsi="宋体" w:eastAsia="宋体" w:cs="宋体"/>
                <w:i w:val="0"/>
                <w:color w:val="auto"/>
                <w:kern w:val="0"/>
                <w:sz w:val="20"/>
                <w:szCs w:val="20"/>
                <w:highlight w:val="none"/>
                <w:u w:val="none"/>
                <w:lang w:val="en-US" w:eastAsia="zh-CN" w:bidi="ar"/>
              </w:rPr>
              <w:t>元/㎡</w:t>
            </w:r>
          </w:p>
          <w:p w14:paraId="275671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（4.3万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509" w:type="dxa"/>
            <w:tcBorders>
              <w:tl2br w:val="nil"/>
              <w:tr2bl w:val="nil"/>
            </w:tcBorders>
            <w:shd w:val="clear" w:color="auto" w:fill="C0C0C0"/>
            <w:noWrap w:val="0"/>
            <w:vAlign w:val="center"/>
          </w:tcPr>
          <w:p w14:paraId="673E39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3E1EC29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0FB6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2" w:hRule="atLeast"/>
        </w:trPr>
        <w:tc>
          <w:tcPr>
            <w:tcW w:w="503" w:type="dxa"/>
            <w:vMerge w:val="continue"/>
            <w:tcBorders>
              <w:tl2br w:val="nil"/>
              <w:tr2bl w:val="nil"/>
            </w:tcBorders>
            <w:shd w:val="clear" w:color="auto" w:fill="auto"/>
            <w:noWrap w:val="0"/>
            <w:vAlign w:val="center"/>
          </w:tcPr>
          <w:p w14:paraId="7A1FA81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3C2ED4C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185" w:type="dxa"/>
            <w:gridSpan w:val="3"/>
            <w:vMerge w:val="continue"/>
            <w:tcBorders>
              <w:tl2br w:val="nil"/>
              <w:tr2bl w:val="nil"/>
            </w:tcBorders>
            <w:shd w:val="clear" w:color="auto" w:fill="auto"/>
            <w:noWrap w:val="0"/>
            <w:vAlign w:val="center"/>
          </w:tcPr>
          <w:p w14:paraId="208BA77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661" w:type="dxa"/>
            <w:tcBorders>
              <w:tl2br w:val="nil"/>
              <w:tr2bl w:val="nil"/>
            </w:tcBorders>
            <w:shd w:val="clear" w:color="auto" w:fill="auto"/>
            <w:noWrap w:val="0"/>
            <w:vAlign w:val="center"/>
          </w:tcPr>
          <w:p w14:paraId="2893C7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884" w:type="dxa"/>
            <w:tcBorders>
              <w:tl2br w:val="nil"/>
              <w:tr2bl w:val="nil"/>
            </w:tcBorders>
            <w:shd w:val="clear" w:color="auto" w:fill="auto"/>
            <w:noWrap w:val="0"/>
            <w:vAlign w:val="center"/>
          </w:tcPr>
          <w:p w14:paraId="4CC6537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14777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210</w:t>
            </w:r>
            <w:r>
              <w:rPr>
                <w:rFonts w:hint="eastAsia" w:ascii="宋体" w:hAnsi="宋体" w:eastAsia="宋体" w:cs="宋体"/>
                <w:i w:val="0"/>
                <w:color w:val="auto"/>
                <w:kern w:val="0"/>
                <w:sz w:val="20"/>
                <w:szCs w:val="20"/>
                <w:highlight w:val="none"/>
                <w:u w:val="none"/>
                <w:lang w:val="en-US" w:eastAsia="zh-CN" w:bidi="ar"/>
              </w:rPr>
              <w:t>元/㎡</w:t>
            </w:r>
          </w:p>
          <w:p w14:paraId="6DF1F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509" w:type="dxa"/>
            <w:tcBorders>
              <w:tl2br w:val="nil"/>
              <w:tr2bl w:val="nil"/>
            </w:tcBorders>
            <w:shd w:val="clear" w:color="auto" w:fill="C0C0C0"/>
            <w:noWrap w:val="0"/>
            <w:vAlign w:val="center"/>
          </w:tcPr>
          <w:p w14:paraId="0D7578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64CE8BF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0340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shd w:val="clear" w:color="auto" w:fill="auto"/>
            <w:noWrap w:val="0"/>
            <w:vAlign w:val="center"/>
          </w:tcPr>
          <w:p w14:paraId="1CB84E5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restart"/>
            <w:tcBorders>
              <w:tl2br w:val="nil"/>
              <w:tr2bl w:val="nil"/>
            </w:tcBorders>
            <w:shd w:val="clear" w:color="auto" w:fill="auto"/>
            <w:noWrap w:val="0"/>
            <w:vAlign w:val="center"/>
          </w:tcPr>
          <w:p w14:paraId="239790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埕空地补偿</w:t>
            </w:r>
          </w:p>
        </w:tc>
        <w:tc>
          <w:tcPr>
            <w:tcW w:w="2185" w:type="dxa"/>
            <w:gridSpan w:val="3"/>
            <w:vMerge w:val="restart"/>
            <w:tcBorders>
              <w:tl2br w:val="nil"/>
              <w:tr2bl w:val="nil"/>
            </w:tcBorders>
            <w:shd w:val="clear" w:color="auto" w:fill="auto"/>
            <w:noWrap w:val="0"/>
            <w:vAlign w:val="center"/>
          </w:tcPr>
          <w:p w14:paraId="755ACE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确权的埕空地</w:t>
            </w:r>
          </w:p>
        </w:tc>
        <w:tc>
          <w:tcPr>
            <w:tcW w:w="1661" w:type="dxa"/>
            <w:tcBorders>
              <w:tl2br w:val="nil"/>
              <w:tr2bl w:val="nil"/>
            </w:tcBorders>
            <w:shd w:val="clear" w:color="auto" w:fill="auto"/>
            <w:noWrap w:val="0"/>
            <w:vAlign w:val="center"/>
          </w:tcPr>
          <w:p w14:paraId="7E4DB2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出让</w:t>
            </w:r>
          </w:p>
        </w:tc>
        <w:tc>
          <w:tcPr>
            <w:tcW w:w="884" w:type="dxa"/>
            <w:tcBorders>
              <w:tl2br w:val="nil"/>
              <w:tr2bl w:val="nil"/>
            </w:tcBorders>
            <w:shd w:val="clear" w:color="auto" w:fill="auto"/>
            <w:noWrap w:val="0"/>
            <w:vAlign w:val="center"/>
          </w:tcPr>
          <w:p w14:paraId="47A6BBB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4A1B3B4B">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3D00B1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0A72951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C10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shd w:val="clear" w:color="auto" w:fill="auto"/>
            <w:noWrap w:val="0"/>
            <w:vAlign w:val="center"/>
          </w:tcPr>
          <w:p w14:paraId="7844865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1A9F278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185" w:type="dxa"/>
            <w:gridSpan w:val="3"/>
            <w:vMerge w:val="continue"/>
            <w:tcBorders>
              <w:tl2br w:val="nil"/>
              <w:tr2bl w:val="nil"/>
            </w:tcBorders>
            <w:shd w:val="clear" w:color="auto" w:fill="auto"/>
            <w:noWrap w:val="0"/>
            <w:vAlign w:val="center"/>
          </w:tcPr>
          <w:p w14:paraId="12D707C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661" w:type="dxa"/>
            <w:tcBorders>
              <w:tl2br w:val="nil"/>
              <w:tr2bl w:val="nil"/>
            </w:tcBorders>
            <w:shd w:val="clear" w:color="auto" w:fill="auto"/>
            <w:noWrap w:val="0"/>
            <w:vAlign w:val="center"/>
          </w:tcPr>
          <w:p w14:paraId="5FCE78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划拨及集体</w:t>
            </w:r>
          </w:p>
        </w:tc>
        <w:tc>
          <w:tcPr>
            <w:tcW w:w="884" w:type="dxa"/>
            <w:tcBorders>
              <w:tl2br w:val="nil"/>
              <w:tr2bl w:val="nil"/>
            </w:tcBorders>
            <w:shd w:val="clear" w:color="auto" w:fill="auto"/>
            <w:noWrap w:val="0"/>
            <w:vAlign w:val="center"/>
          </w:tcPr>
          <w:p w14:paraId="5FF3D11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3B87925B">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76BB8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60%</w:t>
            </w:r>
          </w:p>
        </w:tc>
        <w:tc>
          <w:tcPr>
            <w:tcW w:w="1130" w:type="dxa"/>
            <w:tcBorders>
              <w:tl2br w:val="nil"/>
              <w:tr2bl w:val="nil"/>
            </w:tcBorders>
            <w:noWrap w:val="0"/>
            <w:vAlign w:val="center"/>
          </w:tcPr>
          <w:p w14:paraId="4A8322D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63A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7" w:hRule="atLeast"/>
        </w:trPr>
        <w:tc>
          <w:tcPr>
            <w:tcW w:w="503" w:type="dxa"/>
            <w:vMerge w:val="continue"/>
            <w:tcBorders>
              <w:tl2br w:val="nil"/>
              <w:tr2bl w:val="nil"/>
            </w:tcBorders>
            <w:shd w:val="clear" w:color="auto" w:fill="auto"/>
            <w:noWrap w:val="0"/>
            <w:vAlign w:val="center"/>
          </w:tcPr>
          <w:p w14:paraId="3138F7C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0CD45B5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noWrap w:val="0"/>
            <w:vAlign w:val="center"/>
          </w:tcPr>
          <w:p w14:paraId="7D2326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清理手续的埕空地</w:t>
            </w:r>
          </w:p>
        </w:tc>
        <w:tc>
          <w:tcPr>
            <w:tcW w:w="884" w:type="dxa"/>
            <w:tcBorders>
              <w:tl2br w:val="nil"/>
              <w:tr2bl w:val="nil"/>
            </w:tcBorders>
            <w:shd w:val="clear" w:color="auto" w:fill="auto"/>
            <w:noWrap w:val="0"/>
            <w:vAlign w:val="center"/>
          </w:tcPr>
          <w:p w14:paraId="4945A8F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512FF18E">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7806F3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40%</w:t>
            </w:r>
          </w:p>
        </w:tc>
        <w:tc>
          <w:tcPr>
            <w:tcW w:w="1130" w:type="dxa"/>
            <w:tcBorders>
              <w:tl2br w:val="nil"/>
              <w:tr2bl w:val="nil"/>
            </w:tcBorders>
            <w:noWrap w:val="0"/>
            <w:vAlign w:val="center"/>
          </w:tcPr>
          <w:p w14:paraId="5E35A09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8E6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shd w:val="clear" w:color="auto" w:fill="auto"/>
            <w:noWrap w:val="0"/>
            <w:vAlign w:val="center"/>
          </w:tcPr>
          <w:p w14:paraId="28E6AD8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58C5C02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78" w:type="dxa"/>
            <w:gridSpan w:val="2"/>
            <w:vMerge w:val="restart"/>
            <w:tcBorders>
              <w:tl2br w:val="nil"/>
              <w:tr2bl w:val="nil"/>
            </w:tcBorders>
            <w:shd w:val="clear" w:color="auto" w:fill="auto"/>
            <w:noWrap w:val="0"/>
            <w:vAlign w:val="center"/>
          </w:tcPr>
          <w:p w14:paraId="78E36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无手续的埕空地  </w:t>
            </w:r>
          </w:p>
        </w:tc>
        <w:tc>
          <w:tcPr>
            <w:tcW w:w="2068" w:type="dxa"/>
            <w:gridSpan w:val="2"/>
            <w:tcBorders>
              <w:tl2br w:val="nil"/>
              <w:tr2bl w:val="nil"/>
            </w:tcBorders>
            <w:shd w:val="clear" w:color="auto" w:fill="auto"/>
            <w:noWrap w:val="0"/>
            <w:vAlign w:val="center"/>
          </w:tcPr>
          <w:p w14:paraId="6CC3E6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884" w:type="dxa"/>
            <w:tcBorders>
              <w:tl2br w:val="nil"/>
              <w:tr2bl w:val="nil"/>
            </w:tcBorders>
            <w:shd w:val="clear" w:color="auto" w:fill="auto"/>
            <w:noWrap w:val="0"/>
            <w:vAlign w:val="center"/>
          </w:tcPr>
          <w:p w14:paraId="15B3ADC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38062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64.5</w:t>
            </w:r>
            <w:r>
              <w:rPr>
                <w:rFonts w:hint="eastAsia" w:ascii="宋体" w:hAnsi="宋体" w:eastAsia="宋体" w:cs="宋体"/>
                <w:i w:val="0"/>
                <w:color w:val="auto"/>
                <w:kern w:val="0"/>
                <w:sz w:val="20"/>
                <w:szCs w:val="20"/>
                <w:highlight w:val="none"/>
                <w:u w:val="none"/>
                <w:lang w:val="en-US" w:eastAsia="zh-CN" w:bidi="ar"/>
              </w:rPr>
              <w:t>元/㎡</w:t>
            </w:r>
          </w:p>
          <w:p w14:paraId="4E976A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（4.3万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509" w:type="dxa"/>
            <w:tcBorders>
              <w:tl2br w:val="nil"/>
              <w:tr2bl w:val="nil"/>
            </w:tcBorders>
            <w:shd w:val="clear" w:color="auto" w:fill="C0C0C0"/>
            <w:noWrap w:val="0"/>
            <w:vAlign w:val="center"/>
          </w:tcPr>
          <w:p w14:paraId="14BB65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7A32991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4CB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503" w:type="dxa"/>
            <w:vMerge w:val="continue"/>
            <w:tcBorders>
              <w:tl2br w:val="nil"/>
              <w:tr2bl w:val="nil"/>
            </w:tcBorders>
            <w:shd w:val="clear" w:color="auto" w:fill="auto"/>
            <w:noWrap w:val="0"/>
            <w:vAlign w:val="center"/>
          </w:tcPr>
          <w:p w14:paraId="5DAB309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5D7C3E2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78" w:type="dxa"/>
            <w:gridSpan w:val="2"/>
            <w:vMerge w:val="continue"/>
            <w:tcBorders>
              <w:tl2br w:val="nil"/>
              <w:tr2bl w:val="nil"/>
            </w:tcBorders>
            <w:shd w:val="clear" w:color="auto" w:fill="auto"/>
            <w:noWrap w:val="0"/>
            <w:vAlign w:val="center"/>
          </w:tcPr>
          <w:p w14:paraId="6D4EFC0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68" w:type="dxa"/>
            <w:gridSpan w:val="2"/>
            <w:tcBorders>
              <w:tl2br w:val="nil"/>
              <w:tr2bl w:val="nil"/>
            </w:tcBorders>
            <w:shd w:val="clear" w:color="auto" w:fill="auto"/>
            <w:noWrap w:val="0"/>
            <w:vAlign w:val="center"/>
          </w:tcPr>
          <w:p w14:paraId="5ABE1A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884" w:type="dxa"/>
            <w:tcBorders>
              <w:tl2br w:val="nil"/>
              <w:tr2bl w:val="nil"/>
            </w:tcBorders>
            <w:shd w:val="clear" w:color="auto" w:fill="auto"/>
            <w:noWrap w:val="0"/>
            <w:vAlign w:val="center"/>
          </w:tcPr>
          <w:p w14:paraId="74EBF2A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2808FD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210</w:t>
            </w:r>
            <w:r>
              <w:rPr>
                <w:rFonts w:hint="eastAsia" w:ascii="宋体" w:hAnsi="宋体" w:eastAsia="宋体" w:cs="宋体"/>
                <w:i w:val="0"/>
                <w:color w:val="auto"/>
                <w:kern w:val="0"/>
                <w:sz w:val="20"/>
                <w:szCs w:val="20"/>
                <w:highlight w:val="none"/>
                <w:u w:val="none"/>
                <w:lang w:val="en-US" w:eastAsia="zh-CN" w:bidi="ar"/>
              </w:rPr>
              <w:t>元/㎡</w:t>
            </w:r>
          </w:p>
          <w:p w14:paraId="2CC45C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509" w:type="dxa"/>
            <w:tcBorders>
              <w:tl2br w:val="nil"/>
              <w:tr2bl w:val="nil"/>
            </w:tcBorders>
            <w:shd w:val="clear" w:color="auto" w:fill="C0C0C0"/>
            <w:noWrap w:val="0"/>
            <w:vAlign w:val="center"/>
          </w:tcPr>
          <w:p w14:paraId="599F4F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493308D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A75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noWrap w:val="0"/>
            <w:vAlign w:val="center"/>
          </w:tcPr>
          <w:p w14:paraId="651A2E5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restart"/>
            <w:tcBorders>
              <w:tl2br w:val="nil"/>
              <w:tr2bl w:val="nil"/>
            </w:tcBorders>
            <w:noWrap w:val="0"/>
            <w:vAlign w:val="center"/>
          </w:tcPr>
          <w:p w14:paraId="16004D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建筑物补偿</w:t>
            </w:r>
          </w:p>
        </w:tc>
        <w:tc>
          <w:tcPr>
            <w:tcW w:w="3846" w:type="dxa"/>
            <w:gridSpan w:val="4"/>
            <w:vMerge w:val="restart"/>
            <w:tcBorders>
              <w:tl2br w:val="nil"/>
              <w:tr2bl w:val="nil"/>
            </w:tcBorders>
            <w:noWrap w:val="0"/>
            <w:vAlign w:val="center"/>
          </w:tcPr>
          <w:p w14:paraId="7DDFC9C2">
            <w:pPr>
              <w:keepNext w:val="0"/>
              <w:keepLines w:val="0"/>
              <w:widowControl/>
              <w:suppressLineNumbers w:val="0"/>
              <w:spacing w:before="0" w:beforeAutospacing="0" w:after="0" w:afterAutospacing="0"/>
              <w:ind w:left="0" w:right="0" w:firstLine="200" w:firstLineChars="10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认定不予补偿安置面积的重置价    (h)    </w:t>
            </w:r>
          </w:p>
        </w:tc>
        <w:tc>
          <w:tcPr>
            <w:tcW w:w="884" w:type="dxa"/>
            <w:tcBorders>
              <w:tl2br w:val="nil"/>
              <w:tr2bl w:val="nil"/>
            </w:tcBorders>
            <w:noWrap w:val="0"/>
            <w:vAlign w:val="center"/>
          </w:tcPr>
          <w:p w14:paraId="4C508B5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noWrap w:val="0"/>
            <w:vAlign w:val="center"/>
          </w:tcPr>
          <w:p w14:paraId="352A252E">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noWrap w:val="0"/>
            <w:vAlign w:val="center"/>
          </w:tcPr>
          <w:p w14:paraId="66F34A33">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09744A7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FE8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03" w:type="dxa"/>
            <w:vMerge w:val="continue"/>
            <w:tcBorders>
              <w:tl2br w:val="nil"/>
              <w:tr2bl w:val="nil"/>
            </w:tcBorders>
            <w:noWrap w:val="0"/>
            <w:vAlign w:val="center"/>
          </w:tcPr>
          <w:p w14:paraId="3612FDA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noWrap w:val="0"/>
            <w:vAlign w:val="center"/>
          </w:tcPr>
          <w:p w14:paraId="7ACD3A3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continue"/>
            <w:tcBorders>
              <w:tl2br w:val="nil"/>
              <w:tr2bl w:val="nil"/>
            </w:tcBorders>
            <w:noWrap w:val="0"/>
            <w:vAlign w:val="center"/>
          </w:tcPr>
          <w:p w14:paraId="7D093EC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4" w:type="dxa"/>
            <w:tcBorders>
              <w:tl2br w:val="nil"/>
              <w:tr2bl w:val="nil"/>
            </w:tcBorders>
            <w:noWrap w:val="0"/>
            <w:vAlign w:val="center"/>
          </w:tcPr>
          <w:p w14:paraId="6DCCF20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noWrap w:val="0"/>
            <w:vAlign w:val="center"/>
          </w:tcPr>
          <w:p w14:paraId="45DDC257">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noWrap w:val="0"/>
            <w:vAlign w:val="center"/>
          </w:tcPr>
          <w:p w14:paraId="08A2E5DC">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4A20471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1C8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noWrap w:val="0"/>
            <w:vAlign w:val="center"/>
          </w:tcPr>
          <w:p w14:paraId="60FE436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noWrap w:val="0"/>
            <w:vAlign w:val="center"/>
          </w:tcPr>
          <w:p w14:paraId="2515905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restart"/>
            <w:tcBorders>
              <w:tl2br w:val="nil"/>
              <w:tr2bl w:val="nil"/>
            </w:tcBorders>
            <w:noWrap w:val="0"/>
            <w:vAlign w:val="center"/>
          </w:tcPr>
          <w:p w14:paraId="5C9CAEB4">
            <w:pPr>
              <w:keepNext w:val="0"/>
              <w:keepLines w:val="0"/>
              <w:widowControl/>
              <w:suppressLineNumbers w:val="0"/>
              <w:spacing w:before="0" w:beforeAutospacing="0" w:after="0" w:afterAutospacing="0"/>
              <w:ind w:left="0" w:right="0" w:firstLine="200" w:firstLineChars="10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认定补偿安置面积的二次装修      B</w:t>
            </w:r>
          </w:p>
        </w:tc>
        <w:tc>
          <w:tcPr>
            <w:tcW w:w="884" w:type="dxa"/>
            <w:tcBorders>
              <w:tl2br w:val="nil"/>
              <w:tr2bl w:val="nil"/>
            </w:tcBorders>
            <w:noWrap w:val="0"/>
            <w:vAlign w:val="center"/>
          </w:tcPr>
          <w:p w14:paraId="1B8ED65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noWrap w:val="0"/>
            <w:vAlign w:val="center"/>
          </w:tcPr>
          <w:p w14:paraId="345CD75B">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noWrap w:val="0"/>
            <w:vAlign w:val="center"/>
          </w:tcPr>
          <w:p w14:paraId="7BA3E2F5">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2169055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536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03" w:type="dxa"/>
            <w:vMerge w:val="continue"/>
            <w:tcBorders>
              <w:tl2br w:val="nil"/>
              <w:tr2bl w:val="nil"/>
            </w:tcBorders>
            <w:noWrap w:val="0"/>
            <w:vAlign w:val="center"/>
          </w:tcPr>
          <w:p w14:paraId="751C978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noWrap w:val="0"/>
            <w:vAlign w:val="center"/>
          </w:tcPr>
          <w:p w14:paraId="0364502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continue"/>
            <w:tcBorders>
              <w:tl2br w:val="nil"/>
              <w:tr2bl w:val="nil"/>
            </w:tcBorders>
            <w:noWrap w:val="0"/>
            <w:vAlign w:val="center"/>
          </w:tcPr>
          <w:p w14:paraId="2A06835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4" w:type="dxa"/>
            <w:tcBorders>
              <w:tl2br w:val="nil"/>
              <w:tr2bl w:val="nil"/>
            </w:tcBorders>
            <w:noWrap w:val="0"/>
            <w:vAlign w:val="center"/>
          </w:tcPr>
          <w:p w14:paraId="76CDF52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noWrap w:val="0"/>
            <w:vAlign w:val="center"/>
          </w:tcPr>
          <w:p w14:paraId="71F33923">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noWrap w:val="0"/>
            <w:vAlign w:val="center"/>
          </w:tcPr>
          <w:p w14:paraId="4C377A53">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4B06F44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3770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noWrap w:val="0"/>
            <w:vAlign w:val="center"/>
          </w:tcPr>
          <w:p w14:paraId="3045AE8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noWrap w:val="0"/>
            <w:vAlign w:val="center"/>
          </w:tcPr>
          <w:p w14:paraId="341A895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restart"/>
            <w:tcBorders>
              <w:tl2br w:val="nil"/>
              <w:tr2bl w:val="nil"/>
            </w:tcBorders>
            <w:noWrap w:val="0"/>
            <w:vAlign w:val="center"/>
          </w:tcPr>
          <w:p w14:paraId="4BE193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认定不予补偿安置面积的二次装修    (i)</w:t>
            </w:r>
          </w:p>
        </w:tc>
        <w:tc>
          <w:tcPr>
            <w:tcW w:w="884" w:type="dxa"/>
            <w:tcBorders>
              <w:tl2br w:val="nil"/>
              <w:tr2bl w:val="nil"/>
            </w:tcBorders>
            <w:noWrap w:val="0"/>
            <w:vAlign w:val="center"/>
          </w:tcPr>
          <w:p w14:paraId="5567BA9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noWrap w:val="0"/>
            <w:vAlign w:val="center"/>
          </w:tcPr>
          <w:p w14:paraId="21246681">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noWrap w:val="0"/>
            <w:vAlign w:val="center"/>
          </w:tcPr>
          <w:p w14:paraId="12E1A77C">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5110928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225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 w:hRule="atLeast"/>
        </w:trPr>
        <w:tc>
          <w:tcPr>
            <w:tcW w:w="503" w:type="dxa"/>
            <w:vMerge w:val="continue"/>
            <w:tcBorders>
              <w:tl2br w:val="nil"/>
              <w:tr2bl w:val="nil"/>
            </w:tcBorders>
            <w:noWrap w:val="0"/>
            <w:vAlign w:val="center"/>
          </w:tcPr>
          <w:p w14:paraId="6987068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noWrap w:val="0"/>
            <w:vAlign w:val="center"/>
          </w:tcPr>
          <w:p w14:paraId="18C9A47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continue"/>
            <w:tcBorders>
              <w:tl2br w:val="nil"/>
              <w:tr2bl w:val="nil"/>
            </w:tcBorders>
            <w:noWrap w:val="0"/>
            <w:vAlign w:val="center"/>
          </w:tcPr>
          <w:p w14:paraId="67EE10A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4" w:type="dxa"/>
            <w:tcBorders>
              <w:tl2br w:val="nil"/>
              <w:tr2bl w:val="nil"/>
            </w:tcBorders>
            <w:noWrap w:val="0"/>
            <w:vAlign w:val="center"/>
          </w:tcPr>
          <w:p w14:paraId="1E2773D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noWrap w:val="0"/>
            <w:vAlign w:val="center"/>
          </w:tcPr>
          <w:p w14:paraId="4B1E4A1A">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noWrap w:val="0"/>
            <w:vAlign w:val="center"/>
          </w:tcPr>
          <w:p w14:paraId="1FFF6118">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54C3855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0AF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noWrap w:val="0"/>
            <w:vAlign w:val="center"/>
          </w:tcPr>
          <w:p w14:paraId="47C2518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restart"/>
            <w:tcBorders>
              <w:tl2br w:val="nil"/>
              <w:tr2bl w:val="nil"/>
            </w:tcBorders>
            <w:shd w:val="clear" w:color="auto" w:fill="auto"/>
            <w:noWrap w:val="0"/>
            <w:vAlign w:val="center"/>
          </w:tcPr>
          <w:p w14:paraId="4C1A71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各项</w:t>
            </w:r>
          </w:p>
          <w:p w14:paraId="744C85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奖励</w:t>
            </w:r>
          </w:p>
          <w:p w14:paraId="5CE32C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w:t>
            </w:r>
          </w:p>
        </w:tc>
        <w:tc>
          <w:tcPr>
            <w:tcW w:w="3846" w:type="dxa"/>
            <w:gridSpan w:val="4"/>
            <w:tcBorders>
              <w:tl2br w:val="nil"/>
              <w:tr2bl w:val="nil"/>
            </w:tcBorders>
            <w:shd w:val="clear" w:color="auto" w:fill="auto"/>
            <w:noWrap w:val="0"/>
            <w:vAlign w:val="center"/>
          </w:tcPr>
          <w:p w14:paraId="75948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按时签约奖励</w:t>
            </w:r>
          </w:p>
        </w:tc>
        <w:tc>
          <w:tcPr>
            <w:tcW w:w="884" w:type="dxa"/>
            <w:tcBorders>
              <w:tl2br w:val="nil"/>
              <w:tr2bl w:val="nil"/>
            </w:tcBorders>
            <w:shd w:val="clear" w:color="auto" w:fill="auto"/>
            <w:noWrap w:val="0"/>
            <w:vAlign w:val="center"/>
          </w:tcPr>
          <w:p w14:paraId="5AECCD3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01DB62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3</w:t>
            </w:r>
            <w:r>
              <w:rPr>
                <w:rFonts w:hint="eastAsia" w:ascii="宋体" w:hAnsi="宋体" w:eastAsia="宋体" w:cs="宋体"/>
                <w:i w:val="0"/>
                <w:color w:val="auto"/>
                <w:kern w:val="0"/>
                <w:sz w:val="18"/>
                <w:szCs w:val="18"/>
                <w:highlight w:val="none"/>
                <w:u w:val="none"/>
                <w:lang w:val="en-US" w:eastAsia="zh-CN" w:bidi="ar"/>
              </w:rPr>
              <w:t>00</w:t>
            </w:r>
            <w:r>
              <w:rPr>
                <w:rFonts w:hint="eastAsia" w:ascii="宋体" w:hAnsi="宋体" w:eastAsia="宋体" w:cs="宋体"/>
                <w:i w:val="0"/>
                <w:color w:val="auto"/>
                <w:kern w:val="0"/>
                <w:sz w:val="20"/>
                <w:szCs w:val="20"/>
                <w:highlight w:val="none"/>
                <w:u w:val="none"/>
                <w:lang w:val="en-US" w:eastAsia="zh-CN" w:bidi="ar"/>
              </w:rPr>
              <w:t>元/㎡</w:t>
            </w:r>
          </w:p>
        </w:tc>
        <w:tc>
          <w:tcPr>
            <w:tcW w:w="509" w:type="dxa"/>
            <w:tcBorders>
              <w:tl2br w:val="nil"/>
              <w:tr2bl w:val="nil"/>
            </w:tcBorders>
            <w:shd w:val="clear" w:color="auto" w:fill="C0C0C0"/>
            <w:noWrap w:val="0"/>
            <w:vAlign w:val="center"/>
          </w:tcPr>
          <w:p w14:paraId="2A2B7B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4D4F72B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010D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noWrap w:val="0"/>
            <w:vAlign w:val="center"/>
          </w:tcPr>
          <w:p w14:paraId="67C7C7C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1AA9DBB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noWrap w:val="0"/>
            <w:vAlign w:val="center"/>
          </w:tcPr>
          <w:p w14:paraId="7D08D1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自行</w:t>
            </w:r>
            <w:r>
              <w:rPr>
                <w:rFonts w:hint="eastAsia" w:ascii="宋体" w:hAnsi="宋体" w:eastAsia="宋体" w:cs="宋体"/>
                <w:i w:val="0"/>
                <w:color w:val="auto"/>
                <w:kern w:val="0"/>
                <w:sz w:val="20"/>
                <w:szCs w:val="20"/>
                <w:highlight w:val="none"/>
                <w:u w:val="none"/>
                <w:lang w:val="en-US" w:eastAsia="zh-CN" w:bidi="ar"/>
              </w:rPr>
              <w:t>封房</w:t>
            </w:r>
            <w:r>
              <w:rPr>
                <w:rFonts w:hint="eastAsia" w:ascii="宋体" w:hAnsi="宋体" w:cs="宋体"/>
                <w:i w:val="0"/>
                <w:color w:val="auto"/>
                <w:kern w:val="0"/>
                <w:sz w:val="20"/>
                <w:szCs w:val="20"/>
                <w:highlight w:val="none"/>
                <w:u w:val="none"/>
                <w:lang w:val="en-US" w:eastAsia="zh-CN" w:bidi="ar"/>
              </w:rPr>
              <w:t>交拆</w:t>
            </w:r>
            <w:r>
              <w:rPr>
                <w:rFonts w:hint="eastAsia" w:ascii="宋体" w:hAnsi="宋体" w:eastAsia="宋体" w:cs="宋体"/>
                <w:i w:val="0"/>
                <w:color w:val="auto"/>
                <w:kern w:val="0"/>
                <w:sz w:val="20"/>
                <w:szCs w:val="20"/>
                <w:highlight w:val="none"/>
                <w:u w:val="none"/>
                <w:lang w:val="en-US" w:eastAsia="zh-CN" w:bidi="ar"/>
              </w:rPr>
              <w:t>奖励</w:t>
            </w:r>
          </w:p>
        </w:tc>
        <w:tc>
          <w:tcPr>
            <w:tcW w:w="884" w:type="dxa"/>
            <w:tcBorders>
              <w:tl2br w:val="nil"/>
              <w:tr2bl w:val="nil"/>
            </w:tcBorders>
            <w:shd w:val="clear" w:color="auto" w:fill="auto"/>
            <w:noWrap w:val="0"/>
            <w:vAlign w:val="center"/>
          </w:tcPr>
          <w:p w14:paraId="2D32272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716D7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4</w:t>
            </w:r>
            <w:r>
              <w:rPr>
                <w:rFonts w:hint="eastAsia" w:ascii="宋体" w:hAnsi="宋体" w:eastAsia="宋体" w:cs="宋体"/>
                <w:i w:val="0"/>
                <w:color w:val="auto"/>
                <w:kern w:val="0"/>
                <w:sz w:val="18"/>
                <w:szCs w:val="18"/>
                <w:highlight w:val="none"/>
                <w:u w:val="none"/>
                <w:lang w:val="en-US" w:eastAsia="zh-CN" w:bidi="ar"/>
              </w:rPr>
              <w:t>00</w:t>
            </w:r>
            <w:r>
              <w:rPr>
                <w:rFonts w:hint="eastAsia" w:ascii="宋体" w:hAnsi="宋体" w:eastAsia="宋体" w:cs="宋体"/>
                <w:i w:val="0"/>
                <w:color w:val="auto"/>
                <w:kern w:val="0"/>
                <w:sz w:val="20"/>
                <w:szCs w:val="20"/>
                <w:highlight w:val="none"/>
                <w:u w:val="none"/>
                <w:lang w:val="en-US" w:eastAsia="zh-CN" w:bidi="ar"/>
              </w:rPr>
              <w:t>元/㎡</w:t>
            </w:r>
          </w:p>
        </w:tc>
        <w:tc>
          <w:tcPr>
            <w:tcW w:w="509" w:type="dxa"/>
            <w:tcBorders>
              <w:tl2br w:val="nil"/>
              <w:tr2bl w:val="nil"/>
            </w:tcBorders>
            <w:shd w:val="clear" w:color="auto" w:fill="C0C0C0"/>
            <w:noWrap w:val="0"/>
            <w:vAlign w:val="center"/>
          </w:tcPr>
          <w:p w14:paraId="7417B5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119A6BF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4E9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2" w:hRule="atLeast"/>
        </w:trPr>
        <w:tc>
          <w:tcPr>
            <w:tcW w:w="503" w:type="dxa"/>
            <w:vMerge w:val="continue"/>
            <w:tcBorders>
              <w:tl2br w:val="nil"/>
              <w:tr2bl w:val="nil"/>
            </w:tcBorders>
            <w:shd w:val="clear" w:color="auto" w:fill="auto"/>
            <w:noWrap w:val="0"/>
            <w:vAlign w:val="center"/>
          </w:tcPr>
          <w:p w14:paraId="718D4AE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594A61C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noWrap w:val="0"/>
            <w:vAlign w:val="center"/>
          </w:tcPr>
          <w:p w14:paraId="1B745F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自行过渡奖励</w:t>
            </w:r>
          </w:p>
        </w:tc>
        <w:tc>
          <w:tcPr>
            <w:tcW w:w="884" w:type="dxa"/>
            <w:tcBorders>
              <w:tl2br w:val="nil"/>
              <w:tr2bl w:val="nil"/>
            </w:tcBorders>
            <w:shd w:val="clear" w:color="auto" w:fill="auto"/>
            <w:noWrap w:val="0"/>
            <w:vAlign w:val="center"/>
          </w:tcPr>
          <w:p w14:paraId="35F6E36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3122B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200</w:t>
            </w:r>
            <w:r>
              <w:rPr>
                <w:rFonts w:hint="eastAsia" w:ascii="宋体" w:hAnsi="宋体" w:eastAsia="宋体" w:cs="宋体"/>
                <w:i w:val="0"/>
                <w:color w:val="auto"/>
                <w:kern w:val="0"/>
                <w:sz w:val="20"/>
                <w:szCs w:val="20"/>
                <w:highlight w:val="none"/>
                <w:u w:val="none"/>
                <w:lang w:val="en-US" w:eastAsia="zh-CN" w:bidi="ar"/>
              </w:rPr>
              <w:t>元/㎡</w:t>
            </w:r>
          </w:p>
        </w:tc>
        <w:tc>
          <w:tcPr>
            <w:tcW w:w="509" w:type="dxa"/>
            <w:tcBorders>
              <w:tl2br w:val="nil"/>
              <w:tr2bl w:val="nil"/>
            </w:tcBorders>
            <w:shd w:val="clear" w:color="auto" w:fill="C0C0C0"/>
            <w:noWrap w:val="0"/>
            <w:vAlign w:val="center"/>
          </w:tcPr>
          <w:p w14:paraId="008847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1290773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F9A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2" w:hRule="atLeast"/>
        </w:trPr>
        <w:tc>
          <w:tcPr>
            <w:tcW w:w="503" w:type="dxa"/>
            <w:vMerge w:val="continue"/>
            <w:tcBorders>
              <w:tl2br w:val="nil"/>
              <w:tr2bl w:val="nil"/>
            </w:tcBorders>
            <w:shd w:val="clear" w:color="auto" w:fill="auto"/>
            <w:noWrap w:val="0"/>
            <w:vAlign w:val="center"/>
          </w:tcPr>
          <w:p w14:paraId="4ED4504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noWrap w:val="0"/>
            <w:vAlign w:val="center"/>
          </w:tcPr>
          <w:p w14:paraId="64EE9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公摊面积奖励</w:t>
            </w:r>
          </w:p>
        </w:tc>
        <w:tc>
          <w:tcPr>
            <w:tcW w:w="884" w:type="dxa"/>
            <w:tcBorders>
              <w:tl2br w:val="nil"/>
              <w:tr2bl w:val="nil"/>
            </w:tcBorders>
            <w:shd w:val="clear" w:color="auto" w:fill="auto"/>
            <w:noWrap w:val="0"/>
            <w:vAlign w:val="center"/>
          </w:tcPr>
          <w:p w14:paraId="0C719E3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FFFFFF"/>
            <w:noWrap w:val="0"/>
            <w:vAlign w:val="center"/>
          </w:tcPr>
          <w:p w14:paraId="4B4829F5">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55129E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5EC9A70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5A4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 w:hRule="atLeast"/>
        </w:trPr>
        <w:tc>
          <w:tcPr>
            <w:tcW w:w="503" w:type="dxa"/>
            <w:vMerge w:val="continue"/>
            <w:tcBorders>
              <w:tl2br w:val="nil"/>
              <w:tr2bl w:val="nil"/>
            </w:tcBorders>
            <w:shd w:val="clear" w:color="auto" w:fill="auto"/>
            <w:noWrap w:val="0"/>
            <w:vAlign w:val="center"/>
          </w:tcPr>
          <w:p w14:paraId="0D084CE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FFFFFF"/>
            <w:noWrap w:val="0"/>
            <w:vAlign w:val="center"/>
          </w:tcPr>
          <w:p w14:paraId="08A68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店面补助</w:t>
            </w:r>
          </w:p>
        </w:tc>
        <w:tc>
          <w:tcPr>
            <w:tcW w:w="884" w:type="dxa"/>
            <w:tcBorders>
              <w:tl2br w:val="nil"/>
              <w:tr2bl w:val="nil"/>
            </w:tcBorders>
            <w:shd w:val="clear" w:color="auto" w:fill="auto"/>
            <w:noWrap w:val="0"/>
            <w:vAlign w:val="center"/>
          </w:tcPr>
          <w:p w14:paraId="67E8C0B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57088DCB">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5550C1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4F498E4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0DBE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noWrap w:val="0"/>
            <w:vAlign w:val="center"/>
          </w:tcPr>
          <w:p w14:paraId="7CFA7A1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noWrap w:val="0"/>
            <w:vAlign w:val="center"/>
          </w:tcPr>
          <w:p w14:paraId="405E62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附属物补偿（详表</w:t>
            </w:r>
            <w:r>
              <w:rPr>
                <w:rFonts w:hint="eastAsia" w:ascii="宋体" w:hAnsi="宋体" w:cs="宋体"/>
                <w:i w:val="0"/>
                <w:color w:val="auto"/>
                <w:kern w:val="0"/>
                <w:sz w:val="20"/>
                <w:szCs w:val="20"/>
                <w:highlight w:val="none"/>
                <w:u w:val="none"/>
                <w:lang w:val="en-US" w:eastAsia="zh-CN" w:bidi="ar"/>
              </w:rPr>
              <w:t>六</w:t>
            </w:r>
            <w:r>
              <w:rPr>
                <w:rFonts w:hint="eastAsia" w:ascii="宋体" w:hAnsi="宋体" w:eastAsia="宋体" w:cs="宋体"/>
                <w:i w:val="0"/>
                <w:color w:val="auto"/>
                <w:kern w:val="0"/>
                <w:sz w:val="20"/>
                <w:szCs w:val="20"/>
                <w:highlight w:val="none"/>
                <w:u w:val="none"/>
                <w:lang w:val="en-US" w:eastAsia="zh-CN" w:bidi="ar"/>
              </w:rPr>
              <w:t xml:space="preserve">）         </w:t>
            </w:r>
          </w:p>
        </w:tc>
        <w:tc>
          <w:tcPr>
            <w:tcW w:w="884" w:type="dxa"/>
            <w:tcBorders>
              <w:tl2br w:val="nil"/>
              <w:tr2bl w:val="nil"/>
            </w:tcBorders>
            <w:shd w:val="clear" w:color="auto" w:fill="auto"/>
            <w:noWrap w:val="0"/>
            <w:vAlign w:val="center"/>
          </w:tcPr>
          <w:p w14:paraId="4856A90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1C563A05">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7259D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6739BE3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D77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shd w:val="clear" w:color="auto" w:fill="auto"/>
            <w:noWrap w:val="0"/>
            <w:vAlign w:val="center"/>
          </w:tcPr>
          <w:p w14:paraId="5C92401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noWrap w:val="0"/>
            <w:vAlign w:val="center"/>
          </w:tcPr>
          <w:p w14:paraId="7C1348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降低（升高）地段等级补差价      D</w:t>
            </w:r>
          </w:p>
        </w:tc>
        <w:tc>
          <w:tcPr>
            <w:tcW w:w="884" w:type="dxa"/>
            <w:tcBorders>
              <w:tl2br w:val="nil"/>
              <w:tr2bl w:val="nil"/>
            </w:tcBorders>
            <w:shd w:val="clear" w:color="auto" w:fill="auto"/>
            <w:noWrap w:val="0"/>
            <w:vAlign w:val="center"/>
          </w:tcPr>
          <w:p w14:paraId="3941DE3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2DECA97D">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4A58A0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3A11C49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0F5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503" w:type="dxa"/>
            <w:vMerge w:val="continue"/>
            <w:tcBorders>
              <w:tl2br w:val="nil"/>
              <w:tr2bl w:val="nil"/>
            </w:tcBorders>
            <w:shd w:val="clear" w:color="auto" w:fill="auto"/>
            <w:noWrap w:val="0"/>
            <w:vAlign w:val="center"/>
          </w:tcPr>
          <w:p w14:paraId="774CCB9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noWrap w:val="0"/>
            <w:vAlign w:val="center"/>
          </w:tcPr>
          <w:p w14:paraId="1FE046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产权调换等面积补缴款               E</w:t>
            </w:r>
          </w:p>
        </w:tc>
        <w:tc>
          <w:tcPr>
            <w:tcW w:w="884" w:type="dxa"/>
            <w:tcBorders>
              <w:tl2br w:val="nil"/>
              <w:tr2bl w:val="nil"/>
            </w:tcBorders>
            <w:shd w:val="clear" w:color="auto" w:fill="auto"/>
            <w:noWrap w:val="0"/>
            <w:vAlign w:val="center"/>
          </w:tcPr>
          <w:p w14:paraId="4196D1F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4E91A50C">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26841E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164DAAD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A22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2" w:hRule="atLeast"/>
        </w:trPr>
        <w:tc>
          <w:tcPr>
            <w:tcW w:w="503" w:type="dxa"/>
            <w:vMerge w:val="continue"/>
            <w:tcBorders>
              <w:tl2br w:val="nil"/>
              <w:tr2bl w:val="nil"/>
            </w:tcBorders>
            <w:shd w:val="clear" w:color="auto" w:fill="auto"/>
            <w:noWrap w:val="0"/>
            <w:vAlign w:val="center"/>
          </w:tcPr>
          <w:p w14:paraId="0B64FDA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noWrap w:val="0"/>
            <w:vAlign w:val="center"/>
          </w:tcPr>
          <w:p w14:paraId="7E62ED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照顾购买面积缴款</w:t>
            </w:r>
          </w:p>
        </w:tc>
        <w:tc>
          <w:tcPr>
            <w:tcW w:w="884" w:type="dxa"/>
            <w:tcBorders>
              <w:tl2br w:val="nil"/>
              <w:tr2bl w:val="nil"/>
            </w:tcBorders>
            <w:shd w:val="clear" w:color="auto" w:fill="auto"/>
            <w:noWrap w:val="0"/>
            <w:vAlign w:val="center"/>
          </w:tcPr>
          <w:p w14:paraId="0E063C4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4C429E40">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56E1B4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02E8ECC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FE4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2" w:hRule="atLeast"/>
        </w:trPr>
        <w:tc>
          <w:tcPr>
            <w:tcW w:w="503" w:type="dxa"/>
            <w:vMerge w:val="continue"/>
            <w:tcBorders>
              <w:tl2br w:val="nil"/>
              <w:tr2bl w:val="nil"/>
            </w:tcBorders>
            <w:shd w:val="clear" w:color="auto" w:fill="auto"/>
            <w:noWrap w:val="0"/>
            <w:vAlign w:val="center"/>
          </w:tcPr>
          <w:p w14:paraId="6885F85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noWrap w:val="0"/>
            <w:vAlign w:val="center"/>
          </w:tcPr>
          <w:p w14:paraId="5EFC56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小计</w:t>
            </w:r>
          </w:p>
        </w:tc>
        <w:tc>
          <w:tcPr>
            <w:tcW w:w="884" w:type="dxa"/>
            <w:tcBorders>
              <w:tl2br w:val="nil"/>
              <w:tr2bl w:val="nil"/>
            </w:tcBorders>
            <w:shd w:val="clear" w:color="auto" w:fill="C0C0C0"/>
            <w:noWrap w:val="0"/>
            <w:vAlign w:val="center"/>
          </w:tcPr>
          <w:p w14:paraId="1CFE700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0825A2C6">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3D6FAFA7">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5C1E52C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0AE5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2064" w:type="dxa"/>
            <w:gridSpan w:val="3"/>
            <w:tcBorders>
              <w:tl2br w:val="nil"/>
              <w:tr2bl w:val="nil"/>
            </w:tcBorders>
            <w:shd w:val="clear" w:color="auto" w:fill="FFFFFF"/>
            <w:noWrap w:val="0"/>
            <w:vAlign w:val="center"/>
          </w:tcPr>
          <w:p w14:paraId="351E49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交房时结算的款项  F  </w:t>
            </w:r>
          </w:p>
        </w:tc>
        <w:tc>
          <w:tcPr>
            <w:tcW w:w="3062" w:type="dxa"/>
            <w:gridSpan w:val="3"/>
            <w:tcBorders>
              <w:tl2br w:val="nil"/>
              <w:tr2bl w:val="nil"/>
            </w:tcBorders>
            <w:shd w:val="clear" w:color="auto" w:fill="FFFFFF"/>
            <w:noWrap w:val="0"/>
            <w:vAlign w:val="center"/>
          </w:tcPr>
          <w:p w14:paraId="6B86F5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交房时面积误差产生的款</w:t>
            </w:r>
          </w:p>
        </w:tc>
        <w:tc>
          <w:tcPr>
            <w:tcW w:w="884" w:type="dxa"/>
            <w:tcBorders>
              <w:tl2br w:val="nil"/>
              <w:tr2bl w:val="nil"/>
            </w:tcBorders>
            <w:shd w:val="clear" w:color="auto" w:fill="auto"/>
            <w:noWrap w:val="0"/>
            <w:vAlign w:val="center"/>
          </w:tcPr>
          <w:p w14:paraId="286F9DA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67C89424">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3A0C8E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0B265D7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E40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5126" w:type="dxa"/>
            <w:gridSpan w:val="6"/>
            <w:tcBorders>
              <w:tl2br w:val="nil"/>
              <w:tr2bl w:val="nil"/>
            </w:tcBorders>
            <w:shd w:val="clear" w:color="auto" w:fill="auto"/>
            <w:noWrap w:val="0"/>
            <w:vAlign w:val="center"/>
          </w:tcPr>
          <w:p w14:paraId="0FB030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合计                  </w:t>
            </w:r>
          </w:p>
        </w:tc>
        <w:tc>
          <w:tcPr>
            <w:tcW w:w="884" w:type="dxa"/>
            <w:tcBorders>
              <w:tl2br w:val="nil"/>
              <w:tr2bl w:val="nil"/>
            </w:tcBorders>
            <w:shd w:val="clear" w:color="auto" w:fill="C0C0C0"/>
            <w:noWrap w:val="0"/>
            <w:vAlign w:val="center"/>
          </w:tcPr>
          <w:p w14:paraId="6D53A9A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31800544">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4F70FBDA">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4CC10C70">
            <w:pPr>
              <w:keepNext w:val="0"/>
              <w:keepLines w:val="0"/>
              <w:suppressLineNumbers w:val="0"/>
              <w:spacing w:before="0" w:beforeAutospacing="0" w:after="0" w:afterAutospacing="0"/>
              <w:ind w:left="0" w:right="0"/>
              <w:jc w:val="left"/>
              <w:rPr>
                <w:rFonts w:hint="eastAsia" w:ascii="宋体" w:hAnsi="宋体" w:eastAsia="宋体" w:cs="宋体"/>
                <w:i w:val="0"/>
                <w:color w:val="auto"/>
                <w:sz w:val="24"/>
                <w:szCs w:val="24"/>
                <w:highlight w:val="none"/>
                <w:u w:val="none"/>
              </w:rPr>
            </w:pPr>
          </w:p>
        </w:tc>
      </w:tr>
    </w:tbl>
    <w:tbl>
      <w:tblPr>
        <w:tblStyle w:val="5"/>
        <w:tblpPr w:leftFromText="180" w:rightFromText="180" w:vertAnchor="text" w:horzAnchor="page" w:tblpX="1437" w:tblpY="44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699"/>
        <w:gridCol w:w="1348"/>
        <w:gridCol w:w="1006"/>
        <w:gridCol w:w="1"/>
        <w:gridCol w:w="1"/>
        <w:gridCol w:w="1785"/>
        <w:gridCol w:w="645"/>
        <w:gridCol w:w="1916"/>
        <w:gridCol w:w="484"/>
        <w:gridCol w:w="885"/>
      </w:tblGrid>
      <w:tr w14:paraId="356DF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7" w:hRule="atLeast"/>
        </w:trPr>
        <w:tc>
          <w:tcPr>
            <w:tcW w:w="9370" w:type="dxa"/>
            <w:gridSpan w:val="11"/>
            <w:tcBorders>
              <w:top w:val="single" w:color="000000" w:sz="4" w:space="0"/>
              <w:left w:val="single" w:color="000000" w:sz="4" w:space="0"/>
              <w:bottom w:val="single" w:color="000000" w:sz="4" w:space="0"/>
              <w:right w:val="single" w:color="000000" w:sz="4" w:space="0"/>
            </w:tcBorders>
            <w:noWrap w:val="0"/>
            <w:vAlign w:val="center"/>
          </w:tcPr>
          <w:p w14:paraId="5E4329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房屋征收补偿结果计算表(部分产权调换与部分货币补偿)</w:t>
            </w:r>
          </w:p>
        </w:tc>
      </w:tr>
      <w:tr w14:paraId="06734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7" w:hRule="atLeast"/>
        </w:trPr>
        <w:tc>
          <w:tcPr>
            <w:tcW w:w="9370" w:type="dxa"/>
            <w:gridSpan w:val="11"/>
            <w:tcBorders>
              <w:top w:val="single" w:color="000000" w:sz="4" w:space="0"/>
              <w:left w:val="single" w:color="000000" w:sz="4" w:space="0"/>
              <w:bottom w:val="single" w:color="000000" w:sz="4" w:space="0"/>
              <w:right w:val="single" w:color="000000" w:sz="4" w:space="0"/>
            </w:tcBorders>
            <w:noWrap w:val="0"/>
            <w:vAlign w:val="center"/>
          </w:tcPr>
          <w:p w14:paraId="03DA11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550E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1299" w:type="dxa"/>
            <w:gridSpan w:val="2"/>
            <w:tcBorders>
              <w:top w:val="single" w:color="000000" w:sz="4" w:space="0"/>
              <w:left w:val="single" w:color="000000" w:sz="4" w:space="0"/>
              <w:bottom w:val="single" w:color="000000" w:sz="4" w:space="0"/>
              <w:right w:val="single" w:color="000000" w:sz="4" w:space="0"/>
            </w:tcBorders>
            <w:noWrap w:val="0"/>
            <w:vAlign w:val="center"/>
          </w:tcPr>
          <w:p w14:paraId="648958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款项</w:t>
            </w:r>
          </w:p>
        </w:tc>
        <w:tc>
          <w:tcPr>
            <w:tcW w:w="4141" w:type="dxa"/>
            <w:gridSpan w:val="5"/>
            <w:tcBorders>
              <w:top w:val="single" w:color="000000" w:sz="4" w:space="0"/>
              <w:left w:val="single" w:color="000000" w:sz="4" w:space="0"/>
              <w:bottom w:val="single" w:color="000000" w:sz="4" w:space="0"/>
              <w:right w:val="single" w:color="000000" w:sz="4" w:space="0"/>
            </w:tcBorders>
            <w:noWrap w:val="0"/>
            <w:vAlign w:val="center"/>
          </w:tcPr>
          <w:p w14:paraId="50DC98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BAE66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面积</w:t>
            </w:r>
          </w:p>
          <w:p w14:paraId="6E373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29F1DA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2C05E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98AA3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金额</w:t>
            </w:r>
          </w:p>
          <w:p w14:paraId="294607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r>
      <w:tr w14:paraId="572C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733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选房时结算的款项</w:t>
            </w:r>
          </w:p>
        </w:tc>
        <w:tc>
          <w:tcPr>
            <w:tcW w:w="699" w:type="dxa"/>
            <w:vMerge w:val="restart"/>
            <w:tcBorders>
              <w:top w:val="single" w:color="000000" w:sz="4" w:space="0"/>
              <w:bottom w:val="single" w:color="000000" w:sz="4" w:space="0"/>
              <w:right w:val="single" w:color="000000" w:sz="4" w:space="0"/>
            </w:tcBorders>
            <w:shd w:val="clear" w:color="auto" w:fill="auto"/>
            <w:noWrap w:val="0"/>
            <w:vAlign w:val="center"/>
          </w:tcPr>
          <w:p w14:paraId="273779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各项</w:t>
            </w:r>
          </w:p>
          <w:p w14:paraId="761D3D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补助</w:t>
            </w:r>
          </w:p>
        </w:tc>
        <w:tc>
          <w:tcPr>
            <w:tcW w:w="235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F0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搬迁补助</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224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A</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B154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D085F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15元/㎡</w:t>
            </w:r>
          </w:p>
        </w:tc>
        <w:tc>
          <w:tcPr>
            <w:tcW w:w="484" w:type="dxa"/>
            <w:tcBorders>
              <w:top w:val="single" w:color="000000" w:sz="4" w:space="0"/>
              <w:bottom w:val="single" w:color="000000" w:sz="4" w:space="0"/>
              <w:right w:val="single" w:color="000000" w:sz="4" w:space="0"/>
            </w:tcBorders>
            <w:shd w:val="clear" w:color="auto" w:fill="C0C0C0"/>
            <w:noWrap w:val="0"/>
            <w:vAlign w:val="center"/>
          </w:tcPr>
          <w:p w14:paraId="305278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left w:val="single" w:color="000000" w:sz="4" w:space="0"/>
              <w:bottom w:val="single" w:color="000000" w:sz="4" w:space="0"/>
              <w:right w:val="single" w:color="000000" w:sz="4" w:space="0"/>
            </w:tcBorders>
            <w:noWrap w:val="0"/>
            <w:vAlign w:val="center"/>
          </w:tcPr>
          <w:p w14:paraId="3C56C8E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2FFC1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FC16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6D3FAD2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5776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B4A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a</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09ED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11FF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15元/㎡</w:t>
            </w:r>
          </w:p>
        </w:tc>
        <w:tc>
          <w:tcPr>
            <w:tcW w:w="484" w:type="dxa"/>
            <w:tcBorders>
              <w:top w:val="single" w:color="000000" w:sz="4" w:space="0"/>
              <w:bottom w:val="single" w:color="000000" w:sz="4" w:space="0"/>
              <w:right w:val="single" w:color="000000" w:sz="4" w:space="0"/>
            </w:tcBorders>
            <w:shd w:val="clear" w:color="auto" w:fill="C0C0C0"/>
            <w:noWrap w:val="0"/>
            <w:vAlign w:val="center"/>
          </w:tcPr>
          <w:p w14:paraId="562761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885" w:type="dxa"/>
            <w:tcBorders>
              <w:left w:val="single" w:color="000000" w:sz="4" w:space="0"/>
              <w:bottom w:val="single" w:color="000000" w:sz="4" w:space="0"/>
              <w:right w:val="single" w:color="000000" w:sz="4" w:space="0"/>
            </w:tcBorders>
            <w:noWrap w:val="0"/>
            <w:vAlign w:val="center"/>
          </w:tcPr>
          <w:p w14:paraId="6ABB9EF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3B9E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771D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151C2A1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6" w:type="dxa"/>
            <w:gridSpan w:val="4"/>
            <w:vMerge w:val="restart"/>
            <w:tcBorders>
              <w:top w:val="single" w:color="000000" w:sz="4" w:space="0"/>
              <w:left w:val="single" w:color="000000" w:sz="4" w:space="0"/>
              <w:bottom w:val="single" w:color="000000" w:sz="4" w:space="0"/>
            </w:tcBorders>
            <w:shd w:val="clear" w:color="auto" w:fill="auto"/>
            <w:noWrap w:val="0"/>
            <w:vAlign w:val="center"/>
          </w:tcPr>
          <w:p w14:paraId="43B69A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临时过渡补助</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26D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B</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FCD7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A5270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10元/㎡/</w:t>
            </w:r>
            <w:r>
              <w:rPr>
                <w:rFonts w:hint="eastAsia" w:ascii="宋体" w:hAnsi="宋体" w:cs="宋体"/>
                <w:i w:val="0"/>
                <w:color w:val="auto"/>
                <w:kern w:val="0"/>
                <w:sz w:val="20"/>
                <w:szCs w:val="20"/>
                <w:highlight w:val="none"/>
                <w:u w:val="none"/>
                <w:lang w:val="en-US" w:eastAsia="zh-CN" w:bidi="ar"/>
              </w:rPr>
              <w:t>月</w:t>
            </w:r>
          </w:p>
        </w:tc>
        <w:tc>
          <w:tcPr>
            <w:tcW w:w="484" w:type="dxa"/>
            <w:tcBorders>
              <w:top w:val="single" w:color="000000" w:sz="4" w:space="0"/>
              <w:bottom w:val="single" w:color="000000" w:sz="4" w:space="0"/>
              <w:right w:val="single" w:color="000000" w:sz="4" w:space="0"/>
            </w:tcBorders>
            <w:shd w:val="clear" w:color="auto" w:fill="C0C0C0"/>
            <w:noWrap w:val="0"/>
            <w:vAlign w:val="center"/>
          </w:tcPr>
          <w:p w14:paraId="2BD9FE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885" w:type="dxa"/>
            <w:tcBorders>
              <w:left w:val="single" w:color="000000" w:sz="4" w:space="0"/>
              <w:bottom w:val="single" w:color="000000" w:sz="4" w:space="0"/>
              <w:right w:val="single" w:color="000000" w:sz="4" w:space="0"/>
            </w:tcBorders>
            <w:noWrap w:val="0"/>
            <w:vAlign w:val="center"/>
          </w:tcPr>
          <w:p w14:paraId="42F1F6E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0F4C2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9557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17526C3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6" w:type="dxa"/>
            <w:gridSpan w:val="4"/>
            <w:vMerge w:val="continue"/>
            <w:tcBorders>
              <w:top w:val="single" w:color="000000" w:sz="4" w:space="0"/>
              <w:left w:val="single" w:color="000000" w:sz="4" w:space="0"/>
              <w:bottom w:val="single" w:color="000000" w:sz="4" w:space="0"/>
            </w:tcBorders>
            <w:shd w:val="clear" w:color="auto" w:fill="auto"/>
            <w:noWrap w:val="0"/>
            <w:vAlign w:val="center"/>
          </w:tcPr>
          <w:p w14:paraId="173BBC9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38E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b</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FBA0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A3DD7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10元/㎡/</w:t>
            </w:r>
            <w:r>
              <w:rPr>
                <w:rFonts w:hint="eastAsia" w:ascii="宋体" w:hAnsi="宋体" w:cs="宋体"/>
                <w:i w:val="0"/>
                <w:color w:val="auto"/>
                <w:kern w:val="0"/>
                <w:sz w:val="20"/>
                <w:szCs w:val="20"/>
                <w:highlight w:val="none"/>
                <w:u w:val="none"/>
                <w:lang w:val="en-US" w:eastAsia="zh-CN" w:bidi="ar"/>
              </w:rPr>
              <w:t>月</w:t>
            </w:r>
          </w:p>
        </w:tc>
        <w:tc>
          <w:tcPr>
            <w:tcW w:w="484" w:type="dxa"/>
            <w:tcBorders>
              <w:top w:val="single" w:color="000000" w:sz="4" w:space="0"/>
              <w:bottom w:val="single" w:color="000000" w:sz="4" w:space="0"/>
              <w:right w:val="single" w:color="000000" w:sz="4" w:space="0"/>
            </w:tcBorders>
            <w:shd w:val="clear" w:color="auto" w:fill="FFFFFF"/>
            <w:noWrap w:val="0"/>
            <w:vAlign w:val="center"/>
          </w:tcPr>
          <w:p w14:paraId="797A45A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left w:val="single" w:color="000000" w:sz="4" w:space="0"/>
              <w:bottom w:val="single" w:color="000000" w:sz="4" w:space="0"/>
              <w:right w:val="single" w:color="000000" w:sz="4" w:space="0"/>
            </w:tcBorders>
            <w:noWrap w:val="0"/>
            <w:vAlign w:val="center"/>
          </w:tcPr>
          <w:p w14:paraId="1F6FDDF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6E5A7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8BCA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68BB7F4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8B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低保户/五保户/孤寡老人补助       C</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4AC7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E6441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30000</w:t>
            </w:r>
            <w:r>
              <w:rPr>
                <w:rFonts w:hint="eastAsia" w:ascii="宋体" w:hAnsi="宋体" w:cs="宋体"/>
                <w:i w:val="0"/>
                <w:color w:val="auto"/>
                <w:kern w:val="0"/>
                <w:sz w:val="20"/>
                <w:szCs w:val="20"/>
                <w:highlight w:val="none"/>
                <w:u w:val="none"/>
                <w:lang w:val="en-US" w:eastAsia="zh-CN" w:bidi="ar"/>
              </w:rPr>
              <w:t>元/户</w:t>
            </w:r>
          </w:p>
        </w:tc>
        <w:tc>
          <w:tcPr>
            <w:tcW w:w="484" w:type="dxa"/>
            <w:tcBorders>
              <w:top w:val="single" w:color="000000" w:sz="4" w:space="0"/>
              <w:bottom w:val="single" w:color="000000" w:sz="4" w:space="0"/>
              <w:right w:val="single" w:color="000000" w:sz="4" w:space="0"/>
            </w:tcBorders>
            <w:shd w:val="clear" w:color="auto" w:fill="C0C0C0"/>
            <w:noWrap w:val="0"/>
            <w:vAlign w:val="center"/>
          </w:tcPr>
          <w:p w14:paraId="463422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left w:val="single" w:color="000000" w:sz="4" w:space="0"/>
              <w:bottom w:val="single" w:color="000000" w:sz="4" w:space="0"/>
              <w:right w:val="single" w:color="000000" w:sz="4" w:space="0"/>
            </w:tcBorders>
            <w:noWrap w:val="0"/>
            <w:vAlign w:val="center"/>
          </w:tcPr>
          <w:p w14:paraId="25EBBC5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0539E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F722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restart"/>
            <w:tcBorders>
              <w:top w:val="single" w:color="000000" w:sz="4" w:space="0"/>
              <w:bottom w:val="single" w:color="000000" w:sz="4" w:space="0"/>
              <w:right w:val="single" w:color="000000" w:sz="4" w:space="0"/>
            </w:tcBorders>
            <w:shd w:val="clear" w:color="auto" w:fill="auto"/>
            <w:noWrap w:val="0"/>
            <w:vAlign w:val="center"/>
          </w:tcPr>
          <w:p w14:paraId="7FBC33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建筑占地补偿</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83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认定补偿安置建筑占地</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CB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货币补偿部分   D </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E6DA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A0F0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bottom w:val="single" w:color="000000" w:sz="4" w:space="0"/>
              <w:right w:val="single" w:color="000000" w:sz="4" w:space="0"/>
            </w:tcBorders>
            <w:shd w:val="clear" w:color="auto" w:fill="FFFFFF"/>
            <w:noWrap w:val="0"/>
            <w:vAlign w:val="center"/>
          </w:tcPr>
          <w:p w14:paraId="453057C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50166F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3810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7FD3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53A5312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76EF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3C4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产权调换部分   d</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DF03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87AE3A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bottom w:val="single" w:color="000000" w:sz="4" w:space="0"/>
              <w:right w:val="single" w:color="000000" w:sz="4" w:space="0"/>
            </w:tcBorders>
            <w:shd w:val="clear" w:color="auto" w:fill="FFFFFF"/>
            <w:noWrap w:val="0"/>
            <w:vAlign w:val="center"/>
          </w:tcPr>
          <w:p w14:paraId="0C1BC3B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D1A531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2E39C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A889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34681E2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tcBorders>
            <w:shd w:val="clear" w:color="auto" w:fill="auto"/>
            <w:noWrap w:val="0"/>
            <w:vAlign w:val="center"/>
          </w:tcPr>
          <w:p w14:paraId="0729EA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认定不予补偿安置</w:t>
            </w:r>
          </w:p>
          <w:p w14:paraId="122EFA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建筑占地(l)</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6CB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802B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70686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64.5元/㎡</w:t>
            </w:r>
          </w:p>
          <w:p w14:paraId="502CEF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w:t>
            </w:r>
            <w:r>
              <w:rPr>
                <w:rFonts w:hint="eastAsia" w:ascii="宋体" w:hAnsi="宋体" w:eastAsia="宋体" w:cs="宋体"/>
                <w:i w:val="0"/>
                <w:color w:val="auto"/>
                <w:kern w:val="0"/>
                <w:sz w:val="18"/>
                <w:szCs w:val="18"/>
                <w:highlight w:val="none"/>
                <w:u w:val="none"/>
                <w:lang w:val="en-US" w:eastAsia="zh-CN" w:bidi="ar"/>
              </w:rPr>
              <w:t>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r>
              <w:rPr>
                <w:rFonts w:hint="eastAsia" w:ascii="宋体" w:hAnsi="宋体" w:eastAsia="宋体" w:cs="宋体"/>
                <w:i w:val="0"/>
                <w:color w:val="auto"/>
                <w:kern w:val="0"/>
                <w:sz w:val="20"/>
                <w:szCs w:val="20"/>
                <w:highlight w:val="none"/>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2163B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01DD80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17713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E2C3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74EA847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tcBorders>
            <w:shd w:val="clear" w:color="auto" w:fill="auto"/>
            <w:noWrap w:val="0"/>
            <w:vAlign w:val="center"/>
          </w:tcPr>
          <w:p w14:paraId="36BA6CE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7B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161E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55B1D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210元/㎡</w:t>
            </w:r>
          </w:p>
          <w:p w14:paraId="34B37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r>
              <w:rPr>
                <w:rFonts w:hint="eastAsia" w:ascii="宋体" w:hAnsi="宋体" w:eastAsia="宋体" w:cs="宋体"/>
                <w:i w:val="0"/>
                <w:color w:val="auto"/>
                <w:kern w:val="0"/>
                <w:sz w:val="18"/>
                <w:szCs w:val="18"/>
                <w:highlight w:val="none"/>
                <w:u w:val="none"/>
                <w:lang w:val="en-US" w:eastAsia="zh-CN" w:bidi="ar"/>
              </w:rPr>
              <w:t>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r>
              <w:rPr>
                <w:rFonts w:hint="eastAsia" w:ascii="宋体" w:hAnsi="宋体" w:eastAsia="宋体" w:cs="宋体"/>
                <w:i w:val="0"/>
                <w:color w:val="auto"/>
                <w:kern w:val="0"/>
                <w:sz w:val="20"/>
                <w:szCs w:val="20"/>
                <w:highlight w:val="none"/>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D17A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DC08C5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70078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2875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restart"/>
            <w:tcBorders>
              <w:top w:val="single" w:color="000000" w:sz="4" w:space="0"/>
              <w:bottom w:val="single" w:color="000000" w:sz="4" w:space="0"/>
              <w:right w:val="single" w:color="000000" w:sz="4" w:space="0"/>
            </w:tcBorders>
            <w:shd w:val="clear" w:color="auto" w:fill="auto"/>
            <w:noWrap w:val="0"/>
            <w:vAlign w:val="center"/>
          </w:tcPr>
          <w:p w14:paraId="46C4CA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埕空地补偿</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70E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确权的埕空地</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97A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出让</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5DBE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28E3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0F9EB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327B28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07ED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1C41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65AE157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7551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39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划拨及集体</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C414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A6C7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225E2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987B6E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18CE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1D04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6D3F79A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F6B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清理手续的埕空地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BD55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15E3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4055E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E23C9D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5F72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65FC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3898B77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21A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无手续的埕空地  </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C3D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EAC3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6A63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64.5元/㎡</w:t>
            </w:r>
          </w:p>
          <w:p w14:paraId="6F2E5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w:t>
            </w:r>
            <w:r>
              <w:rPr>
                <w:rFonts w:hint="eastAsia" w:ascii="宋体" w:hAnsi="宋体" w:eastAsia="宋体" w:cs="宋体"/>
                <w:i w:val="0"/>
                <w:color w:val="auto"/>
                <w:kern w:val="0"/>
                <w:sz w:val="18"/>
                <w:szCs w:val="18"/>
                <w:highlight w:val="none"/>
                <w:u w:val="none"/>
                <w:lang w:val="en-US" w:eastAsia="zh-CN" w:bidi="ar"/>
              </w:rPr>
              <w:t>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r>
              <w:rPr>
                <w:rFonts w:hint="eastAsia" w:ascii="宋体" w:hAnsi="宋体" w:eastAsia="宋体" w:cs="宋体"/>
                <w:i w:val="0"/>
                <w:color w:val="auto"/>
                <w:kern w:val="0"/>
                <w:sz w:val="20"/>
                <w:szCs w:val="20"/>
                <w:highlight w:val="none"/>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1930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67FBE8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7B14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570D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1807740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9022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50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DD23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49F74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210元/㎡</w:t>
            </w:r>
          </w:p>
          <w:p w14:paraId="2F840D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r>
              <w:rPr>
                <w:rFonts w:hint="eastAsia" w:ascii="宋体" w:hAnsi="宋体" w:eastAsia="宋体" w:cs="宋体"/>
                <w:i w:val="0"/>
                <w:color w:val="auto"/>
                <w:kern w:val="0"/>
                <w:sz w:val="18"/>
                <w:szCs w:val="18"/>
                <w:highlight w:val="none"/>
                <w:u w:val="none"/>
                <w:lang w:val="en-US" w:eastAsia="zh-CN" w:bidi="ar"/>
              </w:rPr>
              <w:t>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r>
              <w:rPr>
                <w:rFonts w:hint="eastAsia" w:ascii="宋体" w:hAnsi="宋体" w:eastAsia="宋体" w:cs="宋体"/>
                <w:i w:val="0"/>
                <w:color w:val="auto"/>
                <w:kern w:val="0"/>
                <w:sz w:val="20"/>
                <w:szCs w:val="20"/>
                <w:highlight w:val="none"/>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80791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2985C8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3BA30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79F9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restart"/>
            <w:tcBorders>
              <w:top w:val="single" w:color="000000" w:sz="4" w:space="0"/>
              <w:bottom w:val="single" w:color="000000" w:sz="4" w:space="0"/>
              <w:right w:val="single" w:color="000000" w:sz="4" w:space="0"/>
            </w:tcBorders>
            <w:shd w:val="clear" w:color="auto" w:fill="auto"/>
            <w:noWrap w:val="0"/>
            <w:vAlign w:val="center"/>
          </w:tcPr>
          <w:p w14:paraId="5BAC89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建筑物补偿</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873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认定补偿安置面积的重置价</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D88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E</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4F66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6ACC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bottom w:val="single" w:color="000000" w:sz="4" w:space="0"/>
              <w:right w:val="single" w:color="000000" w:sz="4" w:space="0"/>
            </w:tcBorders>
            <w:shd w:val="clear" w:color="auto" w:fill="FFFFFF"/>
            <w:noWrap w:val="0"/>
            <w:vAlign w:val="center"/>
          </w:tcPr>
          <w:p w14:paraId="2445F9A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41981B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13AA9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464C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12C38E4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7EB4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4AB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e</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341B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FF7109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79B1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C42DD3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7E5E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ED7F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noWrap w:val="0"/>
            <w:vAlign w:val="center"/>
          </w:tcPr>
          <w:p w14:paraId="58CE6E3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tcBorders>
              <w:top w:val="single" w:color="000000" w:sz="4" w:space="0"/>
              <w:left w:val="single" w:color="000000" w:sz="4" w:space="0"/>
              <w:bottom w:val="single" w:color="000000" w:sz="4" w:space="0"/>
              <w:right w:val="single" w:color="000000" w:sz="4" w:space="0"/>
            </w:tcBorders>
            <w:noWrap w:val="0"/>
            <w:vAlign w:val="center"/>
          </w:tcPr>
          <w:p w14:paraId="5AE674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认定不予补偿安置面积的重置价       (m)</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D96D34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1F7D08C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3FBC281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DEEA2D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34F48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A519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noWrap w:val="0"/>
            <w:vAlign w:val="center"/>
          </w:tcPr>
          <w:p w14:paraId="3D3517B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0FD3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认定补偿安置面积</w:t>
            </w:r>
          </w:p>
          <w:p w14:paraId="041BEB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的二次装修 </w:t>
            </w:r>
          </w:p>
        </w:tc>
        <w:tc>
          <w:tcPr>
            <w:tcW w:w="1786" w:type="dxa"/>
            <w:gridSpan w:val="2"/>
            <w:tcBorders>
              <w:top w:val="single" w:color="000000" w:sz="4" w:space="0"/>
              <w:left w:val="single" w:color="000000" w:sz="4" w:space="0"/>
              <w:bottom w:val="single" w:color="000000" w:sz="4" w:space="0"/>
              <w:right w:val="single" w:color="000000" w:sz="4" w:space="0"/>
            </w:tcBorders>
            <w:noWrap w:val="0"/>
            <w:vAlign w:val="center"/>
          </w:tcPr>
          <w:p w14:paraId="7DFA0A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F</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D81FD9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4BE82B1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286BB60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B98F53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7FD1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8CFB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noWrap w:val="0"/>
            <w:vAlign w:val="center"/>
          </w:tcPr>
          <w:p w14:paraId="7DFA8FC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6113C4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noWrap w:val="0"/>
            <w:vAlign w:val="center"/>
          </w:tcPr>
          <w:p w14:paraId="20722D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f</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1CFAF5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15754A6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4C24736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EB2DAD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4B9DD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E730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noWrap w:val="0"/>
            <w:vAlign w:val="center"/>
          </w:tcPr>
          <w:p w14:paraId="771B260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4E482D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认定不予补偿安置面积的二次装修      (n)</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6DBE81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445498B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712F502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5F8E0A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37F41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E22D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noWrap w:val="0"/>
            <w:vAlign w:val="center"/>
          </w:tcPr>
          <w:p w14:paraId="09A8CBB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23C9942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3EC995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726A85B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45EF152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BCE3FC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5591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D0A2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restart"/>
            <w:tcBorders>
              <w:top w:val="single" w:color="000000" w:sz="4" w:space="0"/>
              <w:bottom w:val="single" w:color="000000" w:sz="4" w:space="0"/>
              <w:right w:val="single" w:color="000000" w:sz="4" w:space="0"/>
            </w:tcBorders>
            <w:shd w:val="clear" w:color="auto" w:fill="auto"/>
            <w:noWrap w:val="0"/>
            <w:vAlign w:val="center"/>
          </w:tcPr>
          <w:p w14:paraId="5760FC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各项</w:t>
            </w:r>
          </w:p>
          <w:p w14:paraId="018501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BC3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按时签约奖励</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6AE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G</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2D69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98A1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3</w:t>
            </w:r>
            <w:r>
              <w:rPr>
                <w:rFonts w:hint="eastAsia" w:ascii="宋体" w:hAnsi="宋体" w:eastAsia="宋体" w:cs="宋体"/>
                <w:i w:val="0"/>
                <w:color w:val="auto"/>
                <w:kern w:val="0"/>
                <w:sz w:val="20"/>
                <w:szCs w:val="20"/>
                <w:highlight w:val="none"/>
                <w:u w:val="none"/>
                <w:lang w:val="en-US" w:eastAsia="zh-CN" w:bidi="ar"/>
              </w:rPr>
              <w:t>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DF643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BD5082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282AA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EAA1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602B08F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750C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0D2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g</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1774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20EDE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3</w:t>
            </w:r>
            <w:r>
              <w:rPr>
                <w:rFonts w:hint="eastAsia" w:ascii="宋体" w:hAnsi="宋体" w:eastAsia="宋体" w:cs="宋体"/>
                <w:i w:val="0"/>
                <w:color w:val="auto"/>
                <w:kern w:val="0"/>
                <w:sz w:val="20"/>
                <w:szCs w:val="20"/>
                <w:highlight w:val="none"/>
                <w:u w:val="none"/>
                <w:lang w:val="en-US" w:eastAsia="zh-CN" w:bidi="ar"/>
              </w:rPr>
              <w:t>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F0C9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BF5B9F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690C8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ED56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18D304E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A0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自行</w:t>
            </w:r>
            <w:r>
              <w:rPr>
                <w:rFonts w:hint="eastAsia" w:ascii="宋体" w:hAnsi="宋体" w:eastAsia="宋体" w:cs="宋体"/>
                <w:i w:val="0"/>
                <w:color w:val="auto"/>
                <w:kern w:val="0"/>
                <w:sz w:val="20"/>
                <w:szCs w:val="20"/>
                <w:highlight w:val="none"/>
                <w:u w:val="none"/>
                <w:lang w:val="en-US" w:eastAsia="zh-CN" w:bidi="ar"/>
              </w:rPr>
              <w:t>封房</w:t>
            </w:r>
            <w:r>
              <w:rPr>
                <w:rFonts w:hint="eastAsia" w:ascii="宋体" w:hAnsi="宋体" w:cs="宋体"/>
                <w:i w:val="0"/>
                <w:color w:val="auto"/>
                <w:kern w:val="0"/>
                <w:sz w:val="20"/>
                <w:szCs w:val="20"/>
                <w:highlight w:val="none"/>
                <w:u w:val="none"/>
                <w:lang w:val="en-US" w:eastAsia="zh-CN" w:bidi="ar"/>
              </w:rPr>
              <w:t>交拆</w:t>
            </w:r>
            <w:r>
              <w:rPr>
                <w:rFonts w:hint="eastAsia" w:ascii="宋体" w:hAnsi="宋体" w:eastAsia="宋体" w:cs="宋体"/>
                <w:i w:val="0"/>
                <w:color w:val="auto"/>
                <w:kern w:val="0"/>
                <w:sz w:val="20"/>
                <w:szCs w:val="20"/>
                <w:highlight w:val="none"/>
                <w:u w:val="none"/>
                <w:lang w:val="en-US" w:eastAsia="zh-CN" w:bidi="ar"/>
              </w:rPr>
              <w:t>奖励</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AE2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H</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D739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D8C7F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4</w:t>
            </w:r>
            <w:r>
              <w:rPr>
                <w:rFonts w:hint="eastAsia" w:ascii="宋体" w:hAnsi="宋体" w:eastAsia="宋体" w:cs="宋体"/>
                <w:i w:val="0"/>
                <w:color w:val="auto"/>
                <w:kern w:val="0"/>
                <w:sz w:val="20"/>
                <w:szCs w:val="20"/>
                <w:highlight w:val="none"/>
                <w:u w:val="none"/>
                <w:lang w:val="en-US" w:eastAsia="zh-CN" w:bidi="ar"/>
              </w:rPr>
              <w:t>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747E3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73B0EF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19238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6A98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66DBE99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28D5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A6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h</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6776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B693A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4</w:t>
            </w:r>
            <w:r>
              <w:rPr>
                <w:rFonts w:hint="eastAsia" w:ascii="宋体" w:hAnsi="宋体" w:eastAsia="宋体" w:cs="宋体"/>
                <w:i w:val="0"/>
                <w:color w:val="auto"/>
                <w:kern w:val="0"/>
                <w:sz w:val="20"/>
                <w:szCs w:val="20"/>
                <w:highlight w:val="none"/>
                <w:u w:val="none"/>
                <w:lang w:val="en-US" w:eastAsia="zh-CN" w:bidi="ar"/>
              </w:rPr>
              <w:t>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ADC61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3B86C6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7E9C0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9EDE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42F1D2A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619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自行过渡奖励</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61E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I</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CA8F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20881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DE1A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243A71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7F29A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B3D8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3B413FE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27DA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3AF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i</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2D7E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018E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EBFF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2A3D33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4C81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D043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054" w:type="dxa"/>
            <w:gridSpan w:val="4"/>
            <w:vMerge w:val="restart"/>
            <w:tcBorders>
              <w:top w:val="single" w:color="000000" w:sz="4" w:space="0"/>
              <w:bottom w:val="single" w:color="000000" w:sz="4" w:space="0"/>
              <w:right w:val="single" w:color="000000" w:sz="4" w:space="0"/>
            </w:tcBorders>
            <w:shd w:val="clear" w:color="auto" w:fill="auto"/>
            <w:noWrap w:val="0"/>
            <w:vAlign w:val="center"/>
          </w:tcPr>
          <w:p w14:paraId="457DB3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放弃产权调换安置的补差                   </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A6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认定补偿安置面积选择货币补偿部分J</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4DA0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2BCA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446475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96B0F0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69C3D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0240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054" w:type="dxa"/>
            <w:gridSpan w:val="4"/>
            <w:vMerge w:val="continue"/>
            <w:tcBorders>
              <w:top w:val="single" w:color="000000" w:sz="4" w:space="0"/>
              <w:bottom w:val="single" w:color="000000" w:sz="4" w:space="0"/>
              <w:right w:val="single" w:color="000000" w:sz="4" w:space="0"/>
            </w:tcBorders>
            <w:shd w:val="clear" w:color="auto" w:fill="auto"/>
            <w:noWrap w:val="0"/>
            <w:vAlign w:val="center"/>
          </w:tcPr>
          <w:p w14:paraId="7EA5F72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EB63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20AA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4FA0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A06F43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265439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710DD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C93F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auto"/>
            <w:noWrap w:val="0"/>
            <w:vAlign w:val="center"/>
          </w:tcPr>
          <w:p w14:paraId="38076D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公摊面积奖励</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877E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6C2F8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6BD82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9C2E9E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33A32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1C87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FFFFFF"/>
            <w:noWrap w:val="0"/>
            <w:vAlign w:val="center"/>
          </w:tcPr>
          <w:p w14:paraId="54BF2D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店面补助</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512D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6090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90BEA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4E4F9B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54BE3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CBC2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auto"/>
            <w:noWrap w:val="0"/>
            <w:vAlign w:val="center"/>
          </w:tcPr>
          <w:p w14:paraId="3AA6D0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附属物补偿（详表</w:t>
            </w:r>
            <w:r>
              <w:rPr>
                <w:rFonts w:hint="eastAsia" w:ascii="宋体" w:hAnsi="宋体" w:cs="宋体"/>
                <w:i w:val="0"/>
                <w:color w:val="auto"/>
                <w:kern w:val="0"/>
                <w:sz w:val="20"/>
                <w:szCs w:val="20"/>
                <w:highlight w:val="none"/>
                <w:u w:val="none"/>
                <w:lang w:val="en-US" w:eastAsia="zh-CN" w:bidi="ar"/>
              </w:rPr>
              <w:t>六</w:t>
            </w:r>
            <w:r>
              <w:rPr>
                <w:rFonts w:hint="eastAsia" w:ascii="宋体" w:hAnsi="宋体" w:eastAsia="宋体" w:cs="宋体"/>
                <w:i w:val="0"/>
                <w:color w:val="auto"/>
                <w:kern w:val="0"/>
                <w:sz w:val="20"/>
                <w:szCs w:val="20"/>
                <w:highlight w:val="none"/>
                <w:u w:val="none"/>
                <w:lang w:val="en-US" w:eastAsia="zh-CN" w:bidi="ar"/>
              </w:rPr>
              <w:t xml:space="preserve">）        </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5BD6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DDF7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D01C4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79E55F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174B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B6E4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053" w:type="dxa"/>
            <w:gridSpan w:val="3"/>
            <w:tcBorders>
              <w:top w:val="single" w:color="000000" w:sz="4" w:space="0"/>
              <w:bottom w:val="single" w:color="000000" w:sz="4" w:space="0"/>
              <w:right w:val="single" w:color="000000" w:sz="4" w:space="0"/>
            </w:tcBorders>
            <w:shd w:val="clear" w:color="auto" w:fill="auto"/>
            <w:noWrap w:val="0"/>
            <w:vAlign w:val="center"/>
          </w:tcPr>
          <w:p w14:paraId="6EC02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降低（升高）地段等级补差价</w:t>
            </w:r>
          </w:p>
        </w:tc>
        <w:tc>
          <w:tcPr>
            <w:tcW w:w="17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E4C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认定补偿安置面积选择产权调换部分j</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8EA3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9238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5B684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CF5BD2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49CCF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AC4D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053" w:type="dxa"/>
            <w:gridSpan w:val="3"/>
            <w:tcBorders>
              <w:top w:val="single" w:color="000000" w:sz="4" w:space="0"/>
              <w:bottom w:val="single" w:color="000000" w:sz="4" w:space="0"/>
              <w:right w:val="single" w:color="000000" w:sz="4" w:space="0"/>
            </w:tcBorders>
            <w:shd w:val="clear" w:color="auto" w:fill="auto"/>
            <w:noWrap w:val="0"/>
            <w:vAlign w:val="center"/>
          </w:tcPr>
          <w:p w14:paraId="3A6CA4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产权调换等面积补缴款</w:t>
            </w:r>
          </w:p>
        </w:tc>
        <w:tc>
          <w:tcPr>
            <w:tcW w:w="17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2A5E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1403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B94C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50080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8A6908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23395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FA7B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auto"/>
            <w:noWrap w:val="0"/>
            <w:vAlign w:val="center"/>
          </w:tcPr>
          <w:p w14:paraId="6CCC4F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照顾购买面积缴款</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DBCE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0F07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4F3B5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4620A5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39D2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8483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auto"/>
            <w:noWrap w:val="0"/>
            <w:vAlign w:val="center"/>
          </w:tcPr>
          <w:p w14:paraId="7EEE02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小计</w:t>
            </w:r>
          </w:p>
        </w:tc>
        <w:tc>
          <w:tcPr>
            <w:tcW w:w="64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2F54D3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3EE7A9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C3059C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3FC587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34128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264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A17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Style w:val="28"/>
                <w:color w:val="auto"/>
                <w:sz w:val="20"/>
                <w:szCs w:val="20"/>
                <w:highlight w:val="none"/>
                <w:u w:val="none"/>
                <w:lang w:val="en-US" w:eastAsia="zh-CN" w:bidi="ar"/>
              </w:rPr>
              <w:t xml:space="preserve"> </w:t>
            </w:r>
            <w:r>
              <w:rPr>
                <w:rStyle w:val="22"/>
                <w:color w:val="auto"/>
                <w:sz w:val="20"/>
                <w:szCs w:val="20"/>
                <w:highlight w:val="none"/>
                <w:u w:val="none"/>
                <w:lang w:val="en-US" w:eastAsia="zh-CN" w:bidi="ar"/>
              </w:rPr>
              <w:t>交房时结算的款项    K</w:t>
            </w:r>
          </w:p>
        </w:tc>
        <w:tc>
          <w:tcPr>
            <w:tcW w:w="2793"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38A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交房时面积误差产生的款</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4AA0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AC0E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D357D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bottom w:val="single" w:color="000000" w:sz="4" w:space="0"/>
              <w:right w:val="single" w:color="000000" w:sz="4" w:space="0"/>
            </w:tcBorders>
            <w:noWrap w:val="0"/>
            <w:vAlign w:val="center"/>
          </w:tcPr>
          <w:p w14:paraId="7A29C6B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0025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6" w:hRule="atLeast"/>
        </w:trPr>
        <w:tc>
          <w:tcPr>
            <w:tcW w:w="5440"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CBD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合计                   </w:t>
            </w:r>
          </w:p>
        </w:tc>
        <w:tc>
          <w:tcPr>
            <w:tcW w:w="64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C8F50E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60B2C1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FB127F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bottom w:val="single" w:color="000000" w:sz="4" w:space="0"/>
              <w:right w:val="single" w:color="000000" w:sz="4" w:space="0"/>
            </w:tcBorders>
            <w:noWrap w:val="0"/>
            <w:vAlign w:val="center"/>
          </w:tcPr>
          <w:p w14:paraId="5F94FD19">
            <w:pPr>
              <w:keepNext w:val="0"/>
              <w:keepLines w:val="0"/>
              <w:suppressLineNumbers w:val="0"/>
              <w:spacing w:before="0" w:beforeAutospacing="0" w:after="0" w:afterAutospacing="0"/>
              <w:ind w:left="0" w:right="0"/>
              <w:jc w:val="left"/>
              <w:rPr>
                <w:rFonts w:hint="eastAsia" w:ascii="宋体" w:hAnsi="宋体" w:eastAsia="宋体" w:cs="宋体"/>
                <w:i w:val="0"/>
                <w:color w:val="auto"/>
                <w:sz w:val="20"/>
                <w:szCs w:val="20"/>
                <w:highlight w:val="none"/>
                <w:u w:val="none"/>
              </w:rPr>
            </w:pPr>
          </w:p>
        </w:tc>
      </w:tr>
    </w:tbl>
    <w:p w14:paraId="2401EC31">
      <w:pPr>
        <w:pStyle w:val="2"/>
        <w:numPr>
          <w:ilvl w:val="0"/>
          <w:numId w:val="0"/>
        </w:numPr>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（二）层高小于2.2m的房屋夹层按房屋建安造价补偿，不予认定补偿安置面积；层高2.2m及以上的夹层、阁楼，按规定予以认定补偿安置面积</w:t>
      </w:r>
      <w:r>
        <w:rPr>
          <w:rFonts w:hint="eastAsia" w:ascii="仿宋_GB2312" w:eastAsia="仿宋_GB2312"/>
          <w:color w:val="auto"/>
          <w:sz w:val="32"/>
          <w:szCs w:val="32"/>
          <w:highlight w:val="none"/>
          <w:u w:val="none"/>
          <w:lang w:val="zh-CN" w:eastAsia="zh-CN"/>
        </w:rPr>
        <w:t>，夹层、阁楼现状建筑面积不大于下一层现状建筑面积50%的可</w:t>
      </w:r>
      <w:r>
        <w:rPr>
          <w:rFonts w:hint="eastAsia" w:ascii="仿宋_GB2312" w:eastAsia="仿宋_GB2312"/>
          <w:color w:val="auto"/>
          <w:sz w:val="32"/>
          <w:szCs w:val="32"/>
          <w:highlight w:val="none"/>
          <w:u w:val="none"/>
          <w:lang w:val="zh-CN"/>
        </w:rPr>
        <w:t>不计入总层数，同时不享受照顾购买面积。</w:t>
      </w:r>
      <w:r>
        <w:rPr>
          <w:rFonts w:hint="eastAsia" w:ascii="仿宋_GB2312" w:eastAsia="仿宋_GB2312"/>
          <w:b w:val="0"/>
          <w:bCs w:val="0"/>
          <w:color w:val="auto"/>
          <w:sz w:val="32"/>
          <w:szCs w:val="32"/>
          <w:highlight w:val="none"/>
          <w:u w:val="none"/>
          <w:lang w:val="zh-CN"/>
        </w:rPr>
        <w:t>利用坡屋顶空间作为阁楼层的建筑形式，阁楼层与原房同时设计建造的，其楼底高度在2.2</w:t>
      </w:r>
      <w:r>
        <w:rPr>
          <w:rFonts w:hint="eastAsia" w:ascii="仿宋_GB2312" w:eastAsia="仿宋_GB2312"/>
          <w:color w:val="auto"/>
          <w:sz w:val="32"/>
          <w:szCs w:val="32"/>
          <w:highlight w:val="none"/>
          <w:u w:val="none"/>
          <w:lang w:val="zh-CN"/>
        </w:rPr>
        <w:t>m</w:t>
      </w:r>
      <w:r>
        <w:rPr>
          <w:rFonts w:hint="eastAsia" w:ascii="仿宋_GB2312" w:eastAsia="仿宋_GB2312"/>
          <w:b w:val="0"/>
          <w:bCs w:val="0"/>
          <w:color w:val="auto"/>
          <w:sz w:val="32"/>
          <w:szCs w:val="32"/>
          <w:highlight w:val="none"/>
          <w:u w:val="none"/>
          <w:lang w:val="zh-CN"/>
        </w:rPr>
        <w:t>以上（含）计算建筑面积，阁楼层层高小于2.2</w:t>
      </w:r>
      <w:r>
        <w:rPr>
          <w:rFonts w:hint="eastAsia" w:ascii="仿宋_GB2312" w:eastAsia="仿宋_GB2312"/>
          <w:color w:val="auto"/>
          <w:sz w:val="32"/>
          <w:szCs w:val="32"/>
          <w:highlight w:val="none"/>
          <w:u w:val="none"/>
          <w:lang w:val="zh-CN"/>
        </w:rPr>
        <w:t>m</w:t>
      </w:r>
      <w:r>
        <w:rPr>
          <w:rFonts w:hint="eastAsia" w:ascii="仿宋_GB2312" w:eastAsia="仿宋_GB2312"/>
          <w:b w:val="0"/>
          <w:bCs w:val="0"/>
          <w:color w:val="auto"/>
          <w:sz w:val="32"/>
          <w:szCs w:val="32"/>
          <w:highlight w:val="none"/>
          <w:u w:val="none"/>
          <w:lang w:val="zh-CN"/>
        </w:rPr>
        <w:t>部分不计算建筑面积。坡屋顶阁楼不计入总层数。</w:t>
      </w:r>
    </w:p>
    <w:p w14:paraId="7C68639E">
      <w:pPr>
        <w:pStyle w:val="2"/>
        <w:numPr>
          <w:ilvl w:val="0"/>
          <w:numId w:val="0"/>
        </w:numPr>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（三）房屋顶层（层高2.2m及以上）现状建筑面积不大于18㎡的，可按规定认定补偿安置面积，不计入总层数。补差价格按下一层标准计算，不享受照顾购买。</w:t>
      </w:r>
    </w:p>
    <w:p w14:paraId="5977B6D1">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（四）</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露出室外地面超过其层</w:t>
      </w:r>
      <w:r>
        <w:rPr>
          <w:rFonts w:hint="eastAsia" w:ascii="仿宋_GB2312" w:eastAsia="仿宋_GB2312"/>
          <w:color w:val="auto"/>
          <w:sz w:val="32"/>
          <w:szCs w:val="32"/>
          <w:highlight w:val="none"/>
          <w:u w:val="none"/>
          <w:lang w:val="zh-CN"/>
        </w:rPr>
        <w:t>高1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以上的，按规定给予认定补偿安置面积，并</w:t>
      </w:r>
      <w:r>
        <w:rPr>
          <w:rFonts w:hint="eastAsia" w:ascii="仿宋_GB2312" w:eastAsia="仿宋_GB2312"/>
          <w:color w:val="auto"/>
          <w:sz w:val="32"/>
          <w:szCs w:val="32"/>
          <w:highlight w:val="none"/>
          <w:u w:val="none"/>
          <w:lang w:val="zh-CN"/>
        </w:rPr>
        <w:t>计</w:t>
      </w:r>
      <w:r>
        <w:rPr>
          <w:rFonts w:hint="eastAsia" w:ascii="仿宋_GB2312" w:eastAsia="仿宋_GB2312"/>
          <w:color w:val="auto"/>
          <w:sz w:val="32"/>
          <w:szCs w:val="32"/>
          <w:highlight w:val="none"/>
          <w:u w:val="none"/>
          <w:lang w:val="zh-CN" w:eastAsia="zh-CN"/>
        </w:rPr>
        <w:t>入总层数；</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露出室外地面在其层高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／3(不含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／3）至</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）的，按规定给予认定一半的补偿安置面积，</w:t>
      </w:r>
      <w:r>
        <w:rPr>
          <w:rFonts w:hint="eastAsia" w:ascii="仿宋_GB2312" w:eastAsia="仿宋_GB2312"/>
          <w:color w:val="auto"/>
          <w:sz w:val="32"/>
          <w:szCs w:val="32"/>
          <w:highlight w:val="none"/>
          <w:u w:val="none"/>
          <w:lang w:val="zh-CN"/>
        </w:rPr>
        <w:t>不计入总层数</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露出室外地面不超过其层高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／3的，只</w:t>
      </w:r>
      <w:r>
        <w:rPr>
          <w:rFonts w:hint="eastAsia" w:ascii="仿宋_GB2312" w:eastAsia="仿宋_GB2312"/>
          <w:color w:val="auto"/>
          <w:sz w:val="32"/>
          <w:szCs w:val="32"/>
          <w:highlight w:val="none"/>
          <w:u w:val="none"/>
          <w:lang w:val="zh-CN"/>
        </w:rPr>
        <w:t>给予房屋建安造价补偿，不予认定补偿安置面积，不计入总层数。</w:t>
      </w:r>
    </w:p>
    <w:p w14:paraId="0CE6654C">
      <w:pPr>
        <w:pStyle w:val="2"/>
        <w:shd w:val="clear" w:color="auto" w:fill="auto"/>
        <w:spacing w:after="0" w:line="600" w:lineRule="exact"/>
        <w:ind w:firstLine="480" w:firstLineChars="150"/>
        <w:rPr>
          <w:rFonts w:hint="eastAsia" w:ascii="仿宋_GB2312" w:eastAsia="仿宋_GB2312"/>
          <w:b w:val="0"/>
          <w:bCs w:val="0"/>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zh-CN"/>
        </w:rPr>
        <w:t>（五）随主体一次性建成属永久性的有顶盖的室外楼梯按各自然层水平投影面积认定补偿安置面积，无顶盖的楼梯按自然层水平投影面积一半认定补偿安置面积；后期加盖的不予认定补偿安置面积，重置价按相应结构补偿。</w:t>
      </w:r>
    </w:p>
    <w:p w14:paraId="181CD282">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rPr>
        <w:t>十</w:t>
      </w:r>
      <w:r>
        <w:rPr>
          <w:rFonts w:hint="eastAsia" w:ascii="仿宋_GB2312" w:eastAsia="仿宋_GB2312"/>
          <w:b/>
          <w:bCs/>
          <w:color w:val="auto"/>
          <w:sz w:val="32"/>
          <w:szCs w:val="32"/>
          <w:highlight w:val="none"/>
          <w:u w:val="none"/>
          <w:lang w:val="zh-CN" w:eastAsia="zh-CN"/>
        </w:rPr>
        <w:t>一</w:t>
      </w:r>
      <w:r>
        <w:rPr>
          <w:rFonts w:hint="eastAsia" w:ascii="仿宋_GB2312" w:eastAsia="仿宋_GB2312"/>
          <w:b/>
          <w:bCs/>
          <w:color w:val="auto"/>
          <w:sz w:val="32"/>
          <w:szCs w:val="32"/>
          <w:highlight w:val="none"/>
          <w:u w:val="none"/>
          <w:lang w:val="zh-CN"/>
        </w:rPr>
        <w:t>、安置办法</w:t>
      </w:r>
    </w:p>
    <w:p w14:paraId="5D45B59E">
      <w:pPr>
        <w:spacing w:line="600" w:lineRule="exact"/>
        <w:ind w:firstLine="480" w:firstLineChars="15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（一）安置房的选择</w:t>
      </w:r>
    </w:p>
    <w:p w14:paraId="1756A4F7">
      <w:p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被征收人因房屋被征收后在征收人提供的安置区内选择的安置房面积，原则上等同被征收房屋认定的补偿安置面积。</w:t>
      </w:r>
    </w:p>
    <w:p w14:paraId="7CEAC574">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（二）照顾购买面积的标准</w:t>
      </w:r>
    </w:p>
    <w:p w14:paraId="555A94B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低层私人自建</w:t>
      </w:r>
      <w:r>
        <w:rPr>
          <w:rFonts w:hint="eastAsia" w:ascii="仿宋_GB2312" w:eastAsia="仿宋_GB2312"/>
          <w:color w:val="auto"/>
          <w:sz w:val="32"/>
          <w:szCs w:val="32"/>
          <w:highlight w:val="none"/>
          <w:u w:val="none"/>
          <w:lang w:val="zh-CN" w:eastAsia="zh-CN"/>
        </w:rPr>
        <w:t>住</w:t>
      </w:r>
      <w:r>
        <w:rPr>
          <w:rFonts w:hint="eastAsia" w:ascii="仿宋_GB2312" w:eastAsia="仿宋_GB2312"/>
          <w:color w:val="auto"/>
          <w:sz w:val="32"/>
          <w:szCs w:val="32"/>
          <w:highlight w:val="none"/>
          <w:u w:val="none"/>
          <w:lang w:val="zh-CN"/>
        </w:rPr>
        <w:t>宅照顾购买。</w:t>
      </w:r>
      <w:r>
        <w:rPr>
          <w:rFonts w:hint="eastAsia" w:ascii="仿宋_GB2312" w:eastAsia="仿宋_GB2312"/>
          <w:color w:val="auto"/>
          <w:sz w:val="32"/>
          <w:szCs w:val="32"/>
          <w:highlight w:val="none"/>
          <w:u w:val="none"/>
          <w:lang w:val="zh-CN" w:eastAsia="zh-CN"/>
        </w:rPr>
        <w:t>房屋总层数按房屋现状层数予以认定。</w:t>
      </w:r>
      <w:r>
        <w:rPr>
          <w:rFonts w:hint="eastAsia" w:ascii="仿宋_GB2312" w:eastAsia="仿宋_GB2312"/>
          <w:color w:val="auto"/>
          <w:sz w:val="32"/>
          <w:szCs w:val="32"/>
          <w:highlight w:val="none"/>
          <w:u w:val="none"/>
          <w:lang w:val="zh-CN"/>
        </w:rPr>
        <w:t>属总一层的房屋，</w:t>
      </w:r>
      <w:r>
        <w:rPr>
          <w:rFonts w:hint="eastAsia" w:ascii="仿宋_GB2312" w:eastAsia="仿宋_GB2312"/>
          <w:color w:val="auto"/>
          <w:sz w:val="32"/>
          <w:szCs w:val="32"/>
          <w:highlight w:val="none"/>
          <w:u w:val="none"/>
          <w:lang w:val="zh-CN" w:eastAsia="zh-CN"/>
        </w:rPr>
        <w:t>选择产权调换的，可</w:t>
      </w:r>
      <w:r>
        <w:rPr>
          <w:rFonts w:hint="eastAsia" w:ascii="仿宋_GB2312" w:eastAsia="仿宋_GB2312"/>
          <w:color w:val="auto"/>
          <w:sz w:val="32"/>
          <w:szCs w:val="32"/>
          <w:highlight w:val="none"/>
          <w:u w:val="none"/>
          <w:lang w:val="zh-CN"/>
        </w:rPr>
        <w:t>照顾购买安置</w:t>
      </w:r>
      <w:r>
        <w:rPr>
          <w:rFonts w:hint="eastAsia" w:ascii="仿宋_GB2312" w:eastAsia="仿宋_GB2312"/>
          <w:color w:val="auto"/>
          <w:sz w:val="32"/>
          <w:szCs w:val="32"/>
          <w:highlight w:val="none"/>
          <w:u w:val="none"/>
          <w:lang w:val="zh-CN" w:eastAsia="zh-CN"/>
        </w:rPr>
        <w:t>房，照顾购买安置房的面积</w:t>
      </w:r>
      <w:r>
        <w:rPr>
          <w:rFonts w:hint="eastAsia" w:ascii="仿宋_GB2312" w:eastAsia="仿宋_GB2312"/>
          <w:color w:val="auto"/>
          <w:sz w:val="32"/>
          <w:szCs w:val="32"/>
          <w:highlight w:val="none"/>
          <w:u w:val="none"/>
          <w:lang w:val="zh-CN"/>
        </w:rPr>
        <w:t>不得超过</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安置面积的1倍；属总二层的房屋，</w:t>
      </w:r>
      <w:r>
        <w:rPr>
          <w:rFonts w:hint="eastAsia" w:ascii="仿宋_GB2312" w:eastAsia="仿宋_GB2312"/>
          <w:color w:val="auto"/>
          <w:sz w:val="32"/>
          <w:szCs w:val="32"/>
          <w:highlight w:val="none"/>
          <w:u w:val="none"/>
          <w:lang w:val="zh-CN" w:eastAsia="zh-CN"/>
        </w:rPr>
        <w:t>选择产权调换的，可</w:t>
      </w:r>
      <w:r>
        <w:rPr>
          <w:rFonts w:hint="eastAsia" w:ascii="仿宋_GB2312" w:eastAsia="仿宋_GB2312"/>
          <w:color w:val="auto"/>
          <w:sz w:val="32"/>
          <w:szCs w:val="32"/>
          <w:highlight w:val="none"/>
          <w:u w:val="none"/>
          <w:lang w:val="zh-CN"/>
        </w:rPr>
        <w:t>照顾购买安置</w:t>
      </w:r>
      <w:r>
        <w:rPr>
          <w:rFonts w:hint="eastAsia" w:ascii="仿宋_GB2312" w:eastAsia="仿宋_GB2312"/>
          <w:color w:val="auto"/>
          <w:sz w:val="32"/>
          <w:szCs w:val="32"/>
          <w:highlight w:val="none"/>
          <w:u w:val="none"/>
          <w:lang w:val="zh-CN" w:eastAsia="zh-CN"/>
        </w:rPr>
        <w:t>房，照顾购买安置房的面积</w:t>
      </w:r>
      <w:r>
        <w:rPr>
          <w:rFonts w:hint="eastAsia" w:ascii="仿宋_GB2312" w:eastAsia="仿宋_GB2312"/>
          <w:color w:val="auto"/>
          <w:sz w:val="32"/>
          <w:szCs w:val="32"/>
          <w:highlight w:val="none"/>
          <w:u w:val="none"/>
          <w:lang w:val="zh-CN"/>
        </w:rPr>
        <w:t>不得超过</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安置面积的0.</w:t>
      </w:r>
      <w:r>
        <w:rPr>
          <w:rFonts w:hint="eastAsia" w:ascii="仿宋_GB2312" w:eastAsia="仿宋_GB2312"/>
          <w:color w:val="auto"/>
          <w:sz w:val="32"/>
          <w:szCs w:val="32"/>
          <w:highlight w:val="none"/>
          <w:u w:val="none"/>
          <w:lang w:val="zh-CN" w:eastAsia="zh-CN"/>
        </w:rPr>
        <w:t>5</w:t>
      </w:r>
      <w:r>
        <w:rPr>
          <w:rFonts w:hint="eastAsia" w:ascii="仿宋_GB2312" w:eastAsia="仿宋_GB2312"/>
          <w:color w:val="auto"/>
          <w:sz w:val="32"/>
          <w:szCs w:val="32"/>
          <w:highlight w:val="none"/>
          <w:u w:val="none"/>
          <w:lang w:val="zh-CN"/>
        </w:rPr>
        <w:t>倍。</w:t>
      </w:r>
      <w:r>
        <w:rPr>
          <w:rFonts w:hint="eastAsia" w:ascii="仿宋_GB2312" w:eastAsia="仿宋_GB2312"/>
          <w:color w:val="auto"/>
          <w:sz w:val="32"/>
          <w:szCs w:val="32"/>
          <w:highlight w:val="none"/>
          <w:u w:val="none"/>
          <w:lang w:val="zh-CN" w:eastAsia="zh-CN"/>
        </w:rPr>
        <w:t>总层数二层以上（不含二层）的房屋，其所有建筑面积均不享受照顾购买面积。</w:t>
      </w:r>
    </w:p>
    <w:p w14:paraId="467C595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宅基地照顾购买。手续完整</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宅基地（包括已批未建、多批少建、地上房屋已倒塌或只有房屋基础的），按未建用地面积</w:t>
      </w:r>
      <w:r>
        <w:rPr>
          <w:rFonts w:hint="eastAsia" w:ascii="仿宋_GB2312" w:eastAsia="仿宋_GB2312"/>
          <w:b w:val="0"/>
          <w:bCs w:val="0"/>
          <w:color w:val="auto"/>
          <w:sz w:val="32"/>
          <w:szCs w:val="32"/>
          <w:highlight w:val="none"/>
          <w:u w:val="none"/>
          <w:lang w:val="zh-CN"/>
        </w:rPr>
        <w:t>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。1987年前所建房屋已倒塌或只剩基础的，按房屋基底占</w:t>
      </w:r>
      <w:r>
        <w:rPr>
          <w:rFonts w:hint="eastAsia" w:ascii="仿宋_GB2312" w:eastAsia="仿宋_GB2312"/>
          <w:b w:val="0"/>
          <w:bCs w:val="0"/>
          <w:color w:val="auto"/>
          <w:sz w:val="32"/>
          <w:szCs w:val="32"/>
          <w:highlight w:val="none"/>
          <w:u w:val="none"/>
          <w:lang w:val="zh-CN"/>
        </w:rPr>
        <w:t>地面积等面积照顾购买安置房，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㎡，土地按已确权进行认定补偿</w:t>
      </w:r>
      <w:r>
        <w:rPr>
          <w:rFonts w:hint="eastAsia" w:ascii="仿宋_GB2312" w:eastAsia="仿宋_GB2312"/>
          <w:b w:val="0"/>
          <w:bCs w:val="0"/>
          <w:color w:val="auto"/>
          <w:sz w:val="32"/>
          <w:szCs w:val="32"/>
          <w:highlight w:val="none"/>
          <w:u w:val="none"/>
          <w:lang w:val="zh-CN" w:eastAsia="zh-CN"/>
        </w:rPr>
        <w:t>。持</w:t>
      </w:r>
      <w:r>
        <w:rPr>
          <w:rFonts w:hint="eastAsia" w:ascii="仿宋_GB2312" w:eastAsia="仿宋_GB2312"/>
          <w:color w:val="auto"/>
          <w:sz w:val="32"/>
          <w:szCs w:val="32"/>
          <w:highlight w:val="none"/>
          <w:u w:val="none"/>
          <w:lang w:val="zh-CN" w:eastAsia="zh-CN"/>
        </w:rPr>
        <w:t>有土地使用证或房屋产权证房屋已倒塌或只剩基础的，按权证确权的房屋基底占</w:t>
      </w:r>
      <w:r>
        <w:rPr>
          <w:rFonts w:hint="eastAsia" w:ascii="仿宋_GB2312" w:eastAsia="仿宋_GB2312"/>
          <w:color w:val="auto"/>
          <w:sz w:val="32"/>
          <w:szCs w:val="32"/>
          <w:highlight w:val="none"/>
          <w:u w:val="none"/>
          <w:lang w:val="zh-CN"/>
        </w:rPr>
        <w:t>地面积等面积照顾购买安置房，</w:t>
      </w:r>
      <w:r>
        <w:rPr>
          <w:rFonts w:hint="eastAsia" w:ascii="仿宋_GB2312" w:eastAsia="仿宋_GB2312"/>
          <w:color w:val="auto"/>
          <w:sz w:val="32"/>
          <w:szCs w:val="32"/>
          <w:highlight w:val="none"/>
          <w:u w:val="none"/>
          <w:lang w:val="zh-CN" w:eastAsia="zh-CN"/>
        </w:rPr>
        <w:t>最多不超过120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p>
    <w:p w14:paraId="0418E2C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符合以上照顾购买条件的，不区分选择何种补偿安置方式均可将照顾购买面积用于产权购置，但放弃照顾购买的，该照顾购买面积部分不再享受“十</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、奖励措施”中“（二）被征收人</w:t>
      </w:r>
      <w:r>
        <w:rPr>
          <w:rFonts w:hint="eastAsia" w:ascii="仿宋_GB2312" w:eastAsia="仿宋_GB2312"/>
          <w:color w:val="auto"/>
          <w:sz w:val="32"/>
          <w:szCs w:val="32"/>
          <w:highlight w:val="none"/>
          <w:u w:val="none"/>
          <w:lang w:val="zh-CN" w:eastAsia="zh-CN"/>
        </w:rPr>
        <w:t>另</w:t>
      </w:r>
      <w:r>
        <w:rPr>
          <w:rFonts w:hint="eastAsia" w:ascii="仿宋_GB2312" w:eastAsia="仿宋_GB2312"/>
          <w:color w:val="auto"/>
          <w:sz w:val="32"/>
          <w:szCs w:val="32"/>
          <w:highlight w:val="none"/>
          <w:u w:val="none"/>
          <w:lang w:val="zh-CN"/>
        </w:rPr>
        <w:t>可享受下列奖励”的第</w:t>
      </w:r>
      <w:r>
        <w:rPr>
          <w:rFonts w:hint="eastAsia" w:ascii="仿宋_GB2312" w:eastAsia="仿宋_GB2312"/>
          <w:color w:val="auto"/>
          <w:sz w:val="32"/>
          <w:szCs w:val="32"/>
          <w:highlight w:val="none"/>
          <w:u w:val="none"/>
          <w:lang w:val="en-US" w:eastAsia="zh-CN"/>
        </w:rPr>
        <w:t>2点“</w:t>
      </w:r>
      <w:r>
        <w:rPr>
          <w:rFonts w:hint="eastAsia" w:ascii="仿宋_GB2312" w:eastAsia="仿宋_GB2312"/>
          <w:color w:val="auto"/>
          <w:sz w:val="32"/>
          <w:szCs w:val="32"/>
          <w:highlight w:val="none"/>
          <w:u w:val="none"/>
          <w:lang w:val="zh-CN"/>
        </w:rPr>
        <w:t>放弃产权调换安置的补差</w:t>
      </w:r>
      <w:r>
        <w:rPr>
          <w:rFonts w:hint="eastAsia" w:ascii="仿宋_GB2312" w:eastAsia="仿宋_GB2312"/>
          <w:color w:val="auto"/>
          <w:sz w:val="32"/>
          <w:szCs w:val="32"/>
          <w:highlight w:val="none"/>
          <w:u w:val="none"/>
          <w:lang w:val="en-US" w:eastAsia="zh-CN"/>
        </w:rPr>
        <w:t>”</w:t>
      </w:r>
      <w:r>
        <w:rPr>
          <w:rFonts w:hint="eastAsia" w:ascii="仿宋_GB2312" w:eastAsia="仿宋_GB2312"/>
          <w:color w:val="auto"/>
          <w:sz w:val="32"/>
          <w:szCs w:val="32"/>
          <w:highlight w:val="none"/>
          <w:u w:val="none"/>
          <w:lang w:val="zh-CN"/>
        </w:rPr>
        <w:t>，放弃照顾购买部分的面积也不另外给予货币补偿。</w:t>
      </w:r>
    </w:p>
    <w:p w14:paraId="7F26DB7F">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4、</w:t>
      </w:r>
      <w:r>
        <w:rPr>
          <w:rFonts w:hint="eastAsia" w:ascii="仿宋_GB2312" w:eastAsia="仿宋_GB2312"/>
          <w:color w:val="auto"/>
          <w:sz w:val="32"/>
          <w:szCs w:val="32"/>
          <w:highlight w:val="none"/>
          <w:u w:val="none"/>
          <w:lang w:val="zh-CN"/>
        </w:rPr>
        <w:t>以上照顾购买面积按</w:t>
      </w:r>
      <w:r>
        <w:rPr>
          <w:rFonts w:hint="eastAsia" w:ascii="仿宋_GB2312" w:eastAsia="仿宋_GB2312"/>
          <w:color w:val="auto"/>
          <w:sz w:val="32"/>
          <w:szCs w:val="32"/>
          <w:highlight w:val="none"/>
          <w:u w:val="none"/>
          <w:shd w:val="clear" w:fill="FFFFFF"/>
          <w:lang w:val="zh-CN"/>
        </w:rPr>
        <w:t>照顾</w:t>
      </w:r>
      <w:r>
        <w:rPr>
          <w:rFonts w:hint="eastAsia" w:ascii="仿宋_GB2312" w:eastAsia="仿宋_GB2312"/>
          <w:color w:val="auto"/>
          <w:sz w:val="32"/>
          <w:szCs w:val="32"/>
          <w:highlight w:val="none"/>
          <w:u w:val="none"/>
          <w:lang w:val="zh-CN"/>
        </w:rPr>
        <w:t>购买价〔详见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（三）安置原则及安置房价格</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点〕计算。</w:t>
      </w:r>
    </w:p>
    <w:p w14:paraId="69B6B03A">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（三）安置原则及安置房价格</w:t>
      </w:r>
    </w:p>
    <w:p w14:paraId="516C703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私人自建住宅认定</w:t>
      </w:r>
      <w:r>
        <w:rPr>
          <w:rFonts w:hint="eastAsia" w:ascii="仿宋_GB2312" w:eastAsia="仿宋_GB2312"/>
          <w:color w:val="auto"/>
          <w:sz w:val="32"/>
          <w:szCs w:val="32"/>
          <w:highlight w:val="none"/>
          <w:u w:val="none"/>
          <w:lang w:val="zh-CN"/>
        </w:rPr>
        <w:t>补偿安置面积（不含照顾购买面积）选择产权调换部分，按总层数补缴费用，不同结构按总层数套相应结构类别补缴费用，详见附表五。</w:t>
      </w:r>
    </w:p>
    <w:p w14:paraId="4C30E7E7">
      <w:pPr>
        <w:spacing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2、本项目产权调换可选择安置</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en-US" w:eastAsia="zh-CN"/>
        </w:rPr>
        <w:t>安置区及先后顺序、</w:t>
      </w:r>
      <w:r>
        <w:rPr>
          <w:rFonts w:hint="eastAsia" w:ascii="仿宋_GB2312" w:eastAsia="仿宋_GB2312"/>
          <w:color w:val="auto"/>
          <w:sz w:val="32"/>
          <w:szCs w:val="32"/>
          <w:highlight w:val="none"/>
          <w:u w:val="none"/>
          <w:lang w:val="zh-CN"/>
        </w:rPr>
        <w:t>所</w:t>
      </w:r>
      <w:r>
        <w:rPr>
          <w:rFonts w:hint="eastAsia" w:ascii="仿宋_GB2312" w:eastAsia="仿宋_GB2312"/>
          <w:color w:val="auto"/>
          <w:sz w:val="32"/>
          <w:szCs w:val="32"/>
          <w:highlight w:val="none"/>
          <w:u w:val="none"/>
          <w:lang w:val="zh-CN" w:eastAsia="zh-CN"/>
        </w:rPr>
        <w:t>选安置区因降低或</w:t>
      </w:r>
      <w:r>
        <w:rPr>
          <w:rFonts w:hint="eastAsia" w:ascii="仿宋_GB2312" w:eastAsia="仿宋_GB2312"/>
          <w:color w:val="auto"/>
          <w:sz w:val="32"/>
          <w:szCs w:val="32"/>
          <w:highlight w:val="none"/>
          <w:u w:val="none"/>
          <w:shd w:val="clear" w:fill="FFFFFF"/>
          <w:lang w:val="zh-CN" w:eastAsia="zh-CN"/>
        </w:rPr>
        <w:t>升高地段</w:t>
      </w:r>
      <w:r>
        <w:rPr>
          <w:rFonts w:hint="eastAsia" w:ascii="仿宋_GB2312" w:eastAsia="仿宋_GB2312"/>
          <w:color w:val="auto"/>
          <w:sz w:val="32"/>
          <w:szCs w:val="32"/>
          <w:highlight w:val="none"/>
          <w:u w:val="none"/>
          <w:lang w:val="zh-CN" w:eastAsia="zh-CN"/>
        </w:rPr>
        <w:t>等级的补差价、所选安置区的照顾购买价、</w:t>
      </w:r>
      <w:r>
        <w:rPr>
          <w:rFonts w:hint="eastAsia" w:ascii="仿宋_GB2312" w:eastAsia="仿宋_GB2312"/>
          <w:color w:val="auto"/>
          <w:sz w:val="32"/>
          <w:szCs w:val="32"/>
          <w:highlight w:val="none"/>
          <w:u w:val="none"/>
          <w:lang w:val="zh-CN"/>
        </w:rPr>
        <w:t>选房时因安置房户型和建筑结构等原因导致实际安置面积超出产权调换面积的</w:t>
      </w:r>
      <w:r>
        <w:rPr>
          <w:rFonts w:hint="eastAsia" w:ascii="仿宋_GB2312" w:hAnsi="仿宋_GB2312" w:eastAsia="仿宋_GB2312" w:cs="仿宋_GB2312"/>
          <w:color w:val="auto"/>
          <w:sz w:val="32"/>
          <w:szCs w:val="32"/>
          <w:highlight w:val="none"/>
          <w:u w:val="none"/>
          <w:lang w:val="zh-CN" w:eastAsia="zh-CN"/>
        </w:rPr>
        <w:t>补偿价（含</w:t>
      </w:r>
      <w:r>
        <w:rPr>
          <w:rFonts w:hint="eastAsia" w:ascii="仿宋_GB2312" w:eastAsia="仿宋_GB2312"/>
          <w:color w:val="auto"/>
          <w:sz w:val="32"/>
          <w:szCs w:val="32"/>
          <w:highlight w:val="none"/>
          <w:u w:val="none"/>
          <w:lang w:val="zh-CN"/>
        </w:rPr>
        <w:t>误差面积在7㎡</w:t>
      </w:r>
      <w:r>
        <w:rPr>
          <w:rFonts w:hint="eastAsia" w:ascii="仿宋_GB2312" w:hAnsi="仿宋_GB2312" w:eastAsia="仿宋_GB2312" w:cs="仿宋_GB2312"/>
          <w:color w:val="auto"/>
          <w:sz w:val="32"/>
          <w:szCs w:val="32"/>
          <w:highlight w:val="none"/>
          <w:u w:val="none"/>
          <w:lang w:val="zh-CN"/>
        </w:rPr>
        <w:t>以内及超出</w:t>
      </w:r>
      <w:r>
        <w:rPr>
          <w:rFonts w:hint="eastAsia" w:ascii="仿宋_GB2312" w:eastAsia="仿宋_GB2312"/>
          <w:color w:val="auto"/>
          <w:sz w:val="32"/>
          <w:szCs w:val="32"/>
          <w:highlight w:val="none"/>
          <w:u w:val="none"/>
          <w:lang w:val="zh-CN"/>
        </w:rPr>
        <w:t>7㎡</w:t>
      </w:r>
      <w:r>
        <w:rPr>
          <w:rFonts w:hint="eastAsia" w:ascii="仿宋_GB2312" w:hAnsi="仿宋_GB2312" w:eastAsia="仿宋_GB2312" w:cs="仿宋_GB2312"/>
          <w:color w:val="auto"/>
          <w:sz w:val="32"/>
          <w:szCs w:val="32"/>
          <w:highlight w:val="none"/>
          <w:u w:val="none"/>
          <w:lang w:val="zh-CN"/>
        </w:rPr>
        <w:t>部分</w:t>
      </w:r>
      <w:r>
        <w:rPr>
          <w:rFonts w:hint="eastAsia" w:ascii="仿宋_GB2312" w:hAnsi="仿宋_GB2312" w:eastAsia="仿宋_GB2312" w:cs="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eastAsia="zh-CN"/>
        </w:rPr>
        <w:t>详见下表：</w:t>
      </w:r>
    </w:p>
    <w:tbl>
      <w:tblPr>
        <w:tblStyle w:val="5"/>
        <w:tblW w:w="97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3056"/>
        <w:gridCol w:w="1177"/>
        <w:gridCol w:w="1127"/>
        <w:gridCol w:w="1214"/>
        <w:gridCol w:w="1328"/>
        <w:gridCol w:w="1315"/>
      </w:tblGrid>
      <w:tr w14:paraId="7EBF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483" w:type="dxa"/>
            <w:noWrap w:val="0"/>
            <w:vAlign w:val="center"/>
          </w:tcPr>
          <w:p w14:paraId="4A646701">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序号</w:t>
            </w:r>
          </w:p>
        </w:tc>
        <w:tc>
          <w:tcPr>
            <w:tcW w:w="3056" w:type="dxa"/>
            <w:noWrap w:val="0"/>
            <w:vAlign w:val="center"/>
          </w:tcPr>
          <w:p w14:paraId="354216C2">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安置区</w:t>
            </w:r>
          </w:p>
        </w:tc>
        <w:tc>
          <w:tcPr>
            <w:tcW w:w="1177" w:type="dxa"/>
            <w:noWrap w:val="0"/>
            <w:vAlign w:val="center"/>
          </w:tcPr>
          <w:p w14:paraId="41125D81">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补差价</w:t>
            </w:r>
          </w:p>
          <w:p w14:paraId="664BE01E">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127" w:type="dxa"/>
            <w:noWrap w:val="0"/>
            <w:vAlign w:val="center"/>
          </w:tcPr>
          <w:p w14:paraId="0A11BD71">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照顾</w:t>
            </w:r>
          </w:p>
          <w:p w14:paraId="70CFC9BA">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购买价</w:t>
            </w:r>
          </w:p>
          <w:p w14:paraId="1EBA3199">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214" w:type="dxa"/>
            <w:noWrap w:val="0"/>
            <w:vAlign w:val="center"/>
          </w:tcPr>
          <w:p w14:paraId="7F9FC1B6">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误差面积在7㎡以内的补偿价</w:t>
            </w:r>
          </w:p>
          <w:p w14:paraId="648B8718">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328" w:type="dxa"/>
            <w:noWrap w:val="0"/>
            <w:vAlign w:val="center"/>
          </w:tcPr>
          <w:p w14:paraId="7C5A1B17">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误差面积超出7㎡部分的补偿价</w:t>
            </w:r>
          </w:p>
          <w:p w14:paraId="4B65408F">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315" w:type="dxa"/>
            <w:noWrap w:val="0"/>
            <w:vAlign w:val="center"/>
          </w:tcPr>
          <w:p w14:paraId="5DB3D2D8">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计划</w:t>
            </w:r>
          </w:p>
          <w:p w14:paraId="0D458959">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交房</w:t>
            </w:r>
          </w:p>
          <w:p w14:paraId="6F415A85">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时间</w:t>
            </w:r>
          </w:p>
        </w:tc>
      </w:tr>
      <w:tr w14:paraId="6233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noWrap w:val="0"/>
            <w:vAlign w:val="center"/>
          </w:tcPr>
          <w:p w14:paraId="6C3F5135">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w:t>
            </w:r>
          </w:p>
        </w:tc>
        <w:tc>
          <w:tcPr>
            <w:tcW w:w="3056" w:type="dxa"/>
            <w:noWrap w:val="0"/>
            <w:vAlign w:val="center"/>
          </w:tcPr>
          <w:p w14:paraId="4559C4DA">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u w:val="none"/>
                <w:lang w:val="en-US" w:eastAsia="zh-CN"/>
              </w:rPr>
            </w:pPr>
          </w:p>
          <w:p w14:paraId="3C16821B">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政府储备地2013-050号</w:t>
            </w:r>
          </w:p>
          <w:p w14:paraId="2D3FCF83">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u w:val="none"/>
                <w:lang w:val="en-US" w:eastAsia="zh-CN"/>
              </w:rPr>
            </w:pPr>
          </w:p>
        </w:tc>
        <w:tc>
          <w:tcPr>
            <w:tcW w:w="1177" w:type="dxa"/>
            <w:noWrap w:val="0"/>
            <w:vAlign w:val="center"/>
          </w:tcPr>
          <w:p w14:paraId="2915767D">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127" w:type="dxa"/>
            <w:noWrap w:val="0"/>
            <w:vAlign w:val="center"/>
          </w:tcPr>
          <w:p w14:paraId="784B8CC2">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4500</w:t>
            </w:r>
          </w:p>
        </w:tc>
        <w:tc>
          <w:tcPr>
            <w:tcW w:w="1214" w:type="dxa"/>
            <w:noWrap w:val="0"/>
            <w:vAlign w:val="center"/>
          </w:tcPr>
          <w:p w14:paraId="0583308B">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8000</w:t>
            </w:r>
          </w:p>
        </w:tc>
        <w:tc>
          <w:tcPr>
            <w:tcW w:w="1328" w:type="dxa"/>
            <w:noWrap w:val="0"/>
            <w:vAlign w:val="center"/>
          </w:tcPr>
          <w:p w14:paraId="68211E31">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10000</w:t>
            </w:r>
          </w:p>
        </w:tc>
        <w:tc>
          <w:tcPr>
            <w:tcW w:w="1315" w:type="dxa"/>
            <w:noWrap w:val="0"/>
            <w:vAlign w:val="center"/>
          </w:tcPr>
          <w:p w14:paraId="03E94508">
            <w:pPr>
              <w:keepNext w:val="0"/>
              <w:keepLines w:val="0"/>
              <w:widowControl/>
              <w:suppressLineNumbers w:val="0"/>
              <w:tabs>
                <w:tab w:val="left" w:pos="236"/>
              </w:tabs>
              <w:spacing w:before="0" w:beforeAutospacing="0" w:after="0" w:afterAutospacing="0"/>
              <w:ind w:left="0" w:right="0"/>
              <w:jc w:val="left"/>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预计36个月</w:t>
            </w:r>
          </w:p>
        </w:tc>
      </w:tr>
    </w:tbl>
    <w:p w14:paraId="4A8D0028">
      <w:pPr>
        <w:spacing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选择安置区的具体规定如下：</w:t>
      </w:r>
    </w:p>
    <w:p w14:paraId="1AB90FDC">
      <w:pPr>
        <w:spacing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拆迁区范围内的被征收人安置房可在</w:t>
      </w:r>
      <w:r>
        <w:rPr>
          <w:rFonts w:hint="eastAsia" w:ascii="仿宋_GB2312" w:eastAsia="仿宋_GB2312"/>
          <w:color w:val="auto"/>
          <w:sz w:val="32"/>
          <w:szCs w:val="32"/>
          <w:highlight w:val="none"/>
          <w:u w:val="none"/>
          <w:lang w:val="en-US" w:eastAsia="zh-CN"/>
        </w:rPr>
        <w:t>政府储备地2013-050号安置区</w:t>
      </w:r>
      <w:r>
        <w:rPr>
          <w:rFonts w:hint="eastAsia" w:ascii="仿宋_GB2312" w:eastAsia="仿宋_GB2312"/>
          <w:color w:val="auto"/>
          <w:sz w:val="32"/>
          <w:szCs w:val="32"/>
          <w:highlight w:val="none"/>
          <w:u w:val="none"/>
          <w:lang w:val="zh-CN" w:eastAsia="zh-CN"/>
        </w:rPr>
        <w:t>中选择，先拆先得，先到先得，选完为止或宏路街道安排安置房顺序。</w:t>
      </w:r>
    </w:p>
    <w:p w14:paraId="3757B507">
      <w:p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sz w:val="32"/>
          <w:szCs w:val="32"/>
          <w:highlight w:val="none"/>
          <w:u w:val="none"/>
          <w:lang w:val="zh-CN"/>
        </w:rPr>
        <w:t>3、</w:t>
      </w:r>
      <w:r>
        <w:rPr>
          <w:rFonts w:hint="eastAsia" w:ascii="仿宋_GB2312" w:eastAsia="仿宋_GB2312"/>
          <w:color w:val="auto"/>
          <w:kern w:val="0"/>
          <w:sz w:val="32"/>
          <w:szCs w:val="32"/>
          <w:highlight w:val="none"/>
          <w:u w:val="none"/>
          <w:lang w:val="zh-CN"/>
        </w:rPr>
        <w:t>选房时因安置房户型和建筑结构等原因，导致产权调换面积与实际安置面积无法完全相符时的选房规定。</w:t>
      </w:r>
      <w:r>
        <w:rPr>
          <w:rFonts w:hint="eastAsia" w:ascii="仿宋_GB2312" w:eastAsia="仿宋_GB2312"/>
          <w:b w:val="0"/>
          <w:bCs w:val="0"/>
          <w:color w:val="auto"/>
          <w:kern w:val="0"/>
          <w:sz w:val="32"/>
          <w:szCs w:val="32"/>
          <w:highlight w:val="none"/>
          <w:u w:val="none"/>
          <w:lang w:val="zh-CN" w:eastAsia="zh-CN"/>
        </w:rPr>
        <w:t>选择的安置房面积可上靠或下调，选择上靠</w:t>
      </w:r>
      <w:r>
        <w:rPr>
          <w:rFonts w:hint="eastAsia" w:ascii="仿宋_GB2312" w:eastAsia="仿宋_GB2312"/>
          <w:b w:val="0"/>
          <w:bCs w:val="0"/>
          <w:color w:val="auto"/>
          <w:kern w:val="0"/>
          <w:sz w:val="32"/>
          <w:szCs w:val="32"/>
          <w:highlight w:val="none"/>
          <w:u w:val="none"/>
          <w:shd w:val="clear" w:fill="FFFFFF"/>
          <w:lang w:val="zh-CN" w:eastAsia="zh-CN"/>
        </w:rPr>
        <w:t>的</w:t>
      </w:r>
      <w:bookmarkStart w:id="6" w:name="_GoBack"/>
      <w:bookmarkEnd w:id="6"/>
      <w:r>
        <w:rPr>
          <w:rFonts w:hint="eastAsia" w:ascii="仿宋_GB2312" w:eastAsia="仿宋_GB2312"/>
          <w:b w:val="0"/>
          <w:bCs w:val="0"/>
          <w:color w:val="auto"/>
          <w:kern w:val="0"/>
          <w:sz w:val="32"/>
          <w:szCs w:val="32"/>
          <w:highlight w:val="none"/>
          <w:u w:val="none"/>
          <w:lang w:val="zh-CN"/>
        </w:rPr>
        <w:t>安置房面积原则上应按最接近产权调换面积，并应严格按以下规定执行。全部选择产权调换的，</w:t>
      </w:r>
      <w:r>
        <w:rPr>
          <w:rFonts w:hint="eastAsia" w:ascii="仿宋_GB2312" w:eastAsia="仿宋_GB2312"/>
          <w:color w:val="auto"/>
          <w:kern w:val="0"/>
          <w:sz w:val="32"/>
          <w:szCs w:val="32"/>
          <w:highlight w:val="none"/>
          <w:u w:val="none"/>
          <w:lang w:val="zh-CN"/>
        </w:rPr>
        <w:t>被征收人选择安置房的面积上限为：</w:t>
      </w:r>
      <w:r>
        <w:rPr>
          <w:rFonts w:hint="eastAsia" w:ascii="仿宋_GB2312" w:eastAsia="仿宋_GB2312"/>
          <w:color w:val="auto"/>
          <w:sz w:val="32"/>
          <w:szCs w:val="32"/>
          <w:highlight w:val="none"/>
          <w:u w:val="none"/>
          <w:lang w:val="zh-CN"/>
        </w:rPr>
        <w:t>总层数为二层以下（含二层）按认定补偿安置面积的1.25倍+照顾购买面积；总层数为三层及以上按认定补偿安置面积的1.15倍（超出的0.25倍或0.15倍以内面积的价格按上表收取）。</w:t>
      </w:r>
      <w:r>
        <w:rPr>
          <w:rFonts w:hint="eastAsia" w:ascii="仿宋_GB2312" w:eastAsia="仿宋_GB2312"/>
          <w:color w:val="auto"/>
          <w:kern w:val="0"/>
          <w:sz w:val="32"/>
          <w:szCs w:val="32"/>
          <w:highlight w:val="none"/>
          <w:u w:val="none"/>
          <w:lang w:val="zh-CN"/>
        </w:rPr>
        <w:t>选择部分产权调换与部分货币补偿相结合的，被征收人选择产权调换面积与选择货币补偿面积的总和不得超过被征收房屋认定补偿安置面积与照顾购买面积的和。</w:t>
      </w:r>
    </w:p>
    <w:p w14:paraId="63E06CD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被征收房屋认定补偿安置</w:t>
      </w:r>
      <w:r>
        <w:rPr>
          <w:rFonts w:hint="eastAsia" w:ascii="仿宋_GB2312" w:eastAsia="仿宋_GB2312"/>
          <w:color w:val="auto"/>
          <w:sz w:val="32"/>
          <w:szCs w:val="32"/>
          <w:highlight w:val="none"/>
          <w:u w:val="none"/>
          <w:lang w:val="zh-CN"/>
        </w:rPr>
        <w:t>面积小于30㎡</w:t>
      </w:r>
      <w:r>
        <w:rPr>
          <w:rFonts w:hint="eastAsia" w:ascii="仿宋_GB2312" w:hAnsi="仿宋_GB2312" w:eastAsia="仿宋_GB2312" w:cs="仿宋_GB2312"/>
          <w:color w:val="auto"/>
          <w:sz w:val="32"/>
          <w:szCs w:val="32"/>
          <w:highlight w:val="none"/>
          <w:u w:val="none"/>
          <w:lang w:val="zh-CN"/>
        </w:rPr>
        <w:t>（含</w:t>
      </w:r>
      <w:r>
        <w:rPr>
          <w:rFonts w:hint="eastAsia" w:ascii="仿宋_GB2312" w:eastAsia="仿宋_GB2312"/>
          <w:color w:val="auto"/>
          <w:sz w:val="32"/>
          <w:szCs w:val="32"/>
          <w:highlight w:val="none"/>
          <w:u w:val="none"/>
          <w:lang w:val="zh-CN"/>
        </w:rPr>
        <w:t>30㎡</w:t>
      </w:r>
      <w:r>
        <w:rPr>
          <w:rFonts w:hint="eastAsia" w:ascii="仿宋_GB2312" w:hAnsi="仿宋_GB2312" w:eastAsia="仿宋_GB2312" w:cs="仿宋_GB2312"/>
          <w:color w:val="auto"/>
          <w:sz w:val="32"/>
          <w:szCs w:val="32"/>
          <w:highlight w:val="none"/>
          <w:u w:val="none"/>
          <w:lang w:val="zh-CN"/>
        </w:rPr>
        <w:t>）的，原则上实行货币补偿；如被征收人在本区域内有</w:t>
      </w:r>
      <w:r>
        <w:rPr>
          <w:rFonts w:hint="eastAsia" w:ascii="仿宋_GB2312" w:hAnsi="仿宋_GB2312" w:eastAsia="仿宋_GB2312" w:cs="仿宋_GB2312"/>
          <w:color w:val="auto"/>
          <w:sz w:val="32"/>
          <w:szCs w:val="32"/>
          <w:highlight w:val="none"/>
          <w:u w:val="none"/>
          <w:shd w:val="clear" w:fill="FFFFFF"/>
          <w:lang w:val="zh-CN"/>
        </w:rPr>
        <w:t>其它被</w:t>
      </w:r>
      <w:r>
        <w:rPr>
          <w:rFonts w:hint="eastAsia" w:ascii="仿宋_GB2312" w:hAnsi="仿宋_GB2312" w:eastAsia="仿宋_GB2312" w:cs="仿宋_GB2312"/>
          <w:color w:val="auto"/>
          <w:sz w:val="32"/>
          <w:szCs w:val="32"/>
          <w:highlight w:val="none"/>
          <w:u w:val="none"/>
          <w:lang w:val="zh-CN"/>
        </w:rPr>
        <w:t>征收房屋的（含共有产权析产所得份额），可合并安置</w:t>
      </w:r>
      <w:r>
        <w:rPr>
          <w:rFonts w:hint="eastAsia" w:ascii="仿宋_GB2312" w:eastAsia="仿宋_GB2312"/>
          <w:color w:val="auto"/>
          <w:sz w:val="32"/>
          <w:szCs w:val="32"/>
          <w:highlight w:val="none"/>
          <w:u w:val="none"/>
          <w:lang w:val="zh-CN"/>
        </w:rPr>
        <w:t>。</w:t>
      </w:r>
    </w:p>
    <w:p w14:paraId="6BEC8C86">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二</w:t>
      </w:r>
      <w:r>
        <w:rPr>
          <w:rFonts w:hint="eastAsia" w:ascii="仿宋_GB2312" w:eastAsia="仿宋_GB2312"/>
          <w:b/>
          <w:color w:val="auto"/>
          <w:sz w:val="32"/>
          <w:szCs w:val="32"/>
          <w:highlight w:val="none"/>
          <w:u w:val="none"/>
          <w:lang w:val="zh-CN"/>
        </w:rPr>
        <w:t>、搬迁过渡</w:t>
      </w:r>
    </w:p>
    <w:p w14:paraId="31B3A8C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（一）搬迁补助</w:t>
      </w:r>
    </w:p>
    <w:p w14:paraId="7DC14D0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根据经认定补偿安置面积，</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15</w:t>
      </w:r>
      <w:r>
        <w:rPr>
          <w:rFonts w:hint="eastAsia" w:ascii="仿宋_GB2312" w:eastAsia="仿宋_GB2312"/>
          <w:color w:val="auto"/>
          <w:sz w:val="32"/>
          <w:szCs w:val="32"/>
          <w:highlight w:val="none"/>
          <w:u w:val="none"/>
          <w:lang w:val="zh-CN"/>
        </w:rPr>
        <w:t>元/㎡标准计算搬迁费一次；如选择产权调换的，再按产权调换面积（不含照顾购买面积）计算一次</w:t>
      </w:r>
      <w:r>
        <w:rPr>
          <w:rFonts w:hint="eastAsia" w:ascii="仿宋_GB2312" w:eastAsia="仿宋_GB2312"/>
          <w:color w:val="auto"/>
          <w:sz w:val="32"/>
          <w:szCs w:val="32"/>
          <w:highlight w:val="none"/>
          <w:u w:val="none"/>
          <w:lang w:val="zh-CN" w:eastAsia="zh-CN"/>
        </w:rPr>
        <w:t>，不足1000元的按1000元计算。</w:t>
      </w:r>
    </w:p>
    <w:p w14:paraId="61679CA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（二）临时过渡</w:t>
      </w:r>
    </w:p>
    <w:p w14:paraId="0A1EAFB4">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过渡期限：自被征收人签订协议并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之日</w:t>
      </w:r>
      <w:r>
        <w:rPr>
          <w:rFonts w:hint="eastAsia" w:ascii="仿宋_GB2312" w:eastAsia="仿宋_GB2312"/>
          <w:color w:val="auto"/>
          <w:sz w:val="32"/>
          <w:szCs w:val="32"/>
          <w:highlight w:val="none"/>
          <w:u w:val="none"/>
          <w:lang w:val="zh-CN" w:eastAsia="zh-CN"/>
        </w:rPr>
        <w:t>算</w:t>
      </w:r>
      <w:r>
        <w:rPr>
          <w:rFonts w:hint="eastAsia" w:ascii="仿宋_GB2312" w:eastAsia="仿宋_GB2312"/>
          <w:color w:val="auto"/>
          <w:sz w:val="32"/>
          <w:szCs w:val="32"/>
          <w:highlight w:val="none"/>
          <w:u w:val="none"/>
          <w:lang w:val="zh-CN"/>
        </w:rPr>
        <w:t>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选择不同安置区的具体过渡期限详见“十一、安置办法”中的表格</w:t>
      </w:r>
      <w:r>
        <w:rPr>
          <w:rFonts w:hint="eastAsia" w:ascii="仿宋_GB2312" w:eastAsia="仿宋_GB2312"/>
          <w:color w:val="auto"/>
          <w:sz w:val="32"/>
          <w:szCs w:val="32"/>
          <w:highlight w:val="none"/>
          <w:u w:val="none"/>
        </w:rPr>
        <w:t>。</w:t>
      </w:r>
    </w:p>
    <w:p w14:paraId="69FC119C">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过渡方式：鼓励被征收人自行过渡</w:t>
      </w:r>
      <w:r>
        <w:rPr>
          <w:rFonts w:hint="eastAsia" w:ascii="仿宋_GB2312" w:eastAsia="仿宋_GB2312"/>
          <w:color w:val="auto"/>
          <w:sz w:val="32"/>
          <w:szCs w:val="32"/>
          <w:highlight w:val="none"/>
          <w:u w:val="none"/>
          <w:lang w:val="zh-CN" w:eastAsia="zh-CN"/>
        </w:rPr>
        <w:t>并予奖励</w:t>
      </w:r>
      <w:r>
        <w:rPr>
          <w:rFonts w:hint="eastAsia" w:ascii="仿宋_GB2312" w:eastAsia="仿宋_GB2312"/>
          <w:color w:val="auto"/>
          <w:sz w:val="32"/>
          <w:szCs w:val="32"/>
          <w:highlight w:val="none"/>
          <w:u w:val="none"/>
          <w:lang w:val="zh-CN"/>
        </w:rPr>
        <w:t>；自行过渡确有困难的，可申请安排临时周转房过渡，有使用临时周转房的</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不予发放临时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58A56276">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补助标准：根据产权调换面积（不含照顾购买面积）按</w:t>
      </w:r>
      <w:r>
        <w:rPr>
          <w:rFonts w:hint="eastAsia" w:ascii="仿宋_GB2312" w:eastAsia="仿宋_GB2312"/>
          <w:color w:val="auto"/>
          <w:sz w:val="32"/>
          <w:szCs w:val="32"/>
          <w:highlight w:val="none"/>
          <w:u w:val="none"/>
          <w:lang w:val="zh-CN" w:eastAsia="zh-CN"/>
        </w:rPr>
        <w:t>10</w:t>
      </w:r>
      <w:r>
        <w:rPr>
          <w:rFonts w:hint="eastAsia" w:ascii="仿宋_GB2312" w:eastAsia="仿宋_GB2312"/>
          <w:color w:val="auto"/>
          <w:sz w:val="32"/>
          <w:szCs w:val="32"/>
          <w:highlight w:val="none"/>
          <w:u w:val="none"/>
          <w:lang w:val="zh-CN"/>
        </w:rPr>
        <w:t>元/㎡·月标准计算。</w:t>
      </w:r>
    </w:p>
    <w:p w14:paraId="1A8CCDCE">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4</w:t>
      </w:r>
      <w:r>
        <w:rPr>
          <w:rFonts w:hint="eastAsia" w:ascii="仿宋_GB2312" w:eastAsia="仿宋_GB2312"/>
          <w:color w:val="auto"/>
          <w:sz w:val="32"/>
          <w:szCs w:val="32"/>
          <w:highlight w:val="none"/>
          <w:u w:val="none"/>
          <w:lang w:val="zh-CN" w:eastAsia="zh-CN"/>
        </w:rPr>
        <w:t>、选择货币补偿的及现房产权调换的，给予发放6</w:t>
      </w:r>
      <w:r>
        <w:rPr>
          <w:rFonts w:hint="eastAsia" w:ascii="仿宋_GB2312" w:eastAsia="仿宋_GB2312"/>
          <w:color w:val="auto"/>
          <w:sz w:val="32"/>
          <w:szCs w:val="32"/>
          <w:highlight w:val="none"/>
          <w:u w:val="none"/>
          <w:lang w:val="zh-CN"/>
        </w:rPr>
        <w:t>个月临时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114AC6FD">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5</w:t>
      </w:r>
      <w:r>
        <w:rPr>
          <w:rFonts w:hint="eastAsia" w:ascii="仿宋_GB2312" w:eastAsia="仿宋_GB2312"/>
          <w:color w:val="auto"/>
          <w:sz w:val="32"/>
          <w:szCs w:val="32"/>
          <w:highlight w:val="none"/>
          <w:u w:val="none"/>
          <w:lang w:val="zh-CN" w:eastAsia="zh-CN"/>
        </w:rPr>
        <w:t>、属</w:t>
      </w:r>
      <w:r>
        <w:rPr>
          <w:rFonts w:hint="eastAsia" w:ascii="仿宋_GB2312" w:eastAsia="仿宋_GB2312"/>
          <w:color w:val="auto"/>
          <w:sz w:val="32"/>
          <w:szCs w:val="32"/>
          <w:highlight w:val="none"/>
          <w:u w:val="none"/>
          <w:lang w:val="zh-CN"/>
        </w:rPr>
        <w:t>非被征收人责任</w:t>
      </w:r>
      <w:r>
        <w:rPr>
          <w:rFonts w:hint="eastAsia" w:ascii="仿宋_GB2312" w:eastAsia="仿宋_GB2312"/>
          <w:color w:val="auto"/>
          <w:sz w:val="32"/>
          <w:szCs w:val="32"/>
          <w:highlight w:val="none"/>
          <w:u w:val="none"/>
          <w:lang w:val="zh-CN" w:eastAsia="zh-CN"/>
        </w:rPr>
        <w:t>造成</w:t>
      </w:r>
      <w:r>
        <w:rPr>
          <w:rFonts w:hint="eastAsia" w:ascii="仿宋_GB2312" w:eastAsia="仿宋_GB2312"/>
          <w:color w:val="auto"/>
          <w:sz w:val="32"/>
          <w:szCs w:val="32"/>
          <w:highlight w:val="none"/>
          <w:u w:val="none"/>
          <w:lang w:val="zh-CN"/>
        </w:rPr>
        <w:t>超出</w:t>
      </w:r>
      <w:r>
        <w:rPr>
          <w:rFonts w:hint="eastAsia" w:ascii="仿宋_GB2312" w:eastAsia="仿宋_GB2312"/>
          <w:color w:val="auto"/>
          <w:sz w:val="32"/>
          <w:szCs w:val="32"/>
          <w:highlight w:val="none"/>
          <w:u w:val="none"/>
          <w:lang w:val="zh-CN" w:eastAsia="zh-CN"/>
        </w:rPr>
        <w:t>过渡期限的</w:t>
      </w:r>
      <w:r>
        <w:rPr>
          <w:rFonts w:hint="eastAsia" w:ascii="仿宋_GB2312" w:eastAsia="仿宋_GB2312"/>
          <w:color w:val="auto"/>
          <w:sz w:val="32"/>
          <w:szCs w:val="32"/>
          <w:highlight w:val="none"/>
          <w:u w:val="none"/>
          <w:lang w:val="zh-CN"/>
        </w:rPr>
        <w:t>，对自行过渡的被征收人，从逾期之日起，按</w:t>
      </w:r>
      <w:r>
        <w:rPr>
          <w:rFonts w:hint="eastAsia" w:ascii="仿宋_GB2312" w:eastAsia="仿宋_GB2312"/>
          <w:color w:val="auto"/>
          <w:sz w:val="32"/>
          <w:szCs w:val="32"/>
          <w:highlight w:val="none"/>
          <w:u w:val="none"/>
          <w:lang w:val="zh-CN" w:eastAsia="zh-CN"/>
        </w:rPr>
        <w:t>双倍给予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r>
        <w:rPr>
          <w:rFonts w:hint="eastAsia" w:ascii="仿宋_GB2312" w:eastAsia="仿宋_GB2312"/>
          <w:color w:val="auto"/>
          <w:sz w:val="32"/>
          <w:szCs w:val="32"/>
          <w:highlight w:val="none"/>
          <w:u w:val="none"/>
          <w:lang w:val="en-US" w:eastAsia="zh-CN"/>
        </w:rPr>
        <w:t>,提前交房的安置区提前时间在3个月内的不扣过渡费，超过3个月的部分扣回过渡费</w:t>
      </w:r>
      <w:r>
        <w:rPr>
          <w:rFonts w:hint="eastAsia" w:ascii="仿宋_GB2312" w:eastAsia="仿宋_GB2312"/>
          <w:color w:val="auto"/>
          <w:sz w:val="32"/>
          <w:szCs w:val="32"/>
          <w:highlight w:val="none"/>
          <w:u w:val="none"/>
          <w:lang w:val="zh-CN"/>
        </w:rPr>
        <w:t>；对使用过渡周转房的，从逾期之日起，按</w:t>
      </w:r>
      <w:r>
        <w:rPr>
          <w:rFonts w:hint="eastAsia" w:ascii="仿宋_GB2312" w:eastAsia="仿宋_GB2312"/>
          <w:color w:val="auto"/>
          <w:sz w:val="32"/>
          <w:szCs w:val="32"/>
          <w:highlight w:val="none"/>
          <w:u w:val="none"/>
          <w:lang w:val="zh-CN" w:eastAsia="zh-CN"/>
        </w:rPr>
        <w:t>正常标准给予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5068E755">
      <w:pPr>
        <w:pStyle w:val="2"/>
        <w:shd w:val="clear" w:color="auto" w:fill="auto"/>
        <w:spacing w:after="0" w:line="600" w:lineRule="exact"/>
        <w:ind w:firstLine="803" w:firstLineChars="25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十三、签约协商期限</w:t>
      </w:r>
    </w:p>
    <w:p w14:paraId="0BFBAF4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本项目红线范围内房屋征收签约协商期限规定如下：</w:t>
      </w:r>
    </w:p>
    <w:p w14:paraId="5BC8E9D5">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）宣传发动和房屋权属、面积核对阶段：自本方案发布</w:t>
      </w:r>
    </w:p>
    <w:p w14:paraId="1C19CC55">
      <w:pPr>
        <w:pStyle w:val="2"/>
        <w:shd w:val="clear" w:color="auto" w:fill="auto"/>
        <w:spacing w:after="0" w:line="600" w:lineRule="exact"/>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之日起</w:t>
      </w:r>
      <w:r>
        <w:rPr>
          <w:rFonts w:hint="eastAsia" w:ascii="仿宋_GB2312" w:eastAsia="仿宋_GB2312"/>
          <w:color w:val="auto"/>
          <w:sz w:val="32"/>
          <w:szCs w:val="32"/>
          <w:highlight w:val="none"/>
          <w:u w:val="none"/>
          <w:lang w:val="zh-CN" w:eastAsia="zh-CN"/>
        </w:rPr>
        <w:t>至协商签约期限开始日</w:t>
      </w:r>
      <w:r>
        <w:rPr>
          <w:rFonts w:hint="eastAsia" w:ascii="仿宋_GB2312" w:eastAsia="仿宋_GB2312"/>
          <w:color w:val="auto"/>
          <w:sz w:val="32"/>
          <w:szCs w:val="32"/>
          <w:highlight w:val="none"/>
          <w:u w:val="none"/>
          <w:lang w:val="zh-CN"/>
        </w:rPr>
        <w:t>，该阶段达成协议，可提前签约。</w:t>
      </w:r>
    </w:p>
    <w:p w14:paraId="11933DDE">
      <w:pPr>
        <w:pStyle w:val="2"/>
        <w:shd w:val="clear" w:color="auto" w:fill="auto"/>
        <w:spacing w:after="0" w:line="600" w:lineRule="exact"/>
        <w:ind w:left="319" w:leftChars="152" w:firstLine="160" w:firstLineChars="50"/>
        <w:rPr>
          <w:rFonts w:hint="eastAsia" w:ascii="仿宋_GB2312" w:eastAsia="仿宋_GB2312"/>
          <w:b w:val="0"/>
          <w:bCs w:val="0"/>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zh-CN" w:eastAsia="zh-CN"/>
        </w:rPr>
        <w:t>（二）房屋征收协商签约期限：</w:t>
      </w:r>
      <w:r>
        <w:rPr>
          <w:rFonts w:hint="eastAsia" w:ascii="仿宋_GB2312" w:eastAsia="仿宋_GB2312"/>
          <w:b w:val="0"/>
          <w:bCs w:val="0"/>
          <w:color w:val="auto"/>
          <w:sz w:val="32"/>
          <w:szCs w:val="32"/>
          <w:highlight w:val="none"/>
          <w:u w:val="none"/>
          <w:lang w:val="en-US" w:eastAsia="zh-CN"/>
        </w:rPr>
        <w:t>以正式方案公布为准</w:t>
      </w:r>
      <w:r>
        <w:rPr>
          <w:rFonts w:hint="eastAsia" w:ascii="仿宋_GB2312" w:eastAsia="仿宋_GB2312"/>
          <w:b w:val="0"/>
          <w:bCs w:val="0"/>
          <w:color w:val="auto"/>
          <w:sz w:val="32"/>
          <w:szCs w:val="32"/>
          <w:highlight w:val="none"/>
          <w:u w:val="none"/>
          <w:lang w:val="zh-CN" w:eastAsia="zh-CN"/>
        </w:rPr>
        <w:t>。</w:t>
      </w:r>
    </w:p>
    <w:p w14:paraId="6226F31F">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四</w:t>
      </w:r>
      <w:r>
        <w:rPr>
          <w:rFonts w:hint="eastAsia" w:ascii="仿宋_GB2312" w:eastAsia="仿宋_GB2312"/>
          <w:b/>
          <w:color w:val="auto"/>
          <w:sz w:val="32"/>
          <w:szCs w:val="32"/>
          <w:highlight w:val="none"/>
          <w:u w:val="none"/>
          <w:lang w:val="zh-CN"/>
        </w:rPr>
        <w:t>、奖励措施</w:t>
      </w:r>
    </w:p>
    <w:p w14:paraId="55B04D5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被征收人在规定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w:t>
      </w:r>
      <w:r>
        <w:rPr>
          <w:rFonts w:hint="eastAsia"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eastAsia="zh-CN"/>
        </w:rPr>
        <w:t>交拆</w:t>
      </w:r>
      <w:r>
        <w:rPr>
          <w:rFonts w:hint="eastAsia" w:ascii="仿宋_GB2312" w:eastAsia="仿宋_GB2312"/>
          <w:color w:val="auto"/>
          <w:sz w:val="32"/>
          <w:szCs w:val="32"/>
          <w:highlight w:val="none"/>
          <w:u w:val="none"/>
          <w:lang w:val="zh-CN"/>
        </w:rPr>
        <w:t>的，可享受下列奖励：</w:t>
      </w:r>
    </w:p>
    <w:p w14:paraId="2A9DA8E1">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en-US" w:eastAsia="zh-CN"/>
        </w:rPr>
      </w:pP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时</w:t>
      </w:r>
      <w:r>
        <w:rPr>
          <w:rFonts w:hint="eastAsia" w:ascii="仿宋_GB2312" w:eastAsia="仿宋_GB2312"/>
          <w:color w:val="auto"/>
          <w:sz w:val="32"/>
          <w:szCs w:val="32"/>
          <w:highlight w:val="none"/>
          <w:u w:val="none"/>
          <w:lang w:val="zh-CN"/>
        </w:rPr>
        <w:t>签约奖励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安置面积计算（不含所有照顾购买面积），</w:t>
      </w:r>
      <w:r>
        <w:rPr>
          <w:rFonts w:hint="eastAsia" w:ascii="仿宋_GB2312" w:eastAsia="仿宋_GB2312"/>
          <w:b w:val="0"/>
          <w:bCs w:val="0"/>
          <w:color w:val="auto"/>
          <w:sz w:val="32"/>
          <w:szCs w:val="32"/>
          <w:highlight w:val="none"/>
          <w:u w:val="none"/>
          <w:lang w:val="zh-CN"/>
        </w:rPr>
        <w:t>给予</w:t>
      </w:r>
      <w:r>
        <w:rPr>
          <w:rFonts w:hint="eastAsia" w:ascii="仿宋_GB2312" w:eastAsia="仿宋_GB2312"/>
          <w:b w:val="0"/>
          <w:bCs w:val="0"/>
          <w:color w:val="auto"/>
          <w:sz w:val="32"/>
          <w:szCs w:val="32"/>
          <w:highlight w:val="none"/>
          <w:u w:val="none"/>
          <w:lang w:val="en-US" w:eastAsia="zh-CN"/>
        </w:rPr>
        <w:t>3</w:t>
      </w:r>
      <w:r>
        <w:rPr>
          <w:rFonts w:hint="eastAsia" w:ascii="仿宋_GB2312" w:eastAsia="仿宋_GB2312"/>
          <w:b w:val="0"/>
          <w:bCs w:val="0"/>
          <w:color w:val="auto"/>
          <w:sz w:val="32"/>
          <w:szCs w:val="32"/>
          <w:highlight w:val="none"/>
          <w:u w:val="none"/>
          <w:lang w:val="zh-CN"/>
        </w:rPr>
        <w:t>00元/㎡奖励。</w:t>
      </w:r>
    </w:p>
    <w:p w14:paraId="33698253">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二</w:t>
      </w:r>
      <w:r>
        <w:rPr>
          <w:rFonts w:hint="eastAsia" w:ascii="仿宋_GB2312" w:eastAsia="仿宋_GB2312"/>
          <w:b w:val="0"/>
          <w:bCs w:val="0"/>
          <w:color w:val="auto"/>
          <w:sz w:val="32"/>
          <w:szCs w:val="32"/>
          <w:highlight w:val="none"/>
          <w:u w:val="none"/>
          <w:lang w:val="zh-CN"/>
        </w:rPr>
        <w:t>）被征收人</w:t>
      </w:r>
      <w:r>
        <w:rPr>
          <w:rFonts w:hint="eastAsia" w:ascii="仿宋_GB2312" w:eastAsia="仿宋_GB2312"/>
          <w:b w:val="0"/>
          <w:bCs w:val="0"/>
          <w:color w:val="auto"/>
          <w:sz w:val="32"/>
          <w:szCs w:val="32"/>
          <w:highlight w:val="none"/>
          <w:u w:val="none"/>
          <w:lang w:val="zh-CN" w:eastAsia="zh-CN"/>
        </w:rPr>
        <w:t>另</w:t>
      </w:r>
      <w:r>
        <w:rPr>
          <w:rFonts w:hint="eastAsia" w:ascii="仿宋_GB2312" w:eastAsia="仿宋_GB2312"/>
          <w:b w:val="0"/>
          <w:bCs w:val="0"/>
          <w:color w:val="auto"/>
          <w:sz w:val="32"/>
          <w:szCs w:val="32"/>
          <w:highlight w:val="none"/>
          <w:u w:val="none"/>
          <w:lang w:val="zh-CN"/>
        </w:rPr>
        <w:t>可享受下列奖励：</w:t>
      </w:r>
    </w:p>
    <w:p w14:paraId="7A6A6629">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1、自行</w:t>
      </w:r>
      <w:r>
        <w:rPr>
          <w:rFonts w:hint="eastAsia" w:ascii="仿宋_GB2312" w:eastAsia="仿宋_GB2312"/>
          <w:b w:val="0"/>
          <w:bCs w:val="0"/>
          <w:color w:val="auto"/>
          <w:sz w:val="32"/>
          <w:szCs w:val="32"/>
          <w:highlight w:val="none"/>
          <w:u w:val="none"/>
          <w:lang w:val="zh-CN"/>
        </w:rPr>
        <w:t>封房交拆奖励：按认定补偿安置面积计算（不含所有照顾购买面积），给予</w:t>
      </w:r>
      <w:r>
        <w:rPr>
          <w:rFonts w:hint="eastAsia" w:ascii="仿宋_GB2312" w:eastAsia="仿宋_GB2312"/>
          <w:b w:val="0"/>
          <w:bCs w:val="0"/>
          <w:color w:val="auto"/>
          <w:sz w:val="32"/>
          <w:szCs w:val="32"/>
          <w:highlight w:val="none"/>
          <w:u w:val="none"/>
          <w:lang w:val="en-US" w:eastAsia="zh-CN"/>
        </w:rPr>
        <w:t>4</w:t>
      </w:r>
      <w:r>
        <w:rPr>
          <w:rFonts w:hint="eastAsia" w:ascii="仿宋_GB2312" w:eastAsia="仿宋_GB2312"/>
          <w:b w:val="0"/>
          <w:bCs w:val="0"/>
          <w:color w:val="auto"/>
          <w:sz w:val="32"/>
          <w:szCs w:val="32"/>
          <w:highlight w:val="none"/>
          <w:u w:val="none"/>
          <w:lang w:val="zh-CN"/>
        </w:rPr>
        <w:t>00元/㎡奖励。</w:t>
      </w:r>
    </w:p>
    <w:p w14:paraId="429293C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自行过渡奖励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被征收人自行过渡的，按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w:t>
      </w:r>
      <w:r>
        <w:rPr>
          <w:rFonts w:hint="eastAsia" w:ascii="仿宋_GB2312" w:eastAsia="仿宋_GB2312"/>
          <w:color w:val="auto"/>
          <w:sz w:val="32"/>
          <w:szCs w:val="32"/>
          <w:highlight w:val="none"/>
          <w:u w:val="none"/>
          <w:lang w:val="zh-CN" w:eastAsia="zh-CN"/>
        </w:rPr>
        <w:t>所有</w:t>
      </w:r>
      <w:r>
        <w:rPr>
          <w:rFonts w:hint="eastAsia" w:ascii="仿宋_GB2312" w:eastAsia="仿宋_GB2312"/>
          <w:color w:val="auto"/>
          <w:sz w:val="32"/>
          <w:szCs w:val="32"/>
          <w:highlight w:val="none"/>
          <w:u w:val="none"/>
          <w:lang w:val="zh-CN"/>
        </w:rPr>
        <w:t>照顾购买面积），给予</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00元/㎡奖励。</w:t>
      </w:r>
    </w:p>
    <w:p w14:paraId="778C588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rPr>
        <w:t>放弃</w:t>
      </w:r>
      <w:r>
        <w:rPr>
          <w:rFonts w:hint="eastAsia" w:ascii="仿宋_GB2312" w:eastAsia="仿宋_GB2312"/>
          <w:color w:val="auto"/>
          <w:sz w:val="32"/>
          <w:szCs w:val="32"/>
          <w:highlight w:val="none"/>
          <w:u w:val="none"/>
          <w:lang w:val="zh-CN" w:eastAsia="zh-CN"/>
        </w:rPr>
        <w:t>产权调换</w:t>
      </w:r>
      <w:r>
        <w:rPr>
          <w:rFonts w:hint="eastAsia" w:ascii="仿宋_GB2312" w:eastAsia="仿宋_GB2312"/>
          <w:color w:val="auto"/>
          <w:sz w:val="32"/>
          <w:szCs w:val="32"/>
          <w:highlight w:val="none"/>
          <w:u w:val="none"/>
          <w:lang w:val="zh-CN"/>
        </w:rPr>
        <w:t>安置的补</w:t>
      </w:r>
      <w:r>
        <w:rPr>
          <w:rFonts w:hint="eastAsia" w:ascii="仿宋_GB2312" w:eastAsia="仿宋_GB2312"/>
          <w:color w:val="auto"/>
          <w:sz w:val="32"/>
          <w:szCs w:val="32"/>
          <w:highlight w:val="none"/>
          <w:u w:val="none"/>
          <w:lang w:val="zh-CN" w:eastAsia="zh-CN"/>
        </w:rPr>
        <w:t>差：选择货币补偿，</w:t>
      </w:r>
      <w:r>
        <w:rPr>
          <w:rFonts w:hint="eastAsia" w:ascii="仿宋_GB2312" w:eastAsia="仿宋_GB2312"/>
          <w:color w:val="auto"/>
          <w:sz w:val="32"/>
          <w:szCs w:val="32"/>
          <w:highlight w:val="none"/>
          <w:u w:val="none"/>
          <w:lang w:val="zh-CN"/>
        </w:rPr>
        <w:t>放弃</w:t>
      </w:r>
      <w:r>
        <w:rPr>
          <w:rFonts w:hint="eastAsia" w:ascii="仿宋_GB2312" w:eastAsia="仿宋_GB2312"/>
          <w:color w:val="auto"/>
          <w:sz w:val="32"/>
          <w:szCs w:val="32"/>
          <w:highlight w:val="none"/>
          <w:u w:val="none"/>
          <w:lang w:val="zh-CN" w:eastAsia="zh-CN"/>
        </w:rPr>
        <w:t>产权调换</w:t>
      </w:r>
      <w:r>
        <w:rPr>
          <w:rFonts w:hint="eastAsia" w:ascii="仿宋_GB2312" w:eastAsia="仿宋_GB2312"/>
          <w:color w:val="auto"/>
          <w:sz w:val="32"/>
          <w:szCs w:val="32"/>
          <w:highlight w:val="none"/>
          <w:u w:val="none"/>
          <w:lang w:val="zh-CN"/>
        </w:rPr>
        <w:t>安置的，按经认定</w:t>
      </w:r>
      <w:r>
        <w:rPr>
          <w:rFonts w:hint="eastAsia" w:ascii="仿宋_GB2312" w:eastAsia="仿宋_GB2312"/>
          <w:color w:val="auto"/>
          <w:sz w:val="32"/>
          <w:szCs w:val="32"/>
          <w:highlight w:val="none"/>
          <w:u w:val="none"/>
          <w:lang w:val="zh-CN" w:eastAsia="zh-CN"/>
        </w:rPr>
        <w:t>补偿安置面积总四层及以下的给予</w:t>
      </w:r>
      <w:r>
        <w:rPr>
          <w:rFonts w:hint="eastAsia" w:ascii="仿宋_GB2312" w:eastAsia="仿宋_GB2312"/>
          <w:color w:val="auto"/>
          <w:sz w:val="32"/>
          <w:szCs w:val="32"/>
          <w:highlight w:val="none"/>
          <w:u w:val="none"/>
          <w:lang w:val="en-US" w:eastAsia="zh-CN"/>
        </w:rPr>
        <w:t>3300</w:t>
      </w:r>
      <w:r>
        <w:rPr>
          <w:rFonts w:hint="eastAsia" w:ascii="仿宋_GB2312" w:eastAsia="仿宋_GB2312"/>
          <w:color w:val="auto"/>
          <w:sz w:val="32"/>
          <w:szCs w:val="32"/>
          <w:highlight w:val="none"/>
          <w:u w:val="none"/>
          <w:lang w:val="zh-CN" w:eastAsia="zh-CN"/>
        </w:rPr>
        <w:t>元/㎡补差款；超过四层的房屋，四层及以下给予</w:t>
      </w:r>
      <w:r>
        <w:rPr>
          <w:rFonts w:hint="eastAsia" w:ascii="仿宋_GB2312" w:eastAsia="仿宋_GB2312"/>
          <w:color w:val="auto"/>
          <w:sz w:val="32"/>
          <w:szCs w:val="32"/>
          <w:highlight w:val="none"/>
          <w:u w:val="none"/>
          <w:lang w:val="en-US" w:eastAsia="zh-CN"/>
        </w:rPr>
        <w:t>3300</w:t>
      </w:r>
      <w:r>
        <w:rPr>
          <w:rFonts w:hint="eastAsia" w:ascii="仿宋_GB2312" w:eastAsia="仿宋_GB2312"/>
          <w:color w:val="auto"/>
          <w:sz w:val="32"/>
          <w:szCs w:val="32"/>
          <w:highlight w:val="none"/>
          <w:u w:val="none"/>
          <w:lang w:val="zh-CN" w:eastAsia="zh-CN"/>
        </w:rPr>
        <w:t>元/㎡补差款，五层部分给予</w:t>
      </w:r>
      <w:r>
        <w:rPr>
          <w:rFonts w:hint="eastAsia" w:ascii="仿宋_GB2312" w:eastAsia="仿宋_GB2312"/>
          <w:color w:val="auto"/>
          <w:sz w:val="32"/>
          <w:szCs w:val="32"/>
          <w:highlight w:val="none"/>
          <w:u w:val="none"/>
          <w:lang w:val="en-US" w:eastAsia="zh-CN"/>
        </w:rPr>
        <w:t>2500</w:t>
      </w:r>
      <w:r>
        <w:rPr>
          <w:rFonts w:hint="eastAsia" w:ascii="仿宋_GB2312" w:eastAsia="仿宋_GB2312"/>
          <w:color w:val="auto"/>
          <w:sz w:val="32"/>
          <w:szCs w:val="32"/>
          <w:highlight w:val="none"/>
          <w:u w:val="none"/>
          <w:lang w:val="zh-CN" w:eastAsia="zh-CN"/>
        </w:rPr>
        <w:t>元/㎡补差款，六层部分给予</w:t>
      </w:r>
      <w:r>
        <w:rPr>
          <w:rFonts w:hint="eastAsia" w:ascii="仿宋_GB2312" w:eastAsia="仿宋_GB2312"/>
          <w:color w:val="auto"/>
          <w:sz w:val="32"/>
          <w:szCs w:val="32"/>
          <w:highlight w:val="none"/>
          <w:u w:val="none"/>
          <w:lang w:val="en-US" w:eastAsia="zh-CN"/>
        </w:rPr>
        <w:t>1500</w:t>
      </w:r>
      <w:r>
        <w:rPr>
          <w:rFonts w:hint="eastAsia" w:ascii="仿宋_GB2312" w:eastAsia="仿宋_GB2312"/>
          <w:color w:val="auto"/>
          <w:sz w:val="32"/>
          <w:szCs w:val="32"/>
          <w:highlight w:val="none"/>
          <w:u w:val="none"/>
          <w:lang w:val="zh-CN" w:eastAsia="zh-CN"/>
        </w:rPr>
        <w:t>元/㎡补差款，七层及以上部分不再补差。放弃产权调换安置的，其照顾购买面积不予补差。</w:t>
      </w:r>
    </w:p>
    <w:p w14:paraId="66E855B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eastAsia="zh-CN"/>
        </w:rPr>
        <w:t>埕地、空地奖励：征收未经审批和</w:t>
      </w:r>
      <w:r>
        <w:rPr>
          <w:rFonts w:hint="eastAsia" w:ascii="仿宋_GB2312" w:eastAsia="仿宋_GB2312"/>
          <w:color w:val="auto"/>
          <w:sz w:val="32"/>
          <w:szCs w:val="32"/>
          <w:highlight w:val="none"/>
          <w:u w:val="none"/>
          <w:lang w:val="zh-CN"/>
        </w:rPr>
        <w:t>镇街清理的</w:t>
      </w:r>
      <w:r>
        <w:rPr>
          <w:rFonts w:hint="eastAsia" w:ascii="仿宋_GB2312" w:eastAsia="仿宋_GB2312"/>
          <w:color w:val="auto"/>
          <w:sz w:val="32"/>
          <w:szCs w:val="32"/>
          <w:highlight w:val="none"/>
          <w:u w:val="none"/>
          <w:lang w:val="zh-CN" w:eastAsia="zh-CN"/>
        </w:rPr>
        <w:t>埕地、空地，给予</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eastAsia="zh-CN"/>
        </w:rPr>
        <w:t>万元/亩的奖励，被认定不予补偿安置的建筑占地面积参照此项奖励。已享受该补助的埕地、空地在征地面积中不再享受预留地政策。</w:t>
      </w:r>
    </w:p>
    <w:p w14:paraId="4832AD5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eastAsia="zh-CN"/>
        </w:rPr>
        <w:t>公摊面积奖励：经审批和镇街清理的埕地、空地按审批或清理的价格补偿，同时也不享受该补助。</w:t>
      </w:r>
      <w:r>
        <w:rPr>
          <w:rFonts w:hint="eastAsia" w:ascii="仿宋_GB2312" w:eastAsia="仿宋_GB2312"/>
          <w:color w:val="auto"/>
          <w:sz w:val="32"/>
          <w:szCs w:val="32"/>
          <w:highlight w:val="none"/>
          <w:u w:val="none"/>
          <w:lang w:val="zh-CN"/>
        </w:rPr>
        <w:t>以被征收房屋整栋为单位，按原房屋认定补偿安置面积的</w:t>
      </w:r>
      <w:r>
        <w:rPr>
          <w:rFonts w:ascii="仿宋_GB2312" w:eastAsia="仿宋_GB2312"/>
          <w:color w:val="auto"/>
          <w:sz w:val="32"/>
          <w:szCs w:val="32"/>
          <w:highlight w:val="none"/>
          <w:u w:val="none"/>
          <w:lang w:val="zh-CN"/>
        </w:rPr>
        <w:t>10%</w:t>
      </w:r>
      <w:r>
        <w:rPr>
          <w:rFonts w:hint="eastAsia" w:ascii="仿宋_GB2312" w:eastAsia="仿宋_GB2312"/>
          <w:color w:val="auto"/>
          <w:sz w:val="32"/>
          <w:szCs w:val="32"/>
          <w:highlight w:val="none"/>
          <w:u w:val="none"/>
          <w:lang w:val="zh-CN"/>
        </w:rPr>
        <w:t>给予公摊面积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，且每栋最多不超过1</w:t>
      </w:r>
      <w:r>
        <w:rPr>
          <w:rFonts w:hint="eastAsia" w:ascii="仿宋_GB2312" w:eastAsia="仿宋_GB2312"/>
          <w:color w:val="auto"/>
          <w:sz w:val="32"/>
          <w:szCs w:val="32"/>
          <w:highlight w:val="none"/>
          <w:u w:val="none"/>
          <w:lang w:val="zh-CN" w:eastAsia="zh-CN"/>
        </w:rPr>
        <w:t>0㎡、不超过所</w:t>
      </w:r>
      <w:r>
        <w:rPr>
          <w:rFonts w:hint="eastAsia" w:ascii="仿宋_GB2312" w:eastAsia="仿宋_GB2312"/>
          <w:color w:val="auto"/>
          <w:sz w:val="32"/>
          <w:szCs w:val="32"/>
          <w:highlight w:val="none"/>
          <w:u w:val="none"/>
          <w:lang w:val="zh-CN"/>
        </w:rPr>
        <w:t>选安置房公摊总面积，公摊面积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以</w:t>
      </w:r>
      <w:r>
        <w:rPr>
          <w:rFonts w:hint="eastAsia" w:ascii="仿宋_GB2312" w:eastAsia="仿宋_GB2312"/>
          <w:color w:val="auto"/>
          <w:sz w:val="32"/>
          <w:szCs w:val="32"/>
          <w:highlight w:val="none"/>
          <w:u w:val="none"/>
          <w:lang w:val="en-US" w:eastAsia="zh-CN"/>
        </w:rPr>
        <w:t>6000</w:t>
      </w:r>
      <w:r>
        <w:rPr>
          <w:rFonts w:hint="eastAsia" w:ascii="仿宋_GB2312" w:eastAsia="仿宋_GB2312"/>
          <w:color w:val="auto"/>
          <w:sz w:val="32"/>
          <w:szCs w:val="32"/>
          <w:highlight w:val="none"/>
          <w:u w:val="none"/>
          <w:lang w:val="zh-CN"/>
        </w:rPr>
        <w:t>元/㎡计价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选择货币补偿享受上述同等待遇。</w:t>
      </w:r>
    </w:p>
    <w:p w14:paraId="3E9AE9A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整栋房屋分栋的条件为具备以下条件之一：</w:t>
      </w:r>
    </w:p>
    <w:p w14:paraId="23F6F3B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1、项目启动征收前已存在分开的产权证；</w:t>
      </w:r>
    </w:p>
    <w:p w14:paraId="0FA3423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2、整栋房屋中有分开独立的楼梯。</w:t>
      </w:r>
    </w:p>
    <w:p w14:paraId="2197DC29">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十五、</w:t>
      </w:r>
      <w:r>
        <w:rPr>
          <w:rFonts w:hint="eastAsia" w:ascii="仿宋_GB2312" w:eastAsia="仿宋_GB2312"/>
          <w:b/>
          <w:bCs/>
          <w:color w:val="auto"/>
          <w:sz w:val="32"/>
          <w:szCs w:val="32"/>
          <w:highlight w:val="none"/>
          <w:u w:val="none"/>
          <w:lang w:val="zh-CN" w:eastAsia="zh-CN"/>
        </w:rPr>
        <w:t>住宅改为经营性用房按时搬迁补助</w:t>
      </w:r>
    </w:p>
    <w:p w14:paraId="6B37DAE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未经规划部门批准、房管部门登记，将</w:t>
      </w:r>
      <w:r>
        <w:rPr>
          <w:rFonts w:hint="eastAsia" w:ascii="仿宋_GB2312" w:eastAsia="仿宋_GB2312"/>
          <w:color w:val="auto"/>
          <w:sz w:val="32"/>
          <w:szCs w:val="32"/>
          <w:highlight w:val="none"/>
          <w:u w:val="none"/>
          <w:lang w:val="zh-CN"/>
        </w:rPr>
        <w:t>临街住宅</w:t>
      </w:r>
      <w:r>
        <w:rPr>
          <w:rFonts w:hint="eastAsia" w:ascii="仿宋_GB2312" w:eastAsia="仿宋_GB2312"/>
          <w:color w:val="auto"/>
          <w:sz w:val="32"/>
          <w:szCs w:val="32"/>
          <w:highlight w:val="none"/>
          <w:u w:val="none"/>
          <w:shd w:val="clear" w:fill="FFFFFF"/>
          <w:lang w:val="zh-CN"/>
        </w:rPr>
        <w:t>改做</w:t>
      </w:r>
      <w:r>
        <w:rPr>
          <w:rFonts w:hint="eastAsia" w:ascii="仿宋_GB2312" w:eastAsia="仿宋_GB2312"/>
          <w:color w:val="auto"/>
          <w:sz w:val="32"/>
          <w:szCs w:val="32"/>
          <w:highlight w:val="none"/>
          <w:u w:val="none"/>
          <w:lang w:val="zh-CN"/>
        </w:rPr>
        <w:t>经营性用</w:t>
      </w:r>
      <w:r>
        <w:rPr>
          <w:rFonts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rPr>
        <w:t>的</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按住宅性质予以认定补偿，在规定期限内签订协议并封房交拆的，可按以下情况另给予补助：</w:t>
      </w:r>
    </w:p>
    <w:p w14:paraId="433688F5">
      <w:pPr>
        <w:pStyle w:val="2"/>
        <w:numPr>
          <w:ilvl w:val="0"/>
          <w:numId w:val="0"/>
        </w:numPr>
        <w:shd w:val="clear" w:color="auto" w:fill="auto"/>
        <w:spacing w:after="0" w:line="600" w:lineRule="exact"/>
        <w:ind w:firstLine="640" w:firstLineChars="200"/>
        <w:jc w:val="both"/>
        <w:rPr>
          <w:rFonts w:ascii="仿宋_GB2312" w:eastAsia="仿宋_GB2312"/>
          <w:sz w:val="32"/>
          <w:szCs w:val="32"/>
          <w:highlight w:val="none"/>
          <w:u w:val="single"/>
          <w:lang w:val="zh-CN"/>
        </w:rPr>
      </w:pPr>
      <w:r>
        <w:rPr>
          <w:rFonts w:hint="eastAsia" w:ascii="仿宋_GB2312" w:eastAsia="仿宋_GB2312"/>
          <w:color w:val="auto"/>
          <w:sz w:val="32"/>
          <w:szCs w:val="32"/>
          <w:highlight w:val="none"/>
          <w:u w:val="none"/>
          <w:lang w:val="zh-CN"/>
        </w:rPr>
        <w:t>（一）在</w:t>
      </w:r>
      <w:r>
        <w:rPr>
          <w:rFonts w:ascii="仿宋_GB2312" w:eastAsia="仿宋_GB2312"/>
          <w:sz w:val="32"/>
          <w:szCs w:val="32"/>
          <w:highlight w:val="none"/>
          <w:lang w:val="zh-CN"/>
        </w:rPr>
        <w:t>2011年6月30日前，住宅底层已改为</w:t>
      </w:r>
      <w:r>
        <w:rPr>
          <w:rFonts w:hint="eastAsia" w:ascii="仿宋_GB2312" w:eastAsia="仿宋_GB2312"/>
          <w:sz w:val="32"/>
          <w:szCs w:val="32"/>
          <w:highlight w:val="none"/>
          <w:lang w:val="zh-CN"/>
        </w:rPr>
        <w:t>经营性用</w:t>
      </w:r>
      <w:r>
        <w:rPr>
          <w:rFonts w:ascii="仿宋_GB2312" w:eastAsia="仿宋_GB2312"/>
          <w:sz w:val="32"/>
          <w:szCs w:val="32"/>
          <w:highlight w:val="none"/>
          <w:lang w:val="zh-CN"/>
        </w:rPr>
        <w:t>房且现状仍处于经营状态，并持有工商营业执照和税务登记证明的，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lang w:val="zh-CN" w:eastAsia="zh-CN"/>
        </w:rPr>
        <w:t>补助的标准为：临12m及以上道路的，按补助面积给予3000元/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的一次性补助；临12m以下6m以上道路的，按补助面积给予1500元/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4A5CED71">
      <w:pPr>
        <w:pStyle w:val="2"/>
        <w:numPr>
          <w:ilvl w:val="0"/>
          <w:numId w:val="0"/>
        </w:numPr>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(二）</w:t>
      </w:r>
      <w:r>
        <w:rPr>
          <w:rFonts w:hint="eastAsia" w:ascii="仿宋_GB2312" w:eastAsia="仿宋_GB2312"/>
          <w:color w:val="auto"/>
          <w:sz w:val="32"/>
          <w:szCs w:val="32"/>
          <w:highlight w:val="none"/>
          <w:u w:val="none"/>
          <w:lang w:val="zh-CN"/>
        </w:rPr>
        <w:t>在</w:t>
      </w:r>
      <w:r>
        <w:rPr>
          <w:rFonts w:ascii="仿宋_GB2312" w:eastAsia="仿宋_GB2312"/>
          <w:sz w:val="32"/>
          <w:szCs w:val="32"/>
          <w:highlight w:val="none"/>
          <w:lang w:val="zh-CN"/>
        </w:rPr>
        <w:t>2011年6月30日前，住宅底层改为</w:t>
      </w:r>
      <w:r>
        <w:rPr>
          <w:rFonts w:hint="eastAsia" w:ascii="仿宋_GB2312" w:eastAsia="仿宋_GB2312"/>
          <w:sz w:val="32"/>
          <w:szCs w:val="32"/>
          <w:highlight w:val="none"/>
          <w:lang w:val="zh-CN"/>
        </w:rPr>
        <w:t>经营</w:t>
      </w:r>
      <w:r>
        <w:rPr>
          <w:rFonts w:ascii="仿宋_GB2312" w:eastAsia="仿宋_GB2312"/>
          <w:sz w:val="32"/>
          <w:szCs w:val="32"/>
          <w:highlight w:val="none"/>
          <w:lang w:val="zh-CN"/>
        </w:rPr>
        <w:t>性用房，未持有工商营业执照和税务登记证明的，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lang w:val="zh-CN" w:eastAsia="zh-CN"/>
        </w:rPr>
        <w:t>补助的标准为：临12m及以上道路的，按补助面积给予1000元/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的一次性补助；临6m以下3m以上道路的，按补助面积给予300元/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4B8B6C4D">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w:t>
      </w:r>
      <w:r>
        <w:rPr>
          <w:rFonts w:ascii="仿宋_GB2312" w:eastAsia="仿宋_GB2312"/>
          <w:color w:val="auto"/>
          <w:sz w:val="32"/>
          <w:szCs w:val="32"/>
          <w:highlight w:val="none"/>
          <w:u w:val="none"/>
          <w:lang w:val="zh-CN"/>
        </w:rPr>
        <w:t>在2011年6月30日后，住宅底层改为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性用房的，按原房屋</w:t>
      </w:r>
      <w:r>
        <w:rPr>
          <w:rFonts w:hint="eastAsia" w:ascii="仿宋_GB2312" w:eastAsia="仿宋_GB2312"/>
          <w:color w:val="auto"/>
          <w:sz w:val="32"/>
          <w:szCs w:val="32"/>
          <w:highlight w:val="none"/>
          <w:u w:val="none"/>
          <w:lang w:val="zh-CN" w:eastAsia="zh-CN"/>
        </w:rPr>
        <w:t>审批</w:t>
      </w:r>
      <w:r>
        <w:rPr>
          <w:rFonts w:ascii="仿宋_GB2312" w:eastAsia="仿宋_GB2312"/>
          <w:color w:val="auto"/>
          <w:sz w:val="32"/>
          <w:szCs w:val="32"/>
          <w:highlight w:val="none"/>
          <w:u w:val="none"/>
          <w:lang w:val="zh-CN"/>
        </w:rPr>
        <w:t>用途予以认定</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p>
    <w:p w14:paraId="2DA95D9E">
      <w:pPr>
        <w:pStyle w:val="2"/>
        <w:shd w:val="clear" w:color="auto" w:fill="auto"/>
        <w:spacing w:after="0" w:line="600" w:lineRule="exact"/>
        <w:ind w:firstLine="640" w:firstLineChars="200"/>
        <w:jc w:val="both"/>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（四）考虑部分年代久远，无法提供有效工商营业执照和税务证明，但的确系处于经营状态的</w:t>
      </w:r>
      <w:r>
        <w:rPr>
          <w:rFonts w:hint="eastAsia" w:ascii="仿宋_GB2312" w:eastAsia="仿宋_GB2312"/>
          <w:b w:val="0"/>
          <w:bCs w:val="0"/>
          <w:color w:val="auto"/>
          <w:sz w:val="32"/>
          <w:szCs w:val="32"/>
          <w:highlight w:val="none"/>
          <w:u w:val="none"/>
          <w:lang w:val="zh-CN"/>
        </w:rPr>
        <w:t>，</w:t>
      </w:r>
      <w:r>
        <w:rPr>
          <w:rFonts w:hint="eastAsia" w:ascii="仿宋_GB2312" w:hAnsi="仿宋_GB2312" w:eastAsia="仿宋_GB2312" w:cs="仿宋_GB2312"/>
          <w:b w:val="0"/>
          <w:bCs w:val="0"/>
          <w:sz w:val="32"/>
          <w:szCs w:val="32"/>
          <w:u w:val="none"/>
          <w:lang w:val="en-US" w:eastAsia="zh-CN"/>
        </w:rPr>
        <w:t>指挥部应到市场监督部门查询档案,如确无档可查,应结合相邻房屋经营状态及时间，</w:t>
      </w:r>
      <w:r>
        <w:rPr>
          <w:rFonts w:hint="eastAsia" w:ascii="仿宋_GB2312" w:eastAsia="仿宋_GB2312"/>
          <w:b w:val="0"/>
          <w:bCs w:val="0"/>
          <w:color w:val="auto"/>
          <w:sz w:val="32"/>
          <w:szCs w:val="32"/>
          <w:highlight w:val="none"/>
          <w:u w:val="none"/>
          <w:lang w:val="zh-CN"/>
        </w:rPr>
        <w:t>由村（居）审核、征迁工作组调查认定公示无异议后，予以认定补助。</w:t>
      </w:r>
    </w:p>
    <w:p w14:paraId="7D374500">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（五）</w:t>
      </w:r>
      <w:r>
        <w:rPr>
          <w:rFonts w:ascii="仿宋_GB2312" w:eastAsia="仿宋_GB2312"/>
          <w:b w:val="0"/>
          <w:bCs w:val="0"/>
          <w:color w:val="auto"/>
          <w:sz w:val="32"/>
          <w:szCs w:val="32"/>
          <w:highlight w:val="none"/>
          <w:u w:val="none"/>
          <w:lang w:val="zh-CN"/>
        </w:rPr>
        <w:t>沿路的</w:t>
      </w:r>
      <w:r>
        <w:rPr>
          <w:rFonts w:hint="eastAsia" w:ascii="仿宋_GB2312" w:eastAsia="仿宋_GB2312"/>
          <w:b w:val="0"/>
          <w:bCs w:val="0"/>
          <w:color w:val="auto"/>
          <w:sz w:val="32"/>
          <w:szCs w:val="32"/>
          <w:highlight w:val="none"/>
          <w:u w:val="none"/>
          <w:lang w:val="zh-CN"/>
        </w:rPr>
        <w:t>工业用房、</w:t>
      </w:r>
      <w:r>
        <w:rPr>
          <w:rFonts w:ascii="仿宋_GB2312" w:eastAsia="仿宋_GB2312"/>
          <w:b w:val="0"/>
          <w:bCs w:val="0"/>
          <w:color w:val="auto"/>
          <w:sz w:val="32"/>
          <w:szCs w:val="32"/>
          <w:highlight w:val="none"/>
          <w:u w:val="none"/>
          <w:lang w:val="zh-CN"/>
        </w:rPr>
        <w:t>办公用房、</w:t>
      </w:r>
      <w:r>
        <w:rPr>
          <w:rFonts w:hint="eastAsia" w:ascii="仿宋_GB2312" w:eastAsia="仿宋_GB2312"/>
          <w:b w:val="0"/>
          <w:bCs w:val="0"/>
          <w:color w:val="auto"/>
          <w:sz w:val="32"/>
          <w:szCs w:val="32"/>
          <w:highlight w:val="none"/>
          <w:u w:val="none"/>
          <w:lang w:val="zh-CN" w:eastAsia="zh-CN"/>
        </w:rPr>
        <w:t>临时</w:t>
      </w:r>
      <w:r>
        <w:rPr>
          <w:rFonts w:ascii="仿宋_GB2312" w:eastAsia="仿宋_GB2312"/>
          <w:b w:val="0"/>
          <w:bCs w:val="0"/>
          <w:color w:val="auto"/>
          <w:sz w:val="32"/>
          <w:szCs w:val="32"/>
          <w:highlight w:val="none"/>
          <w:u w:val="none"/>
          <w:lang w:val="zh-CN"/>
        </w:rPr>
        <w:t>搭盖及不具</w:t>
      </w:r>
      <w:r>
        <w:rPr>
          <w:rFonts w:ascii="仿宋_GB2312" w:eastAsia="仿宋_GB2312"/>
          <w:color w:val="auto"/>
          <w:sz w:val="32"/>
          <w:szCs w:val="32"/>
          <w:highlight w:val="none"/>
          <w:u w:val="none"/>
          <w:lang w:val="zh-CN"/>
        </w:rPr>
        <w:t>备</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性用房门面结构的住宅，底层改为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w:t>
      </w:r>
      <w:r>
        <w:rPr>
          <w:rFonts w:hint="eastAsia" w:ascii="仿宋_GB2312" w:eastAsia="仿宋_GB2312"/>
          <w:color w:val="auto"/>
          <w:sz w:val="32"/>
          <w:szCs w:val="32"/>
          <w:highlight w:val="none"/>
          <w:u w:val="none"/>
          <w:lang w:val="zh-CN" w:eastAsia="zh-CN"/>
        </w:rPr>
        <w:t>原建筑审批</w:t>
      </w:r>
      <w:r>
        <w:rPr>
          <w:rFonts w:ascii="仿宋_GB2312" w:eastAsia="仿宋_GB2312"/>
          <w:color w:val="auto"/>
          <w:sz w:val="32"/>
          <w:szCs w:val="32"/>
          <w:highlight w:val="none"/>
          <w:u w:val="none"/>
          <w:lang w:val="zh-CN"/>
        </w:rPr>
        <w:t>用途予以补偿</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r>
        <w:rPr>
          <w:rFonts w:ascii="仿宋_GB2312" w:eastAsia="仿宋_GB2312"/>
          <w:color w:val="auto"/>
          <w:sz w:val="32"/>
          <w:szCs w:val="32"/>
          <w:highlight w:val="none"/>
          <w:u w:val="none"/>
          <w:lang w:val="zh-CN"/>
        </w:rPr>
        <w:t xml:space="preserve">  </w:t>
      </w:r>
    </w:p>
    <w:p w14:paraId="26559937">
      <w:pPr>
        <w:pStyle w:val="13"/>
        <w:shd w:val="clear" w:color="auto" w:fill="auto"/>
        <w:spacing w:line="600" w:lineRule="exact"/>
        <w:ind w:right="3101" w:firstLine="157" w:firstLineChars="49"/>
        <w:jc w:val="both"/>
        <w:rPr>
          <w:rFonts w:hint="eastAsia" w:ascii="仿宋_GB2312" w:eastAsia="仿宋_GB2312"/>
          <w:b w:val="0"/>
          <w:bCs w:val="0"/>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十六、</w:t>
      </w:r>
      <w:r>
        <w:rPr>
          <w:rFonts w:hint="eastAsia" w:ascii="仿宋_GB2312" w:eastAsia="仿宋_GB2312"/>
          <w:color w:val="auto"/>
          <w:sz w:val="32"/>
          <w:szCs w:val="32"/>
          <w:highlight w:val="none"/>
          <w:u w:val="none"/>
          <w:shd w:val="clear" w:fill="FFFFFF"/>
          <w:lang w:val="zh-CN" w:eastAsia="zh-CN"/>
        </w:rPr>
        <w:t>其它</w:t>
      </w:r>
      <w:r>
        <w:rPr>
          <w:rFonts w:hint="eastAsia" w:ascii="仿宋_GB2312" w:eastAsia="仿宋_GB2312"/>
          <w:color w:val="auto"/>
          <w:sz w:val="32"/>
          <w:szCs w:val="32"/>
          <w:highlight w:val="none"/>
          <w:u w:val="none"/>
          <w:lang w:val="zh-CN" w:eastAsia="zh-CN"/>
        </w:rPr>
        <w:t>补偿</w:t>
      </w:r>
      <w:r>
        <w:rPr>
          <w:rFonts w:hint="eastAsia" w:ascii="仿宋_GB2312" w:eastAsia="仿宋_GB2312"/>
          <w:b w:val="0"/>
          <w:bCs w:val="0"/>
          <w:color w:val="auto"/>
          <w:sz w:val="32"/>
          <w:szCs w:val="32"/>
          <w:highlight w:val="none"/>
          <w:u w:val="none"/>
          <w:lang w:val="zh-CN" w:eastAsia="zh-CN"/>
        </w:rPr>
        <w:t xml:space="preserve">  </w:t>
      </w:r>
    </w:p>
    <w:p w14:paraId="5F24B25B">
      <w:pPr>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房屋的附属物补偿按附表六标准给予货币补偿。征收红线范围苗木及地上附着物征收的方案参照《福清市人民政府关于印发福清市征收青苗及地上附着物补偿标准暂行办法》（融政综</w:t>
      </w:r>
      <w:r>
        <w:rPr>
          <w:rFonts w:hint="eastAsia" w:ascii="仿宋_GB2312" w:eastAsia="仿宋_GB2312"/>
          <w:color w:val="auto"/>
          <w:sz w:val="32"/>
          <w:szCs w:val="32"/>
          <w:highlight w:val="none"/>
          <w:u w:val="none"/>
          <w:shd w:val="clear" w:fill="FFFFFF"/>
          <w:lang w:val="zh-CN" w:eastAsia="zh-CN"/>
        </w:rPr>
        <w:t>〔2015〕186号</w:t>
      </w:r>
      <w:r>
        <w:rPr>
          <w:rFonts w:hint="eastAsia" w:ascii="仿宋_GB2312" w:eastAsia="仿宋_GB2312"/>
          <w:color w:val="auto"/>
          <w:sz w:val="32"/>
          <w:szCs w:val="32"/>
          <w:highlight w:val="none"/>
          <w:u w:val="none"/>
          <w:lang w:val="zh-CN"/>
        </w:rPr>
        <w:t>）执行。</w:t>
      </w:r>
    </w:p>
    <w:p w14:paraId="17EE12F4">
      <w:pPr>
        <w:ind w:firstLine="640" w:firstLineChars="200"/>
        <w:rPr>
          <w:rFonts w:hint="eastAsia" w:ascii="仿宋_GB2312" w:eastAsia="仿宋_GB2312"/>
          <w:color w:val="auto"/>
          <w:sz w:val="32"/>
          <w:szCs w:val="32"/>
          <w:highlight w:val="none"/>
          <w:u w:val="none"/>
          <w:lang w:val="zh-CN"/>
        </w:rPr>
      </w:pPr>
    </w:p>
    <w:p w14:paraId="5D895493">
      <w:pPr>
        <w:pStyle w:val="13"/>
        <w:shd w:val="clear" w:color="auto" w:fill="auto"/>
        <w:spacing w:line="600" w:lineRule="exact"/>
        <w:ind w:right="3101" w:firstLine="640"/>
        <w:jc w:val="right"/>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保障</w:t>
      </w:r>
      <w:r>
        <w:rPr>
          <w:rFonts w:hint="eastAsia" w:ascii="仿宋_GB2312" w:eastAsia="仿宋_GB2312"/>
          <w:color w:val="auto"/>
          <w:sz w:val="32"/>
          <w:szCs w:val="32"/>
          <w:highlight w:val="none"/>
          <w:u w:val="none"/>
          <w:lang w:val="zh-CN" w:eastAsia="zh-CN"/>
        </w:rPr>
        <w:t>措</w:t>
      </w:r>
      <w:r>
        <w:rPr>
          <w:rFonts w:hint="eastAsia" w:ascii="仿宋_GB2312" w:eastAsia="仿宋_GB2312"/>
          <w:color w:val="auto"/>
          <w:sz w:val="32"/>
          <w:szCs w:val="32"/>
          <w:highlight w:val="none"/>
          <w:u w:val="none"/>
          <w:lang w:val="zh-CN"/>
        </w:rPr>
        <w:t>施</w:t>
      </w:r>
    </w:p>
    <w:p w14:paraId="0E8FBD32">
      <w:pPr>
        <w:pStyle w:val="13"/>
        <w:shd w:val="clear" w:color="auto" w:fill="auto"/>
        <w:spacing w:line="600" w:lineRule="exact"/>
        <w:ind w:right="3101" w:firstLine="630" w:firstLineChars="196"/>
        <w:jc w:val="both"/>
        <w:rPr>
          <w:rFonts w:hint="eastAsia" w:ascii="仿宋_GB2312" w:eastAsia="仿宋_GB2312"/>
          <w:color w:val="auto"/>
          <w:sz w:val="32"/>
          <w:szCs w:val="32"/>
          <w:highlight w:val="none"/>
          <w:u w:val="none"/>
          <w:lang w:val="zh-CN" w:eastAsia="zh-CN"/>
        </w:rPr>
      </w:pPr>
    </w:p>
    <w:p w14:paraId="044361EA">
      <w:pPr>
        <w:pStyle w:val="13"/>
        <w:shd w:val="clear" w:color="auto" w:fill="auto"/>
        <w:spacing w:line="600" w:lineRule="exact"/>
        <w:ind w:right="3101" w:firstLine="630" w:firstLineChars="196"/>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十七、</w:t>
      </w:r>
      <w:r>
        <w:rPr>
          <w:rFonts w:hint="eastAsia" w:ascii="仿宋_GB2312" w:eastAsia="仿宋_GB2312"/>
          <w:color w:val="auto"/>
          <w:sz w:val="32"/>
          <w:szCs w:val="32"/>
          <w:highlight w:val="none"/>
          <w:u w:val="none"/>
          <w:lang w:val="zh-CN"/>
        </w:rPr>
        <w:t>过渡租金保障</w:t>
      </w:r>
    </w:p>
    <w:p w14:paraId="4A34CB7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被征收人现居住在本区域内，</w:t>
      </w:r>
      <w:r>
        <w:rPr>
          <w:rFonts w:hint="eastAsia" w:ascii="仿宋_GB2312" w:eastAsia="仿宋_GB2312"/>
          <w:color w:val="auto"/>
          <w:sz w:val="32"/>
          <w:szCs w:val="32"/>
          <w:highlight w:val="none"/>
          <w:u w:val="none"/>
          <w:lang w:val="zh-CN" w:eastAsia="zh-CN"/>
        </w:rPr>
        <w:t>在规定签约期限内签订协议并封房且</w:t>
      </w:r>
      <w:r>
        <w:rPr>
          <w:rFonts w:hint="eastAsia" w:ascii="仿宋_GB2312" w:eastAsia="仿宋_GB2312"/>
          <w:color w:val="auto"/>
          <w:sz w:val="32"/>
          <w:szCs w:val="32"/>
          <w:highlight w:val="none"/>
          <w:u w:val="none"/>
          <w:lang w:val="zh-CN"/>
        </w:rPr>
        <w:t>选择产权调换的，因住宅临时过渡费较低导致自行过渡确实困难的，可申请增加过渡租金保障，由所在</w:t>
      </w:r>
      <w:r>
        <w:rPr>
          <w:rFonts w:hint="eastAsia" w:ascii="仿宋_GB2312" w:eastAsia="仿宋_GB2312"/>
          <w:color w:val="auto"/>
          <w:sz w:val="32"/>
          <w:szCs w:val="32"/>
          <w:highlight w:val="none"/>
          <w:u w:val="none"/>
          <w:lang w:val="zh-CN" w:eastAsia="zh-CN"/>
        </w:rPr>
        <w:t>镇街根</w:t>
      </w:r>
      <w:r>
        <w:rPr>
          <w:rFonts w:hint="eastAsia" w:ascii="仿宋_GB2312" w:eastAsia="仿宋_GB2312"/>
          <w:color w:val="auto"/>
          <w:sz w:val="32"/>
          <w:szCs w:val="32"/>
          <w:highlight w:val="none"/>
          <w:u w:val="none"/>
          <w:lang w:val="zh-CN"/>
        </w:rPr>
        <w:t>据实际过渡人口困难情况</w:t>
      </w:r>
      <w:r>
        <w:rPr>
          <w:rFonts w:hint="eastAsia" w:ascii="仿宋_GB2312" w:eastAsia="仿宋_GB2312"/>
          <w:color w:val="auto"/>
          <w:sz w:val="32"/>
          <w:szCs w:val="32"/>
          <w:highlight w:val="none"/>
          <w:u w:val="none"/>
          <w:lang w:val="zh-CN" w:eastAsia="zh-CN"/>
        </w:rPr>
        <w:t>给予适当保障</w:t>
      </w:r>
      <w:r>
        <w:rPr>
          <w:rFonts w:hint="eastAsia" w:ascii="仿宋_GB2312" w:eastAsia="仿宋_GB2312"/>
          <w:color w:val="auto"/>
          <w:sz w:val="32"/>
          <w:szCs w:val="32"/>
          <w:highlight w:val="none"/>
          <w:u w:val="none"/>
          <w:lang w:val="zh-CN"/>
        </w:rPr>
        <w:t>。</w:t>
      </w:r>
    </w:p>
    <w:p w14:paraId="2AC190A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5020C7AD">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十八、</w:t>
      </w:r>
      <w:r>
        <w:rPr>
          <w:rFonts w:hint="eastAsia" w:ascii="仿宋_GB2312" w:eastAsia="仿宋_GB2312"/>
          <w:b/>
          <w:bCs/>
          <w:color w:val="auto"/>
          <w:sz w:val="32"/>
          <w:szCs w:val="32"/>
          <w:highlight w:val="none"/>
          <w:u w:val="none"/>
          <w:lang w:val="zh-CN"/>
        </w:rPr>
        <w:t>失地农民养老保障</w:t>
      </w:r>
    </w:p>
    <w:p w14:paraId="67B1735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符合条件的被征地农民给予办理养老保险，由</w:t>
      </w:r>
      <w:r>
        <w:rPr>
          <w:rFonts w:hint="eastAsia" w:ascii="仿宋_GB2312" w:eastAsia="仿宋_GB2312"/>
          <w:color w:val="auto"/>
          <w:sz w:val="32"/>
          <w:szCs w:val="32"/>
          <w:highlight w:val="none"/>
          <w:u w:val="none"/>
          <w:shd w:val="clear" w:fill="FFFFFF"/>
          <w:lang w:val="zh-CN"/>
        </w:rPr>
        <w:t>人力资源和社会保障</w:t>
      </w:r>
      <w:r>
        <w:rPr>
          <w:rFonts w:hint="eastAsia" w:ascii="仿宋_GB2312" w:eastAsia="仿宋_GB2312"/>
          <w:color w:val="auto"/>
          <w:sz w:val="32"/>
          <w:szCs w:val="32"/>
          <w:highlight w:val="none"/>
          <w:u w:val="none"/>
          <w:lang w:val="zh-CN"/>
        </w:rPr>
        <w:t>部门依据《福建省征地补偿和被征地农民社会保障办法》（福建省人民政府</w:t>
      </w:r>
      <w:r>
        <w:rPr>
          <w:rFonts w:hint="eastAsia" w:ascii="仿宋_GB2312" w:eastAsia="仿宋_GB2312"/>
          <w:color w:val="auto"/>
          <w:sz w:val="32"/>
          <w:szCs w:val="32"/>
          <w:highlight w:val="none"/>
          <w:u w:val="none"/>
          <w:lang w:val="zh-CN" w:eastAsia="zh-CN"/>
        </w:rPr>
        <w:t>第177号令）、《福清市被征地农民养老保障试行办法》（融政综</w:t>
      </w:r>
      <w:r>
        <w:rPr>
          <w:rFonts w:hint="eastAsia" w:ascii="仿宋_GB2312" w:eastAsia="仿宋_GB2312"/>
          <w:color w:val="auto"/>
          <w:sz w:val="32"/>
          <w:szCs w:val="32"/>
          <w:highlight w:val="none"/>
          <w:u w:val="none"/>
          <w:shd w:val="clear" w:fill="FFFFFF"/>
          <w:lang w:val="zh-CN" w:eastAsia="zh-CN"/>
        </w:rPr>
        <w:t>〔2009〕179号</w:t>
      </w:r>
      <w:r>
        <w:rPr>
          <w:rFonts w:hint="eastAsia" w:ascii="仿宋_GB2312" w:eastAsia="仿宋_GB2312"/>
          <w:color w:val="auto"/>
          <w:sz w:val="32"/>
          <w:szCs w:val="32"/>
          <w:highlight w:val="none"/>
          <w:u w:val="none"/>
          <w:lang w:val="zh-CN"/>
        </w:rPr>
        <w:t>）、《福清市被征地农民养老保障实施细则》（融政办</w:t>
      </w:r>
      <w:r>
        <w:rPr>
          <w:rFonts w:hint="eastAsia" w:ascii="仿宋_GB2312" w:eastAsia="仿宋_GB2312"/>
          <w:color w:val="auto"/>
          <w:sz w:val="32"/>
          <w:szCs w:val="32"/>
          <w:highlight w:val="none"/>
          <w:u w:val="none"/>
          <w:shd w:val="clear" w:fill="FFFFFF"/>
          <w:lang w:val="zh-CN"/>
        </w:rPr>
        <w:t>〔2009〕164号</w:t>
      </w:r>
      <w:r>
        <w:rPr>
          <w:rFonts w:hint="eastAsia" w:ascii="仿宋_GB2312" w:eastAsia="仿宋_GB2312"/>
          <w:color w:val="auto"/>
          <w:sz w:val="32"/>
          <w:szCs w:val="32"/>
          <w:highlight w:val="none"/>
          <w:u w:val="none"/>
          <w:lang w:val="zh-CN"/>
        </w:rPr>
        <w:t>）等有关规定执行。</w:t>
      </w:r>
    </w:p>
    <w:p w14:paraId="20AF450B">
      <w:pPr>
        <w:pStyle w:val="13"/>
        <w:shd w:val="clear" w:color="auto" w:fill="auto"/>
        <w:spacing w:line="600" w:lineRule="exact"/>
        <w:ind w:right="3101" w:firstLine="630" w:firstLineChars="196"/>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十九、</w:t>
      </w:r>
      <w:r>
        <w:rPr>
          <w:rFonts w:hint="eastAsia" w:ascii="仿宋_GB2312" w:eastAsia="仿宋_GB2312"/>
          <w:color w:val="auto"/>
          <w:sz w:val="32"/>
          <w:szCs w:val="32"/>
          <w:highlight w:val="none"/>
          <w:u w:val="none"/>
          <w:lang w:val="zh-CN"/>
        </w:rPr>
        <w:t>申请</w:t>
      </w:r>
      <w:r>
        <w:rPr>
          <w:rFonts w:hint="eastAsia" w:ascii="仿宋_GB2312" w:eastAsia="仿宋_GB2312"/>
          <w:color w:val="auto"/>
          <w:sz w:val="32"/>
          <w:szCs w:val="32"/>
          <w:highlight w:val="none"/>
          <w:u w:val="none"/>
          <w:lang w:val="zh-CN" w:eastAsia="zh-CN"/>
        </w:rPr>
        <w:t>公租房</w:t>
      </w:r>
      <w:r>
        <w:rPr>
          <w:rFonts w:hint="eastAsia" w:ascii="仿宋_GB2312" w:eastAsia="仿宋_GB2312"/>
          <w:color w:val="auto"/>
          <w:sz w:val="32"/>
          <w:szCs w:val="32"/>
          <w:highlight w:val="none"/>
          <w:u w:val="none"/>
          <w:lang w:val="zh-CN"/>
        </w:rPr>
        <w:t>保障</w:t>
      </w:r>
    </w:p>
    <w:p w14:paraId="2D149ED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w:t>
      </w:r>
      <w:r>
        <w:rPr>
          <w:rFonts w:hint="eastAsia" w:ascii="仿宋_GB2312" w:eastAsia="仿宋_GB2312"/>
          <w:color w:val="auto"/>
          <w:sz w:val="32"/>
          <w:szCs w:val="32"/>
          <w:highlight w:val="none"/>
          <w:u w:val="none"/>
          <w:lang w:val="zh-CN" w:eastAsia="zh-CN"/>
        </w:rPr>
        <w:t>在规定签约期限内签订协议并封房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且</w:t>
      </w:r>
      <w:r>
        <w:rPr>
          <w:rFonts w:hint="eastAsia" w:ascii="仿宋_GB2312" w:eastAsia="仿宋_GB2312"/>
          <w:color w:val="auto"/>
          <w:sz w:val="32"/>
          <w:szCs w:val="32"/>
          <w:highlight w:val="none"/>
          <w:u w:val="none"/>
          <w:lang w:val="zh-CN"/>
        </w:rPr>
        <w:t>符合</w:t>
      </w:r>
      <w:r>
        <w:rPr>
          <w:rFonts w:hint="eastAsia" w:ascii="仿宋_GB2312" w:eastAsia="仿宋_GB2312"/>
          <w:color w:val="auto"/>
          <w:sz w:val="32"/>
          <w:szCs w:val="32"/>
          <w:highlight w:val="none"/>
          <w:u w:val="none"/>
          <w:lang w:val="zh-CN" w:eastAsia="zh-CN"/>
        </w:rPr>
        <w:t>申请</w:t>
      </w:r>
      <w:r>
        <w:rPr>
          <w:rFonts w:hint="eastAsia" w:ascii="仿宋_GB2312" w:eastAsia="仿宋_GB2312"/>
          <w:color w:val="auto"/>
          <w:sz w:val="32"/>
          <w:szCs w:val="32"/>
          <w:highlight w:val="none"/>
          <w:u w:val="none"/>
          <w:lang w:val="zh-CN"/>
        </w:rPr>
        <w:t>公共租赁房条件的，被征收人可按照住房保障有关政策规定，携带相关证明材料到街道申请，再由房屋征收实施单位汇总后报市政府优先给予配租，被征收人可以不轮候。</w:t>
      </w:r>
    </w:p>
    <w:p w14:paraId="122B3E19">
      <w:pPr>
        <w:pStyle w:val="13"/>
        <w:shd w:val="clear" w:color="auto" w:fill="auto"/>
        <w:spacing w:line="638" w:lineRule="exact"/>
        <w:ind w:firstLine="643" w:firstLineChars="200"/>
        <w:jc w:val="both"/>
        <w:rPr>
          <w:rFonts w:ascii="仿宋_GB2312" w:eastAsia="仿宋_GB2312"/>
          <w:b/>
          <w:bCs/>
          <w:color w:val="auto"/>
          <w:kern w:val="0"/>
          <w:sz w:val="32"/>
          <w:szCs w:val="32"/>
          <w:highlight w:val="none"/>
          <w:u w:val="none"/>
          <w:lang w:val="zh-CN" w:bidi="ar-SA"/>
        </w:rPr>
      </w:pPr>
      <w:r>
        <w:rPr>
          <w:rFonts w:hint="eastAsia" w:ascii="仿宋_GB2312" w:eastAsia="仿宋_GB2312"/>
          <w:b/>
          <w:bCs/>
          <w:color w:val="auto"/>
          <w:kern w:val="0"/>
          <w:sz w:val="32"/>
          <w:szCs w:val="32"/>
          <w:highlight w:val="none"/>
          <w:u w:val="none"/>
          <w:lang w:val="zh-CN" w:eastAsia="zh-CN" w:bidi="ar-SA"/>
        </w:rPr>
        <w:t>二十、困难保障</w:t>
      </w:r>
    </w:p>
    <w:p w14:paraId="0E175CA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eastAsia="仿宋_GB2312"/>
          <w:color w:val="auto"/>
          <w:sz w:val="32"/>
          <w:szCs w:val="32"/>
          <w:highlight w:val="none"/>
          <w:u w:val="none"/>
        </w:rPr>
        <w:t>在规定</w:t>
      </w:r>
      <w:r>
        <w:rPr>
          <w:rFonts w:hint="eastAsia" w:eastAsia="仿宋_GB2312"/>
          <w:color w:val="auto"/>
          <w:sz w:val="32"/>
          <w:szCs w:val="32"/>
          <w:highlight w:val="none"/>
          <w:u w:val="none"/>
          <w:lang w:eastAsia="zh-CN"/>
        </w:rPr>
        <w:t>签约</w:t>
      </w:r>
      <w:r>
        <w:rPr>
          <w:rFonts w:hint="eastAsia" w:eastAsia="仿宋_GB2312"/>
          <w:color w:val="auto"/>
          <w:sz w:val="32"/>
          <w:szCs w:val="32"/>
          <w:highlight w:val="none"/>
          <w:u w:val="none"/>
        </w:rPr>
        <w:t>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低保户、五保户、孤寡老人一次性给予30000元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户的补助。</w:t>
      </w:r>
    </w:p>
    <w:p w14:paraId="3D129176">
      <w:pPr>
        <w:pStyle w:val="13"/>
        <w:shd w:val="clear" w:color="auto" w:fill="auto"/>
        <w:spacing w:line="638" w:lineRule="exact"/>
        <w:ind w:left="20" w:firstLine="6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二十一、居住条件保障</w:t>
      </w:r>
    </w:p>
    <w:p w14:paraId="3837E27B">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在规定签约期限内签订协议并封房的低保户、五保户、孤寡老人及经集体研究公示无异议的困难户，可享受下列居住条件保障奖励措施。</w:t>
      </w:r>
    </w:p>
    <w:p w14:paraId="317DB8AD">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住宅可补偿安置面积全部选择产权调换（包括照顾购买面积）后，人均面积仍不足20㎡的，且被征收房屋系被征收人及其户口本上直系亲属三代内人员福清境内唯一住宅，可照顾至人均20㎡保障居住，照顾购买部分面积以照顾价计价，以上拆迁户家庭成员人数认定，以被征收人户口本中所登记的直系亲属人员为准（含就学、服刑外迁的）。</w:t>
      </w:r>
    </w:p>
    <w:p w14:paraId="3C51666E">
      <w:pPr>
        <w:pStyle w:val="2"/>
        <w:shd w:val="clear" w:color="auto" w:fill="auto"/>
        <w:spacing w:after="0" w:line="600" w:lineRule="exact"/>
        <w:ind w:firstLine="643" w:firstLineChars="200"/>
        <w:rPr>
          <w:rFonts w:hint="eastAsia" w:eastAsia="仿宋_GB2312"/>
          <w:b/>
          <w:bCs/>
          <w:color w:val="auto"/>
          <w:sz w:val="32"/>
          <w:szCs w:val="32"/>
          <w:highlight w:val="none"/>
          <w:u w:val="none"/>
          <w:lang w:val="zh-CN"/>
        </w:rPr>
      </w:pPr>
      <w:r>
        <w:rPr>
          <w:rFonts w:hint="eastAsia" w:eastAsia="仿宋_GB2312"/>
          <w:b/>
          <w:bCs/>
          <w:color w:val="auto"/>
          <w:sz w:val="32"/>
          <w:szCs w:val="32"/>
          <w:highlight w:val="none"/>
          <w:u w:val="none"/>
          <w:lang w:val="zh-CN"/>
        </w:rPr>
        <w:t>二十二、老人生活费补助</w:t>
      </w:r>
    </w:p>
    <w:p w14:paraId="0A48DC8C">
      <w:pPr>
        <w:pStyle w:val="2"/>
        <w:numPr>
          <w:ilvl w:val="0"/>
          <w:numId w:val="0"/>
        </w:numPr>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en-US" w:eastAsia="zh-CN"/>
        </w:rPr>
        <w:t>1、</w:t>
      </w:r>
      <w:r>
        <w:rPr>
          <w:rFonts w:hint="eastAsia" w:ascii="仿宋_GB2312" w:eastAsia="仿宋_GB2312"/>
          <w:b w:val="0"/>
          <w:bCs w:val="0"/>
          <w:color w:val="auto"/>
          <w:sz w:val="32"/>
          <w:szCs w:val="32"/>
          <w:highlight w:val="none"/>
          <w:u w:val="none"/>
          <w:lang w:val="zh-CN"/>
        </w:rPr>
        <w:t>自</w:t>
      </w:r>
      <w:r>
        <w:rPr>
          <w:rFonts w:hint="eastAsia" w:ascii="仿宋_GB2312" w:eastAsia="仿宋_GB2312"/>
          <w:b w:val="0"/>
          <w:bCs w:val="0"/>
          <w:color w:val="auto"/>
          <w:sz w:val="32"/>
          <w:szCs w:val="32"/>
          <w:highlight w:val="none"/>
          <w:u w:val="none"/>
          <w:lang w:val="zh-CN" w:eastAsia="zh-CN"/>
        </w:rPr>
        <w:t>签订征收补偿协议</w:t>
      </w:r>
      <w:r>
        <w:rPr>
          <w:rFonts w:hint="eastAsia" w:ascii="仿宋_GB2312" w:eastAsia="仿宋_GB2312"/>
          <w:b w:val="0"/>
          <w:bCs w:val="0"/>
          <w:color w:val="auto"/>
          <w:sz w:val="32"/>
          <w:szCs w:val="32"/>
          <w:highlight w:val="none"/>
          <w:u w:val="none"/>
          <w:lang w:val="zh-CN"/>
        </w:rPr>
        <w:t>之日起至通知回迁安置之日</w:t>
      </w:r>
      <w:r>
        <w:rPr>
          <w:rFonts w:hint="eastAsia" w:ascii="仿宋_GB2312" w:eastAsia="仿宋_GB2312"/>
          <w:b w:val="0"/>
          <w:bCs w:val="0"/>
          <w:color w:val="auto"/>
          <w:sz w:val="32"/>
          <w:szCs w:val="32"/>
          <w:highlight w:val="none"/>
          <w:u w:val="none"/>
          <w:lang w:val="zh-CN" w:eastAsia="zh-CN"/>
        </w:rPr>
        <w:t>的过渡</w:t>
      </w:r>
      <w:r>
        <w:rPr>
          <w:rFonts w:hint="eastAsia" w:ascii="仿宋_GB2312" w:eastAsia="仿宋_GB2312"/>
          <w:b w:val="0"/>
          <w:bCs w:val="0"/>
          <w:color w:val="auto"/>
          <w:sz w:val="32"/>
          <w:szCs w:val="32"/>
          <w:highlight w:val="none"/>
          <w:u w:val="none"/>
          <w:lang w:val="zh-CN"/>
        </w:rPr>
        <w:t>期间内，户籍在</w:t>
      </w:r>
      <w:r>
        <w:rPr>
          <w:rFonts w:hint="eastAsia" w:ascii="仿宋_GB2312" w:eastAsia="仿宋_GB2312"/>
          <w:b w:val="0"/>
          <w:bCs w:val="0"/>
          <w:color w:val="auto"/>
          <w:sz w:val="32"/>
          <w:szCs w:val="32"/>
          <w:highlight w:val="none"/>
          <w:u w:val="none"/>
          <w:lang w:val="zh-CN" w:eastAsia="zh-CN"/>
        </w:rPr>
        <w:t>项目区域</w:t>
      </w:r>
      <w:r>
        <w:rPr>
          <w:rFonts w:hint="eastAsia" w:ascii="仿宋_GB2312" w:eastAsia="仿宋_GB2312"/>
          <w:b w:val="0"/>
          <w:bCs w:val="0"/>
          <w:color w:val="auto"/>
          <w:sz w:val="32"/>
          <w:szCs w:val="32"/>
          <w:highlight w:val="none"/>
          <w:u w:val="none"/>
          <w:lang w:val="zh-CN"/>
        </w:rPr>
        <w:t>内的被征收人（含户籍及居住一起的其直系亲属）</w:t>
      </w:r>
      <w:r>
        <w:rPr>
          <w:rFonts w:hint="eastAsia" w:ascii="仿宋_GB2312" w:eastAsia="仿宋_GB2312"/>
          <w:b w:val="0"/>
          <w:bCs w:val="0"/>
          <w:color w:val="auto"/>
          <w:sz w:val="32"/>
          <w:szCs w:val="32"/>
          <w:highlight w:val="none"/>
          <w:u w:val="none"/>
          <w:lang w:val="zh-CN" w:eastAsia="zh-CN"/>
        </w:rPr>
        <w:t>或在项目区域有确权登记在本人或配偶名下房屋的被征收人</w:t>
      </w:r>
      <w:r>
        <w:rPr>
          <w:rFonts w:hint="eastAsia" w:ascii="仿宋_GB2312" w:eastAsia="仿宋_GB2312"/>
          <w:b w:val="0"/>
          <w:bCs w:val="0"/>
          <w:color w:val="auto"/>
          <w:sz w:val="32"/>
          <w:szCs w:val="32"/>
          <w:highlight w:val="none"/>
          <w:u w:val="none"/>
          <w:lang w:val="zh-CN"/>
        </w:rPr>
        <w:t>，按时签</w:t>
      </w:r>
      <w:r>
        <w:rPr>
          <w:rFonts w:hint="eastAsia" w:ascii="仿宋_GB2312" w:eastAsia="仿宋_GB2312"/>
          <w:b w:val="0"/>
          <w:bCs w:val="0"/>
          <w:color w:val="auto"/>
          <w:sz w:val="32"/>
          <w:szCs w:val="32"/>
          <w:highlight w:val="none"/>
          <w:u w:val="none"/>
          <w:lang w:val="zh-CN" w:eastAsia="zh-CN"/>
        </w:rPr>
        <w:t>订协议</w:t>
      </w:r>
      <w:r>
        <w:rPr>
          <w:rFonts w:hint="eastAsia" w:ascii="仿宋_GB2312" w:eastAsia="仿宋_GB2312"/>
          <w:b w:val="0"/>
          <w:bCs w:val="0"/>
          <w:color w:val="auto"/>
          <w:sz w:val="32"/>
          <w:szCs w:val="32"/>
          <w:highlight w:val="none"/>
          <w:u w:val="none"/>
          <w:lang w:val="zh-CN"/>
        </w:rPr>
        <w:t>并</w:t>
      </w:r>
      <w:r>
        <w:rPr>
          <w:rFonts w:hint="eastAsia" w:ascii="仿宋_GB2312" w:eastAsia="仿宋_GB2312"/>
          <w:b w:val="0"/>
          <w:bCs w:val="0"/>
          <w:color w:val="auto"/>
          <w:sz w:val="32"/>
          <w:szCs w:val="32"/>
          <w:highlight w:val="none"/>
          <w:u w:val="none"/>
          <w:lang w:val="zh-CN" w:eastAsia="zh-CN"/>
        </w:rPr>
        <w:t>封房</w:t>
      </w:r>
      <w:r>
        <w:rPr>
          <w:rFonts w:hint="eastAsia" w:ascii="仿宋_GB2312" w:eastAsia="仿宋_GB2312"/>
          <w:b w:val="0"/>
          <w:bCs w:val="0"/>
          <w:color w:val="auto"/>
          <w:sz w:val="32"/>
          <w:szCs w:val="32"/>
          <w:highlight w:val="none"/>
          <w:u w:val="none"/>
          <w:lang w:val="zh-CN"/>
        </w:rPr>
        <w:t>的，自男满60周岁、女满55周岁当月起，每人每月给予</w:t>
      </w:r>
      <w:r>
        <w:rPr>
          <w:rFonts w:hint="eastAsia" w:ascii="仿宋_GB2312" w:eastAsia="仿宋_GB2312"/>
          <w:b w:val="0"/>
          <w:bCs w:val="0"/>
          <w:color w:val="auto"/>
          <w:sz w:val="32"/>
          <w:szCs w:val="32"/>
          <w:highlight w:val="none"/>
          <w:u w:val="none"/>
          <w:lang w:val="zh-CN" w:eastAsia="zh-CN"/>
        </w:rPr>
        <w:t>3</w:t>
      </w:r>
      <w:r>
        <w:rPr>
          <w:rFonts w:hint="eastAsia" w:ascii="仿宋_GB2312" w:eastAsia="仿宋_GB2312"/>
          <w:b w:val="0"/>
          <w:bCs w:val="0"/>
          <w:color w:val="auto"/>
          <w:sz w:val="32"/>
          <w:szCs w:val="32"/>
          <w:highlight w:val="none"/>
          <w:u w:val="none"/>
          <w:lang w:val="zh-CN"/>
        </w:rPr>
        <w:t>00元生活费补助，</w:t>
      </w:r>
      <w:r>
        <w:rPr>
          <w:rFonts w:hint="eastAsia" w:ascii="仿宋_GB2312" w:eastAsia="仿宋_GB2312"/>
          <w:b w:val="0"/>
          <w:bCs w:val="0"/>
          <w:color w:val="auto"/>
          <w:sz w:val="32"/>
          <w:szCs w:val="32"/>
          <w:highlight w:val="none"/>
          <w:u w:val="none"/>
          <w:lang w:val="zh-CN" w:eastAsia="zh-CN"/>
        </w:rPr>
        <w:t>期限不超过36个</w:t>
      </w:r>
      <w:r>
        <w:rPr>
          <w:rFonts w:hint="eastAsia" w:ascii="仿宋_GB2312" w:eastAsia="仿宋_GB2312"/>
          <w:b w:val="0"/>
          <w:bCs w:val="0"/>
          <w:color w:val="auto"/>
          <w:sz w:val="32"/>
          <w:szCs w:val="32"/>
          <w:highlight w:val="none"/>
          <w:u w:val="none"/>
          <w:lang w:val="zh-CN"/>
        </w:rPr>
        <w:t>月，</w:t>
      </w:r>
      <w:r>
        <w:rPr>
          <w:rFonts w:hint="eastAsia" w:ascii="仿宋_GB2312" w:hAnsi="仿宋_GB2312" w:eastAsia="仿宋_GB2312" w:cs="仿宋_GB2312"/>
          <w:b w:val="0"/>
          <w:bCs w:val="0"/>
          <w:sz w:val="32"/>
          <w:szCs w:val="32"/>
          <w:u w:val="none"/>
          <w:lang w:val="en-US" w:eastAsia="zh-CN"/>
        </w:rPr>
        <w:t>选择</w:t>
      </w:r>
      <w:r>
        <w:rPr>
          <w:rFonts w:hint="eastAsia" w:ascii="仿宋_GB2312" w:hAnsi="仿宋_GB2312" w:eastAsia="仿宋_GB2312" w:cs="仿宋_GB2312"/>
          <w:b w:val="0"/>
          <w:bCs w:val="0"/>
          <w:sz w:val="32"/>
          <w:szCs w:val="32"/>
          <w:u w:val="none"/>
          <w:shd w:val="clear" w:fill="FFFFFF"/>
          <w:lang w:val="en-US" w:eastAsia="zh-CN"/>
        </w:rPr>
        <w:t>产权</w:t>
      </w:r>
      <w:r>
        <w:rPr>
          <w:rFonts w:hint="eastAsia" w:ascii="仿宋_GB2312" w:hAnsi="仿宋_GB2312" w:eastAsia="仿宋_GB2312" w:cs="仿宋_GB2312"/>
          <w:b w:val="0"/>
          <w:bCs w:val="0"/>
          <w:sz w:val="32"/>
          <w:szCs w:val="32"/>
          <w:u w:val="none"/>
          <w:lang w:val="en-US" w:eastAsia="zh-CN"/>
        </w:rPr>
        <w:t>调换的,根据选择的安置房源,根据到龄当月(男需满60周岁、女需满55周岁)至回迁安置当月之间时间计算补助,期限上限不超过36个月。</w:t>
      </w:r>
    </w:p>
    <w:p w14:paraId="2B09E2F8">
      <w:pPr>
        <w:ind w:firstLine="640" w:firstLineChars="200"/>
        <w:jc w:val="left"/>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2、选择货币补偿的,享受老人</w:t>
      </w:r>
      <w:r>
        <w:rPr>
          <w:rFonts w:hint="eastAsia" w:ascii="仿宋_GB2312" w:eastAsia="仿宋_GB2312"/>
          <w:b w:val="0"/>
          <w:bCs w:val="0"/>
          <w:color w:val="auto"/>
          <w:sz w:val="32"/>
          <w:szCs w:val="32"/>
          <w:highlight w:val="none"/>
          <w:u w:val="none"/>
          <w:shd w:val="clear" w:fill="FFFFFF"/>
          <w:lang w:val="en-US" w:eastAsia="zh-CN"/>
        </w:rPr>
        <w:t>生活费</w:t>
      </w:r>
      <w:r>
        <w:rPr>
          <w:rFonts w:hint="eastAsia" w:ascii="仿宋_GB2312" w:eastAsia="仿宋_GB2312"/>
          <w:b w:val="0"/>
          <w:bCs w:val="0"/>
          <w:color w:val="auto"/>
          <w:sz w:val="32"/>
          <w:szCs w:val="32"/>
          <w:highlight w:val="none"/>
          <w:u w:val="none"/>
          <w:lang w:val="en-US" w:eastAsia="zh-CN"/>
        </w:rPr>
        <w:t>补助期限上限为36个月。签订协议并封房后36个月内,被征收人根据到龄当月(男需满60周岁、女需满55周岁)至36个月之间的时间计算补助。</w:t>
      </w:r>
    </w:p>
    <w:p w14:paraId="25C94076">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sz w:val="32"/>
          <w:szCs w:val="32"/>
          <w:u w:val="none"/>
          <w:lang w:val="en-US" w:eastAsia="zh-CN"/>
        </w:rPr>
        <w:t>3、选择现房安置的,按6个月计算老人生活费补助。</w:t>
      </w:r>
    </w:p>
    <w:p w14:paraId="59861214">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sz w:val="32"/>
          <w:szCs w:val="32"/>
          <w:u w:val="none"/>
          <w:lang w:val="en-US" w:eastAsia="zh-CN"/>
        </w:rPr>
        <w:t>4、</w:t>
      </w:r>
      <w:r>
        <w:rPr>
          <w:rFonts w:hint="eastAsia" w:ascii="仿宋_GB2312" w:eastAsia="仿宋_GB2312"/>
          <w:b w:val="0"/>
          <w:bCs w:val="0"/>
          <w:color w:val="auto"/>
          <w:sz w:val="32"/>
          <w:szCs w:val="32"/>
          <w:highlight w:val="none"/>
          <w:u w:val="none"/>
          <w:lang w:val="zh-CN" w:eastAsia="zh-CN"/>
        </w:rPr>
        <w:t>征收围墙内埕地、空地、临时搭盖房屋、</w:t>
      </w:r>
      <w:r>
        <w:rPr>
          <w:rFonts w:hint="eastAsia" w:ascii="仿宋_GB2312" w:hAnsi="仿宋_GB2312" w:eastAsia="仿宋_GB2312" w:cs="仿宋_GB2312"/>
          <w:b w:val="0"/>
          <w:bCs w:val="0"/>
          <w:sz w:val="32"/>
          <w:szCs w:val="32"/>
          <w:u w:val="none"/>
          <w:lang w:val="en-US" w:eastAsia="zh-CN"/>
        </w:rPr>
        <w:t>商业用房、办公用房和工业用房的被征收人均不</w:t>
      </w:r>
      <w:r>
        <w:rPr>
          <w:rFonts w:hint="eastAsia" w:ascii="仿宋_GB2312" w:hAnsi="仿宋_GB2312" w:eastAsia="仿宋_GB2312" w:cs="仿宋_GB2312"/>
          <w:b w:val="0"/>
          <w:bCs w:val="0"/>
          <w:sz w:val="32"/>
          <w:szCs w:val="32"/>
          <w:u w:val="none"/>
          <w:shd w:val="clear" w:fill="FFFFFF"/>
          <w:lang w:val="en-US" w:eastAsia="zh-CN"/>
        </w:rPr>
        <w:t>享受</w:t>
      </w:r>
      <w:r>
        <w:rPr>
          <w:rFonts w:hint="eastAsia" w:ascii="仿宋_GB2312" w:hAnsi="仿宋_GB2312" w:eastAsia="仿宋_GB2312" w:cs="仿宋_GB2312"/>
          <w:b w:val="0"/>
          <w:bCs w:val="0"/>
          <w:sz w:val="32"/>
          <w:szCs w:val="32"/>
          <w:u w:val="none"/>
          <w:lang w:val="en-US" w:eastAsia="zh-CN"/>
        </w:rPr>
        <w:t>老人生活补助。</w:t>
      </w:r>
    </w:p>
    <w:p w14:paraId="37B3B7D8">
      <w:pPr>
        <w:pStyle w:val="2"/>
        <w:numPr>
          <w:ilvl w:val="0"/>
          <w:numId w:val="0"/>
        </w:numPr>
        <w:shd w:val="clear" w:color="auto" w:fill="auto"/>
        <w:spacing w:after="0" w:line="600" w:lineRule="exact"/>
        <w:ind w:firstLine="640" w:firstLineChars="200"/>
        <w:rPr>
          <w:rFonts w:hint="eastAsia" w:ascii="仿宋_GB2312" w:eastAsia="仿宋_GB2312"/>
          <w:b/>
          <w:bCs/>
          <w:color w:val="auto"/>
          <w:kern w:val="0"/>
          <w:sz w:val="32"/>
          <w:szCs w:val="32"/>
          <w:highlight w:val="none"/>
          <w:u w:val="single"/>
          <w:lang w:val="zh-CN"/>
        </w:rPr>
      </w:pPr>
      <w:r>
        <w:rPr>
          <w:rFonts w:hint="eastAsia" w:ascii="仿宋_GB2312" w:eastAsia="仿宋_GB2312"/>
          <w:b w:val="0"/>
          <w:bCs w:val="0"/>
          <w:color w:val="auto"/>
          <w:sz w:val="32"/>
          <w:szCs w:val="32"/>
          <w:highlight w:val="none"/>
          <w:u w:val="none"/>
          <w:lang w:val="en-US" w:eastAsia="zh-CN"/>
        </w:rPr>
        <w:t>5、</w:t>
      </w:r>
      <w:r>
        <w:rPr>
          <w:rFonts w:hint="eastAsia" w:ascii="仿宋_GB2312" w:eastAsia="仿宋_GB2312"/>
          <w:b w:val="0"/>
          <w:bCs w:val="0"/>
          <w:color w:val="auto"/>
          <w:sz w:val="32"/>
          <w:szCs w:val="32"/>
          <w:highlight w:val="none"/>
          <w:u w:val="none"/>
          <w:lang w:val="zh-CN"/>
        </w:rPr>
        <w:t>老人生活补助由</w:t>
      </w:r>
      <w:r>
        <w:rPr>
          <w:rFonts w:hint="eastAsia" w:ascii="仿宋_GB2312" w:eastAsia="仿宋_GB2312"/>
          <w:b w:val="0"/>
          <w:bCs w:val="0"/>
          <w:color w:val="auto"/>
          <w:sz w:val="32"/>
          <w:szCs w:val="32"/>
          <w:highlight w:val="none"/>
          <w:u w:val="none"/>
          <w:lang w:val="zh-CN" w:eastAsia="zh-CN"/>
        </w:rPr>
        <w:t>属地街道另外制表向财务审核组申报，</w:t>
      </w:r>
      <w:r>
        <w:rPr>
          <w:rFonts w:hint="eastAsia" w:ascii="仿宋_GB2312" w:eastAsia="仿宋_GB2312"/>
          <w:color w:val="auto"/>
          <w:sz w:val="32"/>
          <w:szCs w:val="32"/>
          <w:highlight w:val="none"/>
          <w:u w:val="none"/>
          <w:lang w:val="zh-CN" w:eastAsia="zh-CN"/>
        </w:rPr>
        <w:t>经审核后一次性拨付。</w:t>
      </w:r>
    </w:p>
    <w:p w14:paraId="779EA3D8">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二十三、</w:t>
      </w:r>
      <w:r>
        <w:rPr>
          <w:rFonts w:hint="eastAsia" w:ascii="仿宋_GB2312" w:eastAsia="仿宋_GB2312"/>
          <w:b/>
          <w:color w:val="auto"/>
          <w:sz w:val="32"/>
          <w:szCs w:val="32"/>
          <w:highlight w:val="none"/>
          <w:u w:val="none"/>
          <w:shd w:val="clear" w:fill="FFFFFF"/>
          <w:lang w:val="zh-CN" w:eastAsia="zh-CN"/>
        </w:rPr>
        <w:t>其它类别</w:t>
      </w:r>
      <w:r>
        <w:rPr>
          <w:rFonts w:hint="eastAsia" w:ascii="仿宋_GB2312" w:eastAsia="仿宋_GB2312"/>
          <w:b/>
          <w:color w:val="auto"/>
          <w:sz w:val="32"/>
          <w:szCs w:val="32"/>
          <w:highlight w:val="none"/>
          <w:u w:val="none"/>
          <w:lang w:val="zh-CN" w:eastAsia="zh-CN"/>
        </w:rPr>
        <w:t>房屋补偿安置</w:t>
      </w:r>
    </w:p>
    <w:p w14:paraId="1D39E4D6">
      <w:p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村老人会、村文化活动中心等村级群众公共场所的补偿安置，参照同区段住宅补偿标准给予货币补偿，不予产权调换，补偿安置面积按规定认定后可不受不超150㎡条款的限制，但同时也不享受照顾购买面积的政策</w:t>
      </w:r>
      <w:r>
        <w:rPr>
          <w:rFonts w:hint="eastAsia" w:ascii="仿宋_GB2312" w:eastAsia="仿宋_GB2312"/>
          <w:b w:val="0"/>
          <w:bCs w:val="0"/>
          <w:color w:val="auto"/>
          <w:sz w:val="32"/>
          <w:szCs w:val="32"/>
          <w:highlight w:val="none"/>
          <w:u w:val="none"/>
          <w:lang w:val="zh-CN"/>
        </w:rPr>
        <w:t>。</w:t>
      </w:r>
    </w:p>
    <w:p w14:paraId="1E5327FA">
      <w:pPr>
        <w:pStyle w:val="2"/>
        <w:shd w:val="clear" w:color="auto" w:fill="auto"/>
        <w:spacing w:after="0" w:line="600" w:lineRule="exact"/>
        <w:jc w:val="center"/>
        <w:rPr>
          <w:rFonts w:hint="eastAsia" w:ascii="仿宋_GB2312" w:eastAsia="仿宋_GB2312"/>
          <w:b/>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五</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其他规定</w:t>
      </w:r>
    </w:p>
    <w:p w14:paraId="0C8A56C5">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p>
    <w:p w14:paraId="63A6FEB9">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二十四、房屋权属不清的处理</w:t>
      </w:r>
    </w:p>
    <w:p w14:paraId="77F88B0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被征收房屋产权人下落不明、暂时无法确认产权和其他产权不清的房屋，由征收人就被征收房屋的有关事项办理证据保全后予以拆除。</w:t>
      </w:r>
    </w:p>
    <w:p w14:paraId="08FF26B9">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二十五、设定他项权利的处理</w:t>
      </w:r>
    </w:p>
    <w:p w14:paraId="15CFE586">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被征收房屋设定抵押的，相关当事人应自行协商解除抵押关系，并在签订协议前向登记部门注销抵押关系。</w:t>
      </w:r>
    </w:p>
    <w:p w14:paraId="5156EB48">
      <w:pPr>
        <w:pStyle w:val="15"/>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二十六、</w:t>
      </w:r>
      <w:r>
        <w:rPr>
          <w:rFonts w:hint="eastAsia" w:ascii="仿宋_GB2312" w:eastAsia="仿宋_GB2312"/>
          <w:b/>
          <w:bCs/>
          <w:color w:val="auto"/>
          <w:sz w:val="32"/>
          <w:szCs w:val="32"/>
          <w:highlight w:val="none"/>
          <w:u w:val="none"/>
          <w:lang w:val="zh-CN"/>
        </w:rPr>
        <w:t>超出签约期限内搬迁的处理办法</w:t>
      </w:r>
    </w:p>
    <w:p w14:paraId="26F1EC19">
      <w:pPr>
        <w:spacing w:line="600" w:lineRule="exact"/>
        <w:ind w:firstLine="480" w:firstLineChars="150"/>
        <w:rPr>
          <w:rFonts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（一）被征收人超过规定签约期限仍未签订协议并封房的，不享受本实施方案有关的补助、奖励、照顾、保</w:t>
      </w:r>
      <w:r>
        <w:rPr>
          <w:rFonts w:hint="eastAsia" w:ascii="仿宋_GB2312" w:eastAsia="仿宋_GB2312"/>
          <w:color w:val="auto"/>
          <w:kern w:val="0"/>
          <w:sz w:val="32"/>
          <w:szCs w:val="32"/>
          <w:highlight w:val="none"/>
          <w:u w:val="none"/>
          <w:shd w:val="clear" w:fill="FFFFFF"/>
          <w:lang w:val="zh-CN"/>
        </w:rPr>
        <w:t>障</w:t>
      </w:r>
      <w:r>
        <w:rPr>
          <w:rFonts w:hint="eastAsia" w:ascii="仿宋_GB2312" w:eastAsia="仿宋_GB2312"/>
          <w:color w:val="auto"/>
          <w:kern w:val="0"/>
          <w:sz w:val="32"/>
          <w:szCs w:val="32"/>
          <w:highlight w:val="none"/>
          <w:u w:val="none"/>
          <w:lang w:val="zh-CN"/>
        </w:rPr>
        <w:t>奖励措施。坚决杜绝超期限搬迁反而多得利的现象发生。</w:t>
      </w:r>
    </w:p>
    <w:p w14:paraId="4C7BA18B">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（二）房屋征收部门与被征收人在征收补偿方案确定的签约期限内达不成补偿协议，按程序转入强制征收流程。</w:t>
      </w:r>
    </w:p>
    <w:p w14:paraId="195542CC">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（三）被征收人在法定期限内不申请行政复议或者不提起行政诉讼，在补偿决定规定的期限内又不搬迁的，由相关部门依法申请人民法院强制执行。</w:t>
      </w:r>
    </w:p>
    <w:p w14:paraId="6C0C3B8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四）故意扰乱征收工作程序、煽动闹事、妨碍征收工作人员正常工作的，由公安机关按照《</w:t>
      </w:r>
      <w:r>
        <w:rPr>
          <w:rFonts w:hint="eastAsia" w:ascii="仿宋_GB2312" w:eastAsia="仿宋_GB2312"/>
          <w:color w:val="auto"/>
          <w:sz w:val="32"/>
          <w:szCs w:val="32"/>
          <w:highlight w:val="none"/>
          <w:u w:val="none"/>
          <w:lang w:val="zh-CN" w:eastAsia="zh-CN"/>
        </w:rPr>
        <w:t>中华人民共和国</w:t>
      </w:r>
      <w:r>
        <w:rPr>
          <w:rFonts w:hint="eastAsia" w:ascii="仿宋_GB2312" w:eastAsia="仿宋_GB2312"/>
          <w:color w:val="auto"/>
          <w:sz w:val="32"/>
          <w:szCs w:val="32"/>
          <w:highlight w:val="none"/>
          <w:u w:val="none"/>
          <w:lang w:val="zh-CN"/>
        </w:rPr>
        <w:t>治安管理处罚法》规定处罚，构成犯罪的由司法机关追究刑事责任。</w:t>
      </w:r>
    </w:p>
    <w:p w14:paraId="45F2401B">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p>
    <w:p w14:paraId="6A1EC823">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p>
    <w:p w14:paraId="5C28875C">
      <w:pPr>
        <w:pStyle w:val="15"/>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二十七、</w:t>
      </w:r>
      <w:r>
        <w:rPr>
          <w:rFonts w:hint="eastAsia" w:ascii="仿宋_GB2312" w:eastAsia="仿宋_GB2312"/>
          <w:b/>
          <w:bCs/>
          <w:color w:val="auto"/>
          <w:sz w:val="32"/>
          <w:szCs w:val="32"/>
          <w:highlight w:val="none"/>
          <w:u w:val="none"/>
          <w:lang w:val="zh-CN"/>
        </w:rPr>
        <w:t>房屋搬迁程序</w:t>
      </w:r>
    </w:p>
    <w:p w14:paraId="7DD9299B">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（一）由征收人将实地测量的房屋面积、房屋结构、房屋成新率等交由被征收人核对，在核对无误情况下按规定时间及时回执。</w:t>
      </w:r>
    </w:p>
    <w:p w14:paraId="61098227">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（二）被征收人在搬迁时应向水电部门交清费用，属相关部门安装总表，不得私自拆除、更换，应由相关部门统一拆除，否则将追究当事人责任。</w:t>
      </w:r>
    </w:p>
    <w:p w14:paraId="5B841AE8">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（三）被征收人应当按规定的</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期限签订协议且搬迁完毕，并办好封房移交手续。</w:t>
      </w:r>
    </w:p>
    <w:p w14:paraId="4598761F">
      <w:pPr>
        <w:pStyle w:val="2"/>
        <w:shd w:val="clear" w:color="auto" w:fill="auto"/>
        <w:spacing w:after="0" w:line="600" w:lineRule="exact"/>
        <w:ind w:firstLine="640" w:firstLineChars="200"/>
        <w:rPr>
          <w:rFonts w:hint="eastAsia" w:ascii="仿宋_GB2312" w:eastAsia="仿宋_GB2312"/>
          <w:b/>
          <w:bCs/>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）被征收人在签订协议时，需携带各种证明材料原件并提交户口簿、产权证件、建筑许可证、土地使用证、镇（街）清理建房手续（持有有效凭证）、户主身份证等资料复印件各</w:t>
      </w: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份。</w:t>
      </w:r>
    </w:p>
    <w:p w14:paraId="4FAEAF05">
      <w:pPr>
        <w:pStyle w:val="2"/>
        <w:shd w:val="clear" w:color="auto" w:fill="auto"/>
        <w:spacing w:after="0" w:line="600" w:lineRule="exact"/>
        <w:ind w:firstLine="643" w:firstLineChars="200"/>
        <w:jc w:val="center"/>
        <w:rPr>
          <w:rFonts w:hint="eastAsia" w:ascii="仿宋_GB2312" w:eastAsia="仿宋_GB2312"/>
          <w:b/>
          <w:bCs/>
          <w:color w:val="auto"/>
          <w:sz w:val="32"/>
          <w:szCs w:val="32"/>
          <w:highlight w:val="none"/>
          <w:u w:val="none"/>
          <w:lang w:val="zh-CN"/>
        </w:rPr>
      </w:pPr>
    </w:p>
    <w:p w14:paraId="0975729D">
      <w:pPr>
        <w:pStyle w:val="2"/>
        <w:shd w:val="clear" w:color="auto" w:fill="auto"/>
        <w:spacing w:after="0" w:line="600" w:lineRule="exact"/>
        <w:ind w:firstLine="643" w:firstLineChars="200"/>
        <w:jc w:val="center"/>
        <w:rPr>
          <w:rFonts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六</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附则</w:t>
      </w:r>
    </w:p>
    <w:p w14:paraId="1B8B4FA1">
      <w:pPr>
        <w:pStyle w:val="13"/>
        <w:shd w:val="clear" w:color="auto" w:fill="auto"/>
        <w:spacing w:line="629" w:lineRule="exact"/>
        <w:ind w:left="20" w:firstLine="620"/>
        <w:jc w:val="both"/>
        <w:rPr>
          <w:rFonts w:hint="eastAsia" w:ascii="仿宋_GB2312" w:eastAsia="仿宋_GB2312"/>
          <w:color w:val="auto"/>
          <w:sz w:val="32"/>
          <w:szCs w:val="32"/>
          <w:highlight w:val="none"/>
          <w:u w:val="none"/>
          <w:lang w:val="zh-CN" w:eastAsia="zh-CN"/>
        </w:rPr>
      </w:pPr>
    </w:p>
    <w:p w14:paraId="67486D27">
      <w:pPr>
        <w:pStyle w:val="13"/>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二十八、</w:t>
      </w:r>
      <w:r>
        <w:rPr>
          <w:rFonts w:hint="eastAsia" w:ascii="仿宋_GB2312" w:eastAsia="仿宋_GB2312"/>
          <w:color w:val="auto"/>
          <w:sz w:val="32"/>
          <w:szCs w:val="32"/>
          <w:highlight w:val="none"/>
          <w:u w:val="none"/>
          <w:lang w:val="zh-CN"/>
        </w:rPr>
        <w:t>适用范围</w:t>
      </w:r>
    </w:p>
    <w:p w14:paraId="6FEFBDA3">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本方案适</w:t>
      </w:r>
      <w:r>
        <w:rPr>
          <w:rFonts w:hint="eastAsia" w:ascii="仿宋_GB2312" w:eastAsia="仿宋_GB2312"/>
          <w:color w:val="auto"/>
          <w:sz w:val="32"/>
          <w:szCs w:val="32"/>
          <w:highlight w:val="none"/>
          <w:u w:val="none"/>
          <w:lang w:eastAsia="zh-CN"/>
        </w:rPr>
        <w:t>用于洋中厝公园</w:t>
      </w:r>
      <w:r>
        <w:rPr>
          <w:rFonts w:hint="eastAsia" w:ascii="仿宋_GB2312" w:eastAsia="仿宋_GB2312"/>
          <w:color w:val="auto"/>
          <w:w w:val="100"/>
          <w:sz w:val="32"/>
          <w:szCs w:val="32"/>
          <w:highlight w:val="none"/>
          <w:u w:val="none"/>
          <w:lang w:eastAsia="zh-CN"/>
        </w:rPr>
        <w:t>项目</w:t>
      </w:r>
      <w:r>
        <w:rPr>
          <w:rFonts w:hint="eastAsia" w:ascii="仿宋_GB2312" w:eastAsia="仿宋_GB2312"/>
          <w:color w:val="auto"/>
          <w:w w:val="100"/>
          <w:sz w:val="32"/>
          <w:szCs w:val="32"/>
          <w:highlight w:val="none"/>
          <w:u w:val="none"/>
          <w:lang w:val="en-US" w:eastAsia="zh-CN"/>
        </w:rPr>
        <w:t>集体土地上</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征收</w:t>
      </w:r>
      <w:r>
        <w:rPr>
          <w:rFonts w:hint="eastAsia" w:ascii="仿宋_GB2312" w:eastAsia="仿宋_GB2312"/>
          <w:color w:val="auto"/>
          <w:sz w:val="32"/>
          <w:szCs w:val="32"/>
          <w:highlight w:val="none"/>
          <w:u w:val="none"/>
          <w:lang w:val="zh-CN"/>
        </w:rPr>
        <w:t>补偿安置。</w:t>
      </w:r>
      <w:r>
        <w:rPr>
          <w:rFonts w:hint="eastAsia" w:ascii="仿宋_GB2312" w:eastAsia="仿宋_GB2312"/>
          <w:color w:val="auto"/>
          <w:sz w:val="32"/>
          <w:szCs w:val="32"/>
          <w:highlight w:val="none"/>
          <w:u w:val="none"/>
          <w:lang w:val="zh-CN" w:eastAsia="zh-CN"/>
        </w:rPr>
        <w:t>涉及套房和集资房征收补偿方案另行制定。</w:t>
      </w:r>
    </w:p>
    <w:p w14:paraId="68B70ECC">
      <w:pPr>
        <w:pStyle w:val="13"/>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二十九、</w:t>
      </w:r>
      <w:r>
        <w:rPr>
          <w:rFonts w:hint="eastAsia" w:ascii="仿宋_GB2312" w:eastAsia="仿宋_GB2312"/>
          <w:color w:val="auto"/>
          <w:sz w:val="32"/>
          <w:szCs w:val="32"/>
          <w:highlight w:val="none"/>
          <w:u w:val="none"/>
          <w:lang w:val="zh-CN"/>
        </w:rPr>
        <w:t>未尽事宜</w:t>
      </w:r>
    </w:p>
    <w:p w14:paraId="70BDC4FC">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该补偿方案未提及事项按国务院及</w:t>
      </w:r>
      <w:r>
        <w:rPr>
          <w:rFonts w:hint="eastAsia" w:ascii="仿宋_GB2312" w:eastAsia="仿宋_GB2312"/>
          <w:color w:val="auto"/>
          <w:sz w:val="32"/>
          <w:szCs w:val="32"/>
          <w:highlight w:val="none"/>
          <w:u w:val="none"/>
          <w:shd w:val="clear" w:fill="FFFFFF"/>
          <w:lang w:val="zh-CN"/>
        </w:rPr>
        <w:t>福建省、福州市</w:t>
      </w:r>
      <w:r>
        <w:rPr>
          <w:rFonts w:hint="eastAsia" w:ascii="仿宋_GB2312" w:eastAsia="仿宋_GB2312"/>
          <w:color w:val="auto"/>
          <w:sz w:val="32"/>
          <w:szCs w:val="32"/>
          <w:highlight w:val="none"/>
          <w:u w:val="none"/>
          <w:lang w:val="zh-CN"/>
        </w:rPr>
        <w:t>、福清市的有关规定实施。</w:t>
      </w:r>
    </w:p>
    <w:p w14:paraId="362E85E2">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p>
    <w:p w14:paraId="37030133">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p>
    <w:p w14:paraId="08E8A418">
      <w:pPr>
        <w:pStyle w:val="13"/>
        <w:shd w:val="clear" w:color="auto" w:fill="auto"/>
        <w:spacing w:line="629" w:lineRule="exact"/>
        <w:ind w:left="20" w:firstLine="62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三十、投诉监督</w:t>
      </w:r>
    </w:p>
    <w:p w14:paraId="602B50DF">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整个征收补偿工作将做到公正、公平、公开，欢迎被征收人监督。</w:t>
      </w:r>
    </w:p>
    <w:p w14:paraId="012B054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65753E42">
      <w:pPr>
        <w:pStyle w:val="2"/>
        <w:shd w:val="clear" w:color="auto" w:fill="auto"/>
        <w:spacing w:after="0" w:line="600" w:lineRule="exact"/>
        <w:rPr>
          <w:rFonts w:hint="eastAsia" w:ascii="仿宋_GB2312" w:eastAsia="仿宋_GB2312"/>
          <w:color w:val="auto"/>
          <w:sz w:val="32"/>
          <w:szCs w:val="32"/>
          <w:highlight w:val="none"/>
          <w:u w:val="none"/>
          <w:lang w:val="zh-CN"/>
        </w:rPr>
      </w:pPr>
    </w:p>
    <w:p w14:paraId="335F4E7D">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附件：</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、被征收房屋重置价标准</w:t>
      </w:r>
    </w:p>
    <w:p w14:paraId="15E5426B">
      <w:pPr>
        <w:pStyle w:val="2"/>
        <w:shd w:val="clear" w:color="auto" w:fill="auto"/>
        <w:spacing w:after="0" w:line="600" w:lineRule="exact"/>
        <w:ind w:firstLine="1600" w:firstLineChars="5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、被征收房屋成新率评定标准</w:t>
      </w:r>
    </w:p>
    <w:p w14:paraId="5D13D34C">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、房屋二次装修重置价标准</w:t>
      </w:r>
    </w:p>
    <w:p w14:paraId="193C76EA">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四、房屋二次装修成新率评定标准</w:t>
      </w:r>
    </w:p>
    <w:p w14:paraId="536A9FB3">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五、私人自建住宅等面积应补缴价格控制表</w:t>
      </w:r>
    </w:p>
    <w:p w14:paraId="4805E7B9">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eastAsia="zh-CN"/>
        </w:rPr>
        <w:t>六、房屋的附属物补偿标准</w:t>
      </w:r>
    </w:p>
    <w:p w14:paraId="1708F25A">
      <w:pPr>
        <w:pStyle w:val="2"/>
        <w:shd w:val="clear" w:color="auto" w:fill="auto"/>
        <w:spacing w:after="0" w:line="600" w:lineRule="exact"/>
        <w:ind w:firstLine="1600" w:firstLineChars="500"/>
        <w:rPr>
          <w:rFonts w:hint="eastAsia" w:ascii="仿宋_GB2312" w:eastAsia="仿宋_GB2312"/>
          <w:b/>
          <w:color w:val="auto"/>
          <w:kern w:val="0"/>
          <w:sz w:val="32"/>
          <w:szCs w:val="32"/>
          <w:highlight w:val="none"/>
          <w:u w:val="none"/>
        </w:rPr>
      </w:pPr>
      <w:r>
        <w:rPr>
          <w:rFonts w:hint="eastAsia" w:ascii="仿宋_GB2312" w:eastAsia="仿宋_GB2312"/>
          <w:color w:val="auto"/>
          <w:sz w:val="32"/>
          <w:szCs w:val="32"/>
          <w:highlight w:val="none"/>
          <w:u w:val="none"/>
          <w:lang w:val="zh-CN" w:eastAsia="zh-CN"/>
        </w:rPr>
        <w:t>七、</w:t>
      </w:r>
      <w:r>
        <w:rPr>
          <w:rFonts w:hint="eastAsia" w:ascii="仿宋_GB2312" w:eastAsia="仿宋_GB2312"/>
          <w:b w:val="0"/>
          <w:bCs w:val="0"/>
          <w:color w:val="auto"/>
          <w:kern w:val="0"/>
          <w:sz w:val="32"/>
          <w:szCs w:val="32"/>
          <w:highlight w:val="none"/>
          <w:u w:val="none"/>
          <w:lang w:val="en-US" w:eastAsia="zh-CN" w:bidi="ar-SA"/>
        </w:rPr>
        <w:t>临时搭盖的补偿规定</w:t>
      </w:r>
    </w:p>
    <w:p w14:paraId="33B140E0">
      <w:pPr>
        <w:numPr>
          <w:ilvl w:val="0"/>
          <w:numId w:val="0"/>
        </w:numPr>
        <w:jc w:val="left"/>
        <w:rPr>
          <w:rFonts w:hint="eastAsia" w:ascii="仿宋_GB2312" w:eastAsia="仿宋_GB2312"/>
          <w:b/>
          <w:color w:val="auto"/>
          <w:kern w:val="0"/>
          <w:sz w:val="32"/>
          <w:szCs w:val="32"/>
          <w:highlight w:val="none"/>
          <w:u w:val="none"/>
        </w:rPr>
      </w:pPr>
    </w:p>
    <w:p w14:paraId="0CE48005">
      <w:pPr>
        <w:numPr>
          <w:ilvl w:val="0"/>
          <w:numId w:val="0"/>
        </w:numPr>
        <w:jc w:val="left"/>
        <w:rPr>
          <w:rFonts w:hint="eastAsia" w:ascii="仿宋_GB2312" w:eastAsia="仿宋_GB2312"/>
          <w:b/>
          <w:color w:val="auto"/>
          <w:kern w:val="0"/>
          <w:sz w:val="32"/>
          <w:szCs w:val="32"/>
          <w:highlight w:val="none"/>
          <w:u w:val="none"/>
        </w:rPr>
      </w:pPr>
    </w:p>
    <w:p w14:paraId="4459E1D5">
      <w:pPr>
        <w:numPr>
          <w:ilvl w:val="0"/>
          <w:numId w:val="0"/>
        </w:numPr>
        <w:jc w:val="left"/>
        <w:rPr>
          <w:rFonts w:hint="eastAsia" w:ascii="仿宋_GB2312" w:eastAsia="仿宋_GB2312"/>
          <w:b/>
          <w:color w:val="auto"/>
          <w:kern w:val="0"/>
          <w:sz w:val="32"/>
          <w:szCs w:val="32"/>
          <w:highlight w:val="none"/>
          <w:u w:val="none"/>
        </w:rPr>
      </w:pPr>
    </w:p>
    <w:p w14:paraId="4E3D28DA">
      <w:pPr>
        <w:numPr>
          <w:ilvl w:val="0"/>
          <w:numId w:val="0"/>
        </w:numPr>
        <w:jc w:val="left"/>
        <w:rPr>
          <w:rFonts w:hint="eastAsia" w:ascii="仿宋_GB2312" w:eastAsia="仿宋_GB2312"/>
          <w:b/>
          <w:color w:val="auto"/>
          <w:kern w:val="0"/>
          <w:sz w:val="32"/>
          <w:szCs w:val="32"/>
          <w:highlight w:val="none"/>
          <w:u w:val="none"/>
        </w:rPr>
      </w:pPr>
    </w:p>
    <w:p w14:paraId="4B689248">
      <w:pPr>
        <w:numPr>
          <w:ilvl w:val="0"/>
          <w:numId w:val="0"/>
        </w:numPr>
        <w:jc w:val="left"/>
        <w:rPr>
          <w:rFonts w:hint="eastAsia" w:ascii="仿宋_GB2312" w:eastAsia="仿宋_GB2312"/>
          <w:b/>
          <w:color w:val="auto"/>
          <w:kern w:val="0"/>
          <w:sz w:val="32"/>
          <w:szCs w:val="32"/>
          <w:highlight w:val="none"/>
          <w:u w:val="none"/>
        </w:rPr>
      </w:pPr>
    </w:p>
    <w:p w14:paraId="5963E75A">
      <w:pPr>
        <w:numPr>
          <w:ilvl w:val="0"/>
          <w:numId w:val="0"/>
        </w:numPr>
        <w:jc w:val="left"/>
        <w:rPr>
          <w:rFonts w:hint="eastAsia" w:ascii="仿宋_GB2312" w:eastAsia="仿宋_GB2312"/>
          <w:b/>
          <w:color w:val="auto"/>
          <w:kern w:val="0"/>
          <w:sz w:val="32"/>
          <w:szCs w:val="32"/>
          <w:highlight w:val="none"/>
          <w:u w:val="none"/>
        </w:rPr>
      </w:pPr>
    </w:p>
    <w:p w14:paraId="45CBA6EF">
      <w:pPr>
        <w:numPr>
          <w:ilvl w:val="0"/>
          <w:numId w:val="0"/>
        </w:numPr>
        <w:jc w:val="left"/>
        <w:rPr>
          <w:rFonts w:hint="eastAsia" w:ascii="仿宋_GB2312" w:eastAsia="仿宋_GB2312"/>
          <w:b/>
          <w:color w:val="auto"/>
          <w:kern w:val="0"/>
          <w:sz w:val="32"/>
          <w:szCs w:val="32"/>
          <w:highlight w:val="none"/>
          <w:u w:val="none"/>
        </w:rPr>
      </w:pPr>
    </w:p>
    <w:p w14:paraId="491470AF">
      <w:pPr>
        <w:numPr>
          <w:ilvl w:val="0"/>
          <w:numId w:val="0"/>
        </w:numPr>
        <w:jc w:val="left"/>
        <w:rPr>
          <w:rFonts w:hint="eastAsia" w:ascii="仿宋_GB2312" w:eastAsia="仿宋_GB2312"/>
          <w:b/>
          <w:color w:val="auto"/>
          <w:kern w:val="0"/>
          <w:sz w:val="32"/>
          <w:szCs w:val="32"/>
          <w:highlight w:val="none"/>
          <w:u w:val="none"/>
        </w:rPr>
      </w:pPr>
    </w:p>
    <w:p w14:paraId="181B6264">
      <w:pPr>
        <w:numPr>
          <w:ilvl w:val="0"/>
          <w:numId w:val="0"/>
        </w:numPr>
        <w:jc w:val="left"/>
        <w:rPr>
          <w:rFonts w:hint="eastAsia" w:ascii="仿宋_GB2312" w:eastAsia="仿宋_GB2312"/>
          <w:b/>
          <w:color w:val="auto"/>
          <w:kern w:val="0"/>
          <w:sz w:val="32"/>
          <w:szCs w:val="32"/>
          <w:highlight w:val="none"/>
          <w:u w:val="none"/>
        </w:rPr>
      </w:pPr>
    </w:p>
    <w:p w14:paraId="410BB7E4">
      <w:pPr>
        <w:numPr>
          <w:ilvl w:val="0"/>
          <w:numId w:val="0"/>
        </w:numPr>
        <w:jc w:val="left"/>
        <w:rPr>
          <w:rFonts w:hint="eastAsia" w:ascii="仿宋_GB2312" w:eastAsia="仿宋_GB2312"/>
          <w:b/>
          <w:color w:val="auto"/>
          <w:kern w:val="0"/>
          <w:sz w:val="32"/>
          <w:szCs w:val="32"/>
          <w:highlight w:val="none"/>
          <w:u w:val="none"/>
        </w:rPr>
      </w:pPr>
    </w:p>
    <w:p w14:paraId="0CB2152F">
      <w:pPr>
        <w:numPr>
          <w:ilvl w:val="0"/>
          <w:numId w:val="0"/>
        </w:numPr>
        <w:jc w:val="left"/>
        <w:rPr>
          <w:rFonts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附表一  被征收房屋重置价标准</w:t>
      </w:r>
    </w:p>
    <w:tbl>
      <w:tblPr>
        <w:tblStyle w:val="5"/>
        <w:tblW w:w="0" w:type="auto"/>
        <w:tblInd w:w="-553" w:type="dxa"/>
        <w:tblLayout w:type="fixed"/>
        <w:tblCellMar>
          <w:top w:w="0" w:type="dxa"/>
          <w:left w:w="108" w:type="dxa"/>
          <w:bottom w:w="0" w:type="dxa"/>
          <w:right w:w="108" w:type="dxa"/>
        </w:tblCellMar>
      </w:tblPr>
      <w:tblGrid>
        <w:gridCol w:w="870"/>
        <w:gridCol w:w="916"/>
        <w:gridCol w:w="900"/>
        <w:gridCol w:w="6023"/>
        <w:gridCol w:w="2061"/>
      </w:tblGrid>
      <w:tr w14:paraId="7DE18FA7">
        <w:tblPrEx>
          <w:tblCellMar>
            <w:top w:w="0" w:type="dxa"/>
            <w:left w:w="108" w:type="dxa"/>
            <w:bottom w:w="0" w:type="dxa"/>
            <w:right w:w="108" w:type="dxa"/>
          </w:tblCellMar>
        </w:tblPrEx>
        <w:trPr>
          <w:trHeight w:val="312" w:hRule="atLeast"/>
        </w:trPr>
        <w:tc>
          <w:tcPr>
            <w:tcW w:w="870" w:type="dxa"/>
            <w:vMerge w:val="restart"/>
            <w:tcBorders>
              <w:top w:val="single" w:color="auto" w:sz="8" w:space="0"/>
              <w:left w:val="single" w:color="auto" w:sz="8" w:space="0"/>
              <w:bottom w:val="single" w:color="000000" w:sz="8" w:space="0"/>
              <w:right w:val="single" w:color="auto" w:sz="8" w:space="0"/>
            </w:tcBorders>
            <w:noWrap w:val="0"/>
            <w:vAlign w:val="center"/>
          </w:tcPr>
          <w:p w14:paraId="307B1533">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类别</w:t>
            </w:r>
          </w:p>
        </w:tc>
        <w:tc>
          <w:tcPr>
            <w:tcW w:w="916" w:type="dxa"/>
            <w:vMerge w:val="restart"/>
            <w:tcBorders>
              <w:top w:val="single" w:color="auto" w:sz="8" w:space="0"/>
              <w:left w:val="single" w:color="auto" w:sz="8" w:space="0"/>
              <w:bottom w:val="single" w:color="000000" w:sz="8" w:space="0"/>
              <w:right w:val="single" w:color="auto" w:sz="8" w:space="0"/>
            </w:tcBorders>
            <w:noWrap w:val="0"/>
            <w:vAlign w:val="center"/>
          </w:tcPr>
          <w:p w14:paraId="45DED93C">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00" w:type="dxa"/>
            <w:vMerge w:val="restart"/>
            <w:tcBorders>
              <w:top w:val="single" w:color="auto" w:sz="8" w:space="0"/>
              <w:left w:val="single" w:color="auto" w:sz="8" w:space="0"/>
              <w:bottom w:val="single" w:color="000000" w:sz="8" w:space="0"/>
              <w:right w:val="single" w:color="auto" w:sz="8" w:space="0"/>
            </w:tcBorders>
            <w:noWrap w:val="0"/>
            <w:vAlign w:val="center"/>
          </w:tcPr>
          <w:p w14:paraId="2FFF0268">
            <w:pPr>
              <w:keepNext w:val="0"/>
              <w:keepLines w:val="0"/>
              <w:widowControl/>
              <w:suppressLineNumbers w:val="0"/>
              <w:spacing w:before="0" w:beforeAutospacing="0" w:after="0" w:afterAutospacing="0"/>
              <w:ind w:left="0" w:right="0"/>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4AFD52DA">
            <w:pPr>
              <w:keepNext w:val="0"/>
              <w:keepLines w:val="0"/>
              <w:widowControl/>
              <w:suppressLineNumbers w:val="0"/>
              <w:spacing w:before="0" w:beforeAutospacing="0" w:after="0" w:afterAutospacing="0"/>
              <w:ind w:left="0" w:right="-202" w:rightChars="-96"/>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6023" w:type="dxa"/>
            <w:vMerge w:val="restart"/>
            <w:tcBorders>
              <w:top w:val="single" w:color="auto" w:sz="8" w:space="0"/>
              <w:left w:val="single" w:color="auto" w:sz="8" w:space="0"/>
              <w:bottom w:val="single" w:color="000000" w:sz="8" w:space="0"/>
              <w:right w:val="single" w:color="auto" w:sz="8" w:space="0"/>
            </w:tcBorders>
            <w:noWrap w:val="0"/>
            <w:vAlign w:val="center"/>
          </w:tcPr>
          <w:p w14:paraId="6A7D627B">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主要特征</w:t>
            </w:r>
          </w:p>
        </w:tc>
        <w:tc>
          <w:tcPr>
            <w:tcW w:w="2061" w:type="dxa"/>
            <w:vMerge w:val="restart"/>
            <w:tcBorders>
              <w:top w:val="single" w:color="auto" w:sz="8" w:space="0"/>
              <w:left w:val="single" w:color="auto" w:sz="8" w:space="0"/>
              <w:bottom w:val="single" w:color="000000" w:sz="8" w:space="0"/>
              <w:right w:val="single" w:color="auto" w:sz="8" w:space="0"/>
            </w:tcBorders>
            <w:noWrap w:val="0"/>
            <w:vAlign w:val="center"/>
          </w:tcPr>
          <w:p w14:paraId="1E9ED717">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备注</w:t>
            </w:r>
          </w:p>
        </w:tc>
      </w:tr>
      <w:tr w14:paraId="368E4560">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noWrap w:val="0"/>
            <w:vAlign w:val="center"/>
          </w:tcPr>
          <w:p w14:paraId="0A5714E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noWrap w:val="0"/>
            <w:vAlign w:val="center"/>
          </w:tcPr>
          <w:p w14:paraId="6C1A2545">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noWrap w:val="0"/>
            <w:vAlign w:val="center"/>
          </w:tcPr>
          <w:p w14:paraId="602213C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noWrap w:val="0"/>
            <w:vAlign w:val="center"/>
          </w:tcPr>
          <w:p w14:paraId="36397D18">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noWrap w:val="0"/>
            <w:vAlign w:val="center"/>
          </w:tcPr>
          <w:p w14:paraId="7705EBD3">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14BA6DFC">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noWrap w:val="0"/>
            <w:vAlign w:val="center"/>
          </w:tcPr>
          <w:p w14:paraId="27FE3B75">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noWrap w:val="0"/>
            <w:vAlign w:val="center"/>
          </w:tcPr>
          <w:p w14:paraId="721B419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noWrap w:val="0"/>
            <w:vAlign w:val="center"/>
          </w:tcPr>
          <w:p w14:paraId="528CB736">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noWrap w:val="0"/>
            <w:vAlign w:val="center"/>
          </w:tcPr>
          <w:p w14:paraId="65D73C09">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noWrap w:val="0"/>
            <w:vAlign w:val="center"/>
          </w:tcPr>
          <w:p w14:paraId="176F39E5">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521317C9">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688A0DC5">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06C44D8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3570E0F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1E8B3C3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1200</w:t>
            </w:r>
          </w:p>
        </w:tc>
        <w:tc>
          <w:tcPr>
            <w:tcW w:w="6023" w:type="dxa"/>
            <w:tcBorders>
              <w:top w:val="nil"/>
              <w:left w:val="nil"/>
              <w:bottom w:val="single" w:color="auto" w:sz="8" w:space="0"/>
              <w:right w:val="single" w:color="auto" w:sz="8" w:space="0"/>
            </w:tcBorders>
            <w:noWrap w:val="0"/>
            <w:vAlign w:val="center"/>
          </w:tcPr>
          <w:p w14:paraId="1EC2AE4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外墙三面以上条砖贴面、砌清水砖或同档次外墙饰面；铝合金门窗、胶合板门。</w:t>
            </w:r>
          </w:p>
        </w:tc>
        <w:tc>
          <w:tcPr>
            <w:tcW w:w="2061" w:type="dxa"/>
            <w:vMerge w:val="restart"/>
            <w:tcBorders>
              <w:top w:val="nil"/>
              <w:left w:val="single" w:color="auto" w:sz="8" w:space="0"/>
              <w:right w:val="single" w:color="auto" w:sz="8" w:space="0"/>
            </w:tcBorders>
            <w:noWrap w:val="0"/>
            <w:vAlign w:val="center"/>
          </w:tcPr>
          <w:p w14:paraId="74B0D660">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1、屋顶为直接浇筑砼斜屋面的：有贴瓦的补价500元/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350元/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；屋顶为砼板面再加斜屋面的：有贴瓦的补价</w:t>
            </w:r>
            <w:r>
              <w:rPr>
                <w:rFonts w:hint="eastAsia" w:ascii="仿宋_GB2312" w:hAnsi="宋体" w:eastAsia="仿宋_GB2312" w:cs="宋体"/>
                <w:color w:val="auto"/>
                <w:kern w:val="0"/>
                <w:sz w:val="18"/>
                <w:szCs w:val="18"/>
                <w:highlight w:val="none"/>
                <w:u w:val="none"/>
              </w:rPr>
              <w:t>820元/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670元/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。以上补价面积为顶层外墙体外轮廓线投影面积</w:t>
            </w:r>
            <w:r>
              <w:rPr>
                <w:rFonts w:hint="eastAsia" w:ascii="仿宋_GB2312" w:hAnsi="宋体" w:eastAsia="仿宋_GB2312" w:cs="宋体"/>
                <w:color w:val="auto"/>
                <w:kern w:val="0"/>
                <w:sz w:val="18"/>
                <w:szCs w:val="18"/>
                <w:highlight w:val="none"/>
                <w:u w:val="none"/>
              </w:rPr>
              <w:t>。</w:t>
            </w:r>
          </w:p>
          <w:p w14:paraId="4CDB42A9">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2、被征收房屋层高超过4米（含4米）的，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重置价标准提高20%；被征收房屋层高超过6米（含6米）的，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重置价标准提高40%；被征收房屋层高超过8米(含8米)的，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重置价标准提高60%。</w:t>
            </w:r>
          </w:p>
          <w:p w14:paraId="279D5E94">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lang w:val="en-US" w:eastAsia="zh-CN"/>
              </w:rPr>
              <w:t>3、被征收房屋外墙局部</w:t>
            </w:r>
            <w:r>
              <w:rPr>
                <w:rFonts w:hint="eastAsia" w:ascii="仿宋_GB2312" w:hAnsi="宋体" w:eastAsia="仿宋_GB2312" w:cs="宋体"/>
                <w:color w:val="auto"/>
                <w:kern w:val="0"/>
                <w:sz w:val="18"/>
                <w:szCs w:val="18"/>
                <w:highlight w:val="none"/>
                <w:u w:val="none"/>
                <w:shd w:val="clear" w:fill="FFFFFF"/>
                <w:lang w:val="en-US" w:eastAsia="zh-CN"/>
              </w:rPr>
              <w:t>(</w:t>
            </w:r>
            <w:r>
              <w:rPr>
                <w:rFonts w:hint="eastAsia" w:ascii="仿宋_GB2312" w:hAnsi="宋体" w:eastAsia="仿宋_GB2312" w:cs="宋体"/>
                <w:color w:val="auto"/>
                <w:kern w:val="0"/>
                <w:sz w:val="18"/>
                <w:szCs w:val="18"/>
                <w:highlight w:val="none"/>
                <w:u w:val="none"/>
                <w:lang w:val="en-US" w:eastAsia="zh-CN"/>
              </w:rPr>
              <w:t>至少一层外墙面以上或所有外墙角加窗门套补价100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；外墙满挂普通石材的补价</w:t>
            </w:r>
            <w:r>
              <w:rPr>
                <w:rFonts w:hint="eastAsia" w:ascii="仿宋_GB2312" w:hAnsi="宋体" w:eastAsia="仿宋_GB2312" w:cs="宋体"/>
                <w:color w:val="auto"/>
                <w:kern w:val="0"/>
                <w:sz w:val="18"/>
                <w:szCs w:val="18"/>
                <w:highlight w:val="none"/>
                <w:u w:val="none"/>
                <w:lang w:val="en-US" w:eastAsia="zh-CN"/>
              </w:rPr>
              <w:t>200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w:t>
            </w:r>
            <w:r>
              <w:rPr>
                <w:rFonts w:hint="eastAsia" w:ascii="仿宋_GB2312" w:hAnsi="宋体" w:eastAsia="仿宋_GB2312" w:cs="宋体"/>
                <w:color w:val="auto"/>
                <w:kern w:val="0"/>
                <w:sz w:val="18"/>
                <w:szCs w:val="18"/>
                <w:highlight w:val="none"/>
                <w:u w:val="none"/>
                <w:shd w:val="clear" w:fill="FFFFFF"/>
                <w:lang w:eastAsia="zh-CN"/>
              </w:rPr>
              <w:t>挂高档</w:t>
            </w:r>
            <w:r>
              <w:rPr>
                <w:rFonts w:hint="eastAsia" w:ascii="仿宋_GB2312" w:hAnsi="宋体" w:eastAsia="仿宋_GB2312" w:cs="宋体"/>
                <w:color w:val="auto"/>
                <w:kern w:val="0"/>
                <w:sz w:val="18"/>
                <w:szCs w:val="18"/>
                <w:highlight w:val="none"/>
                <w:u w:val="none"/>
                <w:lang w:eastAsia="zh-CN"/>
              </w:rPr>
              <w:t>石材的补价</w:t>
            </w:r>
            <w:r>
              <w:rPr>
                <w:rFonts w:hint="eastAsia" w:ascii="仿宋_GB2312" w:hAnsi="宋体" w:eastAsia="仿宋_GB2312" w:cs="宋体"/>
                <w:color w:val="auto"/>
                <w:kern w:val="0"/>
                <w:sz w:val="18"/>
                <w:szCs w:val="18"/>
                <w:highlight w:val="none"/>
                <w:u w:val="none"/>
                <w:lang w:val="en-US" w:eastAsia="zh-CN"/>
              </w:rPr>
              <w:t>350</w:t>
            </w:r>
            <w:r>
              <w:rPr>
                <w:rFonts w:hint="eastAsia" w:ascii="仿宋_GB2312" w:hAnsi="宋体" w:eastAsia="仿宋_GB2312" w:cs="宋体"/>
                <w:color w:val="auto"/>
                <w:kern w:val="0"/>
                <w:sz w:val="18"/>
                <w:szCs w:val="18"/>
                <w:highlight w:val="none"/>
                <w:u w:val="none"/>
              </w:rPr>
              <w:t>元/㎡。　</w:t>
            </w:r>
          </w:p>
          <w:p w14:paraId="0E75D992">
            <w:pPr>
              <w:keepNext w:val="0"/>
              <w:keepLines w:val="0"/>
              <w:widowControl/>
              <w:suppressLineNumbers w:val="0"/>
              <w:spacing w:before="0" w:beforeAutospacing="0" w:after="0" w:afterAutospacing="0"/>
              <w:ind w:left="0" w:right="0"/>
              <w:rPr>
                <w:rFonts w:hint="eastAsia" w:ascii="仿宋_GB2312" w:hAnsi="宋体" w:eastAsia="仿宋_GB2312" w:cs="宋体"/>
                <w:b w:val="0"/>
                <w:bCs w:val="0"/>
                <w:color w:val="auto"/>
                <w:kern w:val="0"/>
                <w:sz w:val="18"/>
                <w:szCs w:val="18"/>
                <w:highlight w:val="none"/>
                <w:u w:val="none"/>
                <w:lang w:val="en-US" w:eastAsia="zh-CN"/>
              </w:rPr>
            </w:pPr>
            <w:r>
              <w:rPr>
                <w:rFonts w:hint="eastAsia" w:ascii="仿宋_GB2312" w:hAnsi="宋体" w:eastAsia="仿宋_GB2312" w:cs="宋体"/>
                <w:b w:val="0"/>
                <w:bCs w:val="0"/>
                <w:color w:val="auto"/>
                <w:kern w:val="0"/>
                <w:sz w:val="18"/>
                <w:szCs w:val="18"/>
                <w:highlight w:val="none"/>
                <w:u w:val="none"/>
                <w:shd w:val="clear" w:color="auto" w:fill="auto"/>
                <w:lang w:val="en-US" w:eastAsia="zh-CN"/>
              </w:rPr>
              <w:t>4、</w:t>
            </w:r>
            <w:r>
              <w:rPr>
                <w:rFonts w:hint="eastAsia" w:ascii="仿宋_GB2312" w:hAnsi="宋体" w:eastAsia="仿宋_GB2312" w:cs="宋体"/>
                <w:b w:val="0"/>
                <w:bCs w:val="0"/>
                <w:color w:val="auto"/>
                <w:kern w:val="0"/>
                <w:sz w:val="18"/>
                <w:szCs w:val="18"/>
                <w:highlight w:val="none"/>
                <w:u w:val="none"/>
                <w:lang w:val="en-US" w:eastAsia="zh-CN"/>
              </w:rPr>
              <w:t>框架结构房屋经现场沿三条边界挖掘不少于三处确认为孔桩基础的，按基底占地面积给予250元/㎡的补偿。</w:t>
            </w:r>
          </w:p>
          <w:p w14:paraId="5C870ABC">
            <w:pPr>
              <w:keepNext w:val="0"/>
              <w:keepLines w:val="0"/>
              <w:suppressLineNumbers w:val="0"/>
              <w:spacing w:before="0" w:beforeAutospacing="0" w:after="0" w:afterAutospacing="0"/>
              <w:ind w:left="0" w:right="0"/>
              <w:rPr>
                <w:rFonts w:hint="eastAsia" w:ascii="仿宋_GB2312" w:hAnsi="宋体" w:eastAsia="仿宋_GB2312" w:cs="宋体"/>
                <w:color w:val="auto"/>
                <w:kern w:val="0"/>
                <w:sz w:val="24"/>
                <w:highlight w:val="none"/>
                <w:u w:val="none"/>
                <w:lang w:val="en-US" w:eastAsia="zh-CN"/>
              </w:rPr>
            </w:pPr>
          </w:p>
          <w:p w14:paraId="3CD3C288">
            <w:pPr>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18"/>
                <w:szCs w:val="18"/>
                <w:highlight w:val="none"/>
                <w:u w:val="none"/>
              </w:rPr>
            </w:pPr>
          </w:p>
          <w:p w14:paraId="5D962D2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28B9649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4DE8D204">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24"/>
                <w:highlight w:val="none"/>
                <w:u w:val="none"/>
              </w:rPr>
              <w:t>　</w:t>
            </w:r>
          </w:p>
        </w:tc>
      </w:tr>
      <w:tr w14:paraId="66628C1D">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7CCB3D13">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5B76695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158FE57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1100</w:t>
            </w:r>
          </w:p>
        </w:tc>
        <w:tc>
          <w:tcPr>
            <w:tcW w:w="6023" w:type="dxa"/>
            <w:tcBorders>
              <w:top w:val="nil"/>
              <w:left w:val="nil"/>
              <w:bottom w:val="single" w:color="auto" w:sz="8" w:space="0"/>
              <w:right w:val="single" w:color="auto" w:sz="8" w:space="0"/>
            </w:tcBorders>
            <w:noWrap w:val="0"/>
            <w:vAlign w:val="center"/>
          </w:tcPr>
          <w:p w14:paraId="73FA49D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外墙部分条砖贴面、砌清水砖或同档次外墙饰面；铝合金门窗、胶合板门。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73382022">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4AE5209">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48B4AFF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C498F0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221ECB1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950</w:t>
            </w:r>
          </w:p>
        </w:tc>
        <w:tc>
          <w:tcPr>
            <w:tcW w:w="6023" w:type="dxa"/>
            <w:tcBorders>
              <w:top w:val="nil"/>
              <w:left w:val="nil"/>
              <w:bottom w:val="single" w:color="auto" w:sz="8" w:space="0"/>
              <w:right w:val="single" w:color="auto" w:sz="8" w:space="0"/>
            </w:tcBorders>
            <w:noWrap w:val="0"/>
            <w:vAlign w:val="center"/>
          </w:tcPr>
          <w:p w14:paraId="1A54BE6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noWrap w:val="0"/>
            <w:vAlign w:val="center"/>
          </w:tcPr>
          <w:p w14:paraId="298AE669">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FD04CF4">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1AE0489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75DB829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noWrap w:val="0"/>
            <w:vAlign w:val="center"/>
          </w:tcPr>
          <w:p w14:paraId="290F7CE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850</w:t>
            </w:r>
          </w:p>
        </w:tc>
        <w:tc>
          <w:tcPr>
            <w:tcW w:w="6023" w:type="dxa"/>
            <w:tcBorders>
              <w:top w:val="nil"/>
              <w:left w:val="nil"/>
              <w:bottom w:val="single" w:color="auto" w:sz="8" w:space="0"/>
              <w:right w:val="single" w:color="auto" w:sz="8" w:space="0"/>
            </w:tcBorders>
            <w:noWrap w:val="0"/>
            <w:vAlign w:val="center"/>
          </w:tcPr>
          <w:p w14:paraId="7D0421F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外墙无装修，无水泥砂浆抹面；胶合板门，铝合金窗，木窗。</w:t>
            </w:r>
          </w:p>
        </w:tc>
        <w:tc>
          <w:tcPr>
            <w:tcW w:w="2061" w:type="dxa"/>
            <w:vMerge w:val="continue"/>
            <w:tcBorders>
              <w:left w:val="single" w:color="auto" w:sz="8" w:space="0"/>
              <w:right w:val="single" w:color="auto" w:sz="8" w:space="0"/>
            </w:tcBorders>
            <w:noWrap w:val="0"/>
            <w:vAlign w:val="center"/>
          </w:tcPr>
          <w:p w14:paraId="1AFDA1CB">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9F5DF39">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79AB2E1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6E1ADBD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noWrap w:val="0"/>
            <w:vAlign w:val="center"/>
          </w:tcPr>
          <w:p w14:paraId="51C3273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noWrap w:val="0"/>
            <w:vAlign w:val="center"/>
          </w:tcPr>
          <w:p w14:paraId="38BF5B5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只完成主体工程并填充内外墙（无门窗）。</w:t>
            </w:r>
          </w:p>
        </w:tc>
        <w:tc>
          <w:tcPr>
            <w:tcW w:w="2061" w:type="dxa"/>
            <w:vMerge w:val="continue"/>
            <w:tcBorders>
              <w:left w:val="single" w:color="auto" w:sz="8" w:space="0"/>
              <w:right w:val="single" w:color="auto" w:sz="8" w:space="0"/>
            </w:tcBorders>
            <w:noWrap w:val="0"/>
            <w:vAlign w:val="center"/>
          </w:tcPr>
          <w:p w14:paraId="3DFE2BE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25AC927">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4BC992EE">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6F3BA94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1A06901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7F8D809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nil"/>
              <w:left w:val="nil"/>
              <w:bottom w:val="single" w:color="auto" w:sz="8" w:space="0"/>
              <w:right w:val="single" w:color="auto" w:sz="8" w:space="0"/>
            </w:tcBorders>
            <w:noWrap w:val="0"/>
            <w:vAlign w:val="center"/>
          </w:tcPr>
          <w:p w14:paraId="71F96BE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外墙三面以上条砖贴面或清水砖或同档次外墙饰面；铝合金门窗、胶合板门。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1CCA8C8B">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FAA5879">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2C12B23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75EDD07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68916602">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6023" w:type="dxa"/>
            <w:tcBorders>
              <w:top w:val="nil"/>
              <w:left w:val="nil"/>
              <w:bottom w:val="single" w:color="auto" w:sz="8" w:space="0"/>
              <w:right w:val="single" w:color="auto" w:sz="8" w:space="0"/>
            </w:tcBorders>
            <w:noWrap w:val="0"/>
            <w:vAlign w:val="center"/>
          </w:tcPr>
          <w:p w14:paraId="1D28E62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外墙部分条砖贴面或清水砖或同档次外墙饰面；铝合金门窗、胶合板门。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745621D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384A0B5">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35BC2C1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62DA436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2F362F3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6023" w:type="dxa"/>
            <w:tcBorders>
              <w:top w:val="nil"/>
              <w:left w:val="nil"/>
              <w:bottom w:val="single" w:color="auto" w:sz="8" w:space="0"/>
              <w:right w:val="single" w:color="auto" w:sz="8" w:space="0"/>
            </w:tcBorders>
            <w:noWrap w:val="0"/>
            <w:vAlign w:val="center"/>
          </w:tcPr>
          <w:p w14:paraId="7DB3B48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noWrap w:val="0"/>
            <w:vAlign w:val="center"/>
          </w:tcPr>
          <w:p w14:paraId="5E73C2AA">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845BE28">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5D14A33A">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6E1D984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noWrap w:val="0"/>
            <w:vAlign w:val="center"/>
          </w:tcPr>
          <w:p w14:paraId="713C009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noWrap w:val="0"/>
            <w:vAlign w:val="center"/>
          </w:tcPr>
          <w:p w14:paraId="7003D88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外墙无装修，无水泥砂浆抹面；胶合板门，铝合金窗（小部分木窗）。</w:t>
            </w:r>
          </w:p>
        </w:tc>
        <w:tc>
          <w:tcPr>
            <w:tcW w:w="2061" w:type="dxa"/>
            <w:vMerge w:val="continue"/>
            <w:tcBorders>
              <w:left w:val="single" w:color="auto" w:sz="8" w:space="0"/>
              <w:right w:val="single" w:color="auto" w:sz="8" w:space="0"/>
            </w:tcBorders>
            <w:noWrap w:val="0"/>
            <w:vAlign w:val="center"/>
          </w:tcPr>
          <w:p w14:paraId="51026B18">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7DAC47B">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3C8DC69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1BDA380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noWrap w:val="0"/>
            <w:vAlign w:val="center"/>
          </w:tcPr>
          <w:p w14:paraId="68A02DD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6023" w:type="dxa"/>
            <w:tcBorders>
              <w:top w:val="nil"/>
              <w:left w:val="nil"/>
              <w:bottom w:val="single" w:color="auto" w:sz="8" w:space="0"/>
              <w:right w:val="single" w:color="auto" w:sz="8" w:space="0"/>
            </w:tcBorders>
            <w:noWrap w:val="0"/>
            <w:vAlign w:val="center"/>
          </w:tcPr>
          <w:p w14:paraId="36CB2A24">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只完成主体工程（尚未安装门窗）。</w:t>
            </w:r>
          </w:p>
        </w:tc>
        <w:tc>
          <w:tcPr>
            <w:tcW w:w="2061" w:type="dxa"/>
            <w:vMerge w:val="continue"/>
            <w:tcBorders>
              <w:left w:val="single" w:color="auto" w:sz="8" w:space="0"/>
              <w:right w:val="single" w:color="auto" w:sz="8" w:space="0"/>
            </w:tcBorders>
            <w:noWrap w:val="0"/>
            <w:vAlign w:val="center"/>
          </w:tcPr>
          <w:p w14:paraId="1D6D3F7C">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6787845">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04884DBE">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69F0F69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118E93D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7D4B0A0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710</w:t>
            </w:r>
          </w:p>
        </w:tc>
        <w:tc>
          <w:tcPr>
            <w:tcW w:w="6023" w:type="dxa"/>
            <w:tcBorders>
              <w:top w:val="nil"/>
              <w:left w:val="nil"/>
              <w:bottom w:val="single" w:color="auto" w:sz="8" w:space="0"/>
              <w:right w:val="single" w:color="auto" w:sz="8" w:space="0"/>
            </w:tcBorders>
            <w:noWrap w:val="0"/>
            <w:vAlign w:val="center"/>
          </w:tcPr>
          <w:p w14:paraId="0E440F6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外墙为方整石厚24cm承重，钢筋砼地圈梁，毛条石基础，钢筋砼楼、屋盖，楼层三层或三层以上。</w:t>
            </w:r>
          </w:p>
        </w:tc>
        <w:tc>
          <w:tcPr>
            <w:tcW w:w="2061" w:type="dxa"/>
            <w:vMerge w:val="continue"/>
            <w:tcBorders>
              <w:left w:val="single" w:color="auto" w:sz="8" w:space="0"/>
              <w:right w:val="single" w:color="auto" w:sz="8" w:space="0"/>
            </w:tcBorders>
            <w:noWrap w:val="0"/>
            <w:vAlign w:val="center"/>
          </w:tcPr>
          <w:p w14:paraId="3562F9F6">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346055EC">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4EDD978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3E82A27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3985EFB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680</w:t>
            </w:r>
          </w:p>
        </w:tc>
        <w:tc>
          <w:tcPr>
            <w:tcW w:w="6023" w:type="dxa"/>
            <w:tcBorders>
              <w:top w:val="nil"/>
              <w:left w:val="nil"/>
              <w:bottom w:val="single" w:color="auto" w:sz="8" w:space="0"/>
              <w:right w:val="single" w:color="auto" w:sz="8" w:space="0"/>
            </w:tcBorders>
            <w:noWrap w:val="0"/>
            <w:vAlign w:val="center"/>
          </w:tcPr>
          <w:p w14:paraId="3C05B30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外墙为方整石厚24cm承重，毛条石基础，钢筋砼楼、屋盖，楼层二层或二层以上。</w:t>
            </w:r>
          </w:p>
        </w:tc>
        <w:tc>
          <w:tcPr>
            <w:tcW w:w="2061" w:type="dxa"/>
            <w:vMerge w:val="continue"/>
            <w:tcBorders>
              <w:left w:val="single" w:color="auto" w:sz="8" w:space="0"/>
              <w:right w:val="single" w:color="auto" w:sz="8" w:space="0"/>
            </w:tcBorders>
            <w:noWrap w:val="0"/>
            <w:vAlign w:val="center"/>
          </w:tcPr>
          <w:p w14:paraId="5D51815A">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81FA520">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58D6370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00D953A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4952252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c>
          <w:tcPr>
            <w:tcW w:w="6023" w:type="dxa"/>
            <w:tcBorders>
              <w:top w:val="nil"/>
              <w:left w:val="nil"/>
              <w:bottom w:val="single" w:color="auto" w:sz="8" w:space="0"/>
              <w:right w:val="single" w:color="auto" w:sz="8" w:space="0"/>
            </w:tcBorders>
            <w:noWrap w:val="0"/>
            <w:vAlign w:val="center"/>
          </w:tcPr>
          <w:p w14:paraId="26D4947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w:t>
            </w:r>
            <w:r>
              <w:rPr>
                <w:rFonts w:hint="eastAsia" w:ascii="仿宋_GB2312" w:hAnsi="宋体" w:eastAsia="仿宋_GB2312" w:cs="宋体"/>
                <w:color w:val="auto"/>
                <w:kern w:val="0"/>
                <w:sz w:val="24"/>
                <w:highlight w:val="none"/>
                <w:u w:val="none"/>
                <w:shd w:val="clear" w:fill="FFFFFF"/>
              </w:rPr>
              <w:t>乱毛</w:t>
            </w:r>
            <w:r>
              <w:rPr>
                <w:rFonts w:hint="eastAsia" w:ascii="仿宋_GB2312" w:hAnsi="宋体" w:eastAsia="仿宋_GB2312" w:cs="宋体"/>
                <w:color w:val="auto"/>
                <w:kern w:val="0"/>
                <w:sz w:val="24"/>
                <w:highlight w:val="none"/>
                <w:u w:val="none"/>
              </w:rPr>
              <w:t>石基础，钢筋砼楼、屋盖。</w:t>
            </w:r>
          </w:p>
        </w:tc>
        <w:tc>
          <w:tcPr>
            <w:tcW w:w="2061" w:type="dxa"/>
            <w:vMerge w:val="continue"/>
            <w:tcBorders>
              <w:left w:val="single" w:color="auto" w:sz="8" w:space="0"/>
              <w:right w:val="single" w:color="auto" w:sz="8" w:space="0"/>
            </w:tcBorders>
            <w:noWrap w:val="0"/>
            <w:vAlign w:val="center"/>
          </w:tcPr>
          <w:p w14:paraId="273024A5">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CA08E19">
        <w:tblPrEx>
          <w:tblCellMar>
            <w:top w:w="0" w:type="dxa"/>
            <w:left w:w="108" w:type="dxa"/>
            <w:bottom w:w="0" w:type="dxa"/>
            <w:right w:w="108" w:type="dxa"/>
          </w:tblCellMar>
        </w:tblPrEx>
        <w:trPr>
          <w:trHeight w:val="205"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382CB0C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石、石木结构</w:t>
            </w:r>
          </w:p>
        </w:tc>
        <w:tc>
          <w:tcPr>
            <w:tcW w:w="916" w:type="dxa"/>
            <w:tcBorders>
              <w:top w:val="nil"/>
              <w:left w:val="nil"/>
              <w:bottom w:val="single" w:color="auto" w:sz="8" w:space="0"/>
              <w:right w:val="single" w:color="auto" w:sz="8" w:space="0"/>
            </w:tcBorders>
            <w:noWrap w:val="0"/>
            <w:vAlign w:val="center"/>
          </w:tcPr>
          <w:p w14:paraId="078C8A1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52DDA5E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610</w:t>
            </w:r>
          </w:p>
        </w:tc>
        <w:tc>
          <w:tcPr>
            <w:tcW w:w="6023" w:type="dxa"/>
            <w:tcBorders>
              <w:top w:val="nil"/>
              <w:left w:val="nil"/>
              <w:bottom w:val="nil"/>
              <w:right w:val="single" w:color="auto" w:sz="8" w:space="0"/>
            </w:tcBorders>
            <w:noWrap w:val="0"/>
            <w:vAlign w:val="center"/>
          </w:tcPr>
          <w:p w14:paraId="0F720B4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外墙厚45cm承重，乱毛石基础，石、木瓦屋面，木基层。</w:t>
            </w:r>
          </w:p>
        </w:tc>
        <w:tc>
          <w:tcPr>
            <w:tcW w:w="2061" w:type="dxa"/>
            <w:vMerge w:val="continue"/>
            <w:tcBorders>
              <w:left w:val="single" w:color="auto" w:sz="8" w:space="0"/>
              <w:right w:val="single" w:color="auto" w:sz="8" w:space="0"/>
            </w:tcBorders>
            <w:noWrap w:val="0"/>
            <w:vAlign w:val="center"/>
          </w:tcPr>
          <w:p w14:paraId="743BBFB1">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C485FF1">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0DE7DFC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737AEDD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7E3CA96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580</w:t>
            </w:r>
          </w:p>
        </w:tc>
        <w:tc>
          <w:tcPr>
            <w:tcW w:w="6023" w:type="dxa"/>
            <w:tcBorders>
              <w:top w:val="single" w:color="auto" w:sz="8" w:space="0"/>
              <w:left w:val="nil"/>
              <w:bottom w:val="nil"/>
              <w:right w:val="single" w:color="auto" w:sz="8" w:space="0"/>
            </w:tcBorders>
            <w:noWrap w:val="0"/>
            <w:vAlign w:val="center"/>
          </w:tcPr>
          <w:p w14:paraId="40F827F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外墙方整石厚24cm承重，乱毛石基础，石、木瓦屋面，木基层。</w:t>
            </w:r>
          </w:p>
        </w:tc>
        <w:tc>
          <w:tcPr>
            <w:tcW w:w="2061" w:type="dxa"/>
            <w:vMerge w:val="continue"/>
            <w:tcBorders>
              <w:left w:val="single" w:color="auto" w:sz="8" w:space="0"/>
              <w:right w:val="single" w:color="auto" w:sz="8" w:space="0"/>
            </w:tcBorders>
            <w:noWrap w:val="0"/>
            <w:vAlign w:val="center"/>
          </w:tcPr>
          <w:p w14:paraId="5BDD9B5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40BAC48">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0F267AA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916" w:type="dxa"/>
            <w:tcBorders>
              <w:top w:val="nil"/>
              <w:left w:val="single" w:color="auto" w:sz="8" w:space="0"/>
              <w:bottom w:val="single" w:color="000000" w:sz="8" w:space="0"/>
              <w:right w:val="single" w:color="auto" w:sz="8" w:space="0"/>
            </w:tcBorders>
            <w:noWrap w:val="0"/>
            <w:vAlign w:val="center"/>
          </w:tcPr>
          <w:p w14:paraId="3C67A4F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single" w:color="auto" w:sz="8" w:space="0"/>
              <w:bottom w:val="single" w:color="000000" w:sz="8" w:space="0"/>
              <w:right w:val="single" w:color="auto" w:sz="8" w:space="0"/>
            </w:tcBorders>
            <w:noWrap w:val="0"/>
            <w:vAlign w:val="center"/>
          </w:tcPr>
          <w:p w14:paraId="4A0F929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single" w:color="auto" w:sz="8" w:space="0"/>
              <w:left w:val="single" w:color="auto" w:sz="8" w:space="0"/>
              <w:bottom w:val="single" w:color="000000" w:sz="8" w:space="0"/>
              <w:right w:val="single" w:color="auto" w:sz="8" w:space="0"/>
            </w:tcBorders>
            <w:noWrap w:val="0"/>
            <w:vAlign w:val="center"/>
          </w:tcPr>
          <w:p w14:paraId="2B765B0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旧式(五或七落柱)排架扇,木瓦屋面,木基层,条石架井柱基,板壁,部分抹灰假墙。</w:t>
            </w:r>
          </w:p>
        </w:tc>
        <w:tc>
          <w:tcPr>
            <w:tcW w:w="2061" w:type="dxa"/>
            <w:vMerge w:val="continue"/>
            <w:tcBorders>
              <w:left w:val="single" w:color="auto" w:sz="8" w:space="0"/>
              <w:right w:val="single" w:color="auto" w:sz="8" w:space="0"/>
            </w:tcBorders>
            <w:noWrap w:val="0"/>
            <w:vAlign w:val="center"/>
          </w:tcPr>
          <w:p w14:paraId="11934DF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82289A3">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7B53B81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51E689D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289B78D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noWrap w:val="0"/>
            <w:vAlign w:val="center"/>
          </w:tcPr>
          <w:p w14:paraId="69ACADC4">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两层旧式排架扇,八子落柱, 磉石柱基,木瓦屋面,木基层,板壁,部分抹灰假墙。 </w:t>
            </w:r>
          </w:p>
        </w:tc>
        <w:tc>
          <w:tcPr>
            <w:tcW w:w="2061" w:type="dxa"/>
            <w:vMerge w:val="continue"/>
            <w:tcBorders>
              <w:left w:val="single" w:color="auto" w:sz="8" w:space="0"/>
              <w:right w:val="single" w:color="auto" w:sz="8" w:space="0"/>
            </w:tcBorders>
            <w:noWrap w:val="0"/>
            <w:vAlign w:val="center"/>
          </w:tcPr>
          <w:p w14:paraId="21F42D2A">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070C6F7">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1D0FE4D1">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146AB0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5A99B99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noWrap w:val="0"/>
            <w:vAlign w:val="center"/>
          </w:tcPr>
          <w:p w14:paraId="774888A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旧式单披排架扇(或</w:t>
            </w:r>
            <w:r>
              <w:rPr>
                <w:rFonts w:hint="eastAsia" w:ascii="仿宋_GB2312" w:hAnsi="宋体" w:eastAsia="仿宋_GB2312" w:cs="宋体"/>
                <w:color w:val="auto"/>
                <w:kern w:val="0"/>
                <w:sz w:val="24"/>
                <w:highlight w:val="none"/>
                <w:u w:val="none"/>
                <w:shd w:val="clear" w:fill="FFFFFF"/>
              </w:rPr>
              <w:t>八子</w:t>
            </w:r>
            <w:r>
              <w:rPr>
                <w:rFonts w:hint="eastAsia" w:ascii="仿宋_GB2312" w:hAnsi="宋体" w:eastAsia="仿宋_GB2312" w:cs="宋体"/>
                <w:color w:val="auto"/>
                <w:kern w:val="0"/>
                <w:sz w:val="24"/>
                <w:highlight w:val="none"/>
                <w:u w:val="none"/>
              </w:rPr>
              <w:t xml:space="preserve">落柱), 磉石柱基,木瓦屋面,木基层,板壁,部分夯土墙围护。 </w:t>
            </w:r>
          </w:p>
        </w:tc>
        <w:tc>
          <w:tcPr>
            <w:tcW w:w="2061" w:type="dxa"/>
            <w:vMerge w:val="continue"/>
            <w:tcBorders>
              <w:left w:val="single" w:color="auto" w:sz="8" w:space="0"/>
              <w:right w:val="single" w:color="auto" w:sz="8" w:space="0"/>
            </w:tcBorders>
            <w:noWrap w:val="0"/>
            <w:vAlign w:val="center"/>
          </w:tcPr>
          <w:p w14:paraId="2092BD01">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878D93B">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293E7E0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砖木结构</w:t>
            </w:r>
          </w:p>
        </w:tc>
        <w:tc>
          <w:tcPr>
            <w:tcW w:w="916" w:type="dxa"/>
            <w:tcBorders>
              <w:top w:val="nil"/>
              <w:left w:val="nil"/>
              <w:bottom w:val="single" w:color="auto" w:sz="8" w:space="0"/>
              <w:right w:val="single" w:color="auto" w:sz="8" w:space="0"/>
            </w:tcBorders>
            <w:noWrap w:val="0"/>
            <w:vAlign w:val="center"/>
          </w:tcPr>
          <w:p w14:paraId="1B442C5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05161CA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noWrap w:val="0"/>
            <w:vAlign w:val="center"/>
          </w:tcPr>
          <w:p w14:paraId="6116325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 cm 墙承重,毛条石基础,普通人字形屋架,木瓦屋面,木基层,木楼盖。</w:t>
            </w:r>
          </w:p>
        </w:tc>
        <w:tc>
          <w:tcPr>
            <w:tcW w:w="2061" w:type="dxa"/>
            <w:vMerge w:val="continue"/>
            <w:tcBorders>
              <w:left w:val="single" w:color="auto" w:sz="8" w:space="0"/>
              <w:right w:val="single" w:color="auto" w:sz="8" w:space="0"/>
            </w:tcBorders>
            <w:noWrap w:val="0"/>
            <w:vAlign w:val="center"/>
          </w:tcPr>
          <w:p w14:paraId="74D34349">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C709EFA">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1DE69DC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1A80566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15EE209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noWrap w:val="0"/>
            <w:vAlign w:val="center"/>
          </w:tcPr>
          <w:p w14:paraId="5EC5383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山墙厚18 cm 或18 cm 以下,山墙搁檩,毛条石基础,木瓦屋面,木基层。 </w:t>
            </w:r>
          </w:p>
        </w:tc>
        <w:tc>
          <w:tcPr>
            <w:tcW w:w="2061" w:type="dxa"/>
            <w:vMerge w:val="continue"/>
            <w:tcBorders>
              <w:left w:val="single" w:color="auto" w:sz="8" w:space="0"/>
              <w:right w:val="single" w:color="auto" w:sz="8" w:space="0"/>
            </w:tcBorders>
            <w:noWrap w:val="0"/>
            <w:vAlign w:val="center"/>
          </w:tcPr>
          <w:p w14:paraId="7750FF0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0E96D60">
        <w:tblPrEx>
          <w:tblCellMar>
            <w:top w:w="0" w:type="dxa"/>
            <w:left w:w="108" w:type="dxa"/>
            <w:bottom w:w="0" w:type="dxa"/>
            <w:right w:w="108" w:type="dxa"/>
          </w:tblCellMar>
        </w:tblPrEx>
        <w:trPr>
          <w:trHeight w:val="263" w:hRule="atLeast"/>
        </w:trPr>
        <w:tc>
          <w:tcPr>
            <w:tcW w:w="1786" w:type="dxa"/>
            <w:gridSpan w:val="2"/>
            <w:tcBorders>
              <w:top w:val="single" w:color="auto" w:sz="8" w:space="0"/>
              <w:left w:val="single" w:color="auto" w:sz="8" w:space="0"/>
              <w:bottom w:val="single" w:color="auto" w:sz="8" w:space="0"/>
              <w:right w:val="single" w:color="000000" w:sz="8" w:space="0"/>
            </w:tcBorders>
            <w:noWrap w:val="0"/>
            <w:vAlign w:val="center"/>
          </w:tcPr>
          <w:p w14:paraId="540FF1D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900" w:type="dxa"/>
            <w:tcBorders>
              <w:top w:val="nil"/>
              <w:left w:val="nil"/>
              <w:bottom w:val="single" w:color="auto" w:sz="8" w:space="0"/>
              <w:right w:val="single" w:color="auto" w:sz="8" w:space="0"/>
            </w:tcBorders>
            <w:noWrap w:val="0"/>
            <w:vAlign w:val="center"/>
          </w:tcPr>
          <w:p w14:paraId="56F1B4E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c>
          <w:tcPr>
            <w:tcW w:w="6023" w:type="dxa"/>
            <w:tcBorders>
              <w:top w:val="nil"/>
              <w:left w:val="nil"/>
              <w:bottom w:val="single" w:color="auto" w:sz="8" w:space="0"/>
              <w:right w:val="single" w:color="auto" w:sz="8" w:space="0"/>
            </w:tcBorders>
            <w:noWrap w:val="0"/>
            <w:vAlign w:val="center"/>
          </w:tcPr>
          <w:p w14:paraId="73A1132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外墙面正面清水砖，梁柱用材较好，木隔断，门窗齐全。</w:t>
            </w:r>
          </w:p>
        </w:tc>
        <w:tc>
          <w:tcPr>
            <w:tcW w:w="2061" w:type="dxa"/>
            <w:vMerge w:val="continue"/>
            <w:tcBorders>
              <w:left w:val="single" w:color="auto" w:sz="8" w:space="0"/>
              <w:right w:val="single" w:color="auto" w:sz="8" w:space="0"/>
            </w:tcBorders>
            <w:noWrap w:val="0"/>
            <w:vAlign w:val="center"/>
          </w:tcPr>
          <w:p w14:paraId="51C0B100">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3BA7DFFC">
        <w:tblPrEx>
          <w:tblCellMar>
            <w:top w:w="0" w:type="dxa"/>
            <w:left w:w="108" w:type="dxa"/>
            <w:bottom w:w="0" w:type="dxa"/>
            <w:right w:w="108" w:type="dxa"/>
          </w:tblCellMar>
        </w:tblPrEx>
        <w:trPr>
          <w:trHeight w:val="476" w:hRule="atLeast"/>
        </w:trPr>
        <w:tc>
          <w:tcPr>
            <w:tcW w:w="1786" w:type="dxa"/>
            <w:gridSpan w:val="2"/>
            <w:tcBorders>
              <w:top w:val="single" w:color="auto" w:sz="8" w:space="0"/>
              <w:left w:val="single" w:color="auto" w:sz="8" w:space="0"/>
              <w:bottom w:val="single" w:color="auto" w:sz="8" w:space="0"/>
              <w:right w:val="single" w:color="000000" w:sz="8" w:space="0"/>
            </w:tcBorders>
            <w:noWrap w:val="0"/>
            <w:vAlign w:val="center"/>
          </w:tcPr>
          <w:p w14:paraId="48DD76F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简易结构</w:t>
            </w:r>
          </w:p>
        </w:tc>
        <w:tc>
          <w:tcPr>
            <w:tcW w:w="900" w:type="dxa"/>
            <w:tcBorders>
              <w:top w:val="nil"/>
              <w:left w:val="nil"/>
              <w:bottom w:val="single" w:color="auto" w:sz="8" w:space="0"/>
              <w:right w:val="single" w:color="auto" w:sz="8" w:space="0"/>
            </w:tcBorders>
            <w:noWrap w:val="0"/>
            <w:vAlign w:val="center"/>
          </w:tcPr>
          <w:p w14:paraId="73AE46F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6023" w:type="dxa"/>
            <w:tcBorders>
              <w:top w:val="nil"/>
              <w:left w:val="nil"/>
              <w:bottom w:val="single" w:color="auto" w:sz="8" w:space="0"/>
              <w:right w:val="single" w:color="auto" w:sz="8" w:space="0"/>
            </w:tcBorders>
            <w:noWrap w:val="0"/>
            <w:vAlign w:val="center"/>
          </w:tcPr>
          <w:p w14:paraId="1CCC771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简易八字落柱。山墙搁檩,构件不规格。瓦屋面，杂料基层。 </w:t>
            </w:r>
          </w:p>
        </w:tc>
        <w:tc>
          <w:tcPr>
            <w:tcW w:w="2061" w:type="dxa"/>
            <w:vMerge w:val="continue"/>
            <w:tcBorders>
              <w:left w:val="single" w:color="auto" w:sz="8" w:space="0"/>
              <w:bottom w:val="single" w:color="auto" w:sz="8" w:space="0"/>
              <w:right w:val="single" w:color="auto" w:sz="8" w:space="0"/>
            </w:tcBorders>
            <w:noWrap w:val="0"/>
            <w:vAlign w:val="center"/>
          </w:tcPr>
          <w:p w14:paraId="2FDA013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bl>
    <w:p w14:paraId="186183D9">
      <w:pPr>
        <w:rPr>
          <w:rFonts w:hint="eastAsia"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附表二 被征收房屋成新率评定标准</w:t>
      </w:r>
    </w:p>
    <w:tbl>
      <w:tblPr>
        <w:tblStyle w:val="5"/>
        <w:tblW w:w="0" w:type="auto"/>
        <w:tblInd w:w="93" w:type="dxa"/>
        <w:tblLayout w:type="fixed"/>
        <w:tblCellMar>
          <w:top w:w="0" w:type="dxa"/>
          <w:left w:w="108" w:type="dxa"/>
          <w:bottom w:w="0" w:type="dxa"/>
          <w:right w:w="108" w:type="dxa"/>
        </w:tblCellMar>
      </w:tblPr>
      <w:tblGrid>
        <w:gridCol w:w="932"/>
        <w:gridCol w:w="932"/>
        <w:gridCol w:w="7345"/>
      </w:tblGrid>
      <w:tr w14:paraId="5912C7D4">
        <w:tblPrEx>
          <w:tblCellMar>
            <w:top w:w="0" w:type="dxa"/>
            <w:left w:w="108" w:type="dxa"/>
            <w:bottom w:w="0" w:type="dxa"/>
            <w:right w:w="108" w:type="dxa"/>
          </w:tblCellMar>
        </w:tblPrEx>
        <w:trPr>
          <w:trHeight w:val="597" w:hRule="atLeast"/>
        </w:trPr>
        <w:tc>
          <w:tcPr>
            <w:tcW w:w="932" w:type="dxa"/>
            <w:tcBorders>
              <w:top w:val="single" w:color="auto" w:sz="8" w:space="0"/>
              <w:left w:val="single" w:color="auto" w:sz="8" w:space="0"/>
              <w:bottom w:val="single" w:color="auto" w:sz="8" w:space="0"/>
              <w:right w:val="single" w:color="auto" w:sz="8" w:space="0"/>
            </w:tcBorders>
            <w:noWrap w:val="0"/>
            <w:vAlign w:val="center"/>
          </w:tcPr>
          <w:p w14:paraId="773DD9DC">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32" w:type="dxa"/>
            <w:tcBorders>
              <w:top w:val="single" w:color="auto" w:sz="8" w:space="0"/>
              <w:left w:val="nil"/>
              <w:bottom w:val="single" w:color="auto" w:sz="8" w:space="0"/>
              <w:right w:val="single" w:color="auto" w:sz="8" w:space="0"/>
            </w:tcBorders>
            <w:noWrap w:val="0"/>
            <w:vAlign w:val="center"/>
          </w:tcPr>
          <w:p w14:paraId="0C56541C">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7345" w:type="dxa"/>
            <w:tcBorders>
              <w:top w:val="single" w:color="auto" w:sz="8" w:space="0"/>
              <w:left w:val="nil"/>
              <w:bottom w:val="single" w:color="auto" w:sz="8" w:space="0"/>
              <w:right w:val="single" w:color="auto" w:sz="8" w:space="0"/>
            </w:tcBorders>
            <w:noWrap w:val="0"/>
            <w:vAlign w:val="center"/>
          </w:tcPr>
          <w:p w14:paraId="211CBE13">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r>
      <w:tr w14:paraId="720AC04B">
        <w:tblPrEx>
          <w:tblCellMar>
            <w:top w:w="0" w:type="dxa"/>
            <w:left w:w="108" w:type="dxa"/>
            <w:bottom w:w="0" w:type="dxa"/>
            <w:right w:w="108" w:type="dxa"/>
          </w:tblCellMar>
        </w:tblPrEx>
        <w:trPr>
          <w:trHeight w:val="843" w:hRule="atLeast"/>
        </w:trPr>
        <w:tc>
          <w:tcPr>
            <w:tcW w:w="932" w:type="dxa"/>
            <w:tcBorders>
              <w:top w:val="nil"/>
              <w:left w:val="single" w:color="auto" w:sz="8" w:space="0"/>
              <w:bottom w:val="single" w:color="auto" w:sz="8" w:space="0"/>
              <w:right w:val="single" w:color="auto" w:sz="8" w:space="0"/>
            </w:tcBorders>
            <w:noWrap w:val="0"/>
            <w:vAlign w:val="center"/>
          </w:tcPr>
          <w:p w14:paraId="1CD2C66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32" w:type="dxa"/>
            <w:tcBorders>
              <w:top w:val="nil"/>
              <w:left w:val="nil"/>
              <w:bottom w:val="single" w:color="auto" w:sz="8" w:space="0"/>
              <w:right w:val="single" w:color="auto" w:sz="8" w:space="0"/>
            </w:tcBorders>
            <w:noWrap w:val="0"/>
            <w:vAlign w:val="center"/>
          </w:tcPr>
          <w:p w14:paraId="493FDD0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345" w:type="dxa"/>
            <w:tcBorders>
              <w:top w:val="nil"/>
              <w:left w:val="nil"/>
              <w:bottom w:val="single" w:color="auto" w:sz="8" w:space="0"/>
              <w:right w:val="single" w:color="auto" w:sz="8" w:space="0"/>
            </w:tcBorders>
            <w:noWrap w:val="0"/>
            <w:vAlign w:val="center"/>
          </w:tcPr>
          <w:p w14:paraId="67F569A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5</w:t>
            </w:r>
            <w:r>
              <w:rPr>
                <w:rFonts w:hint="eastAsia" w:ascii="仿宋_GB2312" w:hAnsi="宋体" w:eastAsia="仿宋_GB2312" w:cs="宋体"/>
                <w:color w:val="auto"/>
                <w:kern w:val="0"/>
                <w:sz w:val="24"/>
                <w:highlight w:val="none"/>
                <w:u w:val="none"/>
              </w:rPr>
              <w:t>年。</w:t>
            </w:r>
          </w:p>
        </w:tc>
      </w:tr>
      <w:tr w14:paraId="62A11365">
        <w:tblPrEx>
          <w:tblCellMar>
            <w:top w:w="0" w:type="dxa"/>
            <w:left w:w="108" w:type="dxa"/>
            <w:bottom w:w="0" w:type="dxa"/>
            <w:right w:w="108" w:type="dxa"/>
          </w:tblCellMar>
        </w:tblPrEx>
        <w:trPr>
          <w:trHeight w:val="766" w:hRule="atLeast"/>
        </w:trPr>
        <w:tc>
          <w:tcPr>
            <w:tcW w:w="932" w:type="dxa"/>
            <w:tcBorders>
              <w:top w:val="nil"/>
              <w:left w:val="single" w:color="auto" w:sz="8" w:space="0"/>
              <w:bottom w:val="single" w:color="auto" w:sz="8" w:space="0"/>
              <w:right w:val="single" w:color="auto" w:sz="8" w:space="0"/>
            </w:tcBorders>
            <w:noWrap w:val="0"/>
            <w:vAlign w:val="center"/>
          </w:tcPr>
          <w:p w14:paraId="0DC2672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32" w:type="dxa"/>
            <w:tcBorders>
              <w:top w:val="nil"/>
              <w:left w:val="nil"/>
              <w:bottom w:val="single" w:color="auto" w:sz="8" w:space="0"/>
              <w:right w:val="single" w:color="auto" w:sz="8" w:space="0"/>
            </w:tcBorders>
            <w:noWrap w:val="0"/>
            <w:vAlign w:val="center"/>
          </w:tcPr>
          <w:p w14:paraId="5AC690B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w:t>
            </w:r>
          </w:p>
        </w:tc>
        <w:tc>
          <w:tcPr>
            <w:tcW w:w="7345" w:type="dxa"/>
            <w:tcBorders>
              <w:top w:val="nil"/>
              <w:left w:val="nil"/>
              <w:bottom w:val="single" w:color="auto" w:sz="8" w:space="0"/>
              <w:right w:val="single" w:color="auto" w:sz="8" w:space="0"/>
            </w:tcBorders>
            <w:noWrap w:val="0"/>
            <w:vAlign w:val="center"/>
          </w:tcPr>
          <w:p w14:paraId="67EC19A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6</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10</w:t>
            </w:r>
            <w:r>
              <w:rPr>
                <w:rFonts w:hint="eastAsia" w:ascii="仿宋_GB2312" w:hAnsi="宋体" w:eastAsia="仿宋_GB2312" w:cs="宋体"/>
                <w:color w:val="auto"/>
                <w:kern w:val="0"/>
                <w:sz w:val="24"/>
                <w:highlight w:val="none"/>
                <w:u w:val="none"/>
              </w:rPr>
              <w:t>年。</w:t>
            </w:r>
          </w:p>
        </w:tc>
      </w:tr>
      <w:tr w14:paraId="66BB799A">
        <w:tblPrEx>
          <w:tblCellMar>
            <w:top w:w="0" w:type="dxa"/>
            <w:left w:w="108" w:type="dxa"/>
            <w:bottom w:w="0" w:type="dxa"/>
            <w:right w:w="108" w:type="dxa"/>
          </w:tblCellMar>
        </w:tblPrEx>
        <w:trPr>
          <w:trHeight w:val="760" w:hRule="atLeast"/>
        </w:trPr>
        <w:tc>
          <w:tcPr>
            <w:tcW w:w="932" w:type="dxa"/>
            <w:tcBorders>
              <w:top w:val="nil"/>
              <w:left w:val="single" w:color="auto" w:sz="8" w:space="0"/>
              <w:bottom w:val="single" w:color="auto" w:sz="8" w:space="0"/>
              <w:right w:val="single" w:color="auto" w:sz="8" w:space="0"/>
            </w:tcBorders>
            <w:noWrap w:val="0"/>
            <w:vAlign w:val="center"/>
          </w:tcPr>
          <w:p w14:paraId="6C4B175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32" w:type="dxa"/>
            <w:tcBorders>
              <w:top w:val="nil"/>
              <w:left w:val="nil"/>
              <w:bottom w:val="single" w:color="auto" w:sz="8" w:space="0"/>
              <w:right w:val="single" w:color="auto" w:sz="8" w:space="0"/>
            </w:tcBorders>
            <w:noWrap w:val="0"/>
            <w:vAlign w:val="center"/>
          </w:tcPr>
          <w:p w14:paraId="580B85F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7345" w:type="dxa"/>
            <w:tcBorders>
              <w:top w:val="nil"/>
              <w:left w:val="nil"/>
              <w:bottom w:val="single" w:color="auto" w:sz="8" w:space="0"/>
              <w:right w:val="single" w:color="auto" w:sz="8" w:space="0"/>
            </w:tcBorders>
            <w:noWrap w:val="0"/>
            <w:vAlign w:val="center"/>
          </w:tcPr>
          <w:p w14:paraId="73C1C1C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11</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20</w:t>
            </w:r>
            <w:r>
              <w:rPr>
                <w:rFonts w:hint="eastAsia" w:ascii="仿宋_GB2312" w:hAnsi="宋体" w:eastAsia="仿宋_GB2312" w:cs="宋体"/>
                <w:color w:val="auto"/>
                <w:kern w:val="0"/>
                <w:sz w:val="24"/>
                <w:highlight w:val="none"/>
                <w:u w:val="none"/>
              </w:rPr>
              <w:t>年。</w:t>
            </w:r>
          </w:p>
        </w:tc>
      </w:tr>
      <w:tr w14:paraId="4F62BA49">
        <w:tblPrEx>
          <w:tblCellMar>
            <w:top w:w="0" w:type="dxa"/>
            <w:left w:w="108" w:type="dxa"/>
            <w:bottom w:w="0" w:type="dxa"/>
            <w:right w:w="108" w:type="dxa"/>
          </w:tblCellMar>
        </w:tblPrEx>
        <w:trPr>
          <w:trHeight w:val="756" w:hRule="atLeast"/>
        </w:trPr>
        <w:tc>
          <w:tcPr>
            <w:tcW w:w="932" w:type="dxa"/>
            <w:tcBorders>
              <w:top w:val="nil"/>
              <w:left w:val="single" w:color="auto" w:sz="8" w:space="0"/>
              <w:bottom w:val="single" w:color="auto" w:sz="8" w:space="0"/>
              <w:right w:val="single" w:color="auto" w:sz="8" w:space="0"/>
            </w:tcBorders>
            <w:noWrap w:val="0"/>
            <w:vAlign w:val="center"/>
          </w:tcPr>
          <w:p w14:paraId="42A46E9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32" w:type="dxa"/>
            <w:tcBorders>
              <w:top w:val="nil"/>
              <w:left w:val="nil"/>
              <w:bottom w:val="single" w:color="auto" w:sz="8" w:space="0"/>
              <w:right w:val="single" w:color="auto" w:sz="8" w:space="0"/>
            </w:tcBorders>
            <w:noWrap w:val="0"/>
            <w:vAlign w:val="center"/>
          </w:tcPr>
          <w:p w14:paraId="43651E7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w:t>
            </w:r>
          </w:p>
        </w:tc>
        <w:tc>
          <w:tcPr>
            <w:tcW w:w="7345" w:type="dxa"/>
            <w:tcBorders>
              <w:top w:val="nil"/>
              <w:left w:val="nil"/>
              <w:bottom w:val="single" w:color="auto" w:sz="8" w:space="0"/>
              <w:right w:val="single" w:color="auto" w:sz="8" w:space="0"/>
            </w:tcBorders>
            <w:noWrap w:val="0"/>
            <w:vAlign w:val="center"/>
          </w:tcPr>
          <w:p w14:paraId="60A548E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21</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w:t>
            </w:r>
          </w:p>
        </w:tc>
      </w:tr>
      <w:tr w14:paraId="13CEDA0E">
        <w:tblPrEx>
          <w:tblCellMar>
            <w:top w:w="0" w:type="dxa"/>
            <w:left w:w="108" w:type="dxa"/>
            <w:bottom w:w="0" w:type="dxa"/>
            <w:right w:w="108" w:type="dxa"/>
          </w:tblCellMar>
        </w:tblPrEx>
        <w:trPr>
          <w:trHeight w:val="908" w:hRule="atLeast"/>
        </w:trPr>
        <w:tc>
          <w:tcPr>
            <w:tcW w:w="932" w:type="dxa"/>
            <w:tcBorders>
              <w:top w:val="nil"/>
              <w:left w:val="single" w:color="auto" w:sz="8" w:space="0"/>
              <w:bottom w:val="single" w:color="auto" w:sz="8" w:space="0"/>
              <w:right w:val="single" w:color="auto" w:sz="8" w:space="0"/>
            </w:tcBorders>
            <w:noWrap w:val="0"/>
            <w:vAlign w:val="center"/>
          </w:tcPr>
          <w:p w14:paraId="4E1AA3E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32" w:type="dxa"/>
            <w:tcBorders>
              <w:top w:val="nil"/>
              <w:left w:val="nil"/>
              <w:bottom w:val="single" w:color="auto" w:sz="8" w:space="0"/>
              <w:right w:val="single" w:color="auto" w:sz="8" w:space="0"/>
            </w:tcBorders>
            <w:noWrap w:val="0"/>
            <w:vAlign w:val="center"/>
          </w:tcPr>
          <w:p w14:paraId="2CC5317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7345" w:type="dxa"/>
            <w:tcBorders>
              <w:top w:val="nil"/>
              <w:left w:val="nil"/>
              <w:bottom w:val="single" w:color="auto" w:sz="8" w:space="0"/>
              <w:right w:val="single" w:color="auto" w:sz="8" w:space="0"/>
            </w:tcBorders>
            <w:noWrap w:val="0"/>
            <w:vAlign w:val="center"/>
          </w:tcPr>
          <w:p w14:paraId="3A90DB3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尚能正常使用，房屋使用年限</w:t>
            </w:r>
            <w:r>
              <w:rPr>
                <w:rFonts w:hint="default"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年以上。</w:t>
            </w:r>
          </w:p>
        </w:tc>
      </w:tr>
      <w:tr w14:paraId="29A18A46">
        <w:tblPrEx>
          <w:tblCellMar>
            <w:top w:w="0" w:type="dxa"/>
            <w:left w:w="108" w:type="dxa"/>
            <w:bottom w:w="0" w:type="dxa"/>
            <w:right w:w="108" w:type="dxa"/>
          </w:tblCellMar>
        </w:tblPrEx>
        <w:trPr>
          <w:trHeight w:val="2701" w:hRule="atLeast"/>
        </w:trPr>
        <w:tc>
          <w:tcPr>
            <w:tcW w:w="932" w:type="dxa"/>
            <w:tcBorders>
              <w:top w:val="nil"/>
              <w:left w:val="single" w:color="auto" w:sz="8" w:space="0"/>
              <w:bottom w:val="single" w:color="auto" w:sz="8" w:space="0"/>
              <w:right w:val="single" w:color="auto" w:sz="8" w:space="0"/>
            </w:tcBorders>
            <w:noWrap w:val="0"/>
            <w:vAlign w:val="center"/>
          </w:tcPr>
          <w:p w14:paraId="62CF08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六等</w:t>
            </w:r>
          </w:p>
        </w:tc>
        <w:tc>
          <w:tcPr>
            <w:tcW w:w="932" w:type="dxa"/>
            <w:tcBorders>
              <w:top w:val="nil"/>
              <w:left w:val="nil"/>
              <w:bottom w:val="single" w:color="auto" w:sz="8" w:space="0"/>
              <w:right w:val="single" w:color="auto" w:sz="8" w:space="0"/>
            </w:tcBorders>
            <w:noWrap w:val="0"/>
            <w:vAlign w:val="center"/>
          </w:tcPr>
          <w:p w14:paraId="53BA35E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7345" w:type="dxa"/>
            <w:tcBorders>
              <w:top w:val="nil"/>
              <w:left w:val="nil"/>
              <w:bottom w:val="single" w:color="auto" w:sz="8" w:space="0"/>
              <w:right w:val="single" w:color="auto" w:sz="8" w:space="0"/>
            </w:tcBorders>
            <w:noWrap w:val="0"/>
            <w:vAlign w:val="center"/>
          </w:tcPr>
          <w:p w14:paraId="29510AF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基本不能正常使用。房屋结构、部分构件有损坏或变形，屋面局部漏雨，外装修局部有破损，老化，设备、管道不够畅通，水、</w:t>
            </w:r>
            <w:r>
              <w:rPr>
                <w:rFonts w:hint="eastAsia" w:ascii="仿宋_GB2312" w:hAnsi="宋体" w:eastAsia="仿宋_GB2312" w:cs="宋体"/>
                <w:color w:val="auto"/>
                <w:kern w:val="0"/>
                <w:sz w:val="24"/>
                <w:highlight w:val="none"/>
                <w:u w:val="none"/>
                <w:shd w:val="clear" w:fill="FFFFFF"/>
              </w:rPr>
              <w:t>电照</w:t>
            </w:r>
            <w:r>
              <w:rPr>
                <w:rFonts w:hint="eastAsia" w:ascii="仿宋_GB2312" w:hAnsi="宋体" w:eastAsia="仿宋_GB2312" w:cs="宋体"/>
                <w:color w:val="auto"/>
                <w:kern w:val="0"/>
                <w:sz w:val="24"/>
                <w:highlight w:val="none"/>
                <w:u w:val="none"/>
              </w:rPr>
              <w:t>管线有部分老化、损坏残缺，需要中修或局部大修更换部分部件才能使用。</w:t>
            </w:r>
          </w:p>
        </w:tc>
      </w:tr>
      <w:tr w14:paraId="77160798">
        <w:tblPrEx>
          <w:tblCellMar>
            <w:top w:w="0" w:type="dxa"/>
            <w:left w:w="108" w:type="dxa"/>
            <w:bottom w:w="0" w:type="dxa"/>
            <w:right w:w="108" w:type="dxa"/>
          </w:tblCellMar>
        </w:tblPrEx>
        <w:trPr>
          <w:trHeight w:val="2726" w:hRule="atLeast"/>
        </w:trPr>
        <w:tc>
          <w:tcPr>
            <w:tcW w:w="932" w:type="dxa"/>
            <w:tcBorders>
              <w:top w:val="nil"/>
              <w:left w:val="single" w:color="auto" w:sz="8" w:space="0"/>
              <w:bottom w:val="single" w:color="auto" w:sz="8" w:space="0"/>
              <w:right w:val="single" w:color="auto" w:sz="8" w:space="0"/>
            </w:tcBorders>
            <w:noWrap w:val="0"/>
            <w:vAlign w:val="center"/>
          </w:tcPr>
          <w:p w14:paraId="481541F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七等</w:t>
            </w:r>
          </w:p>
        </w:tc>
        <w:tc>
          <w:tcPr>
            <w:tcW w:w="932" w:type="dxa"/>
            <w:tcBorders>
              <w:top w:val="nil"/>
              <w:left w:val="nil"/>
              <w:bottom w:val="single" w:color="auto" w:sz="8" w:space="0"/>
              <w:right w:val="single" w:color="auto" w:sz="8" w:space="0"/>
            </w:tcBorders>
            <w:noWrap w:val="0"/>
            <w:vAlign w:val="center"/>
          </w:tcPr>
          <w:p w14:paraId="6EA6D7D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w:t>
            </w:r>
          </w:p>
        </w:tc>
        <w:tc>
          <w:tcPr>
            <w:tcW w:w="7345" w:type="dxa"/>
            <w:tcBorders>
              <w:top w:val="nil"/>
              <w:left w:val="nil"/>
              <w:bottom w:val="single" w:color="auto" w:sz="8" w:space="0"/>
              <w:right w:val="single" w:color="auto" w:sz="8" w:space="0"/>
            </w:tcBorders>
            <w:noWrap w:val="0"/>
            <w:vAlign w:val="center"/>
          </w:tcPr>
          <w:p w14:paraId="61D8AC2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不能正常使用，房屋年久失修，结构有明显变形或损坏，屋面严重漏雨</w:t>
            </w:r>
            <w:r>
              <w:rPr>
                <w:rFonts w:hint="default" w:eastAsia="仿宋_GB2312"/>
                <w:color w:val="auto"/>
                <w:kern w:val="0"/>
                <w:sz w:val="24"/>
                <w:highlight w:val="none"/>
                <w:u w:val="none"/>
              </w:rPr>
              <w:t xml:space="preserve"> </w:t>
            </w:r>
            <w:r>
              <w:rPr>
                <w:rFonts w:hint="eastAsia" w:ascii="仿宋_GB2312" w:hAnsi="宋体" w:eastAsia="仿宋_GB2312" w:cs="宋体"/>
                <w:color w:val="auto"/>
                <w:kern w:val="0"/>
                <w:sz w:val="24"/>
                <w:highlight w:val="none"/>
                <w:u w:val="none"/>
              </w:rPr>
              <w:t>，外装修严重变形、破损，老化见底，设备陈旧不齐全，管道严重堵塞，水卫、电照管线，需进行大修或翻修、改建。（严重损坏房）</w:t>
            </w:r>
          </w:p>
        </w:tc>
      </w:tr>
      <w:tr w14:paraId="3DBE51B6">
        <w:tblPrEx>
          <w:tblCellMar>
            <w:top w:w="0" w:type="dxa"/>
            <w:left w:w="108" w:type="dxa"/>
            <w:bottom w:w="0" w:type="dxa"/>
            <w:right w:w="108" w:type="dxa"/>
          </w:tblCellMar>
        </w:tblPrEx>
        <w:trPr>
          <w:trHeight w:val="2125" w:hRule="atLeast"/>
        </w:trPr>
        <w:tc>
          <w:tcPr>
            <w:tcW w:w="932" w:type="dxa"/>
            <w:tcBorders>
              <w:top w:val="nil"/>
              <w:left w:val="single" w:color="auto" w:sz="8" w:space="0"/>
              <w:bottom w:val="single" w:color="auto" w:sz="8" w:space="0"/>
              <w:right w:val="single" w:color="auto" w:sz="8" w:space="0"/>
            </w:tcBorders>
            <w:noWrap w:val="0"/>
            <w:vAlign w:val="center"/>
          </w:tcPr>
          <w:p w14:paraId="46D9ED6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八等</w:t>
            </w:r>
          </w:p>
        </w:tc>
        <w:tc>
          <w:tcPr>
            <w:tcW w:w="932" w:type="dxa"/>
            <w:tcBorders>
              <w:top w:val="nil"/>
              <w:left w:val="nil"/>
              <w:bottom w:val="single" w:color="auto" w:sz="8" w:space="0"/>
              <w:right w:val="single" w:color="auto" w:sz="8" w:space="0"/>
            </w:tcBorders>
            <w:noWrap w:val="0"/>
            <w:vAlign w:val="center"/>
          </w:tcPr>
          <w:p w14:paraId="52AD87D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7345" w:type="dxa"/>
            <w:tcBorders>
              <w:top w:val="nil"/>
              <w:left w:val="nil"/>
              <w:bottom w:val="single" w:color="auto" w:sz="8" w:space="0"/>
              <w:right w:val="single" w:color="auto" w:sz="8" w:space="0"/>
            </w:tcBorders>
            <w:noWrap w:val="0"/>
            <w:vAlign w:val="center"/>
          </w:tcPr>
          <w:p w14:paraId="4225EEB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承重构件已属危险构件，结构丧失稳定及承载能力，随时有倒塌可能，不能确保</w:t>
            </w:r>
            <w:r>
              <w:rPr>
                <w:rFonts w:hint="eastAsia" w:ascii="仿宋_GB2312" w:hAnsi="宋体" w:eastAsia="仿宋_GB2312" w:cs="宋体"/>
                <w:color w:val="auto"/>
                <w:kern w:val="0"/>
                <w:sz w:val="24"/>
                <w:highlight w:val="none"/>
                <w:u w:val="none"/>
                <w:shd w:val="clear" w:fill="FFFFFF"/>
              </w:rPr>
              <w:t>住用</w:t>
            </w:r>
            <w:r>
              <w:rPr>
                <w:rFonts w:hint="eastAsia" w:ascii="仿宋_GB2312" w:hAnsi="宋体" w:eastAsia="仿宋_GB2312" w:cs="宋体"/>
                <w:color w:val="auto"/>
                <w:kern w:val="0"/>
                <w:sz w:val="24"/>
                <w:highlight w:val="none"/>
                <w:u w:val="none"/>
              </w:rPr>
              <w:t>安全。（危险房）</w:t>
            </w:r>
          </w:p>
        </w:tc>
      </w:tr>
    </w:tbl>
    <w:p w14:paraId="658E086D">
      <w:pPr>
        <w:pStyle w:val="2"/>
        <w:shd w:val="clear" w:color="auto" w:fill="auto"/>
        <w:spacing w:after="0" w:line="600" w:lineRule="exact"/>
        <w:rPr>
          <w:rFonts w:hint="eastAsia" w:ascii="仿宋_GB2312" w:eastAsia="仿宋_GB2312"/>
          <w:b/>
          <w:color w:val="auto"/>
          <w:sz w:val="32"/>
          <w:szCs w:val="32"/>
          <w:highlight w:val="none"/>
          <w:u w:val="none"/>
        </w:rPr>
      </w:pPr>
    </w:p>
    <w:p w14:paraId="0808DB16">
      <w:pPr>
        <w:pStyle w:val="2"/>
        <w:shd w:val="clear" w:color="auto" w:fill="auto"/>
        <w:spacing w:after="0" w:line="600" w:lineRule="exact"/>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三</w:t>
      </w:r>
      <w:r>
        <w:rPr>
          <w:rFonts w:hint="eastAsia" w:ascii="仿宋_GB2312" w:eastAsia="仿宋_GB2312"/>
          <w:b/>
          <w:color w:val="auto"/>
          <w:sz w:val="32"/>
          <w:szCs w:val="32"/>
          <w:highlight w:val="none"/>
          <w:u w:val="none"/>
        </w:rPr>
        <w:t xml:space="preserve"> </w:t>
      </w:r>
      <w:r>
        <w:rPr>
          <w:rFonts w:hint="eastAsia" w:ascii="仿宋_GB2312" w:eastAsia="仿宋_GB2312"/>
          <w:b/>
          <w:color w:val="auto"/>
          <w:sz w:val="32"/>
          <w:szCs w:val="32"/>
          <w:highlight w:val="none"/>
          <w:u w:val="none"/>
          <w:lang w:eastAsia="zh-CN"/>
        </w:rPr>
        <w:t>房屋二次</w:t>
      </w:r>
      <w:r>
        <w:rPr>
          <w:rFonts w:hint="eastAsia" w:ascii="仿宋_GB2312" w:eastAsia="仿宋_GB2312"/>
          <w:b/>
          <w:color w:val="auto"/>
          <w:sz w:val="32"/>
          <w:szCs w:val="32"/>
          <w:highlight w:val="none"/>
          <w:u w:val="none"/>
          <w:lang w:val="zh-CN"/>
        </w:rPr>
        <w:t>装修</w:t>
      </w:r>
      <w:r>
        <w:rPr>
          <w:rFonts w:hint="eastAsia" w:ascii="仿宋_GB2312" w:eastAsia="仿宋_GB2312"/>
          <w:b/>
          <w:color w:val="auto"/>
          <w:sz w:val="32"/>
          <w:szCs w:val="32"/>
          <w:highlight w:val="none"/>
          <w:u w:val="none"/>
          <w:lang w:val="zh-CN" w:eastAsia="zh-CN"/>
        </w:rPr>
        <w:t>重置价</w:t>
      </w:r>
      <w:r>
        <w:rPr>
          <w:rFonts w:hint="eastAsia" w:ascii="仿宋_GB2312" w:eastAsia="仿宋_GB2312"/>
          <w:b/>
          <w:color w:val="auto"/>
          <w:sz w:val="32"/>
          <w:szCs w:val="32"/>
          <w:highlight w:val="none"/>
          <w:u w:val="none"/>
          <w:lang w:val="zh-CN"/>
        </w:rPr>
        <w:t>标准</w:t>
      </w:r>
    </w:p>
    <w:tbl>
      <w:tblPr>
        <w:tblStyle w:val="5"/>
        <w:tblW w:w="0" w:type="auto"/>
        <w:tblInd w:w="93" w:type="dxa"/>
        <w:tblLayout w:type="fixed"/>
        <w:tblCellMar>
          <w:top w:w="0" w:type="dxa"/>
          <w:left w:w="108" w:type="dxa"/>
          <w:bottom w:w="0" w:type="dxa"/>
          <w:right w:w="108" w:type="dxa"/>
        </w:tblCellMar>
      </w:tblPr>
      <w:tblGrid>
        <w:gridCol w:w="564"/>
        <w:gridCol w:w="985"/>
        <w:gridCol w:w="7652"/>
      </w:tblGrid>
      <w:tr w14:paraId="7891F81F">
        <w:trPr>
          <w:trHeight w:val="624" w:hRule="atLeast"/>
        </w:trPr>
        <w:tc>
          <w:tcPr>
            <w:tcW w:w="564" w:type="dxa"/>
            <w:vMerge w:val="restart"/>
            <w:tcBorders>
              <w:top w:val="single" w:color="auto" w:sz="8" w:space="0"/>
              <w:left w:val="single" w:color="auto" w:sz="8" w:space="0"/>
              <w:bottom w:val="single" w:color="000000" w:sz="8" w:space="0"/>
              <w:right w:val="single" w:color="auto" w:sz="8" w:space="0"/>
            </w:tcBorders>
            <w:noWrap w:val="0"/>
            <w:vAlign w:val="center"/>
          </w:tcPr>
          <w:p w14:paraId="0DAB9456">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档次</w:t>
            </w:r>
          </w:p>
        </w:tc>
        <w:tc>
          <w:tcPr>
            <w:tcW w:w="985" w:type="dxa"/>
            <w:vMerge w:val="restart"/>
            <w:tcBorders>
              <w:top w:val="single" w:color="auto" w:sz="8" w:space="0"/>
              <w:left w:val="single" w:color="auto" w:sz="8" w:space="0"/>
              <w:bottom w:val="single" w:color="000000" w:sz="8" w:space="0"/>
              <w:right w:val="single" w:color="auto" w:sz="8" w:space="0"/>
            </w:tcBorders>
            <w:noWrap w:val="0"/>
            <w:vAlign w:val="center"/>
          </w:tcPr>
          <w:p w14:paraId="521E0E90">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3076586E">
            <w:pPr>
              <w:keepNext w:val="0"/>
              <w:keepLines w:val="0"/>
              <w:widowControl/>
              <w:suppressLineNumbers w:val="0"/>
              <w:spacing w:before="0" w:beforeAutospacing="0" w:after="0" w:afterAutospacing="0"/>
              <w:ind w:left="0" w:right="0" w:firstLine="103" w:firstLineChars="49"/>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7652" w:type="dxa"/>
            <w:vMerge w:val="restart"/>
            <w:tcBorders>
              <w:top w:val="single" w:color="auto" w:sz="8" w:space="0"/>
              <w:left w:val="single" w:color="auto" w:sz="8" w:space="0"/>
              <w:bottom w:val="single" w:color="000000" w:sz="8" w:space="0"/>
              <w:right w:val="single" w:color="000000" w:sz="8" w:space="0"/>
            </w:tcBorders>
            <w:noWrap w:val="0"/>
            <w:vAlign w:val="center"/>
          </w:tcPr>
          <w:p w14:paraId="6E5BD5CE">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  要  特  征</w:t>
            </w:r>
          </w:p>
        </w:tc>
      </w:tr>
      <w:tr w14:paraId="76970C0C">
        <w:tblPrEx>
          <w:tblCellMar>
            <w:top w:w="0" w:type="dxa"/>
            <w:left w:w="108" w:type="dxa"/>
            <w:bottom w:w="0" w:type="dxa"/>
            <w:right w:w="108" w:type="dxa"/>
          </w:tblCellMar>
        </w:tblPrEx>
        <w:trPr>
          <w:trHeight w:val="349" w:hRule="atLeast"/>
        </w:trPr>
        <w:tc>
          <w:tcPr>
            <w:tcW w:w="564" w:type="dxa"/>
            <w:vMerge w:val="continue"/>
            <w:tcBorders>
              <w:top w:val="single" w:color="auto" w:sz="8" w:space="0"/>
              <w:left w:val="single" w:color="auto" w:sz="8" w:space="0"/>
              <w:bottom w:val="single" w:color="000000" w:sz="8" w:space="0"/>
              <w:right w:val="single" w:color="auto" w:sz="8" w:space="0"/>
            </w:tcBorders>
            <w:noWrap w:val="0"/>
            <w:vAlign w:val="center"/>
          </w:tcPr>
          <w:p w14:paraId="705E94FF">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85" w:type="dxa"/>
            <w:vMerge w:val="continue"/>
            <w:tcBorders>
              <w:top w:val="single" w:color="auto" w:sz="8" w:space="0"/>
              <w:left w:val="single" w:color="auto" w:sz="8" w:space="0"/>
              <w:bottom w:val="single" w:color="000000" w:sz="8" w:space="0"/>
              <w:right w:val="single" w:color="auto" w:sz="8" w:space="0"/>
            </w:tcBorders>
            <w:noWrap w:val="0"/>
            <w:vAlign w:val="center"/>
          </w:tcPr>
          <w:p w14:paraId="553DB09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7652" w:type="dxa"/>
            <w:vMerge w:val="continue"/>
            <w:tcBorders>
              <w:top w:val="single" w:color="auto" w:sz="8" w:space="0"/>
              <w:left w:val="single" w:color="auto" w:sz="8" w:space="0"/>
              <w:bottom w:val="single" w:color="000000" w:sz="8" w:space="0"/>
              <w:right w:val="single" w:color="000000" w:sz="8" w:space="0"/>
            </w:tcBorders>
            <w:noWrap w:val="0"/>
            <w:vAlign w:val="center"/>
          </w:tcPr>
          <w:p w14:paraId="505094E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425D63DE">
        <w:tblPrEx>
          <w:tblCellMar>
            <w:top w:w="0" w:type="dxa"/>
            <w:left w:w="108" w:type="dxa"/>
            <w:bottom w:w="0" w:type="dxa"/>
            <w:right w:w="108" w:type="dxa"/>
          </w:tblCellMar>
        </w:tblPrEx>
        <w:trPr>
          <w:trHeight w:val="3315" w:hRule="atLeast"/>
        </w:trPr>
        <w:tc>
          <w:tcPr>
            <w:tcW w:w="564" w:type="dxa"/>
            <w:tcBorders>
              <w:top w:val="nil"/>
              <w:left w:val="single" w:color="auto" w:sz="8" w:space="0"/>
              <w:bottom w:val="single" w:color="auto" w:sz="8" w:space="0"/>
              <w:right w:val="single" w:color="auto" w:sz="8" w:space="0"/>
            </w:tcBorders>
            <w:noWrap w:val="0"/>
            <w:vAlign w:val="center"/>
          </w:tcPr>
          <w:p w14:paraId="18753B50">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一档</w:t>
            </w:r>
          </w:p>
        </w:tc>
        <w:tc>
          <w:tcPr>
            <w:tcW w:w="985" w:type="dxa"/>
            <w:tcBorders>
              <w:top w:val="nil"/>
              <w:left w:val="nil"/>
              <w:bottom w:val="single" w:color="auto" w:sz="8" w:space="0"/>
              <w:right w:val="nil"/>
            </w:tcBorders>
            <w:noWrap w:val="0"/>
            <w:vAlign w:val="center"/>
          </w:tcPr>
          <w:p w14:paraId="2B5ACBBD">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7652" w:type="dxa"/>
            <w:tcBorders>
              <w:top w:val="nil"/>
              <w:left w:val="single" w:color="auto" w:sz="8" w:space="0"/>
              <w:bottom w:val="single" w:color="auto" w:sz="8" w:space="0"/>
              <w:right w:val="single" w:color="000000" w:sz="8" w:space="0"/>
            </w:tcBorders>
            <w:noWrap w:val="0"/>
            <w:vAlign w:val="center"/>
          </w:tcPr>
          <w:p w14:paraId="56626C8C">
            <w:pPr>
              <w:keepNext w:val="0"/>
              <w:keepLines w:val="0"/>
              <w:widowControl/>
              <w:suppressLineNumbers w:val="0"/>
              <w:spacing w:before="0" w:beforeAutospacing="0" w:after="0" w:afterAutospacing="0" w:line="300" w:lineRule="exact"/>
              <w:ind w:left="0" w:right="0"/>
              <w:rPr>
                <w:rFonts w:hint="eastAsia" w:ascii="仿宋_GB2312" w:hAnsi="宋体" w:eastAsia="宋体"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rPr>
              <w:t>地面为豪华高级花岗岩、高级缸砖、瓷砖踢脚线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或立邦涂料粉刷、高级乳胶漆、高级墙纸、高级质感涂料及墙衣，榉木墙面；天棚为木作造型吊顶及四周角线、带灯座（豪华）；室内设有组合式壁柜及高级组合式床柜（不可动）；高级实心木门（入户门为防盗门）；铝合金窗及纱窗，木质窗帘盒，不锈钢防盗门（内含钢条），部分双层防盗网；阳台有防盗网；厨房高级缸砖（或高级防滑瓷砖）铺地，瓷砖墙面，吊顶，木质或铝合金推拉门；卫生间高级缸砖贴内墙面，吊顶，卫生洁具（带有不可移动卫浴）；电话、电视、对讲等预埋管、线、盒、出线座等弱</w:t>
            </w:r>
            <w:r>
              <w:rPr>
                <w:rFonts w:hint="eastAsia" w:ascii="仿宋_GB2312" w:hAnsi="宋体" w:eastAsia="仿宋_GB2312" w:cs="宋体"/>
                <w:b w:val="0"/>
                <w:bCs w:val="0"/>
                <w:color w:val="auto"/>
                <w:kern w:val="0"/>
                <w:sz w:val="24"/>
                <w:highlight w:val="none"/>
                <w:u w:val="none"/>
              </w:rPr>
              <w:t>电；楼梯高级实木扶手或不锈钢扶手，高级花岗岩或高级缸砖踏步。</w:t>
            </w:r>
            <w:r>
              <w:rPr>
                <w:rFonts w:hint="eastAsia" w:ascii="仿宋_GB2312" w:hAnsi="宋体" w:eastAsia="仿宋_GB2312" w:cs="宋体"/>
                <w:b w:val="0"/>
                <w:bCs w:val="0"/>
                <w:color w:val="auto"/>
                <w:kern w:val="0"/>
                <w:sz w:val="24"/>
                <w:highlight w:val="none"/>
                <w:u w:val="none"/>
                <w:lang w:eastAsia="zh-CN"/>
              </w:rPr>
              <w:t>同时具备以下装修情形的可补价</w:t>
            </w:r>
            <w:r>
              <w:rPr>
                <w:rFonts w:hint="eastAsia" w:ascii="仿宋_GB2312" w:hAnsi="宋体" w:eastAsia="仿宋_GB2312" w:cs="宋体"/>
                <w:b w:val="0"/>
                <w:bCs w:val="0"/>
                <w:color w:val="auto"/>
                <w:kern w:val="0"/>
                <w:sz w:val="24"/>
                <w:highlight w:val="none"/>
                <w:u w:val="none"/>
                <w:lang w:val="en-US" w:eastAsia="zh-CN"/>
              </w:rPr>
              <w:t>200元/㎡：</w:t>
            </w:r>
            <w:r>
              <w:rPr>
                <w:rFonts w:hint="eastAsia" w:ascii="仿宋_GB2312" w:hAnsi="宋体" w:eastAsia="仿宋_GB2312" w:cs="宋体"/>
                <w:b w:val="0"/>
                <w:bCs w:val="0"/>
                <w:color w:val="auto"/>
                <w:kern w:val="0"/>
                <w:sz w:val="24"/>
                <w:highlight w:val="none"/>
                <w:u w:val="none"/>
                <w:lang w:eastAsia="zh-CN"/>
              </w:rPr>
              <w:t>厨房设置集成橱柜、电视背景墙挂石或镶木、楼梯踏步铺设实木地板、卫生间设置名牌浴缸，按实际装修</w:t>
            </w:r>
            <w:r>
              <w:rPr>
                <w:rFonts w:hint="eastAsia" w:ascii="仿宋_GB2312" w:hAnsi="宋体" w:eastAsia="仿宋_GB2312" w:cs="宋体"/>
                <w:color w:val="auto"/>
                <w:kern w:val="0"/>
                <w:sz w:val="24"/>
                <w:highlight w:val="none"/>
                <w:u w:val="none"/>
                <w:lang w:eastAsia="zh-CN"/>
              </w:rPr>
              <w:t>对应的层</w:t>
            </w:r>
            <w:r>
              <w:rPr>
                <w:rFonts w:hint="eastAsia" w:ascii="仿宋_GB2312" w:hAnsi="宋体" w:eastAsia="仿宋_GB2312" w:cs="宋体"/>
                <w:color w:val="auto"/>
                <w:kern w:val="0"/>
                <w:sz w:val="24"/>
                <w:highlight w:val="none"/>
                <w:u w:val="none"/>
                <w:shd w:val="clear" w:fill="FFFFFF"/>
                <w:lang w:eastAsia="zh-CN"/>
              </w:rPr>
              <w:t>数</w:t>
            </w:r>
            <w:r>
              <w:rPr>
                <w:rFonts w:hint="eastAsia" w:ascii="仿宋_GB2312" w:hAnsi="宋体" w:eastAsia="仿宋_GB2312" w:cs="宋体"/>
                <w:color w:val="auto"/>
                <w:kern w:val="0"/>
                <w:sz w:val="24"/>
                <w:highlight w:val="none"/>
                <w:u w:val="none"/>
                <w:lang w:eastAsia="zh-CN"/>
              </w:rPr>
              <w:t>相应的建筑面积计算，该项补价须由指挥长会议研究通过。</w:t>
            </w:r>
          </w:p>
        </w:tc>
      </w:tr>
      <w:tr w14:paraId="3B6437B5">
        <w:tblPrEx>
          <w:tblCellMar>
            <w:top w:w="0" w:type="dxa"/>
            <w:left w:w="108" w:type="dxa"/>
            <w:bottom w:w="0" w:type="dxa"/>
            <w:right w:w="108" w:type="dxa"/>
          </w:tblCellMar>
        </w:tblPrEx>
        <w:trPr>
          <w:trHeight w:val="1966" w:hRule="atLeast"/>
        </w:trPr>
        <w:tc>
          <w:tcPr>
            <w:tcW w:w="564" w:type="dxa"/>
            <w:tcBorders>
              <w:top w:val="nil"/>
              <w:left w:val="single" w:color="auto" w:sz="8" w:space="0"/>
              <w:bottom w:val="single" w:color="auto" w:sz="8" w:space="0"/>
              <w:right w:val="single" w:color="auto" w:sz="8" w:space="0"/>
            </w:tcBorders>
            <w:noWrap w:val="0"/>
            <w:vAlign w:val="center"/>
          </w:tcPr>
          <w:p w14:paraId="78A418B2">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二档</w:t>
            </w:r>
          </w:p>
        </w:tc>
        <w:tc>
          <w:tcPr>
            <w:tcW w:w="985" w:type="dxa"/>
            <w:tcBorders>
              <w:top w:val="nil"/>
              <w:left w:val="nil"/>
              <w:bottom w:val="single" w:color="auto" w:sz="8" w:space="0"/>
              <w:right w:val="nil"/>
            </w:tcBorders>
            <w:noWrap w:val="0"/>
            <w:vAlign w:val="center"/>
          </w:tcPr>
          <w:p w14:paraId="6E908280">
            <w:pPr>
              <w:keepNext w:val="0"/>
              <w:keepLines w:val="0"/>
              <w:widowControl/>
              <w:suppressLineNumbers w:val="0"/>
              <w:spacing w:before="0" w:beforeAutospacing="0" w:after="0" w:afterAutospacing="0" w:line="300" w:lineRule="exact"/>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7652" w:type="dxa"/>
            <w:tcBorders>
              <w:top w:val="nil"/>
              <w:left w:val="single" w:color="auto" w:sz="8" w:space="0"/>
              <w:bottom w:val="single" w:color="auto" w:sz="8" w:space="0"/>
              <w:right w:val="single" w:color="000000" w:sz="8" w:space="0"/>
            </w:tcBorders>
            <w:noWrap w:val="0"/>
            <w:vAlign w:val="center"/>
          </w:tcPr>
          <w:p w14:paraId="1B8510BC">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地面为豪华高级花岗岩、缸砖、木地板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乳胶漆、墙纸、木墙裙；天棚为木吊顶及四周石膏角线；带灯座；室内设有组合式壁柜及高级组合式床柜（不可动）；入户门为实心木门及防盗门，铝合金窗及纱窗，木质窗帘盒，不锈钢防盗门（内含钢条），部分双层防盗网；阳台有防盗网；厨房缸砖（或防滑瓷砖）铺地，瓷砖墙面，吊顶，木质或铝合金推拉门；卫生间高级钢砖贴内墙面，吊顶，卫生洁具（带有不可移动卫浴）；电话、电视、对讲等预埋管、线、盒、出线座等弱电；楼梯高级实木扶手或不锈钢扶手，花岗岩或</w:t>
            </w:r>
            <w:r>
              <w:rPr>
                <w:rFonts w:hint="eastAsia" w:ascii="仿宋_GB2312" w:hAnsi="宋体" w:eastAsia="仿宋_GB2312" w:cs="宋体"/>
                <w:color w:val="auto"/>
                <w:kern w:val="0"/>
                <w:sz w:val="24"/>
                <w:highlight w:val="none"/>
                <w:u w:val="none"/>
                <w:shd w:val="clear" w:fill="FFFFFF"/>
              </w:rPr>
              <w:t>缸砖</w:t>
            </w:r>
            <w:r>
              <w:rPr>
                <w:rFonts w:hint="eastAsia" w:ascii="仿宋_GB2312" w:hAnsi="宋体" w:eastAsia="仿宋_GB2312" w:cs="宋体"/>
                <w:color w:val="auto"/>
                <w:kern w:val="0"/>
                <w:sz w:val="24"/>
                <w:highlight w:val="none"/>
                <w:u w:val="none"/>
              </w:rPr>
              <w:t>踏步。</w:t>
            </w:r>
          </w:p>
        </w:tc>
      </w:tr>
      <w:tr w14:paraId="65A93396">
        <w:tblPrEx>
          <w:tblCellMar>
            <w:top w:w="0" w:type="dxa"/>
            <w:left w:w="108" w:type="dxa"/>
            <w:bottom w:w="0" w:type="dxa"/>
            <w:right w:w="108" w:type="dxa"/>
          </w:tblCellMar>
        </w:tblPrEx>
        <w:trPr>
          <w:trHeight w:val="2308" w:hRule="atLeast"/>
        </w:trPr>
        <w:tc>
          <w:tcPr>
            <w:tcW w:w="564" w:type="dxa"/>
            <w:tcBorders>
              <w:top w:val="nil"/>
              <w:left w:val="single" w:color="auto" w:sz="8" w:space="0"/>
              <w:bottom w:val="single" w:color="auto" w:sz="8" w:space="0"/>
              <w:right w:val="single" w:color="auto" w:sz="8" w:space="0"/>
            </w:tcBorders>
            <w:noWrap w:val="0"/>
            <w:vAlign w:val="center"/>
          </w:tcPr>
          <w:p w14:paraId="48CFD2C9">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三档</w:t>
            </w:r>
          </w:p>
        </w:tc>
        <w:tc>
          <w:tcPr>
            <w:tcW w:w="985" w:type="dxa"/>
            <w:tcBorders>
              <w:top w:val="nil"/>
              <w:left w:val="nil"/>
              <w:bottom w:val="single" w:color="auto" w:sz="8" w:space="0"/>
              <w:right w:val="nil"/>
            </w:tcBorders>
            <w:noWrap w:val="0"/>
            <w:vAlign w:val="center"/>
          </w:tcPr>
          <w:p w14:paraId="5A978E0F">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7652" w:type="dxa"/>
            <w:tcBorders>
              <w:top w:val="nil"/>
              <w:left w:val="single" w:color="auto" w:sz="8" w:space="0"/>
              <w:bottom w:val="single" w:color="auto" w:sz="8" w:space="0"/>
              <w:right w:val="single" w:color="000000" w:sz="8" w:space="0"/>
            </w:tcBorders>
            <w:noWrap w:val="0"/>
            <w:vAlign w:val="center"/>
          </w:tcPr>
          <w:p w14:paraId="5FBE4CBE">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部分木作墙裙；天棚为木吊顶及四周石膏角线、带灯座；室内设有组合式壁柜及组合式床柜（不可动）；铝合金窗外加防盗网，窗帘盒，不锈钢防盗网（内含钢条），阳台有防盗网；厨房石板材（或瓷砖）铺地，瓷砖墙面，吊顶</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卫生间</w:t>
            </w:r>
            <w:r>
              <w:rPr>
                <w:rFonts w:hint="eastAsia" w:ascii="仿宋_GB2312" w:hAnsi="宋体" w:eastAsia="仿宋_GB2312" w:cs="宋体"/>
                <w:color w:val="auto"/>
                <w:kern w:val="0"/>
                <w:sz w:val="24"/>
                <w:highlight w:val="none"/>
                <w:u w:val="none"/>
                <w:shd w:val="clear" w:fill="FFFFFF"/>
              </w:rPr>
              <w:t>磁砖</w:t>
            </w:r>
            <w:r>
              <w:rPr>
                <w:rFonts w:hint="eastAsia" w:ascii="仿宋_GB2312" w:hAnsi="宋体" w:eastAsia="仿宋_GB2312" w:cs="宋体"/>
                <w:color w:val="auto"/>
                <w:kern w:val="0"/>
                <w:sz w:val="24"/>
                <w:highlight w:val="none"/>
                <w:u w:val="none"/>
              </w:rPr>
              <w:t>地板，</w:t>
            </w:r>
            <w:r>
              <w:rPr>
                <w:rFonts w:hint="eastAsia" w:ascii="仿宋_GB2312" w:hAnsi="宋体" w:eastAsia="仿宋_GB2312" w:cs="宋体"/>
                <w:color w:val="auto"/>
                <w:kern w:val="0"/>
                <w:sz w:val="24"/>
                <w:highlight w:val="none"/>
                <w:u w:val="none"/>
                <w:shd w:val="clear" w:fill="FFFFFF"/>
              </w:rPr>
              <w:t>磁砖</w:t>
            </w:r>
            <w:r>
              <w:rPr>
                <w:rFonts w:hint="eastAsia" w:ascii="仿宋_GB2312" w:hAnsi="宋体" w:eastAsia="仿宋_GB2312" w:cs="宋体"/>
                <w:color w:val="auto"/>
                <w:kern w:val="0"/>
                <w:sz w:val="24"/>
                <w:highlight w:val="none"/>
                <w:u w:val="none"/>
              </w:rPr>
              <w:t>贴内墙面，吊顶，卫生洁具（带有不可移动卫浴）；电话、电视、对讲等预埋管、线、盒、出线座等弱电；楼梯实木扶手或不锈钢扶手</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花岗岩或缸砖踏步。</w:t>
            </w:r>
          </w:p>
        </w:tc>
      </w:tr>
      <w:tr w14:paraId="28C3FE29">
        <w:tblPrEx>
          <w:tblCellMar>
            <w:top w:w="0" w:type="dxa"/>
            <w:left w:w="108" w:type="dxa"/>
            <w:bottom w:w="0" w:type="dxa"/>
            <w:right w:w="108" w:type="dxa"/>
          </w:tblCellMar>
        </w:tblPrEx>
        <w:trPr>
          <w:trHeight w:val="1418" w:hRule="atLeast"/>
        </w:trPr>
        <w:tc>
          <w:tcPr>
            <w:tcW w:w="564" w:type="dxa"/>
            <w:tcBorders>
              <w:top w:val="nil"/>
              <w:left w:val="single" w:color="auto" w:sz="8" w:space="0"/>
              <w:bottom w:val="single" w:color="auto" w:sz="8" w:space="0"/>
              <w:right w:val="single" w:color="auto" w:sz="8" w:space="0"/>
            </w:tcBorders>
            <w:noWrap w:val="0"/>
            <w:vAlign w:val="center"/>
          </w:tcPr>
          <w:p w14:paraId="1BC4F9DC">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四档</w:t>
            </w:r>
          </w:p>
        </w:tc>
        <w:tc>
          <w:tcPr>
            <w:tcW w:w="985" w:type="dxa"/>
            <w:tcBorders>
              <w:top w:val="nil"/>
              <w:left w:val="nil"/>
              <w:bottom w:val="single" w:color="auto" w:sz="8" w:space="0"/>
              <w:right w:val="nil"/>
            </w:tcBorders>
            <w:noWrap w:val="0"/>
            <w:vAlign w:val="center"/>
          </w:tcPr>
          <w:p w14:paraId="7D958517">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7652" w:type="dxa"/>
            <w:tcBorders>
              <w:top w:val="nil"/>
              <w:left w:val="single" w:color="auto" w:sz="8" w:space="0"/>
              <w:bottom w:val="single" w:color="auto" w:sz="8" w:space="0"/>
              <w:right w:val="single" w:color="000000" w:sz="8" w:space="0"/>
            </w:tcBorders>
            <w:noWrap w:val="0"/>
            <w:vAlign w:val="center"/>
          </w:tcPr>
          <w:p w14:paraId="46C6A8DC">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喷塑）、木作墙裙；天棚为四周木作吊顶、带灯座；室内设有组合式衣柜；木门铝合金窗外加防盗网，窗帘盒，阳台有防盗网；厨房瓷砖铺地，瓷砖墙面，铝塑板吊顶；卫生洁具（带有不可移动卫浴）；电话、电视、对讲等预埋管、线、盒、出线座等弱电。</w:t>
            </w:r>
          </w:p>
        </w:tc>
      </w:tr>
      <w:tr w14:paraId="23D30678">
        <w:tblPrEx>
          <w:tblCellMar>
            <w:top w:w="0" w:type="dxa"/>
            <w:left w:w="108" w:type="dxa"/>
            <w:bottom w:w="0" w:type="dxa"/>
            <w:right w:w="108" w:type="dxa"/>
          </w:tblCellMar>
        </w:tblPrEx>
        <w:trPr>
          <w:trHeight w:val="1574"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64769AD7">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五档</w:t>
            </w:r>
          </w:p>
        </w:tc>
        <w:tc>
          <w:tcPr>
            <w:tcW w:w="985" w:type="dxa"/>
            <w:tcBorders>
              <w:top w:val="single" w:color="auto" w:sz="8" w:space="0"/>
              <w:left w:val="single" w:color="auto" w:sz="8" w:space="0"/>
              <w:bottom w:val="single" w:color="auto" w:sz="8" w:space="0"/>
              <w:right w:val="single" w:color="auto" w:sz="8" w:space="0"/>
            </w:tcBorders>
            <w:noWrap w:val="0"/>
            <w:vAlign w:val="center"/>
          </w:tcPr>
          <w:p w14:paraId="077EF03C">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7652" w:type="dxa"/>
            <w:tcBorders>
              <w:top w:val="single" w:color="auto" w:sz="8" w:space="0"/>
              <w:left w:val="single" w:color="auto" w:sz="8" w:space="0"/>
              <w:bottom w:val="single" w:color="auto" w:sz="8" w:space="0"/>
              <w:right w:val="single" w:color="auto" w:sz="8" w:space="0"/>
            </w:tcBorders>
            <w:noWrap w:val="0"/>
            <w:vAlign w:val="center"/>
          </w:tcPr>
          <w:p w14:paraId="0B58D895">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木作墙裙；天棚为吊顶或四周石膏角线、带灯座；室内设有部分壁柜；铝合金窗外加防盗网，窗帘盒，阳台有防盗网；厨房瓷砖铺地，瓷砖墙面，铝塑板吊顶；卫生间吊顶、洁具齐全；电话、电视、对讲等预埋管、线、盒、出线座等弱电。</w:t>
            </w:r>
          </w:p>
        </w:tc>
      </w:tr>
      <w:tr w14:paraId="3F297015">
        <w:tblPrEx>
          <w:tblCellMar>
            <w:top w:w="0" w:type="dxa"/>
            <w:left w:w="108" w:type="dxa"/>
            <w:bottom w:w="0" w:type="dxa"/>
            <w:right w:w="108" w:type="dxa"/>
          </w:tblCellMar>
        </w:tblPrEx>
        <w:trPr>
          <w:trHeight w:val="1356"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2CB5F47C">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六档</w:t>
            </w:r>
          </w:p>
        </w:tc>
        <w:tc>
          <w:tcPr>
            <w:tcW w:w="985" w:type="dxa"/>
            <w:tcBorders>
              <w:top w:val="single" w:color="auto" w:sz="8" w:space="0"/>
              <w:left w:val="single" w:color="auto" w:sz="8" w:space="0"/>
              <w:bottom w:val="single" w:color="auto" w:sz="8" w:space="0"/>
              <w:right w:val="single" w:color="auto" w:sz="8" w:space="0"/>
            </w:tcBorders>
            <w:noWrap w:val="0"/>
            <w:vAlign w:val="center"/>
          </w:tcPr>
          <w:p w14:paraId="3B91D74C">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7652" w:type="dxa"/>
            <w:tcBorders>
              <w:top w:val="single" w:color="auto" w:sz="8" w:space="0"/>
              <w:left w:val="single" w:color="auto" w:sz="8" w:space="0"/>
              <w:bottom w:val="single" w:color="auto" w:sz="8" w:space="0"/>
              <w:right w:val="single" w:color="auto" w:sz="8" w:space="0"/>
            </w:tcBorders>
            <w:noWrap w:val="0"/>
            <w:vAlign w:val="center"/>
          </w:tcPr>
          <w:p w14:paraId="1B624E8E">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内墙面为涂料粉刷、瓷砖墙裙；天棚四周石膏角线；铝合金窗外小部分加防盗网，阳台有防盗网；厨房地板砖地面，瓷砖墙面；卫生洁具齐全，吊顶。普通电照。</w:t>
            </w:r>
          </w:p>
        </w:tc>
      </w:tr>
      <w:tr w14:paraId="53689EF5">
        <w:tblPrEx>
          <w:tblCellMar>
            <w:top w:w="0" w:type="dxa"/>
            <w:left w:w="108" w:type="dxa"/>
            <w:bottom w:w="0" w:type="dxa"/>
            <w:right w:w="108" w:type="dxa"/>
          </w:tblCellMar>
        </w:tblPrEx>
        <w:trPr>
          <w:trHeight w:val="733"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759D2F82">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七档</w:t>
            </w:r>
          </w:p>
        </w:tc>
        <w:tc>
          <w:tcPr>
            <w:tcW w:w="985" w:type="dxa"/>
            <w:tcBorders>
              <w:top w:val="single" w:color="auto" w:sz="8" w:space="0"/>
              <w:left w:val="nil"/>
              <w:bottom w:val="single" w:color="auto" w:sz="8" w:space="0"/>
              <w:right w:val="nil"/>
            </w:tcBorders>
            <w:noWrap w:val="0"/>
            <w:vAlign w:val="center"/>
          </w:tcPr>
          <w:p w14:paraId="510A5AEF">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2274F54E">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入户门铁门及木门，地面为普通瓷砖或普通花岗岩，墙体部分贴砖，墙面及天棚普通墙漆粉刷及四周贴角线。木门窗，卫生间洁具齐全，吊顶。普通电照。</w:t>
            </w:r>
          </w:p>
        </w:tc>
      </w:tr>
      <w:tr w14:paraId="7DABF8EB">
        <w:tblPrEx>
          <w:tblCellMar>
            <w:top w:w="0" w:type="dxa"/>
            <w:left w:w="108" w:type="dxa"/>
            <w:bottom w:w="0" w:type="dxa"/>
            <w:right w:w="108" w:type="dxa"/>
          </w:tblCellMar>
        </w:tblPrEx>
        <w:trPr>
          <w:trHeight w:val="614"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5A6D6450">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八档</w:t>
            </w:r>
          </w:p>
        </w:tc>
        <w:tc>
          <w:tcPr>
            <w:tcW w:w="985" w:type="dxa"/>
            <w:tcBorders>
              <w:top w:val="single" w:color="auto" w:sz="8" w:space="0"/>
              <w:left w:val="nil"/>
              <w:bottom w:val="single" w:color="auto" w:sz="8" w:space="0"/>
              <w:right w:val="nil"/>
            </w:tcBorders>
            <w:noWrap w:val="0"/>
            <w:vAlign w:val="center"/>
          </w:tcPr>
          <w:p w14:paraId="670E92BA">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4A7D0485">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地面为普通瓷砖；厅后墙贴瓷砖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墙面部分贴瓷砖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内墙面及天棚普通墙漆粉刷；木门窗，简单铁门、防盗栅。普通水</w:t>
            </w:r>
            <w:r>
              <w:rPr>
                <w:rFonts w:hint="eastAsia" w:ascii="仿宋_GB2312" w:hAnsi="宋体" w:eastAsia="仿宋_GB2312" w:cs="宋体"/>
                <w:color w:val="auto"/>
                <w:kern w:val="0"/>
                <w:sz w:val="24"/>
                <w:highlight w:val="none"/>
                <w:u w:val="none"/>
                <w:shd w:val="clear" w:fill="FFFFFF"/>
              </w:rPr>
              <w:t>卫电</w:t>
            </w:r>
            <w:r>
              <w:rPr>
                <w:rFonts w:hint="eastAsia" w:ascii="仿宋_GB2312" w:hAnsi="宋体" w:eastAsia="仿宋_GB2312" w:cs="宋体"/>
                <w:color w:val="auto"/>
                <w:kern w:val="0"/>
                <w:sz w:val="24"/>
                <w:highlight w:val="none"/>
                <w:u w:val="none"/>
              </w:rPr>
              <w:t>照。</w:t>
            </w:r>
          </w:p>
        </w:tc>
      </w:tr>
      <w:tr w14:paraId="4B70FD42">
        <w:tblPrEx>
          <w:tblCellMar>
            <w:top w:w="0" w:type="dxa"/>
            <w:left w:w="108" w:type="dxa"/>
            <w:bottom w:w="0" w:type="dxa"/>
            <w:right w:w="108" w:type="dxa"/>
          </w:tblCellMar>
        </w:tblPrEx>
        <w:trPr>
          <w:trHeight w:val="595"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45EA329A">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九档</w:t>
            </w:r>
          </w:p>
        </w:tc>
        <w:tc>
          <w:tcPr>
            <w:tcW w:w="985" w:type="dxa"/>
            <w:tcBorders>
              <w:top w:val="single" w:color="auto" w:sz="8" w:space="0"/>
              <w:left w:val="nil"/>
              <w:bottom w:val="single" w:color="auto" w:sz="8" w:space="0"/>
              <w:right w:val="nil"/>
            </w:tcBorders>
            <w:noWrap w:val="0"/>
            <w:vAlign w:val="center"/>
          </w:tcPr>
          <w:p w14:paraId="243EB104">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1EBA8910">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地面为地板砖或斗地砖；内墙面及天棚简单粉刷或部分粉刷；木门窗，简单铁门、防盗栅。简单水</w:t>
            </w:r>
            <w:r>
              <w:rPr>
                <w:rFonts w:hint="eastAsia" w:ascii="仿宋_GB2312" w:hAnsi="宋体" w:eastAsia="仿宋_GB2312" w:cs="宋体"/>
                <w:color w:val="auto"/>
                <w:kern w:val="0"/>
                <w:sz w:val="24"/>
                <w:highlight w:val="none"/>
                <w:u w:val="none"/>
                <w:shd w:val="clear" w:fill="FFFFFF"/>
              </w:rPr>
              <w:t>卫电</w:t>
            </w:r>
            <w:r>
              <w:rPr>
                <w:rFonts w:hint="eastAsia" w:ascii="仿宋_GB2312" w:hAnsi="宋体" w:eastAsia="仿宋_GB2312" w:cs="宋体"/>
                <w:color w:val="auto"/>
                <w:kern w:val="0"/>
                <w:sz w:val="24"/>
                <w:highlight w:val="none"/>
                <w:u w:val="none"/>
              </w:rPr>
              <w:t>照。</w:t>
            </w:r>
          </w:p>
        </w:tc>
      </w:tr>
      <w:tr w14:paraId="17BC5CBA">
        <w:tblPrEx>
          <w:tblCellMar>
            <w:top w:w="0" w:type="dxa"/>
            <w:left w:w="108" w:type="dxa"/>
            <w:bottom w:w="0" w:type="dxa"/>
            <w:right w:w="108" w:type="dxa"/>
          </w:tblCellMar>
        </w:tblPrEx>
        <w:trPr>
          <w:trHeight w:val="616" w:hRule="atLeast"/>
        </w:trPr>
        <w:tc>
          <w:tcPr>
            <w:tcW w:w="9201" w:type="dxa"/>
            <w:gridSpan w:val="3"/>
            <w:tcBorders>
              <w:top w:val="single" w:color="auto" w:sz="8" w:space="0"/>
              <w:left w:val="single" w:color="auto" w:sz="8" w:space="0"/>
              <w:bottom w:val="single" w:color="auto" w:sz="8" w:space="0"/>
              <w:right w:val="single" w:color="000000" w:sz="8" w:space="0"/>
            </w:tcBorders>
            <w:noWrap w:val="0"/>
            <w:vAlign w:val="center"/>
          </w:tcPr>
          <w:p w14:paraId="7B65AF18">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备注：以上装修档次区分应同时结合装修用料档次、做工精细度、造型细木面积的多少等进行综合判断。</w:t>
            </w:r>
          </w:p>
        </w:tc>
      </w:tr>
    </w:tbl>
    <w:p w14:paraId="3D9D286A">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68B5990D">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1A81BE13">
      <w:pPr>
        <w:pStyle w:val="2"/>
        <w:shd w:val="clear" w:color="auto" w:fill="auto"/>
        <w:spacing w:after="0" w:line="600" w:lineRule="exact"/>
        <w:rPr>
          <w:rFonts w:hint="eastAsia" w:ascii="仿宋_GB2312" w:eastAsia="仿宋_GB2312"/>
          <w:b/>
          <w:color w:val="auto"/>
          <w:sz w:val="32"/>
          <w:szCs w:val="32"/>
          <w:highlight w:val="none"/>
          <w:u w:val="none"/>
          <w:lang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四</w:t>
      </w:r>
      <w:r>
        <w:rPr>
          <w:rFonts w:hint="eastAsia" w:ascii="仿宋_GB2312" w:eastAsia="仿宋_GB2312"/>
          <w:b/>
          <w:color w:val="auto"/>
          <w:sz w:val="32"/>
          <w:szCs w:val="32"/>
          <w:highlight w:val="none"/>
          <w:u w:val="none"/>
        </w:rPr>
        <w:t xml:space="preserve">  房屋二次装修成新率评定标准</w:t>
      </w:r>
    </w:p>
    <w:tbl>
      <w:tblPr>
        <w:tblStyle w:val="5"/>
        <w:tblW w:w="0" w:type="auto"/>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6"/>
        <w:gridCol w:w="839"/>
        <w:gridCol w:w="6643"/>
        <w:gridCol w:w="1048"/>
      </w:tblGrid>
      <w:tr w14:paraId="589C62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trPr>
        <w:tc>
          <w:tcPr>
            <w:tcW w:w="686" w:type="dxa"/>
            <w:noWrap w:val="0"/>
            <w:vAlign w:val="center"/>
          </w:tcPr>
          <w:p w14:paraId="09BCACE9">
            <w:pPr>
              <w:keepNext w:val="0"/>
              <w:keepLines w:val="0"/>
              <w:widowControl/>
              <w:suppressLineNumbers w:val="0"/>
              <w:spacing w:before="0" w:beforeAutospacing="0" w:after="0" w:afterAutospacing="0"/>
              <w:ind w:left="0" w:right="-90" w:rightChars="-4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839" w:type="dxa"/>
            <w:noWrap w:val="0"/>
            <w:vAlign w:val="center"/>
          </w:tcPr>
          <w:p w14:paraId="5E672CE8">
            <w:pPr>
              <w:keepNext w:val="0"/>
              <w:keepLines w:val="0"/>
              <w:widowControl/>
              <w:suppressLineNumbers w:val="0"/>
              <w:spacing w:before="0" w:beforeAutospacing="0" w:after="0" w:afterAutospacing="0"/>
              <w:ind w:left="0" w:right="-342" w:rightChars="-16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6643" w:type="dxa"/>
            <w:noWrap w:val="0"/>
            <w:vAlign w:val="center"/>
          </w:tcPr>
          <w:p w14:paraId="58FDEB15">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c>
          <w:tcPr>
            <w:tcW w:w="1048" w:type="dxa"/>
            <w:noWrap w:val="0"/>
            <w:vAlign w:val="center"/>
          </w:tcPr>
          <w:p w14:paraId="28356998">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新旧</w:t>
            </w:r>
          </w:p>
          <w:p w14:paraId="7943B4E3">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程度</w:t>
            </w:r>
          </w:p>
        </w:tc>
      </w:tr>
      <w:tr w14:paraId="43DB85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7" w:hRule="atLeast"/>
        </w:trPr>
        <w:tc>
          <w:tcPr>
            <w:tcW w:w="686" w:type="dxa"/>
            <w:noWrap w:val="0"/>
            <w:vAlign w:val="center"/>
          </w:tcPr>
          <w:p w14:paraId="57B1EDB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839" w:type="dxa"/>
            <w:noWrap w:val="0"/>
            <w:vAlign w:val="center"/>
          </w:tcPr>
          <w:p w14:paraId="361D3B5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98%</w:t>
            </w:r>
          </w:p>
        </w:tc>
        <w:tc>
          <w:tcPr>
            <w:tcW w:w="6643" w:type="dxa"/>
            <w:noWrap w:val="0"/>
            <w:vAlign w:val="center"/>
          </w:tcPr>
          <w:p w14:paraId="1D94AE0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完好、平整；门窗：开启灵活，五金完好，漆面光亮；内粉饰：完好，无痕迹，漆面光亮；顶棚：完好；细木：完好，无痕迹，漆面光亮；洁具、灯具：使用正常，外观颜色无变化。整体装修外观如同新做。</w:t>
            </w:r>
          </w:p>
        </w:tc>
        <w:tc>
          <w:tcPr>
            <w:tcW w:w="1048" w:type="dxa"/>
            <w:noWrap w:val="0"/>
            <w:vAlign w:val="center"/>
          </w:tcPr>
          <w:p w14:paraId="0D7B4D6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新</w:t>
            </w:r>
          </w:p>
        </w:tc>
      </w:tr>
      <w:tr w14:paraId="561600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686" w:type="dxa"/>
            <w:noWrap w:val="0"/>
            <w:vAlign w:val="center"/>
          </w:tcPr>
          <w:p w14:paraId="7AACA32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839" w:type="dxa"/>
            <w:noWrap w:val="0"/>
            <w:vAlign w:val="center"/>
          </w:tcPr>
          <w:p w14:paraId="29DCADD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6643" w:type="dxa"/>
            <w:noWrap w:val="0"/>
            <w:vAlign w:val="top"/>
          </w:tcPr>
          <w:p w14:paraId="3FB6AF8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基本完好、平整；门窗：开启基本灵活，五金略有锈点，漆面略有褪色；内粉饰：基本完好，局部处有损痕，漆面缺乏保养；顶棚：基本完好；细木：基本完好，个别处有损痕，漆面略有褪色；洁具、灯具：使用正常，外观颜色基本无变化。整体装修外观较新。</w:t>
            </w:r>
          </w:p>
        </w:tc>
        <w:tc>
          <w:tcPr>
            <w:tcW w:w="1048" w:type="dxa"/>
            <w:noWrap w:val="0"/>
            <w:vAlign w:val="center"/>
          </w:tcPr>
          <w:p w14:paraId="5F3E11D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较新</w:t>
            </w:r>
          </w:p>
        </w:tc>
      </w:tr>
      <w:tr w14:paraId="4D7FC2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3" w:hRule="atLeast"/>
        </w:trPr>
        <w:tc>
          <w:tcPr>
            <w:tcW w:w="686" w:type="dxa"/>
            <w:noWrap w:val="0"/>
            <w:vAlign w:val="center"/>
          </w:tcPr>
          <w:p w14:paraId="56170BF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839" w:type="dxa"/>
            <w:noWrap w:val="0"/>
            <w:vAlign w:val="center"/>
          </w:tcPr>
          <w:p w14:paraId="536D106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6643" w:type="dxa"/>
            <w:noWrap w:val="0"/>
            <w:vAlign w:val="center"/>
          </w:tcPr>
          <w:p w14:paraId="19873BF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有一定磨损、起砂，但基本平整；门窗：开关有杂音，个别处腐朽变形，五金锈蚀，漆面褪色；内粉饰：个别处破损，老化，个别处轻度裂缝、剥落；顶棚：一般；细木：较旧，局部有损痕，个别处开裂；洁具、灯具：使用基本正常，洁具外观颜色发黄，灯具金属锈蚀褪色。整体装修外观一般。</w:t>
            </w:r>
          </w:p>
        </w:tc>
        <w:tc>
          <w:tcPr>
            <w:tcW w:w="1048" w:type="dxa"/>
            <w:noWrap w:val="0"/>
            <w:vAlign w:val="center"/>
          </w:tcPr>
          <w:p w14:paraId="43778FE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一般</w:t>
            </w:r>
          </w:p>
        </w:tc>
      </w:tr>
      <w:tr w14:paraId="17F2D8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6" w:hRule="atLeast"/>
        </w:trPr>
        <w:tc>
          <w:tcPr>
            <w:tcW w:w="686" w:type="dxa"/>
            <w:noWrap w:val="0"/>
            <w:vAlign w:val="center"/>
          </w:tcPr>
          <w:p w14:paraId="1288D15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839" w:type="dxa"/>
            <w:noWrap w:val="0"/>
            <w:vAlign w:val="center"/>
          </w:tcPr>
          <w:p w14:paraId="19E192D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6643" w:type="dxa"/>
            <w:noWrap w:val="0"/>
            <w:vAlign w:val="center"/>
          </w:tcPr>
          <w:p w14:paraId="46AE326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楼地面：磨损严重、起砂、不平；门窗：尚能开关，局部腐朽变形，五金锈蚀，油漆老化；内粉饰：部分裂缝、剥落；顶棚：较旧；细木：陈旧、局部</w:t>
            </w:r>
            <w:r>
              <w:rPr>
                <w:rFonts w:hint="eastAsia" w:ascii="仿宋_GB2312" w:hAnsi="宋体" w:eastAsia="仿宋_GB2312" w:cs="宋体"/>
                <w:color w:val="auto"/>
                <w:kern w:val="0"/>
                <w:sz w:val="24"/>
                <w:highlight w:val="none"/>
                <w:u w:val="none"/>
                <w:shd w:val="clear" w:fill="FFFFFF"/>
              </w:rPr>
              <w:t>咸蚀</w:t>
            </w:r>
            <w:r>
              <w:rPr>
                <w:rFonts w:hint="eastAsia"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shd w:val="clear" w:fill="FFFFFF"/>
                <w:lang w:eastAsia="zh-CN"/>
              </w:rPr>
              <w:t>开裂</w:t>
            </w:r>
            <w:r>
              <w:rPr>
                <w:rFonts w:hint="eastAsia" w:ascii="仿宋_GB2312" w:hAnsi="宋体" w:eastAsia="仿宋_GB2312" w:cs="宋体"/>
                <w:color w:val="auto"/>
                <w:kern w:val="0"/>
                <w:sz w:val="24"/>
                <w:highlight w:val="none"/>
                <w:u w:val="none"/>
              </w:rPr>
              <w:t>；洁具、灯具：尚能但简单陈旧。整体装修外观较旧。</w:t>
            </w:r>
          </w:p>
        </w:tc>
        <w:tc>
          <w:tcPr>
            <w:tcW w:w="1048" w:type="dxa"/>
            <w:noWrap w:val="0"/>
            <w:vAlign w:val="center"/>
          </w:tcPr>
          <w:p w14:paraId="6A7D36A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较旧</w:t>
            </w:r>
          </w:p>
        </w:tc>
      </w:tr>
      <w:tr w14:paraId="273FEC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9" w:hRule="atLeast"/>
        </w:trPr>
        <w:tc>
          <w:tcPr>
            <w:tcW w:w="686" w:type="dxa"/>
            <w:noWrap w:val="0"/>
            <w:vAlign w:val="center"/>
          </w:tcPr>
          <w:p w14:paraId="247A34E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839" w:type="dxa"/>
            <w:noWrap w:val="0"/>
            <w:vAlign w:val="center"/>
          </w:tcPr>
          <w:p w14:paraId="2B1D224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6643" w:type="dxa"/>
            <w:noWrap w:val="0"/>
            <w:vAlign w:val="center"/>
          </w:tcPr>
          <w:p w14:paraId="5A02AB7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严重破损、起砂、剥落、不平；门窗：大部腐朽变形，普通开关不灵，五金残损，油漆老化见底；内粉饰：部分空鼓、裂缝、剥落；顶棚：陈旧；细木：陈旧、有咸蚀；洁具、灯具：器具和零部件残缺及严重损坏。基本无人维护保养。</w:t>
            </w:r>
          </w:p>
        </w:tc>
        <w:tc>
          <w:tcPr>
            <w:tcW w:w="1048" w:type="dxa"/>
            <w:noWrap w:val="0"/>
            <w:vAlign w:val="center"/>
          </w:tcPr>
          <w:p w14:paraId="64F241E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w:t>
            </w:r>
          </w:p>
        </w:tc>
      </w:tr>
    </w:tbl>
    <w:p w14:paraId="4F2D2885">
      <w:pPr>
        <w:pStyle w:val="2"/>
        <w:shd w:val="clear" w:color="auto" w:fill="auto"/>
        <w:spacing w:after="223" w:line="280" w:lineRule="exact"/>
        <w:rPr>
          <w:rFonts w:hint="eastAsia" w:ascii="仿宋_GB2312" w:eastAsia="仿宋_GB2312"/>
          <w:color w:val="auto"/>
          <w:sz w:val="32"/>
          <w:szCs w:val="32"/>
          <w:highlight w:val="none"/>
          <w:u w:val="none"/>
          <w:lang w:eastAsia="zh-CN"/>
        </w:rPr>
        <w:sectPr>
          <w:headerReference r:id="rId3" w:type="default"/>
          <w:footerReference r:id="rId4" w:type="default"/>
          <w:footerReference r:id="rId5" w:type="even"/>
          <w:pgSz w:w="11906" w:h="16838"/>
          <w:pgMar w:top="1440" w:right="1446" w:bottom="1440" w:left="1469" w:header="851" w:footer="992" w:gutter="0"/>
          <w:pgBorders w:offsetFrom="page">
            <w:top w:val="none" w:sz="0" w:space="0"/>
            <w:left w:val="none" w:sz="0" w:space="0"/>
            <w:bottom w:val="none" w:sz="0" w:space="0"/>
            <w:right w:val="none" w:sz="0" w:space="0"/>
          </w:pgBorders>
          <w:cols w:space="720" w:num="1"/>
          <w:docGrid w:type="lines" w:linePitch="312" w:charSpace="0"/>
        </w:sectPr>
      </w:pPr>
      <w:bookmarkStart w:id="5" w:name="bookmark16"/>
    </w:p>
    <w:bookmarkEnd w:id="5"/>
    <w:p w14:paraId="176326E6">
      <w:pPr>
        <w:rPr>
          <w:rFonts w:hint="eastAsia" w:ascii="仿宋_GB2312" w:hAnsi="仿宋_GB2312" w:eastAsia="仿宋_GB2312" w:cs="仿宋_GB2312"/>
          <w:color w:val="auto"/>
          <w:kern w:val="0"/>
          <w:sz w:val="24"/>
          <w:highlight w:val="none"/>
          <w:u w:val="none"/>
        </w:rPr>
      </w:pPr>
      <w:r>
        <w:rPr>
          <w:rFonts w:hint="eastAsia" w:ascii="仿宋_GB2312" w:eastAsia="仿宋_GB2312"/>
          <w:b/>
          <w:color w:val="auto"/>
          <w:kern w:val="0"/>
          <w:sz w:val="32"/>
          <w:szCs w:val="32"/>
          <w:highlight w:val="none"/>
          <w:u w:val="none"/>
        </w:rPr>
        <w:t xml:space="preserve">附表五 私人自建住宅等面积应补缴价格控制表 </w:t>
      </w:r>
      <w:r>
        <w:rPr>
          <w:rFonts w:hint="eastAsia" w:ascii="仿宋_GB2312" w:hAnsi="宋体" w:eastAsia="仿宋_GB2312" w:cs="宋体"/>
          <w:b/>
          <w:bCs/>
          <w:color w:val="auto"/>
          <w:kern w:val="0"/>
          <w:sz w:val="24"/>
          <w:highlight w:val="none"/>
          <w:u w:val="none"/>
        </w:rPr>
        <w:t>（单位：元/</w:t>
      </w:r>
      <w:r>
        <w:rPr>
          <w:rFonts w:hint="eastAsia" w:ascii="宋体" w:hAnsi="宋体" w:cs="宋体"/>
          <w:b/>
          <w:bCs/>
          <w:color w:val="auto"/>
          <w:kern w:val="0"/>
          <w:sz w:val="24"/>
          <w:highlight w:val="none"/>
          <w:u w:val="none"/>
        </w:rPr>
        <w:t>㎡</w:t>
      </w:r>
      <w:r>
        <w:rPr>
          <w:rFonts w:hint="eastAsia" w:ascii="仿宋_GB2312" w:hAnsi="仿宋_GB2312" w:eastAsia="仿宋_GB2312" w:cs="仿宋_GB2312"/>
          <w:b/>
          <w:bCs/>
          <w:color w:val="auto"/>
          <w:kern w:val="0"/>
          <w:sz w:val="24"/>
          <w:highlight w:val="none"/>
          <w:u w:val="none"/>
        </w:rPr>
        <w:t>）</w:t>
      </w:r>
    </w:p>
    <w:p w14:paraId="2EFEED84">
      <w:pPr>
        <w:jc w:val="center"/>
        <w:rPr>
          <w:rFonts w:ascii="仿宋_GB2312" w:hAnsi="宋体" w:eastAsia="仿宋_GB2312" w:cs="宋体"/>
          <w:b/>
          <w:color w:val="auto"/>
          <w:kern w:val="0"/>
          <w:sz w:val="24"/>
          <w:highlight w:val="none"/>
          <w:u w:val="none"/>
        </w:rPr>
      </w:pPr>
      <w:r>
        <w:rPr>
          <w:rFonts w:hint="eastAsia" w:ascii="仿宋_GB2312" w:eastAsia="仿宋_GB2312"/>
          <w:b/>
          <w:color w:val="auto"/>
          <w:kern w:val="0"/>
          <w:sz w:val="32"/>
          <w:szCs w:val="32"/>
          <w:highlight w:val="none"/>
          <w:u w:val="none"/>
        </w:rPr>
        <w:t>（产权调换专用表）</w:t>
      </w:r>
    </w:p>
    <w:tbl>
      <w:tblPr>
        <w:tblStyle w:val="5"/>
        <w:tblW w:w="0" w:type="auto"/>
        <w:tblInd w:w="93" w:type="dxa"/>
        <w:tblLayout w:type="fixed"/>
        <w:tblCellMar>
          <w:top w:w="0" w:type="dxa"/>
          <w:left w:w="108" w:type="dxa"/>
          <w:bottom w:w="0" w:type="dxa"/>
          <w:right w:w="108" w:type="dxa"/>
        </w:tblCellMar>
      </w:tblPr>
      <w:tblGrid>
        <w:gridCol w:w="1084"/>
        <w:gridCol w:w="1279"/>
        <w:gridCol w:w="1072"/>
        <w:gridCol w:w="900"/>
        <w:gridCol w:w="1084"/>
        <w:gridCol w:w="1084"/>
        <w:gridCol w:w="1084"/>
        <w:gridCol w:w="1084"/>
      </w:tblGrid>
      <w:tr w14:paraId="2B057596">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single" w:color="000000" w:sz="8" w:space="0"/>
              <w:right w:val="single" w:color="auto" w:sz="8" w:space="0"/>
            </w:tcBorders>
            <w:noWrap w:val="0"/>
            <w:vAlign w:val="center"/>
          </w:tcPr>
          <w:p w14:paraId="43C23703">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结构</w:t>
            </w:r>
          </w:p>
        </w:tc>
        <w:tc>
          <w:tcPr>
            <w:tcW w:w="1279" w:type="dxa"/>
            <w:vMerge w:val="restart"/>
            <w:tcBorders>
              <w:top w:val="single" w:color="auto" w:sz="8" w:space="0"/>
              <w:left w:val="single" w:color="auto" w:sz="8" w:space="0"/>
              <w:bottom w:val="single" w:color="000000" w:sz="8" w:space="0"/>
              <w:right w:val="single" w:color="auto" w:sz="8" w:space="0"/>
            </w:tcBorders>
            <w:noWrap w:val="0"/>
            <w:vAlign w:val="center"/>
          </w:tcPr>
          <w:p w14:paraId="582E6016">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 级</w:t>
            </w:r>
          </w:p>
        </w:tc>
        <w:tc>
          <w:tcPr>
            <w:tcW w:w="6308" w:type="dxa"/>
            <w:gridSpan w:val="6"/>
            <w:tcBorders>
              <w:top w:val="single" w:color="auto" w:sz="8" w:space="0"/>
              <w:left w:val="nil"/>
              <w:bottom w:val="single" w:color="auto" w:sz="8" w:space="0"/>
              <w:right w:val="single" w:color="000000" w:sz="8" w:space="0"/>
            </w:tcBorders>
            <w:noWrap w:val="0"/>
            <w:vAlign w:val="center"/>
          </w:tcPr>
          <w:p w14:paraId="127765ED">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等面积应补缴价格控制</w:t>
            </w:r>
          </w:p>
        </w:tc>
      </w:tr>
      <w:tr w14:paraId="58965D74">
        <w:tblPrEx>
          <w:tblCellMar>
            <w:top w:w="0" w:type="dxa"/>
            <w:left w:w="108" w:type="dxa"/>
            <w:bottom w:w="0" w:type="dxa"/>
            <w:right w:w="108" w:type="dxa"/>
          </w:tblCellMar>
        </w:tblPrEx>
        <w:trPr>
          <w:trHeight w:val="427" w:hRule="atLeast"/>
        </w:trPr>
        <w:tc>
          <w:tcPr>
            <w:tcW w:w="1084" w:type="dxa"/>
            <w:vMerge w:val="continue"/>
            <w:tcBorders>
              <w:top w:val="single" w:color="auto" w:sz="8" w:space="0"/>
              <w:left w:val="single" w:color="auto" w:sz="8" w:space="0"/>
              <w:bottom w:val="single" w:color="000000" w:sz="8" w:space="0"/>
              <w:right w:val="single" w:color="auto" w:sz="8" w:space="0"/>
            </w:tcBorders>
            <w:noWrap w:val="0"/>
            <w:vAlign w:val="center"/>
          </w:tcPr>
          <w:p w14:paraId="5BE08C5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noWrap w:val="0"/>
            <w:vAlign w:val="center"/>
          </w:tcPr>
          <w:p w14:paraId="2E7A6778">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restart"/>
            <w:tcBorders>
              <w:top w:val="nil"/>
              <w:left w:val="single" w:color="auto" w:sz="8" w:space="0"/>
              <w:bottom w:val="single" w:color="000000" w:sz="8" w:space="0"/>
              <w:right w:val="single" w:color="auto" w:sz="8" w:space="0"/>
            </w:tcBorders>
            <w:noWrap w:val="0"/>
            <w:vAlign w:val="center"/>
          </w:tcPr>
          <w:p w14:paraId="7CE6CFD5">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总一层</w:t>
            </w:r>
          </w:p>
        </w:tc>
        <w:tc>
          <w:tcPr>
            <w:tcW w:w="900" w:type="dxa"/>
            <w:vMerge w:val="restart"/>
            <w:tcBorders>
              <w:top w:val="nil"/>
              <w:left w:val="single" w:color="auto" w:sz="8" w:space="0"/>
              <w:bottom w:val="single" w:color="000000" w:sz="8" w:space="0"/>
              <w:right w:val="single" w:color="auto" w:sz="8" w:space="0"/>
            </w:tcBorders>
            <w:noWrap w:val="0"/>
            <w:vAlign w:val="center"/>
          </w:tcPr>
          <w:p w14:paraId="65176889">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总二层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67AF8538">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总三层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22E6A7FD">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总四层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0E518348">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总五层</w:t>
            </w:r>
          </w:p>
        </w:tc>
        <w:tc>
          <w:tcPr>
            <w:tcW w:w="1084" w:type="dxa"/>
            <w:tcBorders>
              <w:top w:val="nil"/>
              <w:left w:val="nil"/>
              <w:bottom w:val="nil"/>
              <w:right w:val="single" w:color="auto" w:sz="8" w:space="0"/>
            </w:tcBorders>
            <w:noWrap w:val="0"/>
            <w:vAlign w:val="center"/>
          </w:tcPr>
          <w:p w14:paraId="11DD06AE">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总六层</w:t>
            </w:r>
          </w:p>
        </w:tc>
      </w:tr>
      <w:tr w14:paraId="79EEC716">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single" w:color="000000" w:sz="8" w:space="0"/>
              <w:right w:val="single" w:color="auto" w:sz="8" w:space="0"/>
            </w:tcBorders>
            <w:noWrap w:val="0"/>
            <w:vAlign w:val="center"/>
          </w:tcPr>
          <w:p w14:paraId="72409185">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noWrap w:val="0"/>
            <w:vAlign w:val="center"/>
          </w:tcPr>
          <w:p w14:paraId="7CD1CFF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noWrap w:val="0"/>
            <w:vAlign w:val="center"/>
          </w:tcPr>
          <w:p w14:paraId="23D8796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noWrap w:val="0"/>
            <w:vAlign w:val="center"/>
          </w:tcPr>
          <w:p w14:paraId="2B5C24C6">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1258462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1E40DD0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1CF95A4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49D56A78">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及以上</w:t>
            </w:r>
          </w:p>
        </w:tc>
      </w:tr>
      <w:tr w14:paraId="40D45E71">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3B6844E1">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01BD94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6F22256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728CDEE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536B823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4FCDBD1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43204E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38D4BF2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6BA6127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r>
      <w:tr w14:paraId="3DEFC088">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1487592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5A85EBA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noWrap w:val="0"/>
            <w:vAlign w:val="center"/>
          </w:tcPr>
          <w:p w14:paraId="05FB25C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3A761BC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276F8CE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64DFE34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0654E94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4A9F3A7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r>
      <w:tr w14:paraId="35B5A573">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029637DA">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1CCA5C6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noWrap w:val="0"/>
            <w:vAlign w:val="center"/>
          </w:tcPr>
          <w:p w14:paraId="5E0C770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248ADC0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419531C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16BC2AD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noWrap w:val="0"/>
            <w:vAlign w:val="center"/>
          </w:tcPr>
          <w:p w14:paraId="04CE2E0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6F8809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5ADC72E5">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736A75C3">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757385C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32FFBC7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36E1AD9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25F9EF2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6C361C5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1084" w:type="dxa"/>
            <w:tcBorders>
              <w:top w:val="nil"/>
              <w:left w:val="nil"/>
              <w:bottom w:val="single" w:color="auto" w:sz="8" w:space="0"/>
              <w:right w:val="single" w:color="auto" w:sz="8" w:space="0"/>
            </w:tcBorders>
            <w:noWrap w:val="0"/>
            <w:vAlign w:val="center"/>
          </w:tcPr>
          <w:p w14:paraId="38491F6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1084" w:type="dxa"/>
            <w:tcBorders>
              <w:top w:val="nil"/>
              <w:left w:val="nil"/>
              <w:bottom w:val="single" w:color="auto" w:sz="8" w:space="0"/>
              <w:right w:val="single" w:color="auto" w:sz="8" w:space="0"/>
            </w:tcBorders>
            <w:noWrap w:val="0"/>
            <w:vAlign w:val="center"/>
          </w:tcPr>
          <w:p w14:paraId="5E807B8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1084" w:type="dxa"/>
            <w:tcBorders>
              <w:top w:val="nil"/>
              <w:left w:val="nil"/>
              <w:bottom w:val="single" w:color="auto" w:sz="8" w:space="0"/>
              <w:right w:val="single" w:color="auto" w:sz="8" w:space="0"/>
            </w:tcBorders>
            <w:noWrap w:val="0"/>
            <w:vAlign w:val="center"/>
          </w:tcPr>
          <w:p w14:paraId="4A9A61B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r>
      <w:tr w14:paraId="4C2BCFB1">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60DC5BC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7E2CF8A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noWrap w:val="0"/>
            <w:vAlign w:val="center"/>
          </w:tcPr>
          <w:p w14:paraId="5D90773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5EC2696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3FC678B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449C5B9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noWrap w:val="0"/>
            <w:vAlign w:val="center"/>
          </w:tcPr>
          <w:p w14:paraId="3AF3E69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1817A29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6294F6CC">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1705088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7CC1327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noWrap w:val="0"/>
            <w:vAlign w:val="center"/>
          </w:tcPr>
          <w:p w14:paraId="731EDC1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4FCFD68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62837FD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4174A3D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1C7E318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1084" w:type="dxa"/>
            <w:tcBorders>
              <w:top w:val="nil"/>
              <w:left w:val="nil"/>
              <w:bottom w:val="single" w:color="auto" w:sz="8" w:space="0"/>
              <w:right w:val="single" w:color="auto" w:sz="8" w:space="0"/>
            </w:tcBorders>
            <w:noWrap w:val="0"/>
            <w:vAlign w:val="center"/>
          </w:tcPr>
          <w:p w14:paraId="2A41082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r>
      <w:tr w14:paraId="32DDC849">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6190DAFA">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51B9DD4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746CE22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26A9239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10B5147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7363CE6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64D6AF7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1460504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4B5D3DB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275C52A2">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12DE0731">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11F221A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single" w:color="auto" w:sz="8" w:space="0"/>
              <w:right w:val="single" w:color="auto" w:sz="8" w:space="0"/>
            </w:tcBorders>
            <w:noWrap w:val="0"/>
            <w:vAlign w:val="center"/>
          </w:tcPr>
          <w:p w14:paraId="56897D4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331EBB7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2E457BA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3BF6AAD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4616E8F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2DB03C3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1C8C0F77">
        <w:tblPrEx>
          <w:tblCellMar>
            <w:top w:w="0" w:type="dxa"/>
            <w:left w:w="108" w:type="dxa"/>
            <w:bottom w:w="0" w:type="dxa"/>
            <w:right w:w="108" w:type="dxa"/>
          </w:tblCellMar>
        </w:tblPrEx>
        <w:trPr>
          <w:trHeight w:val="624"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04AE2EFA">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w:t>
            </w:r>
          </w:p>
          <w:p w14:paraId="3440CFE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vMerge w:val="restart"/>
            <w:tcBorders>
              <w:top w:val="nil"/>
              <w:left w:val="single" w:color="auto" w:sz="8" w:space="0"/>
              <w:bottom w:val="single" w:color="000000" w:sz="8" w:space="0"/>
              <w:right w:val="single" w:color="auto" w:sz="8" w:space="0"/>
            </w:tcBorders>
            <w:noWrap w:val="0"/>
            <w:vAlign w:val="center"/>
          </w:tcPr>
          <w:p w14:paraId="27B1D8A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1072" w:type="dxa"/>
            <w:vMerge w:val="restart"/>
            <w:tcBorders>
              <w:top w:val="nil"/>
              <w:left w:val="single" w:color="auto" w:sz="8" w:space="0"/>
              <w:bottom w:val="single" w:color="000000" w:sz="8" w:space="0"/>
              <w:right w:val="single" w:color="auto" w:sz="8" w:space="0"/>
            </w:tcBorders>
            <w:noWrap w:val="0"/>
            <w:vAlign w:val="center"/>
          </w:tcPr>
          <w:p w14:paraId="0AF89E8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vMerge w:val="restart"/>
            <w:tcBorders>
              <w:top w:val="nil"/>
              <w:left w:val="single" w:color="auto" w:sz="8" w:space="0"/>
              <w:bottom w:val="single" w:color="000000" w:sz="8" w:space="0"/>
              <w:right w:val="single" w:color="auto" w:sz="8" w:space="0"/>
            </w:tcBorders>
            <w:noWrap w:val="0"/>
            <w:vAlign w:val="center"/>
          </w:tcPr>
          <w:p w14:paraId="6AF83A3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vMerge w:val="restart"/>
            <w:tcBorders>
              <w:top w:val="nil"/>
              <w:left w:val="single" w:color="auto" w:sz="8" w:space="0"/>
              <w:bottom w:val="single" w:color="000000" w:sz="8" w:space="0"/>
              <w:right w:val="single" w:color="auto" w:sz="8" w:space="0"/>
            </w:tcBorders>
            <w:noWrap w:val="0"/>
            <w:vAlign w:val="center"/>
          </w:tcPr>
          <w:p w14:paraId="4D96612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vMerge w:val="restart"/>
            <w:tcBorders>
              <w:top w:val="nil"/>
              <w:left w:val="single" w:color="auto" w:sz="8" w:space="0"/>
              <w:bottom w:val="single" w:color="000000" w:sz="8" w:space="0"/>
              <w:right w:val="single" w:color="auto" w:sz="8" w:space="0"/>
            </w:tcBorders>
            <w:noWrap w:val="0"/>
            <w:vAlign w:val="center"/>
          </w:tcPr>
          <w:p w14:paraId="01B401C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noWrap w:val="0"/>
            <w:vAlign w:val="center"/>
          </w:tcPr>
          <w:p w14:paraId="359AB08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noWrap w:val="0"/>
            <w:vAlign w:val="center"/>
          </w:tcPr>
          <w:p w14:paraId="331FB86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67392EEF">
        <w:tblPrEx>
          <w:tblCellMar>
            <w:top w:w="0" w:type="dxa"/>
            <w:left w:w="108" w:type="dxa"/>
            <w:bottom w:w="0" w:type="dxa"/>
            <w:right w:w="108" w:type="dxa"/>
          </w:tblCellMar>
        </w:tblPrEx>
        <w:trPr>
          <w:trHeight w:val="624"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7406D41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vMerge w:val="continue"/>
            <w:tcBorders>
              <w:top w:val="nil"/>
              <w:left w:val="single" w:color="auto" w:sz="8" w:space="0"/>
              <w:bottom w:val="single" w:color="000000" w:sz="8" w:space="0"/>
              <w:right w:val="single" w:color="auto" w:sz="8" w:space="0"/>
            </w:tcBorders>
            <w:noWrap w:val="0"/>
            <w:vAlign w:val="center"/>
          </w:tcPr>
          <w:p w14:paraId="45590EC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noWrap w:val="0"/>
            <w:vAlign w:val="center"/>
          </w:tcPr>
          <w:p w14:paraId="37517A0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noWrap w:val="0"/>
            <w:vAlign w:val="center"/>
          </w:tcPr>
          <w:p w14:paraId="6AC6B4C3">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3B7A390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1E001F6A">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2B471C5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76A21F9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r>
      <w:tr w14:paraId="2E2299DA">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7E139F6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58EB2B6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1072" w:type="dxa"/>
            <w:tcBorders>
              <w:top w:val="nil"/>
              <w:left w:val="nil"/>
              <w:bottom w:val="single" w:color="auto" w:sz="8" w:space="0"/>
              <w:right w:val="single" w:color="auto" w:sz="8" w:space="0"/>
            </w:tcBorders>
            <w:noWrap w:val="0"/>
            <w:vAlign w:val="center"/>
          </w:tcPr>
          <w:p w14:paraId="3A05EE2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18B0D2F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4FBA3E7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3435958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14858D8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32BD9AA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2CC4B72B">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nil"/>
              <w:right w:val="single" w:color="auto" w:sz="8" w:space="0"/>
            </w:tcBorders>
            <w:noWrap w:val="0"/>
            <w:vAlign w:val="center"/>
          </w:tcPr>
          <w:p w14:paraId="439F37B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1279" w:type="dxa"/>
            <w:tcBorders>
              <w:top w:val="nil"/>
              <w:left w:val="nil"/>
              <w:bottom w:val="single" w:color="auto" w:sz="8" w:space="0"/>
              <w:right w:val="single" w:color="auto" w:sz="8" w:space="0"/>
            </w:tcBorders>
            <w:noWrap w:val="0"/>
            <w:vAlign w:val="center"/>
          </w:tcPr>
          <w:p w14:paraId="5096982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0637E0C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14EDF0F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6BB415E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2CA1A1B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31AD18F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08970A3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45BA70FF">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nil"/>
              <w:right w:val="single" w:color="auto" w:sz="8" w:space="0"/>
            </w:tcBorders>
            <w:noWrap w:val="0"/>
            <w:vAlign w:val="center"/>
          </w:tcPr>
          <w:p w14:paraId="1AD6ACBE">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nil"/>
              <w:right w:val="single" w:color="auto" w:sz="8" w:space="0"/>
            </w:tcBorders>
            <w:noWrap w:val="0"/>
            <w:vAlign w:val="center"/>
          </w:tcPr>
          <w:p w14:paraId="297B382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nil"/>
              <w:right w:val="single" w:color="auto" w:sz="8" w:space="0"/>
            </w:tcBorders>
            <w:noWrap w:val="0"/>
            <w:vAlign w:val="center"/>
          </w:tcPr>
          <w:p w14:paraId="39F5706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nil"/>
              <w:right w:val="single" w:color="auto" w:sz="8" w:space="0"/>
            </w:tcBorders>
            <w:noWrap w:val="0"/>
            <w:vAlign w:val="center"/>
          </w:tcPr>
          <w:p w14:paraId="41AD718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nil"/>
              <w:right w:val="single" w:color="auto" w:sz="8" w:space="0"/>
            </w:tcBorders>
            <w:noWrap w:val="0"/>
            <w:vAlign w:val="center"/>
          </w:tcPr>
          <w:p w14:paraId="1CA1A1D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nil"/>
              <w:right w:val="single" w:color="auto" w:sz="8" w:space="0"/>
            </w:tcBorders>
            <w:noWrap w:val="0"/>
            <w:vAlign w:val="center"/>
          </w:tcPr>
          <w:p w14:paraId="2EC757A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noWrap w:val="0"/>
            <w:vAlign w:val="center"/>
          </w:tcPr>
          <w:p w14:paraId="063F43D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noWrap w:val="0"/>
            <w:vAlign w:val="center"/>
          </w:tcPr>
          <w:p w14:paraId="4D34F4F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5C7B7534">
        <w:tblPrEx>
          <w:tblCellMar>
            <w:top w:w="0" w:type="dxa"/>
            <w:left w:w="108" w:type="dxa"/>
            <w:bottom w:w="0" w:type="dxa"/>
            <w:right w:w="108" w:type="dxa"/>
          </w:tblCellMar>
        </w:tblPrEx>
        <w:trPr>
          <w:trHeight w:val="451" w:hRule="atLeast"/>
        </w:trPr>
        <w:tc>
          <w:tcPr>
            <w:tcW w:w="2363" w:type="dxa"/>
            <w:gridSpan w:val="2"/>
            <w:tcBorders>
              <w:top w:val="single" w:color="auto" w:sz="8" w:space="0"/>
              <w:left w:val="single" w:color="auto" w:sz="8" w:space="0"/>
              <w:bottom w:val="single" w:color="000000" w:sz="8" w:space="0"/>
              <w:right w:val="single" w:color="auto" w:sz="8" w:space="0"/>
            </w:tcBorders>
            <w:noWrap w:val="0"/>
            <w:vAlign w:val="center"/>
          </w:tcPr>
          <w:p w14:paraId="64BBE26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1072" w:type="dxa"/>
            <w:tcBorders>
              <w:top w:val="single" w:color="auto" w:sz="8" w:space="0"/>
              <w:left w:val="nil"/>
              <w:bottom w:val="single" w:color="000000" w:sz="8" w:space="0"/>
              <w:right w:val="single" w:color="auto" w:sz="8" w:space="0"/>
            </w:tcBorders>
            <w:noWrap w:val="0"/>
            <w:vAlign w:val="center"/>
          </w:tcPr>
          <w:p w14:paraId="322A207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single" w:color="auto" w:sz="8" w:space="0"/>
              <w:left w:val="nil"/>
              <w:bottom w:val="single" w:color="000000" w:sz="8" w:space="0"/>
              <w:right w:val="single" w:color="auto" w:sz="8" w:space="0"/>
            </w:tcBorders>
            <w:noWrap w:val="0"/>
            <w:vAlign w:val="center"/>
          </w:tcPr>
          <w:p w14:paraId="6B54844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single" w:color="auto" w:sz="8" w:space="0"/>
              <w:left w:val="nil"/>
              <w:bottom w:val="single" w:color="000000" w:sz="8" w:space="0"/>
              <w:right w:val="single" w:color="auto" w:sz="8" w:space="0"/>
            </w:tcBorders>
            <w:noWrap w:val="0"/>
            <w:vAlign w:val="center"/>
          </w:tcPr>
          <w:p w14:paraId="0B13C18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single" w:color="auto" w:sz="8" w:space="0"/>
              <w:left w:val="nil"/>
              <w:bottom w:val="single" w:color="000000" w:sz="8" w:space="0"/>
              <w:right w:val="single" w:color="auto" w:sz="8" w:space="0"/>
            </w:tcBorders>
            <w:noWrap w:val="0"/>
            <w:vAlign w:val="center"/>
          </w:tcPr>
          <w:p w14:paraId="51CC1ED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noWrap w:val="0"/>
            <w:vAlign w:val="center"/>
          </w:tcPr>
          <w:p w14:paraId="751FD63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noWrap w:val="0"/>
            <w:vAlign w:val="center"/>
          </w:tcPr>
          <w:p w14:paraId="153AB12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5455B67E">
        <w:tblPrEx>
          <w:tblCellMar>
            <w:top w:w="0" w:type="dxa"/>
            <w:left w:w="108" w:type="dxa"/>
            <w:bottom w:w="0" w:type="dxa"/>
            <w:right w:w="108" w:type="dxa"/>
          </w:tblCellMar>
        </w:tblPrEx>
        <w:trPr>
          <w:trHeight w:val="1745" w:hRule="atLeast"/>
        </w:trPr>
        <w:tc>
          <w:tcPr>
            <w:tcW w:w="8671" w:type="dxa"/>
            <w:gridSpan w:val="8"/>
            <w:tcBorders>
              <w:top w:val="single" w:color="000000" w:sz="8" w:space="0"/>
              <w:left w:val="single" w:color="000000" w:sz="8" w:space="0"/>
              <w:bottom w:val="single" w:color="000000" w:sz="8" w:space="0"/>
              <w:right w:val="single" w:color="000000" w:sz="8" w:space="0"/>
            </w:tcBorders>
            <w:noWrap w:val="0"/>
            <w:vAlign w:val="center"/>
          </w:tcPr>
          <w:p w14:paraId="5A6ACA2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w:t>
            </w:r>
          </w:p>
          <w:p w14:paraId="5E36F104">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1、装饰性塔楼以及突出屋面的楼梯间、水箱间不计层数。</w:t>
            </w:r>
          </w:p>
          <w:p w14:paraId="7BD81CB8">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hAnsi="宋体" w:eastAsia="仿宋_GB2312" w:cs="宋体"/>
                <w:color w:val="auto"/>
                <w:kern w:val="0"/>
                <w:sz w:val="24"/>
                <w:highlight w:val="none"/>
                <w:u w:val="none"/>
                <w:shd w:val="clear" w:fill="FFFFFF"/>
              </w:rPr>
              <w:t>、等</w:t>
            </w:r>
            <w:r>
              <w:rPr>
                <w:rFonts w:hint="eastAsia" w:ascii="仿宋_GB2312" w:hAnsi="宋体" w:eastAsia="仿宋_GB2312" w:cs="宋体"/>
                <w:color w:val="auto"/>
                <w:kern w:val="0"/>
                <w:sz w:val="24"/>
                <w:highlight w:val="none"/>
                <w:u w:val="none"/>
              </w:rPr>
              <w:t>面积调换实行补差价优惠，补差最高价控制按认定的总层数计算。</w:t>
            </w:r>
          </w:p>
        </w:tc>
      </w:tr>
    </w:tbl>
    <w:p w14:paraId="4DF9C9EF">
      <w:pPr>
        <w:rPr>
          <w:rFonts w:hint="eastAsia" w:ascii="仿宋_GB2312" w:hAnsi="宋体" w:eastAsia="仿宋_GB2312" w:cs="宋体"/>
          <w:b/>
          <w:color w:val="auto"/>
          <w:kern w:val="0"/>
          <w:sz w:val="24"/>
          <w:highlight w:val="none"/>
          <w:u w:val="none"/>
        </w:rPr>
      </w:pPr>
    </w:p>
    <w:p w14:paraId="6D32CD2A">
      <w:pPr>
        <w:rPr>
          <w:rFonts w:hint="eastAsia" w:ascii="仿宋_GB2312" w:hAnsi="宋体" w:eastAsia="仿宋_GB2312" w:cs="宋体"/>
          <w:b/>
          <w:color w:val="auto"/>
          <w:kern w:val="0"/>
          <w:sz w:val="24"/>
          <w:highlight w:val="none"/>
          <w:u w:val="none"/>
        </w:rPr>
      </w:pPr>
    </w:p>
    <w:p w14:paraId="23E5DA7B">
      <w:pPr>
        <w:rPr>
          <w:rFonts w:hint="eastAsia" w:ascii="仿宋_GB2312" w:hAnsi="宋体" w:eastAsia="仿宋_GB2312" w:cs="宋体"/>
          <w:b/>
          <w:color w:val="auto"/>
          <w:kern w:val="0"/>
          <w:sz w:val="24"/>
          <w:highlight w:val="none"/>
          <w:u w:val="none"/>
        </w:rPr>
      </w:pPr>
    </w:p>
    <w:p w14:paraId="0C0CCC20">
      <w:pPr>
        <w:rPr>
          <w:rFonts w:hint="eastAsia" w:ascii="仿宋_GB2312" w:hAnsi="宋体" w:eastAsia="仿宋_GB2312" w:cs="宋体"/>
          <w:b/>
          <w:color w:val="auto"/>
          <w:kern w:val="0"/>
          <w:sz w:val="24"/>
          <w:highlight w:val="none"/>
          <w:u w:val="none"/>
        </w:rPr>
      </w:pPr>
    </w:p>
    <w:p w14:paraId="650096BF">
      <w:pPr>
        <w:rPr>
          <w:rFonts w:hint="eastAsia" w:ascii="仿宋_GB2312" w:hAnsi="宋体" w:eastAsia="仿宋_GB2312" w:cs="宋体"/>
          <w:b/>
          <w:color w:val="auto"/>
          <w:kern w:val="0"/>
          <w:sz w:val="24"/>
          <w:highlight w:val="none"/>
          <w:u w:val="none"/>
        </w:rPr>
      </w:pPr>
    </w:p>
    <w:p w14:paraId="3EB8758A">
      <w:pPr>
        <w:rPr>
          <w:rFonts w:hint="eastAsia" w:ascii="仿宋_GB2312" w:hAnsi="宋体" w:eastAsia="仿宋_GB2312" w:cs="宋体"/>
          <w:b/>
          <w:color w:val="auto"/>
          <w:kern w:val="0"/>
          <w:sz w:val="24"/>
          <w:highlight w:val="none"/>
          <w:u w:val="none"/>
        </w:rPr>
      </w:pPr>
    </w:p>
    <w:p w14:paraId="36496A8B">
      <w:pPr>
        <w:rPr>
          <w:rFonts w:hint="eastAsia" w:ascii="仿宋_GB2312" w:hAnsi="宋体" w:eastAsia="仿宋_GB2312" w:cs="宋体"/>
          <w:b/>
          <w:color w:val="auto"/>
          <w:kern w:val="0"/>
          <w:sz w:val="24"/>
          <w:highlight w:val="none"/>
          <w:u w:val="none"/>
        </w:rPr>
      </w:pPr>
    </w:p>
    <w:p w14:paraId="7BDEA41B">
      <w:pPr>
        <w:rPr>
          <w:rFonts w:hint="eastAsia" w:ascii="仿宋_GB2312" w:hAnsi="宋体" w:eastAsia="仿宋_GB2312" w:cs="宋体"/>
          <w:b/>
          <w:color w:val="auto"/>
          <w:kern w:val="0"/>
          <w:sz w:val="24"/>
          <w:highlight w:val="none"/>
          <w:u w:val="none"/>
        </w:rPr>
      </w:pPr>
    </w:p>
    <w:tbl>
      <w:tblPr>
        <w:tblStyle w:val="5"/>
        <w:tblW w:w="0" w:type="auto"/>
        <w:tblInd w:w="93" w:type="dxa"/>
        <w:tblLayout w:type="fixed"/>
        <w:tblCellMar>
          <w:top w:w="0" w:type="dxa"/>
          <w:left w:w="108" w:type="dxa"/>
          <w:bottom w:w="0" w:type="dxa"/>
          <w:right w:w="108" w:type="dxa"/>
        </w:tblCellMar>
      </w:tblPr>
      <w:tblGrid>
        <w:gridCol w:w="866"/>
        <w:gridCol w:w="1264"/>
        <w:gridCol w:w="1287"/>
        <w:gridCol w:w="2694"/>
        <w:gridCol w:w="2754"/>
      </w:tblGrid>
      <w:tr w14:paraId="416945FA">
        <w:tblPrEx>
          <w:tblCellMar>
            <w:top w:w="0" w:type="dxa"/>
            <w:left w:w="108" w:type="dxa"/>
            <w:bottom w:w="0" w:type="dxa"/>
            <w:right w:w="108" w:type="dxa"/>
          </w:tblCellMar>
        </w:tblPrEx>
        <w:trPr>
          <w:trHeight w:val="699" w:hRule="atLeast"/>
        </w:trPr>
        <w:tc>
          <w:tcPr>
            <w:tcW w:w="8865" w:type="dxa"/>
            <w:gridSpan w:val="5"/>
            <w:noWrap w:val="0"/>
            <w:vAlign w:val="center"/>
          </w:tcPr>
          <w:p w14:paraId="2F30640B">
            <w:pPr>
              <w:keepNext w:val="0"/>
              <w:keepLines w:val="0"/>
              <w:widowControl/>
              <w:suppressLineNumbers w:val="0"/>
              <w:spacing w:before="0" w:beforeAutospacing="0" w:after="0" w:afterAutospacing="0"/>
              <w:ind w:left="0" w:right="0"/>
              <w:rPr>
                <w:rFonts w:hint="default" w:ascii="仿宋_GB2312" w:eastAsia="仿宋_GB2312"/>
                <w:b/>
                <w:color w:val="auto"/>
                <w:kern w:val="0"/>
                <w:sz w:val="24"/>
                <w:highlight w:val="none"/>
                <w:u w:val="none"/>
              </w:rPr>
            </w:pPr>
            <w:r>
              <w:rPr>
                <w:rFonts w:hint="eastAsia" w:ascii="仿宋_GB2312" w:eastAsia="仿宋_GB2312"/>
                <w:b/>
                <w:color w:val="auto"/>
                <w:kern w:val="0"/>
                <w:sz w:val="32"/>
                <w:szCs w:val="32"/>
                <w:highlight w:val="none"/>
                <w:u w:val="none"/>
              </w:rPr>
              <w:t>附表六  房屋的附属物补偿标准</w:t>
            </w:r>
          </w:p>
        </w:tc>
      </w:tr>
      <w:tr w14:paraId="40678C8C">
        <w:tblPrEx>
          <w:tblCellMar>
            <w:top w:w="0" w:type="dxa"/>
            <w:left w:w="108" w:type="dxa"/>
            <w:bottom w:w="0" w:type="dxa"/>
            <w:right w:w="108" w:type="dxa"/>
          </w:tblCellMar>
        </w:tblPrEx>
        <w:trPr>
          <w:trHeight w:val="567"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47E4C2AF">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序号</w:t>
            </w:r>
          </w:p>
        </w:tc>
        <w:tc>
          <w:tcPr>
            <w:tcW w:w="2551" w:type="dxa"/>
            <w:gridSpan w:val="2"/>
            <w:tcBorders>
              <w:top w:val="single" w:color="auto" w:sz="4" w:space="0"/>
              <w:left w:val="nil"/>
              <w:bottom w:val="single" w:color="auto" w:sz="4" w:space="0"/>
              <w:right w:val="single" w:color="000000" w:sz="4" w:space="0"/>
            </w:tcBorders>
            <w:noWrap w:val="0"/>
            <w:vAlign w:val="center"/>
          </w:tcPr>
          <w:p w14:paraId="692CFC74">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项目</w:t>
            </w:r>
          </w:p>
        </w:tc>
        <w:tc>
          <w:tcPr>
            <w:tcW w:w="2694" w:type="dxa"/>
            <w:tcBorders>
              <w:top w:val="single" w:color="auto" w:sz="4" w:space="0"/>
              <w:left w:val="nil"/>
              <w:bottom w:val="single" w:color="auto" w:sz="4" w:space="0"/>
              <w:right w:val="single" w:color="auto" w:sz="4" w:space="0"/>
            </w:tcBorders>
            <w:noWrap w:val="0"/>
            <w:vAlign w:val="center"/>
          </w:tcPr>
          <w:p w14:paraId="0F893E5C">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单价</w:t>
            </w:r>
          </w:p>
        </w:tc>
        <w:tc>
          <w:tcPr>
            <w:tcW w:w="2754" w:type="dxa"/>
            <w:tcBorders>
              <w:top w:val="single" w:color="auto" w:sz="4" w:space="0"/>
              <w:left w:val="nil"/>
              <w:bottom w:val="single" w:color="auto" w:sz="4" w:space="0"/>
              <w:right w:val="single" w:color="auto" w:sz="4" w:space="0"/>
            </w:tcBorders>
            <w:noWrap w:val="0"/>
            <w:vAlign w:val="center"/>
          </w:tcPr>
          <w:p w14:paraId="05D3C24B">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备注</w:t>
            </w:r>
          </w:p>
        </w:tc>
      </w:tr>
      <w:tr w14:paraId="6F752182">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noWrap w:val="0"/>
            <w:vAlign w:val="center"/>
          </w:tcPr>
          <w:p w14:paraId="6361AEE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p>
        </w:tc>
        <w:tc>
          <w:tcPr>
            <w:tcW w:w="2551" w:type="dxa"/>
            <w:gridSpan w:val="2"/>
            <w:tcBorders>
              <w:top w:val="single" w:color="auto" w:sz="4" w:space="0"/>
              <w:left w:val="nil"/>
              <w:bottom w:val="single" w:color="auto" w:sz="4" w:space="0"/>
              <w:right w:val="single" w:color="auto" w:sz="4" w:space="0"/>
            </w:tcBorders>
            <w:noWrap w:val="0"/>
            <w:vAlign w:val="center"/>
          </w:tcPr>
          <w:p w14:paraId="7BAFC0B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夯土围墙</w:t>
            </w:r>
          </w:p>
        </w:tc>
        <w:tc>
          <w:tcPr>
            <w:tcW w:w="2694" w:type="dxa"/>
            <w:tcBorders>
              <w:top w:val="nil"/>
              <w:left w:val="nil"/>
              <w:bottom w:val="single" w:color="auto" w:sz="4" w:space="0"/>
              <w:right w:val="single" w:color="auto" w:sz="4" w:space="0"/>
            </w:tcBorders>
            <w:noWrap w:val="0"/>
            <w:vAlign w:val="center"/>
          </w:tcPr>
          <w:p w14:paraId="41B8DB0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3939DEC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2F797A5">
        <w:tblPrEx>
          <w:tblCellMar>
            <w:top w:w="0" w:type="dxa"/>
            <w:left w:w="108" w:type="dxa"/>
            <w:bottom w:w="0" w:type="dxa"/>
            <w:right w:w="108" w:type="dxa"/>
          </w:tblCellMar>
        </w:tblPrEx>
        <w:trPr>
          <w:trHeight w:val="411" w:hRule="atLeast"/>
        </w:trPr>
        <w:tc>
          <w:tcPr>
            <w:tcW w:w="866" w:type="dxa"/>
            <w:tcBorders>
              <w:top w:val="nil"/>
              <w:left w:val="single" w:color="auto" w:sz="4" w:space="0"/>
              <w:bottom w:val="single" w:color="auto" w:sz="4" w:space="0"/>
              <w:right w:val="single" w:color="auto" w:sz="4" w:space="0"/>
            </w:tcBorders>
            <w:noWrap w:val="0"/>
            <w:vAlign w:val="center"/>
          </w:tcPr>
          <w:p w14:paraId="370D668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p>
        </w:tc>
        <w:tc>
          <w:tcPr>
            <w:tcW w:w="2551" w:type="dxa"/>
            <w:gridSpan w:val="2"/>
            <w:tcBorders>
              <w:top w:val="single" w:color="auto" w:sz="4" w:space="0"/>
              <w:left w:val="nil"/>
              <w:bottom w:val="single" w:color="auto" w:sz="4" w:space="0"/>
              <w:right w:val="single" w:color="auto" w:sz="4" w:space="0"/>
            </w:tcBorders>
            <w:noWrap w:val="0"/>
            <w:vAlign w:val="center"/>
          </w:tcPr>
          <w:p w14:paraId="6DEF10B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砖砌围墙（含基础）</w:t>
            </w:r>
          </w:p>
        </w:tc>
        <w:tc>
          <w:tcPr>
            <w:tcW w:w="2694" w:type="dxa"/>
            <w:tcBorders>
              <w:top w:val="nil"/>
              <w:left w:val="nil"/>
              <w:bottom w:val="single" w:color="auto" w:sz="4" w:space="0"/>
              <w:right w:val="single" w:color="auto" w:sz="4" w:space="0"/>
            </w:tcBorders>
            <w:noWrap w:val="0"/>
            <w:vAlign w:val="center"/>
          </w:tcPr>
          <w:p w14:paraId="1537FC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42F3A10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挡墙另计</w:t>
            </w:r>
          </w:p>
        </w:tc>
      </w:tr>
      <w:tr w14:paraId="4D5CC150">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noWrap w:val="0"/>
            <w:vAlign w:val="center"/>
          </w:tcPr>
          <w:p w14:paraId="352FA7C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w:t>
            </w:r>
          </w:p>
        </w:tc>
        <w:tc>
          <w:tcPr>
            <w:tcW w:w="2551" w:type="dxa"/>
            <w:gridSpan w:val="2"/>
            <w:tcBorders>
              <w:top w:val="single" w:color="auto" w:sz="4" w:space="0"/>
              <w:left w:val="nil"/>
              <w:bottom w:val="single" w:color="auto" w:sz="4" w:space="0"/>
              <w:right w:val="single" w:color="auto" w:sz="4" w:space="0"/>
            </w:tcBorders>
            <w:noWrap w:val="0"/>
            <w:vAlign w:val="center"/>
          </w:tcPr>
          <w:p w14:paraId="3059AD6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石围墙</w:t>
            </w:r>
          </w:p>
        </w:tc>
        <w:tc>
          <w:tcPr>
            <w:tcW w:w="2694" w:type="dxa"/>
            <w:tcBorders>
              <w:top w:val="nil"/>
              <w:left w:val="nil"/>
              <w:bottom w:val="single" w:color="auto" w:sz="4" w:space="0"/>
              <w:right w:val="single" w:color="auto" w:sz="4" w:space="0"/>
            </w:tcBorders>
            <w:noWrap w:val="0"/>
            <w:vAlign w:val="center"/>
          </w:tcPr>
          <w:p w14:paraId="7FB08CA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458049B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0F7449A">
        <w:tblPrEx>
          <w:tblCellMar>
            <w:top w:w="0" w:type="dxa"/>
            <w:left w:w="108" w:type="dxa"/>
            <w:bottom w:w="0" w:type="dxa"/>
            <w:right w:w="108" w:type="dxa"/>
          </w:tblCellMar>
        </w:tblPrEx>
        <w:trPr>
          <w:trHeight w:val="422" w:hRule="atLeast"/>
        </w:trPr>
        <w:tc>
          <w:tcPr>
            <w:tcW w:w="866" w:type="dxa"/>
            <w:tcBorders>
              <w:top w:val="nil"/>
              <w:left w:val="single" w:color="auto" w:sz="4" w:space="0"/>
              <w:bottom w:val="single" w:color="auto" w:sz="4" w:space="0"/>
              <w:right w:val="single" w:color="auto" w:sz="4" w:space="0"/>
            </w:tcBorders>
            <w:noWrap w:val="0"/>
            <w:vAlign w:val="center"/>
          </w:tcPr>
          <w:p w14:paraId="355EAFE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p>
        </w:tc>
        <w:tc>
          <w:tcPr>
            <w:tcW w:w="2551" w:type="dxa"/>
            <w:gridSpan w:val="2"/>
            <w:tcBorders>
              <w:top w:val="single" w:color="auto" w:sz="4" w:space="0"/>
              <w:left w:val="nil"/>
              <w:bottom w:val="single" w:color="auto" w:sz="4" w:space="0"/>
              <w:right w:val="single" w:color="auto" w:sz="4" w:space="0"/>
            </w:tcBorders>
            <w:noWrap w:val="0"/>
            <w:vAlign w:val="center"/>
          </w:tcPr>
          <w:p w14:paraId="6544CAB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普通水井</w:t>
            </w:r>
          </w:p>
        </w:tc>
        <w:tc>
          <w:tcPr>
            <w:tcW w:w="2694" w:type="dxa"/>
            <w:tcBorders>
              <w:top w:val="nil"/>
              <w:left w:val="nil"/>
              <w:bottom w:val="single" w:color="auto" w:sz="4" w:space="0"/>
              <w:right w:val="single" w:color="auto" w:sz="4" w:space="0"/>
            </w:tcBorders>
            <w:noWrap w:val="0"/>
            <w:vAlign w:val="center"/>
          </w:tcPr>
          <w:p w14:paraId="3E2D7CF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4</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tcBorders>
              <w:top w:val="nil"/>
              <w:left w:val="nil"/>
              <w:bottom w:val="single" w:color="auto" w:sz="4" w:space="0"/>
              <w:right w:val="single" w:color="auto" w:sz="4" w:space="0"/>
            </w:tcBorders>
            <w:noWrap w:val="0"/>
            <w:vAlign w:val="center"/>
          </w:tcPr>
          <w:p w14:paraId="670FBF3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超7m每延1m加5</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元</w:t>
            </w:r>
          </w:p>
        </w:tc>
      </w:tr>
      <w:tr w14:paraId="62DD0341">
        <w:tblPrEx>
          <w:tblCellMar>
            <w:top w:w="0" w:type="dxa"/>
            <w:left w:w="108" w:type="dxa"/>
            <w:bottom w:w="0" w:type="dxa"/>
            <w:right w:w="108" w:type="dxa"/>
          </w:tblCellMar>
        </w:tblPrEx>
        <w:trPr>
          <w:trHeight w:val="400" w:hRule="atLeast"/>
        </w:trPr>
        <w:tc>
          <w:tcPr>
            <w:tcW w:w="866" w:type="dxa"/>
            <w:tcBorders>
              <w:top w:val="nil"/>
              <w:left w:val="single" w:color="auto" w:sz="4" w:space="0"/>
              <w:bottom w:val="single" w:color="auto" w:sz="4" w:space="0"/>
              <w:right w:val="single" w:color="auto" w:sz="4" w:space="0"/>
            </w:tcBorders>
            <w:noWrap w:val="0"/>
            <w:vAlign w:val="center"/>
          </w:tcPr>
          <w:p w14:paraId="7BD1BAE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w:t>
            </w:r>
          </w:p>
        </w:tc>
        <w:tc>
          <w:tcPr>
            <w:tcW w:w="2551" w:type="dxa"/>
            <w:gridSpan w:val="2"/>
            <w:tcBorders>
              <w:top w:val="single" w:color="auto" w:sz="4" w:space="0"/>
              <w:left w:val="nil"/>
              <w:bottom w:val="single" w:color="auto" w:sz="4" w:space="0"/>
              <w:right w:val="single" w:color="auto" w:sz="4" w:space="0"/>
            </w:tcBorders>
            <w:noWrap w:val="0"/>
            <w:vAlign w:val="center"/>
          </w:tcPr>
          <w:p w14:paraId="6556756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室外普通厨房洗菜池</w:t>
            </w:r>
          </w:p>
        </w:tc>
        <w:tc>
          <w:tcPr>
            <w:tcW w:w="2694" w:type="dxa"/>
            <w:tcBorders>
              <w:top w:val="nil"/>
              <w:left w:val="nil"/>
              <w:bottom w:val="single" w:color="auto" w:sz="4" w:space="0"/>
              <w:right w:val="single" w:color="auto" w:sz="4" w:space="0"/>
            </w:tcBorders>
            <w:noWrap w:val="0"/>
            <w:vAlign w:val="center"/>
          </w:tcPr>
          <w:p w14:paraId="36401CB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元/个</w:t>
            </w:r>
          </w:p>
        </w:tc>
        <w:tc>
          <w:tcPr>
            <w:tcW w:w="2754" w:type="dxa"/>
            <w:tcBorders>
              <w:top w:val="nil"/>
              <w:left w:val="nil"/>
              <w:bottom w:val="single" w:color="auto" w:sz="4" w:space="0"/>
              <w:right w:val="single" w:color="auto" w:sz="4" w:space="0"/>
            </w:tcBorders>
            <w:noWrap w:val="0"/>
            <w:vAlign w:val="center"/>
          </w:tcPr>
          <w:p w14:paraId="3413794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376B12D">
        <w:tblPrEx>
          <w:tblCellMar>
            <w:top w:w="0" w:type="dxa"/>
            <w:left w:w="108" w:type="dxa"/>
            <w:bottom w:w="0" w:type="dxa"/>
            <w:right w:w="108" w:type="dxa"/>
          </w:tblCellMar>
        </w:tblPrEx>
        <w:trPr>
          <w:trHeight w:val="421" w:hRule="atLeast"/>
        </w:trPr>
        <w:tc>
          <w:tcPr>
            <w:tcW w:w="866" w:type="dxa"/>
            <w:tcBorders>
              <w:top w:val="nil"/>
              <w:left w:val="single" w:color="auto" w:sz="4" w:space="0"/>
              <w:bottom w:val="single" w:color="auto" w:sz="4" w:space="0"/>
              <w:right w:val="single" w:color="auto" w:sz="4" w:space="0"/>
            </w:tcBorders>
            <w:noWrap w:val="0"/>
            <w:vAlign w:val="center"/>
          </w:tcPr>
          <w:p w14:paraId="74A8F86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w:t>
            </w:r>
          </w:p>
        </w:tc>
        <w:tc>
          <w:tcPr>
            <w:tcW w:w="2551" w:type="dxa"/>
            <w:gridSpan w:val="2"/>
            <w:tcBorders>
              <w:top w:val="single" w:color="auto" w:sz="4" w:space="0"/>
              <w:left w:val="nil"/>
              <w:bottom w:val="single" w:color="auto" w:sz="4" w:space="0"/>
              <w:right w:val="single" w:color="auto" w:sz="4" w:space="0"/>
            </w:tcBorders>
            <w:noWrap w:val="0"/>
            <w:vAlign w:val="center"/>
          </w:tcPr>
          <w:p w14:paraId="1B83873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石板埕地</w:t>
            </w:r>
          </w:p>
        </w:tc>
        <w:tc>
          <w:tcPr>
            <w:tcW w:w="2694" w:type="dxa"/>
            <w:tcBorders>
              <w:top w:val="nil"/>
              <w:left w:val="nil"/>
              <w:bottom w:val="single" w:color="auto" w:sz="4" w:space="0"/>
              <w:right w:val="single" w:color="auto" w:sz="4" w:space="0"/>
            </w:tcBorders>
            <w:noWrap w:val="0"/>
            <w:vAlign w:val="center"/>
          </w:tcPr>
          <w:p w14:paraId="4577C2F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31F872B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42DA451">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noWrap w:val="0"/>
            <w:vAlign w:val="center"/>
          </w:tcPr>
          <w:p w14:paraId="6C91487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p>
        </w:tc>
        <w:tc>
          <w:tcPr>
            <w:tcW w:w="2551" w:type="dxa"/>
            <w:gridSpan w:val="2"/>
            <w:tcBorders>
              <w:top w:val="single" w:color="auto" w:sz="4" w:space="0"/>
              <w:left w:val="nil"/>
              <w:bottom w:val="single" w:color="auto" w:sz="4" w:space="0"/>
              <w:right w:val="single" w:color="auto" w:sz="4" w:space="0"/>
            </w:tcBorders>
            <w:noWrap w:val="0"/>
            <w:vAlign w:val="center"/>
          </w:tcPr>
          <w:p w14:paraId="7ED842D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埕地水泥花砖地面</w:t>
            </w:r>
          </w:p>
        </w:tc>
        <w:tc>
          <w:tcPr>
            <w:tcW w:w="2694" w:type="dxa"/>
            <w:tcBorders>
              <w:top w:val="nil"/>
              <w:left w:val="nil"/>
              <w:bottom w:val="single" w:color="auto" w:sz="4" w:space="0"/>
              <w:right w:val="single" w:color="auto" w:sz="4" w:space="0"/>
            </w:tcBorders>
            <w:noWrap w:val="0"/>
            <w:vAlign w:val="center"/>
          </w:tcPr>
          <w:p w14:paraId="4D203DD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3E3008F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1A64AEB">
        <w:tblPrEx>
          <w:tblCellMar>
            <w:top w:w="0" w:type="dxa"/>
            <w:left w:w="108" w:type="dxa"/>
            <w:bottom w:w="0" w:type="dxa"/>
            <w:right w:w="108" w:type="dxa"/>
          </w:tblCellMar>
        </w:tblPrEx>
        <w:trPr>
          <w:trHeight w:val="418" w:hRule="atLeast"/>
        </w:trPr>
        <w:tc>
          <w:tcPr>
            <w:tcW w:w="866" w:type="dxa"/>
            <w:tcBorders>
              <w:top w:val="nil"/>
              <w:left w:val="single" w:color="auto" w:sz="4" w:space="0"/>
              <w:bottom w:val="single" w:color="auto" w:sz="4" w:space="0"/>
              <w:right w:val="single" w:color="auto" w:sz="4" w:space="0"/>
            </w:tcBorders>
            <w:noWrap w:val="0"/>
            <w:vAlign w:val="center"/>
          </w:tcPr>
          <w:p w14:paraId="6F94A2D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w:t>
            </w:r>
          </w:p>
        </w:tc>
        <w:tc>
          <w:tcPr>
            <w:tcW w:w="2551" w:type="dxa"/>
            <w:gridSpan w:val="2"/>
            <w:tcBorders>
              <w:top w:val="single" w:color="auto" w:sz="4" w:space="0"/>
              <w:left w:val="nil"/>
              <w:bottom w:val="single" w:color="auto" w:sz="4" w:space="0"/>
              <w:right w:val="single" w:color="auto" w:sz="4" w:space="0"/>
            </w:tcBorders>
            <w:noWrap w:val="0"/>
            <w:vAlign w:val="center"/>
          </w:tcPr>
          <w:p w14:paraId="71ABF95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埕地水磨石地面</w:t>
            </w:r>
          </w:p>
        </w:tc>
        <w:tc>
          <w:tcPr>
            <w:tcW w:w="2694" w:type="dxa"/>
            <w:tcBorders>
              <w:top w:val="nil"/>
              <w:left w:val="nil"/>
              <w:bottom w:val="single" w:color="auto" w:sz="4" w:space="0"/>
              <w:right w:val="single" w:color="auto" w:sz="4" w:space="0"/>
            </w:tcBorders>
            <w:noWrap w:val="0"/>
            <w:vAlign w:val="center"/>
          </w:tcPr>
          <w:p w14:paraId="3D029C9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0049545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269217D">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noWrap w:val="0"/>
            <w:vAlign w:val="center"/>
          </w:tcPr>
          <w:p w14:paraId="55DC2AE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p>
        </w:tc>
        <w:tc>
          <w:tcPr>
            <w:tcW w:w="2551" w:type="dxa"/>
            <w:gridSpan w:val="2"/>
            <w:tcBorders>
              <w:top w:val="single" w:color="auto" w:sz="4" w:space="0"/>
              <w:left w:val="nil"/>
              <w:bottom w:val="single" w:color="auto" w:sz="4" w:space="0"/>
              <w:right w:val="single" w:color="auto" w:sz="4" w:space="0"/>
            </w:tcBorders>
            <w:noWrap w:val="0"/>
            <w:vAlign w:val="center"/>
          </w:tcPr>
          <w:p w14:paraId="050F536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埕地瓷缸砖地面</w:t>
            </w:r>
          </w:p>
        </w:tc>
        <w:tc>
          <w:tcPr>
            <w:tcW w:w="2694" w:type="dxa"/>
            <w:tcBorders>
              <w:top w:val="nil"/>
              <w:left w:val="nil"/>
              <w:bottom w:val="single" w:color="auto" w:sz="4" w:space="0"/>
              <w:right w:val="single" w:color="auto" w:sz="4" w:space="0"/>
            </w:tcBorders>
            <w:noWrap w:val="0"/>
            <w:vAlign w:val="center"/>
          </w:tcPr>
          <w:p w14:paraId="42E6898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6413C5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30308CC">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noWrap w:val="0"/>
            <w:vAlign w:val="center"/>
          </w:tcPr>
          <w:p w14:paraId="37E0DB0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r>
              <w:rPr>
                <w:rFonts w:hint="eastAsia" w:ascii="仿宋_GB2312" w:eastAsia="仿宋_GB2312" w:cs="宋体"/>
                <w:color w:val="auto"/>
                <w:kern w:val="0"/>
                <w:sz w:val="24"/>
                <w:highlight w:val="none"/>
                <w:u w:val="none"/>
              </w:rPr>
              <w:t>0</w:t>
            </w:r>
          </w:p>
        </w:tc>
        <w:tc>
          <w:tcPr>
            <w:tcW w:w="2551" w:type="dxa"/>
            <w:gridSpan w:val="2"/>
            <w:tcBorders>
              <w:top w:val="single" w:color="auto" w:sz="4" w:space="0"/>
              <w:left w:val="nil"/>
              <w:bottom w:val="single" w:color="auto" w:sz="4" w:space="0"/>
              <w:right w:val="single" w:color="auto" w:sz="4" w:space="0"/>
            </w:tcBorders>
            <w:noWrap w:val="0"/>
            <w:vAlign w:val="center"/>
          </w:tcPr>
          <w:p w14:paraId="3C9DE8C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埕地花岗石贴面</w:t>
            </w:r>
          </w:p>
        </w:tc>
        <w:tc>
          <w:tcPr>
            <w:tcW w:w="2694" w:type="dxa"/>
            <w:tcBorders>
              <w:top w:val="nil"/>
              <w:left w:val="nil"/>
              <w:bottom w:val="single" w:color="auto" w:sz="4" w:space="0"/>
              <w:right w:val="single" w:color="auto" w:sz="4" w:space="0"/>
            </w:tcBorders>
            <w:noWrap w:val="0"/>
            <w:vAlign w:val="center"/>
          </w:tcPr>
          <w:p w14:paraId="310D320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19E31B3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71BD341">
        <w:tblPrEx>
          <w:tblCellMar>
            <w:top w:w="0" w:type="dxa"/>
            <w:left w:w="108" w:type="dxa"/>
            <w:bottom w:w="0" w:type="dxa"/>
            <w:right w:w="108" w:type="dxa"/>
          </w:tblCellMar>
        </w:tblPrEx>
        <w:trPr>
          <w:trHeight w:val="423" w:hRule="atLeast"/>
        </w:trPr>
        <w:tc>
          <w:tcPr>
            <w:tcW w:w="866" w:type="dxa"/>
            <w:tcBorders>
              <w:top w:val="nil"/>
              <w:left w:val="single" w:color="auto" w:sz="4" w:space="0"/>
              <w:bottom w:val="single" w:color="auto" w:sz="4" w:space="0"/>
              <w:right w:val="single" w:color="auto" w:sz="4" w:space="0"/>
            </w:tcBorders>
            <w:noWrap w:val="0"/>
            <w:vAlign w:val="center"/>
          </w:tcPr>
          <w:p w14:paraId="51FBE8E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w:t>
            </w:r>
          </w:p>
        </w:tc>
        <w:tc>
          <w:tcPr>
            <w:tcW w:w="2551" w:type="dxa"/>
            <w:gridSpan w:val="2"/>
            <w:tcBorders>
              <w:top w:val="single" w:color="auto" w:sz="4" w:space="0"/>
              <w:left w:val="nil"/>
              <w:bottom w:val="single" w:color="auto" w:sz="4" w:space="0"/>
              <w:right w:val="single" w:color="auto" w:sz="4" w:space="0"/>
            </w:tcBorders>
            <w:noWrap w:val="0"/>
            <w:vAlign w:val="center"/>
          </w:tcPr>
          <w:p w14:paraId="4B398DF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w:t>
            </w:r>
            <w:r>
              <w:rPr>
                <w:rFonts w:hint="eastAsia" w:ascii="仿宋_GB2312" w:hAnsi="宋体" w:eastAsia="仿宋_GB2312" w:cs="宋体"/>
                <w:color w:val="auto"/>
                <w:kern w:val="0"/>
                <w:sz w:val="24"/>
                <w:highlight w:val="none"/>
                <w:u w:val="none"/>
                <w:shd w:val="clear" w:fill="FFFFFF"/>
              </w:rPr>
              <w:t>波化砖</w:t>
            </w:r>
            <w:r>
              <w:rPr>
                <w:rFonts w:hint="eastAsia" w:ascii="仿宋_GB2312" w:hAnsi="宋体" w:eastAsia="仿宋_GB2312" w:cs="宋体"/>
                <w:color w:val="auto"/>
                <w:kern w:val="0"/>
                <w:sz w:val="24"/>
                <w:highlight w:val="none"/>
                <w:u w:val="none"/>
              </w:rPr>
              <w:t>贴面</w:t>
            </w:r>
          </w:p>
        </w:tc>
        <w:tc>
          <w:tcPr>
            <w:tcW w:w="2694" w:type="dxa"/>
            <w:tcBorders>
              <w:top w:val="nil"/>
              <w:left w:val="nil"/>
              <w:bottom w:val="single" w:color="auto" w:sz="4" w:space="0"/>
              <w:right w:val="single" w:color="auto" w:sz="4" w:space="0"/>
            </w:tcBorders>
            <w:noWrap w:val="0"/>
            <w:vAlign w:val="center"/>
          </w:tcPr>
          <w:p w14:paraId="0FE05F2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B14A50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6A7C773">
        <w:tblPrEx>
          <w:tblCellMar>
            <w:top w:w="0" w:type="dxa"/>
            <w:left w:w="108" w:type="dxa"/>
            <w:bottom w:w="0" w:type="dxa"/>
            <w:right w:w="108" w:type="dxa"/>
          </w:tblCellMar>
        </w:tblPrEx>
        <w:trPr>
          <w:trHeight w:val="414" w:hRule="atLeast"/>
        </w:trPr>
        <w:tc>
          <w:tcPr>
            <w:tcW w:w="866" w:type="dxa"/>
            <w:tcBorders>
              <w:top w:val="nil"/>
              <w:left w:val="single" w:color="auto" w:sz="4" w:space="0"/>
              <w:bottom w:val="single" w:color="auto" w:sz="4" w:space="0"/>
              <w:right w:val="single" w:color="auto" w:sz="4" w:space="0"/>
            </w:tcBorders>
            <w:noWrap w:val="0"/>
            <w:vAlign w:val="center"/>
          </w:tcPr>
          <w:p w14:paraId="2445A1E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p>
        </w:tc>
        <w:tc>
          <w:tcPr>
            <w:tcW w:w="2551" w:type="dxa"/>
            <w:gridSpan w:val="2"/>
            <w:tcBorders>
              <w:top w:val="single" w:color="auto" w:sz="4" w:space="0"/>
              <w:left w:val="nil"/>
              <w:bottom w:val="single" w:color="auto" w:sz="4" w:space="0"/>
              <w:right w:val="single" w:color="auto" w:sz="4" w:space="0"/>
            </w:tcBorders>
            <w:noWrap w:val="0"/>
            <w:vAlign w:val="center"/>
          </w:tcPr>
          <w:p w14:paraId="705976C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围墙铁栏杆</w:t>
            </w:r>
          </w:p>
        </w:tc>
        <w:tc>
          <w:tcPr>
            <w:tcW w:w="2694" w:type="dxa"/>
            <w:tcBorders>
              <w:top w:val="nil"/>
              <w:left w:val="nil"/>
              <w:bottom w:val="single" w:color="auto" w:sz="4" w:space="0"/>
              <w:right w:val="single" w:color="auto" w:sz="4" w:space="0"/>
            </w:tcBorders>
            <w:noWrap w:val="0"/>
            <w:vAlign w:val="center"/>
          </w:tcPr>
          <w:p w14:paraId="7F3376A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—160元/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58C4B4A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B1B92AF">
        <w:tblPrEx>
          <w:tblCellMar>
            <w:top w:w="0" w:type="dxa"/>
            <w:left w:w="108" w:type="dxa"/>
            <w:bottom w:w="0" w:type="dxa"/>
            <w:right w:w="108" w:type="dxa"/>
          </w:tblCellMar>
        </w:tblPrEx>
        <w:trPr>
          <w:trHeight w:val="420" w:hRule="atLeast"/>
        </w:trPr>
        <w:tc>
          <w:tcPr>
            <w:tcW w:w="866" w:type="dxa"/>
            <w:tcBorders>
              <w:top w:val="nil"/>
              <w:left w:val="single" w:color="auto" w:sz="4" w:space="0"/>
              <w:bottom w:val="single" w:color="auto" w:sz="4" w:space="0"/>
              <w:right w:val="single" w:color="auto" w:sz="4" w:space="0"/>
            </w:tcBorders>
            <w:noWrap w:val="0"/>
            <w:vAlign w:val="center"/>
          </w:tcPr>
          <w:p w14:paraId="737F205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w:t>
            </w:r>
          </w:p>
        </w:tc>
        <w:tc>
          <w:tcPr>
            <w:tcW w:w="2551" w:type="dxa"/>
            <w:gridSpan w:val="2"/>
            <w:tcBorders>
              <w:top w:val="single" w:color="auto" w:sz="4" w:space="0"/>
              <w:left w:val="nil"/>
              <w:bottom w:val="single" w:color="auto" w:sz="4" w:space="0"/>
              <w:right w:val="single" w:color="auto" w:sz="4" w:space="0"/>
            </w:tcBorders>
            <w:noWrap w:val="0"/>
            <w:vAlign w:val="center"/>
          </w:tcPr>
          <w:p w14:paraId="57A8C47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普通围墙铁门</w:t>
            </w:r>
          </w:p>
        </w:tc>
        <w:tc>
          <w:tcPr>
            <w:tcW w:w="2694" w:type="dxa"/>
            <w:tcBorders>
              <w:top w:val="nil"/>
              <w:left w:val="nil"/>
              <w:bottom w:val="single" w:color="auto" w:sz="4" w:space="0"/>
              <w:right w:val="single" w:color="auto" w:sz="4" w:space="0"/>
            </w:tcBorders>
            <w:noWrap w:val="0"/>
            <w:vAlign w:val="center"/>
          </w:tcPr>
          <w:p w14:paraId="16366BB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—350元/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5EF7313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B1CE192">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noWrap w:val="0"/>
            <w:vAlign w:val="center"/>
          </w:tcPr>
          <w:p w14:paraId="41DC50D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14</w:t>
            </w:r>
          </w:p>
        </w:tc>
        <w:tc>
          <w:tcPr>
            <w:tcW w:w="2551" w:type="dxa"/>
            <w:gridSpan w:val="2"/>
            <w:tcBorders>
              <w:top w:val="single" w:color="auto" w:sz="4" w:space="0"/>
              <w:left w:val="nil"/>
              <w:bottom w:val="single" w:color="auto" w:sz="4" w:space="0"/>
              <w:right w:val="single" w:color="auto" w:sz="4" w:space="0"/>
            </w:tcBorders>
            <w:noWrap w:val="0"/>
            <w:vAlign w:val="center"/>
          </w:tcPr>
          <w:p w14:paraId="14FCBA8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室外厨房用蓄水池</w:t>
            </w:r>
          </w:p>
        </w:tc>
        <w:tc>
          <w:tcPr>
            <w:tcW w:w="2694" w:type="dxa"/>
            <w:tcBorders>
              <w:top w:val="nil"/>
              <w:left w:val="nil"/>
              <w:bottom w:val="single" w:color="auto" w:sz="4" w:space="0"/>
              <w:right w:val="single" w:color="auto" w:sz="4" w:space="0"/>
            </w:tcBorders>
            <w:noWrap w:val="0"/>
            <w:vAlign w:val="center"/>
          </w:tcPr>
          <w:p w14:paraId="272FC28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—400元/个</w:t>
            </w:r>
          </w:p>
        </w:tc>
        <w:tc>
          <w:tcPr>
            <w:tcW w:w="2754" w:type="dxa"/>
            <w:tcBorders>
              <w:top w:val="nil"/>
              <w:left w:val="nil"/>
              <w:bottom w:val="single" w:color="auto" w:sz="4" w:space="0"/>
              <w:right w:val="single" w:color="auto" w:sz="4" w:space="0"/>
            </w:tcBorders>
            <w:noWrap w:val="0"/>
            <w:vAlign w:val="center"/>
          </w:tcPr>
          <w:p w14:paraId="45F17A2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08F0844">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noWrap w:val="0"/>
            <w:vAlign w:val="center"/>
          </w:tcPr>
          <w:p w14:paraId="088E419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p>
        </w:tc>
        <w:tc>
          <w:tcPr>
            <w:tcW w:w="2551" w:type="dxa"/>
            <w:gridSpan w:val="2"/>
            <w:tcBorders>
              <w:top w:val="single" w:color="auto" w:sz="4" w:space="0"/>
              <w:left w:val="nil"/>
              <w:bottom w:val="single" w:color="auto" w:sz="4" w:space="0"/>
              <w:right w:val="single" w:color="auto" w:sz="4" w:space="0"/>
            </w:tcBorders>
            <w:noWrap w:val="0"/>
            <w:vAlign w:val="center"/>
          </w:tcPr>
          <w:p w14:paraId="3622357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室外蓄水池</w:t>
            </w:r>
          </w:p>
        </w:tc>
        <w:tc>
          <w:tcPr>
            <w:tcW w:w="2694" w:type="dxa"/>
            <w:tcBorders>
              <w:top w:val="nil"/>
              <w:left w:val="nil"/>
              <w:bottom w:val="single" w:color="auto" w:sz="4" w:space="0"/>
              <w:right w:val="single" w:color="auto" w:sz="4" w:space="0"/>
            </w:tcBorders>
            <w:noWrap w:val="0"/>
            <w:vAlign w:val="center"/>
          </w:tcPr>
          <w:p w14:paraId="72228D8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550元/m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3C8BAD8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按容积计　</w:t>
            </w:r>
          </w:p>
        </w:tc>
      </w:tr>
      <w:tr w14:paraId="02941809">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noWrap w:val="0"/>
            <w:vAlign w:val="center"/>
          </w:tcPr>
          <w:p w14:paraId="03F2054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w:t>
            </w:r>
          </w:p>
        </w:tc>
        <w:tc>
          <w:tcPr>
            <w:tcW w:w="2551" w:type="dxa"/>
            <w:gridSpan w:val="2"/>
            <w:tcBorders>
              <w:top w:val="single" w:color="auto" w:sz="4" w:space="0"/>
              <w:left w:val="nil"/>
              <w:bottom w:val="single" w:color="auto" w:sz="4" w:space="0"/>
              <w:right w:val="single" w:color="auto" w:sz="4" w:space="0"/>
            </w:tcBorders>
            <w:noWrap w:val="0"/>
            <w:vAlign w:val="center"/>
          </w:tcPr>
          <w:p w14:paraId="3CED07E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化粪池</w:t>
            </w:r>
          </w:p>
        </w:tc>
        <w:tc>
          <w:tcPr>
            <w:tcW w:w="2694" w:type="dxa"/>
            <w:tcBorders>
              <w:top w:val="nil"/>
              <w:left w:val="nil"/>
              <w:bottom w:val="single" w:color="auto" w:sz="4" w:space="0"/>
              <w:right w:val="single" w:color="auto" w:sz="4" w:space="0"/>
            </w:tcBorders>
            <w:noWrap w:val="0"/>
            <w:vAlign w:val="center"/>
          </w:tcPr>
          <w:p w14:paraId="6FE6515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—1500元/座</w:t>
            </w:r>
          </w:p>
        </w:tc>
        <w:tc>
          <w:tcPr>
            <w:tcW w:w="2754" w:type="dxa"/>
            <w:tcBorders>
              <w:top w:val="nil"/>
              <w:left w:val="nil"/>
              <w:bottom w:val="single" w:color="auto" w:sz="4" w:space="0"/>
              <w:right w:val="single" w:color="auto" w:sz="4" w:space="0"/>
            </w:tcBorders>
            <w:noWrap w:val="0"/>
            <w:vAlign w:val="center"/>
          </w:tcPr>
          <w:p w14:paraId="3828A40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69D1DDC">
        <w:tblPrEx>
          <w:tblCellMar>
            <w:top w:w="0" w:type="dxa"/>
            <w:left w:w="108" w:type="dxa"/>
            <w:bottom w:w="0" w:type="dxa"/>
            <w:right w:w="108" w:type="dxa"/>
          </w:tblCellMar>
        </w:tblPrEx>
        <w:trPr>
          <w:trHeight w:val="416" w:hRule="atLeast"/>
        </w:trPr>
        <w:tc>
          <w:tcPr>
            <w:tcW w:w="866" w:type="dxa"/>
            <w:tcBorders>
              <w:top w:val="nil"/>
              <w:left w:val="single" w:color="auto" w:sz="4" w:space="0"/>
              <w:bottom w:val="single" w:color="auto" w:sz="4" w:space="0"/>
              <w:right w:val="single" w:color="auto" w:sz="4" w:space="0"/>
            </w:tcBorders>
            <w:noWrap w:val="0"/>
            <w:vAlign w:val="center"/>
          </w:tcPr>
          <w:p w14:paraId="3E5950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17</w:t>
            </w:r>
          </w:p>
        </w:tc>
        <w:tc>
          <w:tcPr>
            <w:tcW w:w="2551" w:type="dxa"/>
            <w:gridSpan w:val="2"/>
            <w:tcBorders>
              <w:top w:val="single" w:color="auto" w:sz="4" w:space="0"/>
              <w:left w:val="nil"/>
              <w:bottom w:val="single" w:color="auto" w:sz="4" w:space="0"/>
              <w:right w:val="single" w:color="auto" w:sz="4" w:space="0"/>
            </w:tcBorders>
            <w:noWrap w:val="0"/>
            <w:vAlign w:val="center"/>
          </w:tcPr>
          <w:p w14:paraId="402C6F5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有线电视</w:t>
            </w:r>
          </w:p>
        </w:tc>
        <w:tc>
          <w:tcPr>
            <w:tcW w:w="2694" w:type="dxa"/>
            <w:tcBorders>
              <w:top w:val="nil"/>
              <w:left w:val="nil"/>
              <w:bottom w:val="single" w:color="auto" w:sz="4" w:space="0"/>
              <w:right w:val="single" w:color="auto" w:sz="4" w:space="0"/>
            </w:tcBorders>
            <w:noWrap w:val="0"/>
            <w:vAlign w:val="center"/>
          </w:tcPr>
          <w:p w14:paraId="39BEE51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330元/户</w:t>
            </w:r>
          </w:p>
        </w:tc>
        <w:tc>
          <w:tcPr>
            <w:tcW w:w="2754" w:type="dxa"/>
            <w:tcBorders>
              <w:top w:val="nil"/>
              <w:left w:val="nil"/>
              <w:bottom w:val="single" w:color="auto" w:sz="4" w:space="0"/>
              <w:right w:val="single" w:color="auto" w:sz="4" w:space="0"/>
            </w:tcBorders>
            <w:noWrap w:val="0"/>
            <w:vAlign w:val="center"/>
          </w:tcPr>
          <w:p w14:paraId="3CEDCF1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CD1EF84">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noWrap w:val="0"/>
            <w:vAlign w:val="center"/>
          </w:tcPr>
          <w:p w14:paraId="52C7CF1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p>
        </w:tc>
        <w:tc>
          <w:tcPr>
            <w:tcW w:w="2551" w:type="dxa"/>
            <w:gridSpan w:val="2"/>
            <w:tcBorders>
              <w:top w:val="single" w:color="auto" w:sz="4" w:space="0"/>
              <w:left w:val="nil"/>
              <w:bottom w:val="single" w:color="auto" w:sz="4" w:space="0"/>
              <w:right w:val="single" w:color="auto" w:sz="4" w:space="0"/>
            </w:tcBorders>
            <w:noWrap w:val="0"/>
            <w:vAlign w:val="center"/>
          </w:tcPr>
          <w:p w14:paraId="7174749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电话</w:t>
            </w:r>
          </w:p>
        </w:tc>
        <w:tc>
          <w:tcPr>
            <w:tcW w:w="2694" w:type="dxa"/>
            <w:tcBorders>
              <w:top w:val="nil"/>
              <w:left w:val="nil"/>
              <w:bottom w:val="single" w:color="auto" w:sz="4" w:space="0"/>
              <w:right w:val="single" w:color="auto" w:sz="4" w:space="0"/>
            </w:tcBorders>
            <w:noWrap w:val="0"/>
            <w:vAlign w:val="center"/>
          </w:tcPr>
          <w:p w14:paraId="46F7283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180元/户</w:t>
            </w:r>
          </w:p>
        </w:tc>
        <w:tc>
          <w:tcPr>
            <w:tcW w:w="2754" w:type="dxa"/>
            <w:tcBorders>
              <w:top w:val="nil"/>
              <w:left w:val="nil"/>
              <w:bottom w:val="single" w:color="auto" w:sz="4" w:space="0"/>
              <w:right w:val="single" w:color="auto" w:sz="4" w:space="0"/>
            </w:tcBorders>
            <w:noWrap w:val="0"/>
            <w:vAlign w:val="center"/>
          </w:tcPr>
          <w:p w14:paraId="015331F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448249C">
        <w:tblPrEx>
          <w:tblCellMar>
            <w:top w:w="0" w:type="dxa"/>
            <w:left w:w="108" w:type="dxa"/>
            <w:bottom w:w="0" w:type="dxa"/>
            <w:right w:w="108" w:type="dxa"/>
          </w:tblCellMar>
        </w:tblPrEx>
        <w:trPr>
          <w:trHeight w:val="415" w:hRule="atLeast"/>
        </w:trPr>
        <w:tc>
          <w:tcPr>
            <w:tcW w:w="866" w:type="dxa"/>
            <w:tcBorders>
              <w:top w:val="nil"/>
              <w:left w:val="single" w:color="auto" w:sz="4" w:space="0"/>
              <w:bottom w:val="single" w:color="auto" w:sz="4" w:space="0"/>
              <w:right w:val="single" w:color="auto" w:sz="4" w:space="0"/>
            </w:tcBorders>
            <w:noWrap w:val="0"/>
            <w:vAlign w:val="center"/>
          </w:tcPr>
          <w:p w14:paraId="499D5D4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w:t>
            </w:r>
          </w:p>
        </w:tc>
        <w:tc>
          <w:tcPr>
            <w:tcW w:w="2551" w:type="dxa"/>
            <w:gridSpan w:val="2"/>
            <w:tcBorders>
              <w:top w:val="single" w:color="auto" w:sz="4" w:space="0"/>
              <w:left w:val="nil"/>
              <w:bottom w:val="single" w:color="auto" w:sz="4" w:space="0"/>
              <w:right w:val="single" w:color="000000" w:sz="4" w:space="0"/>
            </w:tcBorders>
            <w:noWrap w:val="0"/>
            <w:vAlign w:val="center"/>
          </w:tcPr>
          <w:p w14:paraId="38AAE6C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晒坪</w:t>
            </w:r>
          </w:p>
        </w:tc>
        <w:tc>
          <w:tcPr>
            <w:tcW w:w="2694" w:type="dxa"/>
            <w:tcBorders>
              <w:top w:val="nil"/>
              <w:left w:val="nil"/>
              <w:bottom w:val="single" w:color="auto" w:sz="4" w:space="0"/>
              <w:right w:val="single" w:color="auto" w:sz="4" w:space="0"/>
            </w:tcBorders>
            <w:noWrap w:val="0"/>
            <w:vAlign w:val="center"/>
          </w:tcPr>
          <w:p w14:paraId="2FD44F1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31EBB3B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ADE2F22">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noWrap w:val="0"/>
            <w:vAlign w:val="center"/>
          </w:tcPr>
          <w:p w14:paraId="672CA27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p>
        </w:tc>
        <w:tc>
          <w:tcPr>
            <w:tcW w:w="2551" w:type="dxa"/>
            <w:gridSpan w:val="2"/>
            <w:tcBorders>
              <w:top w:val="single" w:color="auto" w:sz="4" w:space="0"/>
              <w:left w:val="nil"/>
              <w:bottom w:val="single" w:color="auto" w:sz="4" w:space="0"/>
              <w:right w:val="single" w:color="auto" w:sz="4" w:space="0"/>
            </w:tcBorders>
            <w:noWrap w:val="0"/>
            <w:vAlign w:val="center"/>
          </w:tcPr>
          <w:p w14:paraId="6A9CBCB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室外砼地面</w:t>
            </w:r>
          </w:p>
        </w:tc>
        <w:tc>
          <w:tcPr>
            <w:tcW w:w="2694" w:type="dxa"/>
            <w:tcBorders>
              <w:top w:val="nil"/>
              <w:left w:val="nil"/>
              <w:bottom w:val="single" w:color="auto" w:sz="4" w:space="0"/>
              <w:right w:val="single" w:color="auto" w:sz="4" w:space="0"/>
            </w:tcBorders>
            <w:noWrap w:val="0"/>
            <w:vAlign w:val="center"/>
          </w:tcPr>
          <w:p w14:paraId="7C3447A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42B0DF7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DBA56FC">
        <w:tblPrEx>
          <w:tblCellMar>
            <w:top w:w="0" w:type="dxa"/>
            <w:left w:w="108" w:type="dxa"/>
            <w:bottom w:w="0" w:type="dxa"/>
            <w:right w:w="108" w:type="dxa"/>
          </w:tblCellMar>
        </w:tblPrEx>
        <w:trPr>
          <w:trHeight w:val="426" w:hRule="atLeast"/>
        </w:trPr>
        <w:tc>
          <w:tcPr>
            <w:tcW w:w="866" w:type="dxa"/>
            <w:tcBorders>
              <w:top w:val="nil"/>
              <w:left w:val="single" w:color="auto" w:sz="4" w:space="0"/>
              <w:bottom w:val="single" w:color="auto" w:sz="4" w:space="0"/>
              <w:right w:val="single" w:color="auto" w:sz="4" w:space="0"/>
            </w:tcBorders>
            <w:noWrap w:val="0"/>
            <w:vAlign w:val="center"/>
          </w:tcPr>
          <w:p w14:paraId="548E23B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21</w:t>
            </w:r>
          </w:p>
        </w:tc>
        <w:tc>
          <w:tcPr>
            <w:tcW w:w="2551" w:type="dxa"/>
            <w:gridSpan w:val="2"/>
            <w:tcBorders>
              <w:top w:val="single" w:color="auto" w:sz="4" w:space="0"/>
              <w:left w:val="nil"/>
              <w:bottom w:val="single" w:color="auto" w:sz="4" w:space="0"/>
              <w:right w:val="single" w:color="auto" w:sz="4" w:space="0"/>
            </w:tcBorders>
            <w:noWrap w:val="0"/>
            <w:vAlign w:val="center"/>
          </w:tcPr>
          <w:p w14:paraId="32342C1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整毛石护坡</w:t>
            </w:r>
          </w:p>
        </w:tc>
        <w:tc>
          <w:tcPr>
            <w:tcW w:w="2694" w:type="dxa"/>
            <w:tcBorders>
              <w:top w:val="nil"/>
              <w:left w:val="nil"/>
              <w:bottom w:val="single" w:color="auto" w:sz="4" w:space="0"/>
              <w:right w:val="single" w:color="auto" w:sz="4" w:space="0"/>
            </w:tcBorders>
            <w:noWrap w:val="0"/>
            <w:vAlign w:val="center"/>
          </w:tcPr>
          <w:p w14:paraId="64DF856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26</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0588BC2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06243E8">
        <w:tblPrEx>
          <w:tblCellMar>
            <w:top w:w="0" w:type="dxa"/>
            <w:left w:w="108" w:type="dxa"/>
            <w:bottom w:w="0" w:type="dxa"/>
            <w:right w:w="108" w:type="dxa"/>
          </w:tblCellMar>
        </w:tblPrEx>
        <w:trPr>
          <w:trHeight w:val="547" w:hRule="atLeast"/>
        </w:trPr>
        <w:tc>
          <w:tcPr>
            <w:tcW w:w="866" w:type="dxa"/>
            <w:tcBorders>
              <w:top w:val="nil"/>
              <w:left w:val="single" w:color="auto" w:sz="4" w:space="0"/>
              <w:bottom w:val="single" w:color="auto" w:sz="4" w:space="0"/>
              <w:right w:val="single" w:color="auto" w:sz="4" w:space="0"/>
            </w:tcBorders>
            <w:noWrap w:val="0"/>
            <w:vAlign w:val="center"/>
          </w:tcPr>
          <w:p w14:paraId="394DB9D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w:t>
            </w:r>
          </w:p>
        </w:tc>
        <w:tc>
          <w:tcPr>
            <w:tcW w:w="2551" w:type="dxa"/>
            <w:gridSpan w:val="2"/>
            <w:tcBorders>
              <w:top w:val="single" w:color="auto" w:sz="4" w:space="0"/>
              <w:left w:val="nil"/>
              <w:bottom w:val="single" w:color="auto" w:sz="4" w:space="0"/>
              <w:right w:val="single" w:color="auto" w:sz="4" w:space="0"/>
            </w:tcBorders>
            <w:noWrap w:val="0"/>
            <w:vAlign w:val="center"/>
          </w:tcPr>
          <w:p w14:paraId="2DA690E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乱毛石护坡</w:t>
            </w:r>
          </w:p>
        </w:tc>
        <w:tc>
          <w:tcPr>
            <w:tcW w:w="2694" w:type="dxa"/>
            <w:tcBorders>
              <w:top w:val="nil"/>
              <w:left w:val="nil"/>
              <w:bottom w:val="single" w:color="auto" w:sz="4" w:space="0"/>
              <w:right w:val="single" w:color="auto" w:sz="4" w:space="0"/>
            </w:tcBorders>
            <w:noWrap w:val="0"/>
            <w:vAlign w:val="center"/>
          </w:tcPr>
          <w:p w14:paraId="68A3FBA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18</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3B9979D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345E9A7">
        <w:tblPrEx>
          <w:tblCellMar>
            <w:top w:w="0" w:type="dxa"/>
            <w:left w:w="108" w:type="dxa"/>
            <w:bottom w:w="0" w:type="dxa"/>
            <w:right w:w="108" w:type="dxa"/>
          </w:tblCellMar>
        </w:tblPrEx>
        <w:trPr>
          <w:trHeight w:val="1405" w:hRule="atLeast"/>
        </w:trPr>
        <w:tc>
          <w:tcPr>
            <w:tcW w:w="866" w:type="dxa"/>
            <w:tcBorders>
              <w:top w:val="nil"/>
              <w:left w:val="single" w:color="auto" w:sz="4" w:space="0"/>
              <w:bottom w:val="single" w:color="auto" w:sz="4" w:space="0"/>
              <w:right w:val="single" w:color="auto" w:sz="4" w:space="0"/>
            </w:tcBorders>
            <w:noWrap w:val="0"/>
            <w:vAlign w:val="center"/>
          </w:tcPr>
          <w:p w14:paraId="6F9B4C2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23</w:t>
            </w:r>
          </w:p>
        </w:tc>
        <w:tc>
          <w:tcPr>
            <w:tcW w:w="2551" w:type="dxa"/>
            <w:gridSpan w:val="2"/>
            <w:tcBorders>
              <w:top w:val="single" w:color="auto" w:sz="4" w:space="0"/>
              <w:left w:val="nil"/>
              <w:bottom w:val="single" w:color="auto" w:sz="4" w:space="0"/>
              <w:right w:val="single" w:color="auto" w:sz="4" w:space="0"/>
            </w:tcBorders>
            <w:noWrap w:val="0"/>
            <w:vAlign w:val="center"/>
          </w:tcPr>
          <w:p w14:paraId="3E9AADE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门亭</w:t>
            </w:r>
          </w:p>
        </w:tc>
        <w:tc>
          <w:tcPr>
            <w:tcW w:w="2694" w:type="dxa"/>
            <w:tcBorders>
              <w:top w:val="nil"/>
              <w:left w:val="nil"/>
              <w:bottom w:val="single" w:color="auto" w:sz="4" w:space="0"/>
              <w:right w:val="single" w:color="auto" w:sz="4" w:space="0"/>
            </w:tcBorders>
            <w:noWrap w:val="0"/>
            <w:vAlign w:val="center"/>
          </w:tcPr>
          <w:p w14:paraId="7379C79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有盖门亭（含柱）500—600元/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；双层带斜顶门亭（含柱和斜</w:t>
            </w:r>
            <w:r>
              <w:rPr>
                <w:rFonts w:hint="eastAsia" w:ascii="仿宋_GB2312" w:hAnsi="宋体" w:eastAsia="仿宋_GB2312" w:cs="宋体"/>
                <w:color w:val="auto"/>
                <w:kern w:val="0"/>
                <w:sz w:val="24"/>
                <w:highlight w:val="none"/>
                <w:u w:val="none"/>
                <w:shd w:val="clear" w:fill="FFFFFF"/>
              </w:rPr>
              <w:t>顶贴</w:t>
            </w:r>
            <w:r>
              <w:rPr>
                <w:rFonts w:hint="eastAsia" w:ascii="仿宋_GB2312" w:hAnsi="宋体" w:eastAsia="仿宋_GB2312" w:cs="宋体"/>
                <w:color w:val="auto"/>
                <w:kern w:val="0"/>
                <w:sz w:val="24"/>
                <w:highlight w:val="none"/>
                <w:u w:val="none"/>
              </w:rPr>
              <w:t>瓦）800—1000元/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3BFFB5F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按顶盖投影面积计　</w:t>
            </w:r>
          </w:p>
        </w:tc>
      </w:tr>
      <w:tr w14:paraId="4CFA61C6">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0E4D0AB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w:t>
            </w:r>
          </w:p>
        </w:tc>
        <w:tc>
          <w:tcPr>
            <w:tcW w:w="2551" w:type="dxa"/>
            <w:gridSpan w:val="2"/>
            <w:tcBorders>
              <w:top w:val="single" w:color="auto" w:sz="4" w:space="0"/>
              <w:left w:val="nil"/>
              <w:bottom w:val="single" w:color="auto" w:sz="4" w:space="0"/>
              <w:right w:val="single" w:color="auto" w:sz="4" w:space="0"/>
            </w:tcBorders>
            <w:noWrap w:val="0"/>
            <w:vAlign w:val="center"/>
          </w:tcPr>
          <w:p w14:paraId="7862728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毛石基础</w:t>
            </w:r>
          </w:p>
        </w:tc>
        <w:tc>
          <w:tcPr>
            <w:tcW w:w="2694" w:type="dxa"/>
            <w:tcBorders>
              <w:top w:val="single" w:color="auto" w:sz="4" w:space="0"/>
              <w:left w:val="nil"/>
              <w:bottom w:val="single" w:color="auto" w:sz="4" w:space="0"/>
              <w:right w:val="single" w:color="auto" w:sz="4" w:space="0"/>
            </w:tcBorders>
            <w:noWrap w:val="0"/>
            <w:vAlign w:val="center"/>
          </w:tcPr>
          <w:p w14:paraId="6C66B729">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（含砼地圈梁的毛石基础12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noWrap w:val="0"/>
            <w:vAlign w:val="center"/>
          </w:tcPr>
          <w:p w14:paraId="47E3A6C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专指上无建筑物基础　</w:t>
            </w:r>
          </w:p>
        </w:tc>
      </w:tr>
      <w:tr w14:paraId="7A505EDA">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620A1BB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w:t>
            </w:r>
          </w:p>
        </w:tc>
        <w:tc>
          <w:tcPr>
            <w:tcW w:w="2551" w:type="dxa"/>
            <w:gridSpan w:val="2"/>
            <w:tcBorders>
              <w:top w:val="single" w:color="auto" w:sz="4" w:space="0"/>
              <w:left w:val="nil"/>
              <w:bottom w:val="single" w:color="auto" w:sz="4" w:space="0"/>
              <w:right w:val="single" w:color="auto" w:sz="4" w:space="0"/>
            </w:tcBorders>
            <w:noWrap w:val="0"/>
            <w:vAlign w:val="center"/>
          </w:tcPr>
          <w:p w14:paraId="459BBFB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钢筋砼基础</w:t>
            </w:r>
          </w:p>
        </w:tc>
        <w:tc>
          <w:tcPr>
            <w:tcW w:w="2694" w:type="dxa"/>
            <w:tcBorders>
              <w:top w:val="single" w:color="auto" w:sz="4" w:space="0"/>
              <w:left w:val="nil"/>
              <w:bottom w:val="single" w:color="auto" w:sz="4" w:space="0"/>
              <w:right w:val="single" w:color="auto" w:sz="4" w:space="0"/>
            </w:tcBorders>
            <w:noWrap w:val="0"/>
            <w:vAlign w:val="center"/>
          </w:tcPr>
          <w:p w14:paraId="05F75DC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noWrap w:val="0"/>
            <w:vAlign w:val="center"/>
          </w:tcPr>
          <w:p w14:paraId="4ABFC00A">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房屋只建至基础尚未建设上部主体</w:t>
            </w:r>
          </w:p>
        </w:tc>
      </w:tr>
      <w:tr w14:paraId="0082C57D">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551A82A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p>
        </w:tc>
        <w:tc>
          <w:tcPr>
            <w:tcW w:w="2551" w:type="dxa"/>
            <w:gridSpan w:val="2"/>
            <w:tcBorders>
              <w:top w:val="single" w:color="auto" w:sz="4" w:space="0"/>
              <w:left w:val="nil"/>
              <w:bottom w:val="single" w:color="auto" w:sz="4" w:space="0"/>
              <w:right w:val="single" w:color="auto" w:sz="4" w:space="0"/>
            </w:tcBorders>
            <w:noWrap w:val="0"/>
            <w:vAlign w:val="center"/>
          </w:tcPr>
          <w:p w14:paraId="71F94D4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机井</w:t>
            </w:r>
          </w:p>
        </w:tc>
        <w:tc>
          <w:tcPr>
            <w:tcW w:w="2694" w:type="dxa"/>
            <w:tcBorders>
              <w:top w:val="single" w:color="auto" w:sz="4" w:space="0"/>
              <w:left w:val="nil"/>
              <w:bottom w:val="single" w:color="auto" w:sz="4" w:space="0"/>
              <w:right w:val="single" w:color="auto" w:sz="4" w:space="0"/>
            </w:tcBorders>
            <w:noWrap w:val="0"/>
            <w:vAlign w:val="center"/>
          </w:tcPr>
          <w:p w14:paraId="2FBD25C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深200m（含200m）以上的按20000元/口补偿；深100</w:t>
            </w:r>
            <w:r>
              <w:rPr>
                <w:rFonts w:hint="eastAsia" w:ascii="仿宋_GB2312" w:hAnsi="宋体" w:eastAsia="仿宋_GB2312" w:cs="宋体"/>
                <w:color w:val="auto"/>
                <w:kern w:val="0"/>
                <w:sz w:val="24"/>
                <w:highlight w:val="none"/>
                <w:u w:val="none"/>
                <w:shd w:val="clear" w:fill="FFFFFF"/>
              </w:rPr>
              <w:t>-</w:t>
            </w:r>
            <w:r>
              <w:rPr>
                <w:rFonts w:hint="eastAsia" w:ascii="仿宋_GB2312" w:hAnsi="宋体" w:eastAsia="仿宋_GB2312" w:cs="宋体"/>
                <w:color w:val="auto"/>
                <w:kern w:val="0"/>
                <w:sz w:val="24"/>
                <w:highlight w:val="none"/>
                <w:u w:val="none"/>
              </w:rPr>
              <w:t>200m按15000元/口补偿；深20</w:t>
            </w:r>
            <w:r>
              <w:rPr>
                <w:rFonts w:hint="eastAsia" w:ascii="仿宋_GB2312" w:hAnsi="宋体" w:eastAsia="仿宋_GB2312" w:cs="宋体"/>
                <w:color w:val="auto"/>
                <w:kern w:val="0"/>
                <w:sz w:val="24"/>
                <w:highlight w:val="none"/>
                <w:u w:val="none"/>
                <w:shd w:val="clear" w:fill="FFFFFF"/>
              </w:rPr>
              <w:t>-</w:t>
            </w:r>
            <w:r>
              <w:rPr>
                <w:rFonts w:hint="eastAsia" w:ascii="仿宋_GB2312" w:hAnsi="宋体" w:eastAsia="仿宋_GB2312" w:cs="宋体"/>
                <w:color w:val="auto"/>
                <w:kern w:val="0"/>
                <w:sz w:val="24"/>
                <w:highlight w:val="none"/>
                <w:u w:val="none"/>
              </w:rPr>
              <w:t>100m按5000-10000元/口补偿；20m以内按5000元/口补偿。</w:t>
            </w:r>
          </w:p>
        </w:tc>
        <w:tc>
          <w:tcPr>
            <w:tcW w:w="2754" w:type="dxa"/>
            <w:tcBorders>
              <w:top w:val="single" w:color="auto" w:sz="4" w:space="0"/>
              <w:left w:val="nil"/>
              <w:bottom w:val="single" w:color="auto" w:sz="4" w:space="0"/>
              <w:right w:val="single" w:color="auto" w:sz="4" w:space="0"/>
            </w:tcBorders>
            <w:noWrap w:val="0"/>
            <w:vAlign w:val="center"/>
          </w:tcPr>
          <w:p w14:paraId="7379C3A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含配套设施补偿</w:t>
            </w:r>
          </w:p>
        </w:tc>
      </w:tr>
      <w:tr w14:paraId="4E79733B">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6C77EC5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27</w:t>
            </w:r>
          </w:p>
        </w:tc>
        <w:tc>
          <w:tcPr>
            <w:tcW w:w="2551" w:type="dxa"/>
            <w:gridSpan w:val="2"/>
            <w:tcBorders>
              <w:top w:val="single" w:color="auto" w:sz="4" w:space="0"/>
              <w:left w:val="nil"/>
              <w:bottom w:val="single" w:color="auto" w:sz="4" w:space="0"/>
              <w:right w:val="single" w:color="auto" w:sz="4" w:space="0"/>
            </w:tcBorders>
            <w:noWrap w:val="0"/>
            <w:vAlign w:val="center"/>
          </w:tcPr>
          <w:p w14:paraId="36851C5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罗马式立柱（4m多）</w:t>
            </w:r>
          </w:p>
        </w:tc>
        <w:tc>
          <w:tcPr>
            <w:tcW w:w="2694" w:type="dxa"/>
            <w:tcBorders>
              <w:top w:val="nil"/>
              <w:left w:val="nil"/>
              <w:bottom w:val="single" w:color="auto" w:sz="4" w:space="0"/>
              <w:right w:val="single" w:color="auto" w:sz="4" w:space="0"/>
            </w:tcBorders>
            <w:noWrap w:val="0"/>
            <w:vAlign w:val="center"/>
          </w:tcPr>
          <w:p w14:paraId="18F9A9E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—3000元/套</w:t>
            </w:r>
          </w:p>
        </w:tc>
        <w:tc>
          <w:tcPr>
            <w:tcW w:w="2754" w:type="dxa"/>
            <w:tcBorders>
              <w:top w:val="nil"/>
              <w:left w:val="nil"/>
              <w:bottom w:val="single" w:color="auto" w:sz="4" w:space="0"/>
              <w:right w:val="single" w:color="auto" w:sz="4" w:space="0"/>
            </w:tcBorders>
            <w:noWrap w:val="0"/>
            <w:vAlign w:val="center"/>
          </w:tcPr>
          <w:p w14:paraId="6DDD77A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指混凝土浇筑　</w:t>
            </w:r>
          </w:p>
        </w:tc>
      </w:tr>
      <w:tr w14:paraId="5BD13B1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28888B4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28</w:t>
            </w:r>
          </w:p>
        </w:tc>
        <w:tc>
          <w:tcPr>
            <w:tcW w:w="2551" w:type="dxa"/>
            <w:gridSpan w:val="2"/>
            <w:tcBorders>
              <w:top w:val="single" w:color="auto" w:sz="4" w:space="0"/>
              <w:left w:val="nil"/>
              <w:bottom w:val="single" w:color="auto" w:sz="4" w:space="0"/>
              <w:right w:val="single" w:color="auto" w:sz="4" w:space="0"/>
            </w:tcBorders>
            <w:noWrap w:val="0"/>
            <w:vAlign w:val="center"/>
          </w:tcPr>
          <w:p w14:paraId="0178953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简易木阁楼</w:t>
            </w:r>
          </w:p>
        </w:tc>
        <w:tc>
          <w:tcPr>
            <w:tcW w:w="2694" w:type="dxa"/>
            <w:tcBorders>
              <w:top w:val="nil"/>
              <w:left w:val="nil"/>
              <w:bottom w:val="single" w:color="auto" w:sz="4" w:space="0"/>
              <w:right w:val="single" w:color="auto" w:sz="4" w:space="0"/>
            </w:tcBorders>
            <w:noWrap w:val="0"/>
            <w:vAlign w:val="center"/>
          </w:tcPr>
          <w:p w14:paraId="009BC84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200—300元/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769420F5">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和房屋同时建设的、层高H&lt;2.2m，重置价中已补价的不得重复计算。</w:t>
            </w:r>
          </w:p>
        </w:tc>
      </w:tr>
      <w:tr w14:paraId="1B9EEDED">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E48DCE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29</w:t>
            </w:r>
          </w:p>
        </w:tc>
        <w:tc>
          <w:tcPr>
            <w:tcW w:w="1264" w:type="dxa"/>
            <w:vMerge w:val="restart"/>
            <w:tcBorders>
              <w:top w:val="nil"/>
              <w:left w:val="single" w:color="auto" w:sz="4" w:space="0"/>
              <w:bottom w:val="single" w:color="auto" w:sz="4" w:space="0"/>
              <w:right w:val="single" w:color="auto" w:sz="4" w:space="0"/>
            </w:tcBorders>
            <w:noWrap w:val="0"/>
            <w:vAlign w:val="center"/>
          </w:tcPr>
          <w:p w14:paraId="2E35079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炉灶</w:t>
            </w:r>
          </w:p>
        </w:tc>
        <w:tc>
          <w:tcPr>
            <w:tcW w:w="1287" w:type="dxa"/>
            <w:tcBorders>
              <w:top w:val="nil"/>
              <w:left w:val="nil"/>
              <w:bottom w:val="single" w:color="auto" w:sz="4" w:space="0"/>
              <w:right w:val="single" w:color="auto" w:sz="4" w:space="0"/>
            </w:tcBorders>
            <w:noWrap w:val="0"/>
            <w:vAlign w:val="center"/>
          </w:tcPr>
          <w:p w14:paraId="69B9E9B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w:t>
            </w:r>
          </w:p>
        </w:tc>
        <w:tc>
          <w:tcPr>
            <w:tcW w:w="2694" w:type="dxa"/>
            <w:tcBorders>
              <w:top w:val="nil"/>
              <w:left w:val="nil"/>
              <w:bottom w:val="single" w:color="auto" w:sz="4" w:space="0"/>
              <w:right w:val="single" w:color="auto" w:sz="4" w:space="0"/>
            </w:tcBorders>
            <w:noWrap w:val="0"/>
            <w:vAlign w:val="center"/>
          </w:tcPr>
          <w:p w14:paraId="06842F0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vMerge w:val="restart"/>
            <w:tcBorders>
              <w:top w:val="nil"/>
              <w:left w:val="single" w:color="auto" w:sz="4" w:space="0"/>
              <w:bottom w:val="single" w:color="000000" w:sz="4" w:space="0"/>
              <w:right w:val="single" w:color="auto" w:sz="4" w:space="0"/>
            </w:tcBorders>
            <w:noWrap w:val="0"/>
            <w:vAlign w:val="center"/>
          </w:tcPr>
          <w:p w14:paraId="6E059E1B">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分别带烟囱的双连灶、无烟囱双连灶、单口灶等按炉口计补偿</w:t>
            </w:r>
          </w:p>
        </w:tc>
      </w:tr>
      <w:tr w14:paraId="1C7BBA3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39CABBB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p>
        </w:tc>
        <w:tc>
          <w:tcPr>
            <w:tcW w:w="1264" w:type="dxa"/>
            <w:vMerge w:val="continue"/>
            <w:tcBorders>
              <w:top w:val="nil"/>
              <w:left w:val="single" w:color="auto" w:sz="4" w:space="0"/>
              <w:bottom w:val="single" w:color="auto" w:sz="4" w:space="0"/>
              <w:right w:val="single" w:color="auto" w:sz="4" w:space="0"/>
            </w:tcBorders>
            <w:noWrap w:val="0"/>
            <w:vAlign w:val="center"/>
          </w:tcPr>
          <w:p w14:paraId="7BBBD456">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6828DD0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砖 </w:t>
            </w:r>
          </w:p>
        </w:tc>
        <w:tc>
          <w:tcPr>
            <w:tcW w:w="2694" w:type="dxa"/>
            <w:tcBorders>
              <w:top w:val="nil"/>
              <w:left w:val="nil"/>
              <w:bottom w:val="single" w:color="auto" w:sz="4" w:space="0"/>
              <w:right w:val="single" w:color="auto" w:sz="4" w:space="0"/>
            </w:tcBorders>
            <w:noWrap w:val="0"/>
            <w:vAlign w:val="center"/>
          </w:tcPr>
          <w:p w14:paraId="52C6078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noWrap w:val="0"/>
            <w:vAlign w:val="center"/>
          </w:tcPr>
          <w:p w14:paraId="3AF4F94A">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17EF7CC0">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208D7CF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31</w:t>
            </w:r>
          </w:p>
        </w:tc>
        <w:tc>
          <w:tcPr>
            <w:tcW w:w="1264" w:type="dxa"/>
            <w:vMerge w:val="continue"/>
            <w:tcBorders>
              <w:top w:val="nil"/>
              <w:left w:val="single" w:color="auto" w:sz="4" w:space="0"/>
              <w:bottom w:val="single" w:color="auto" w:sz="4" w:space="0"/>
              <w:right w:val="single" w:color="auto" w:sz="4" w:space="0"/>
            </w:tcBorders>
            <w:noWrap w:val="0"/>
            <w:vAlign w:val="center"/>
          </w:tcPr>
          <w:p w14:paraId="3E135737">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08EEAA2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瓷贴</w:t>
            </w:r>
          </w:p>
        </w:tc>
        <w:tc>
          <w:tcPr>
            <w:tcW w:w="2694" w:type="dxa"/>
            <w:tcBorders>
              <w:top w:val="nil"/>
              <w:left w:val="nil"/>
              <w:bottom w:val="single" w:color="auto" w:sz="4" w:space="0"/>
              <w:right w:val="single" w:color="auto" w:sz="4" w:space="0"/>
            </w:tcBorders>
            <w:noWrap w:val="0"/>
            <w:vAlign w:val="center"/>
          </w:tcPr>
          <w:p w14:paraId="604C678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noWrap w:val="0"/>
            <w:vAlign w:val="center"/>
          </w:tcPr>
          <w:p w14:paraId="594EFFD9">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0A29AC8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0E8822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32</w:t>
            </w:r>
          </w:p>
        </w:tc>
        <w:tc>
          <w:tcPr>
            <w:tcW w:w="2551" w:type="dxa"/>
            <w:gridSpan w:val="2"/>
            <w:tcBorders>
              <w:top w:val="single" w:color="auto" w:sz="4" w:space="0"/>
              <w:left w:val="nil"/>
              <w:bottom w:val="single" w:color="auto" w:sz="4" w:space="0"/>
              <w:right w:val="single" w:color="auto" w:sz="4" w:space="0"/>
            </w:tcBorders>
            <w:noWrap w:val="0"/>
            <w:vAlign w:val="center"/>
          </w:tcPr>
          <w:p w14:paraId="050549A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猪舍</w:t>
            </w:r>
          </w:p>
        </w:tc>
        <w:tc>
          <w:tcPr>
            <w:tcW w:w="2694" w:type="dxa"/>
            <w:tcBorders>
              <w:top w:val="nil"/>
              <w:left w:val="nil"/>
              <w:bottom w:val="single" w:color="auto" w:sz="4" w:space="0"/>
              <w:right w:val="single" w:color="auto" w:sz="4" w:space="0"/>
            </w:tcBorders>
            <w:noWrap w:val="0"/>
            <w:vAlign w:val="center"/>
          </w:tcPr>
          <w:p w14:paraId="4B5C0A9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156元/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14A72C1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30DDCBA">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45D6629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w:t>
            </w:r>
          </w:p>
        </w:tc>
        <w:tc>
          <w:tcPr>
            <w:tcW w:w="2551" w:type="dxa"/>
            <w:gridSpan w:val="2"/>
            <w:tcBorders>
              <w:top w:val="single" w:color="auto" w:sz="4" w:space="0"/>
              <w:left w:val="nil"/>
              <w:bottom w:val="single" w:color="auto" w:sz="4" w:space="0"/>
              <w:right w:val="single" w:color="auto" w:sz="4" w:space="0"/>
            </w:tcBorders>
            <w:noWrap w:val="0"/>
            <w:vAlign w:val="center"/>
          </w:tcPr>
          <w:p w14:paraId="3D2418C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鸡舍</w:t>
            </w:r>
          </w:p>
        </w:tc>
        <w:tc>
          <w:tcPr>
            <w:tcW w:w="2694" w:type="dxa"/>
            <w:tcBorders>
              <w:top w:val="nil"/>
              <w:left w:val="nil"/>
              <w:bottom w:val="single" w:color="auto" w:sz="4" w:space="0"/>
              <w:right w:val="single" w:color="auto" w:sz="4" w:space="0"/>
            </w:tcBorders>
            <w:noWrap w:val="0"/>
            <w:vAlign w:val="center"/>
          </w:tcPr>
          <w:p w14:paraId="068679A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132元/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6D3F8D2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05B502E">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79EAF5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34</w:t>
            </w:r>
          </w:p>
        </w:tc>
        <w:tc>
          <w:tcPr>
            <w:tcW w:w="2551" w:type="dxa"/>
            <w:gridSpan w:val="2"/>
            <w:tcBorders>
              <w:top w:val="single" w:color="auto" w:sz="4" w:space="0"/>
              <w:left w:val="nil"/>
              <w:bottom w:val="single" w:color="auto" w:sz="4" w:space="0"/>
              <w:right w:val="single" w:color="auto" w:sz="4" w:space="0"/>
            </w:tcBorders>
            <w:noWrap w:val="0"/>
            <w:vAlign w:val="center"/>
          </w:tcPr>
          <w:p w14:paraId="5420751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不锈钢水塔</w:t>
            </w:r>
          </w:p>
        </w:tc>
        <w:tc>
          <w:tcPr>
            <w:tcW w:w="2694" w:type="dxa"/>
            <w:tcBorders>
              <w:top w:val="nil"/>
              <w:left w:val="nil"/>
              <w:bottom w:val="single" w:color="auto" w:sz="4" w:space="0"/>
              <w:right w:val="single" w:color="auto" w:sz="4" w:space="0"/>
            </w:tcBorders>
            <w:noWrap w:val="0"/>
            <w:vAlign w:val="center"/>
          </w:tcPr>
          <w:p w14:paraId="07DEFF7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1000元/个</w:t>
            </w:r>
          </w:p>
        </w:tc>
        <w:tc>
          <w:tcPr>
            <w:tcW w:w="2754" w:type="dxa"/>
            <w:tcBorders>
              <w:top w:val="nil"/>
              <w:left w:val="nil"/>
              <w:bottom w:val="single" w:color="auto" w:sz="4" w:space="0"/>
              <w:right w:val="single" w:color="auto" w:sz="4" w:space="0"/>
            </w:tcBorders>
            <w:noWrap w:val="0"/>
            <w:vAlign w:val="center"/>
          </w:tcPr>
          <w:p w14:paraId="31A924F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10BA1DA">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7E9E2D8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w:t>
            </w:r>
          </w:p>
        </w:tc>
        <w:tc>
          <w:tcPr>
            <w:tcW w:w="2551" w:type="dxa"/>
            <w:gridSpan w:val="2"/>
            <w:tcBorders>
              <w:top w:val="single" w:color="auto" w:sz="4" w:space="0"/>
              <w:left w:val="nil"/>
              <w:bottom w:val="single" w:color="auto" w:sz="4" w:space="0"/>
              <w:right w:val="single" w:color="auto" w:sz="4" w:space="0"/>
            </w:tcBorders>
            <w:noWrap w:val="0"/>
            <w:vAlign w:val="center"/>
          </w:tcPr>
          <w:p w14:paraId="4263249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庭院灯</w:t>
            </w:r>
          </w:p>
        </w:tc>
        <w:tc>
          <w:tcPr>
            <w:tcW w:w="2694" w:type="dxa"/>
            <w:tcBorders>
              <w:top w:val="nil"/>
              <w:left w:val="nil"/>
              <w:bottom w:val="single" w:color="auto" w:sz="4" w:space="0"/>
              <w:right w:val="single" w:color="auto" w:sz="4" w:space="0"/>
            </w:tcBorders>
            <w:noWrap w:val="0"/>
            <w:vAlign w:val="center"/>
          </w:tcPr>
          <w:p w14:paraId="2621D7F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—500元/杆</w:t>
            </w:r>
          </w:p>
        </w:tc>
        <w:tc>
          <w:tcPr>
            <w:tcW w:w="2754" w:type="dxa"/>
            <w:tcBorders>
              <w:top w:val="nil"/>
              <w:left w:val="nil"/>
              <w:bottom w:val="single" w:color="auto" w:sz="4" w:space="0"/>
              <w:right w:val="single" w:color="auto" w:sz="4" w:space="0"/>
            </w:tcBorders>
            <w:noWrap w:val="0"/>
            <w:vAlign w:val="center"/>
          </w:tcPr>
          <w:p w14:paraId="1A363ED0">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庭院或露台照明的路灯，一般为5个灯头，钢管为φ880</w:t>
            </w:r>
          </w:p>
        </w:tc>
      </w:tr>
      <w:tr w14:paraId="249EFB21">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23F2EF4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w:t>
            </w:r>
          </w:p>
        </w:tc>
        <w:tc>
          <w:tcPr>
            <w:tcW w:w="2551" w:type="dxa"/>
            <w:gridSpan w:val="2"/>
            <w:tcBorders>
              <w:top w:val="single" w:color="auto" w:sz="4" w:space="0"/>
              <w:left w:val="nil"/>
              <w:bottom w:val="single" w:color="auto" w:sz="4" w:space="0"/>
              <w:right w:val="single" w:color="auto" w:sz="4" w:space="0"/>
            </w:tcBorders>
            <w:noWrap w:val="0"/>
            <w:vAlign w:val="center"/>
          </w:tcPr>
          <w:p w14:paraId="6A75AC2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宽带移机</w:t>
            </w:r>
          </w:p>
        </w:tc>
        <w:tc>
          <w:tcPr>
            <w:tcW w:w="2694" w:type="dxa"/>
            <w:tcBorders>
              <w:top w:val="single" w:color="auto" w:sz="4" w:space="0"/>
              <w:left w:val="nil"/>
              <w:bottom w:val="single" w:color="auto" w:sz="4" w:space="0"/>
              <w:right w:val="single" w:color="auto" w:sz="4" w:space="0"/>
            </w:tcBorders>
            <w:noWrap w:val="0"/>
            <w:vAlign w:val="center"/>
          </w:tcPr>
          <w:p w14:paraId="2AE78A8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220元/部</w:t>
            </w:r>
          </w:p>
        </w:tc>
        <w:tc>
          <w:tcPr>
            <w:tcW w:w="2754" w:type="dxa"/>
            <w:tcBorders>
              <w:top w:val="single" w:color="auto" w:sz="4" w:space="0"/>
              <w:left w:val="nil"/>
              <w:bottom w:val="single" w:color="auto" w:sz="4" w:space="0"/>
              <w:right w:val="single" w:color="auto" w:sz="4" w:space="0"/>
            </w:tcBorders>
            <w:noWrap w:val="0"/>
            <w:vAlign w:val="center"/>
          </w:tcPr>
          <w:p w14:paraId="5B42B7C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89110B2">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09E1CBE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37</w:t>
            </w:r>
          </w:p>
        </w:tc>
        <w:tc>
          <w:tcPr>
            <w:tcW w:w="1264" w:type="dxa"/>
            <w:vMerge w:val="restart"/>
            <w:tcBorders>
              <w:top w:val="nil"/>
              <w:left w:val="single" w:color="auto" w:sz="4" w:space="0"/>
              <w:bottom w:val="single" w:color="auto" w:sz="4" w:space="0"/>
              <w:right w:val="single" w:color="auto" w:sz="4" w:space="0"/>
            </w:tcBorders>
            <w:noWrap w:val="0"/>
            <w:vAlign w:val="center"/>
          </w:tcPr>
          <w:p w14:paraId="292AC25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三相电</w:t>
            </w:r>
          </w:p>
        </w:tc>
        <w:tc>
          <w:tcPr>
            <w:tcW w:w="1287" w:type="dxa"/>
            <w:tcBorders>
              <w:top w:val="nil"/>
              <w:left w:val="nil"/>
              <w:bottom w:val="single" w:color="auto" w:sz="4" w:space="0"/>
              <w:right w:val="single" w:color="auto" w:sz="4" w:space="0"/>
            </w:tcBorders>
            <w:noWrap w:val="0"/>
            <w:vAlign w:val="center"/>
          </w:tcPr>
          <w:p w14:paraId="0A99657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20A</w:t>
            </w:r>
          </w:p>
        </w:tc>
        <w:tc>
          <w:tcPr>
            <w:tcW w:w="2694" w:type="dxa"/>
            <w:tcBorders>
              <w:top w:val="nil"/>
              <w:left w:val="nil"/>
              <w:bottom w:val="single" w:color="auto" w:sz="4" w:space="0"/>
              <w:right w:val="single" w:color="auto" w:sz="4" w:space="0"/>
            </w:tcBorders>
            <w:noWrap w:val="0"/>
            <w:vAlign w:val="center"/>
          </w:tcPr>
          <w:p w14:paraId="643D414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1680元/部</w:t>
            </w:r>
          </w:p>
        </w:tc>
        <w:tc>
          <w:tcPr>
            <w:tcW w:w="2754" w:type="dxa"/>
            <w:vMerge w:val="restart"/>
            <w:tcBorders>
              <w:top w:val="nil"/>
              <w:left w:val="single" w:color="auto" w:sz="4" w:space="0"/>
              <w:bottom w:val="single" w:color="000000" w:sz="4" w:space="0"/>
              <w:right w:val="single" w:color="auto" w:sz="4" w:space="0"/>
            </w:tcBorders>
            <w:noWrap w:val="0"/>
            <w:vAlign w:val="center"/>
          </w:tcPr>
          <w:p w14:paraId="089FB9B3">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应提供供电所相应的发票及证明材料</w:t>
            </w:r>
          </w:p>
        </w:tc>
      </w:tr>
      <w:tr w14:paraId="5A02B0F4">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5524FC7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38</w:t>
            </w:r>
          </w:p>
        </w:tc>
        <w:tc>
          <w:tcPr>
            <w:tcW w:w="1264" w:type="dxa"/>
            <w:vMerge w:val="continue"/>
            <w:tcBorders>
              <w:top w:val="nil"/>
              <w:left w:val="single" w:color="auto" w:sz="4" w:space="0"/>
              <w:bottom w:val="single" w:color="auto" w:sz="4" w:space="0"/>
              <w:right w:val="single" w:color="auto" w:sz="4" w:space="0"/>
            </w:tcBorders>
            <w:noWrap w:val="0"/>
            <w:vAlign w:val="center"/>
          </w:tcPr>
          <w:p w14:paraId="71B14227">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7978AE0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40A</w:t>
            </w:r>
          </w:p>
        </w:tc>
        <w:tc>
          <w:tcPr>
            <w:tcW w:w="2694" w:type="dxa"/>
            <w:tcBorders>
              <w:top w:val="nil"/>
              <w:left w:val="nil"/>
              <w:bottom w:val="single" w:color="auto" w:sz="4" w:space="0"/>
              <w:right w:val="single" w:color="auto" w:sz="4" w:space="0"/>
            </w:tcBorders>
            <w:noWrap w:val="0"/>
            <w:vAlign w:val="center"/>
          </w:tcPr>
          <w:p w14:paraId="658BE20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3350元/部</w:t>
            </w:r>
          </w:p>
        </w:tc>
        <w:tc>
          <w:tcPr>
            <w:tcW w:w="2754" w:type="dxa"/>
            <w:vMerge w:val="continue"/>
            <w:tcBorders>
              <w:top w:val="nil"/>
              <w:left w:val="single" w:color="auto" w:sz="4" w:space="0"/>
              <w:bottom w:val="single" w:color="000000" w:sz="4" w:space="0"/>
              <w:right w:val="single" w:color="auto" w:sz="4" w:space="0"/>
            </w:tcBorders>
            <w:noWrap w:val="0"/>
            <w:vAlign w:val="center"/>
          </w:tcPr>
          <w:p w14:paraId="0A4BF618">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29374B87">
        <w:tblPrEx>
          <w:tblCellMar>
            <w:top w:w="0" w:type="dxa"/>
            <w:left w:w="108" w:type="dxa"/>
            <w:bottom w:w="0" w:type="dxa"/>
            <w:right w:w="108" w:type="dxa"/>
          </w:tblCellMar>
        </w:tblPrEx>
        <w:trPr>
          <w:trHeight w:val="505" w:hRule="atLeast"/>
        </w:trPr>
        <w:tc>
          <w:tcPr>
            <w:tcW w:w="866" w:type="dxa"/>
            <w:tcBorders>
              <w:top w:val="nil"/>
              <w:left w:val="single" w:color="auto" w:sz="4" w:space="0"/>
              <w:bottom w:val="single" w:color="auto" w:sz="4" w:space="0"/>
              <w:right w:val="single" w:color="auto" w:sz="4" w:space="0"/>
            </w:tcBorders>
            <w:noWrap w:val="0"/>
            <w:vAlign w:val="center"/>
          </w:tcPr>
          <w:p w14:paraId="2DED9B8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39</w:t>
            </w:r>
          </w:p>
        </w:tc>
        <w:tc>
          <w:tcPr>
            <w:tcW w:w="1264" w:type="dxa"/>
            <w:vMerge w:val="continue"/>
            <w:tcBorders>
              <w:top w:val="nil"/>
              <w:left w:val="single" w:color="auto" w:sz="4" w:space="0"/>
              <w:bottom w:val="single" w:color="auto" w:sz="4" w:space="0"/>
              <w:right w:val="single" w:color="auto" w:sz="4" w:space="0"/>
            </w:tcBorders>
            <w:noWrap w:val="0"/>
            <w:vAlign w:val="center"/>
          </w:tcPr>
          <w:p w14:paraId="66ED90F1">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61E6C47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60A</w:t>
            </w:r>
          </w:p>
        </w:tc>
        <w:tc>
          <w:tcPr>
            <w:tcW w:w="2694" w:type="dxa"/>
            <w:tcBorders>
              <w:top w:val="nil"/>
              <w:left w:val="nil"/>
              <w:bottom w:val="single" w:color="auto" w:sz="4" w:space="0"/>
              <w:right w:val="single" w:color="auto" w:sz="4" w:space="0"/>
            </w:tcBorders>
            <w:noWrap w:val="0"/>
            <w:vAlign w:val="center"/>
          </w:tcPr>
          <w:p w14:paraId="766B527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5020元/部</w:t>
            </w:r>
          </w:p>
        </w:tc>
        <w:tc>
          <w:tcPr>
            <w:tcW w:w="2754" w:type="dxa"/>
            <w:vMerge w:val="continue"/>
            <w:tcBorders>
              <w:top w:val="nil"/>
              <w:left w:val="single" w:color="auto" w:sz="4" w:space="0"/>
              <w:bottom w:val="single" w:color="000000" w:sz="4" w:space="0"/>
              <w:right w:val="single" w:color="auto" w:sz="4" w:space="0"/>
            </w:tcBorders>
            <w:noWrap w:val="0"/>
            <w:vAlign w:val="center"/>
          </w:tcPr>
          <w:p w14:paraId="59B17164">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368482A9">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CFEA52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2551" w:type="dxa"/>
            <w:gridSpan w:val="2"/>
            <w:tcBorders>
              <w:top w:val="single" w:color="auto" w:sz="4" w:space="0"/>
              <w:left w:val="nil"/>
              <w:bottom w:val="single" w:color="auto" w:sz="4" w:space="0"/>
              <w:right w:val="single" w:color="auto" w:sz="4" w:space="0"/>
            </w:tcBorders>
            <w:noWrap w:val="0"/>
            <w:vAlign w:val="center"/>
          </w:tcPr>
          <w:p w14:paraId="7FAB509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空调移机</w:t>
            </w:r>
          </w:p>
        </w:tc>
        <w:tc>
          <w:tcPr>
            <w:tcW w:w="2694" w:type="dxa"/>
            <w:tcBorders>
              <w:top w:val="nil"/>
              <w:left w:val="nil"/>
              <w:bottom w:val="single" w:color="auto" w:sz="4" w:space="0"/>
              <w:right w:val="single" w:color="auto" w:sz="4" w:space="0"/>
            </w:tcBorders>
            <w:noWrap w:val="0"/>
            <w:vAlign w:val="center"/>
          </w:tcPr>
          <w:p w14:paraId="4213BE3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noWrap w:val="0"/>
            <w:vAlign w:val="center"/>
          </w:tcPr>
          <w:p w14:paraId="7EB69E3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4F396F67">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469BB4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41</w:t>
            </w:r>
          </w:p>
        </w:tc>
        <w:tc>
          <w:tcPr>
            <w:tcW w:w="2551" w:type="dxa"/>
            <w:gridSpan w:val="2"/>
            <w:tcBorders>
              <w:top w:val="single" w:color="auto" w:sz="4" w:space="0"/>
              <w:left w:val="nil"/>
              <w:bottom w:val="single" w:color="auto" w:sz="4" w:space="0"/>
              <w:right w:val="single" w:color="auto" w:sz="4" w:space="0"/>
            </w:tcBorders>
            <w:noWrap w:val="0"/>
            <w:vAlign w:val="center"/>
          </w:tcPr>
          <w:p w14:paraId="1130635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太阳能热水器移机</w:t>
            </w:r>
          </w:p>
        </w:tc>
        <w:tc>
          <w:tcPr>
            <w:tcW w:w="2694" w:type="dxa"/>
            <w:tcBorders>
              <w:top w:val="nil"/>
              <w:left w:val="nil"/>
              <w:bottom w:val="single" w:color="auto" w:sz="4" w:space="0"/>
              <w:right w:val="single" w:color="auto" w:sz="4" w:space="0"/>
            </w:tcBorders>
            <w:noWrap w:val="0"/>
            <w:vAlign w:val="center"/>
          </w:tcPr>
          <w:p w14:paraId="1285B2C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noWrap w:val="0"/>
            <w:vAlign w:val="center"/>
          </w:tcPr>
          <w:p w14:paraId="09F7D5A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05D9749E">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0F1A2B52">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42</w:t>
            </w:r>
          </w:p>
        </w:tc>
        <w:tc>
          <w:tcPr>
            <w:tcW w:w="2551" w:type="dxa"/>
            <w:gridSpan w:val="2"/>
            <w:tcBorders>
              <w:top w:val="single" w:color="auto" w:sz="4" w:space="0"/>
              <w:left w:val="nil"/>
              <w:bottom w:val="single" w:color="auto" w:sz="4" w:space="0"/>
              <w:right w:val="single" w:color="auto" w:sz="4" w:space="0"/>
            </w:tcBorders>
            <w:noWrap w:val="0"/>
            <w:vAlign w:val="center"/>
          </w:tcPr>
          <w:p w14:paraId="01D81DA4">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供水表立户费</w:t>
            </w:r>
          </w:p>
        </w:tc>
        <w:tc>
          <w:tcPr>
            <w:tcW w:w="2694" w:type="dxa"/>
            <w:tcBorders>
              <w:top w:val="nil"/>
              <w:left w:val="nil"/>
              <w:bottom w:val="single" w:color="auto" w:sz="4" w:space="0"/>
              <w:right w:val="single" w:color="auto" w:sz="4" w:space="0"/>
            </w:tcBorders>
            <w:noWrap w:val="0"/>
            <w:vAlign w:val="center"/>
          </w:tcPr>
          <w:p w14:paraId="6F727E81">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1200元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noWrap w:val="0"/>
            <w:vAlign w:val="center"/>
          </w:tcPr>
          <w:p w14:paraId="5E87F208">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指原已审批的</w:t>
            </w:r>
          </w:p>
        </w:tc>
      </w:tr>
      <w:tr w14:paraId="0DE1A2A9">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522541D1">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43</w:t>
            </w:r>
          </w:p>
        </w:tc>
        <w:tc>
          <w:tcPr>
            <w:tcW w:w="2551" w:type="dxa"/>
            <w:gridSpan w:val="2"/>
            <w:tcBorders>
              <w:top w:val="single" w:color="auto" w:sz="4" w:space="0"/>
              <w:left w:val="nil"/>
              <w:bottom w:val="single" w:color="auto" w:sz="4" w:space="0"/>
              <w:right w:val="single" w:color="auto" w:sz="4" w:space="0"/>
            </w:tcBorders>
            <w:noWrap w:val="0"/>
            <w:vAlign w:val="center"/>
          </w:tcPr>
          <w:p w14:paraId="52FDDF13">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供电表立户费</w:t>
            </w:r>
          </w:p>
        </w:tc>
        <w:tc>
          <w:tcPr>
            <w:tcW w:w="2694" w:type="dxa"/>
            <w:tcBorders>
              <w:top w:val="nil"/>
              <w:left w:val="nil"/>
              <w:bottom w:val="single" w:color="auto" w:sz="4" w:space="0"/>
              <w:right w:val="single" w:color="auto" w:sz="4" w:space="0"/>
            </w:tcBorders>
            <w:noWrap w:val="0"/>
            <w:vAlign w:val="center"/>
          </w:tcPr>
          <w:p w14:paraId="02D9D583">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300元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noWrap w:val="0"/>
            <w:vAlign w:val="center"/>
          </w:tcPr>
          <w:p w14:paraId="27DA5AC3">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rPr>
            </w:pPr>
            <w:r>
              <w:rPr>
                <w:rFonts w:hint="eastAsia" w:ascii="仿宋_GB2312" w:hAnsi="宋体" w:eastAsia="仿宋_GB2312" w:cs="宋体"/>
                <w:b w:val="0"/>
                <w:bCs w:val="0"/>
                <w:color w:val="auto"/>
                <w:kern w:val="0"/>
                <w:sz w:val="24"/>
                <w:highlight w:val="none"/>
                <w:u w:val="none"/>
                <w:lang w:eastAsia="zh-CN"/>
              </w:rPr>
              <w:t>指原已审批的</w:t>
            </w:r>
          </w:p>
        </w:tc>
      </w:tr>
      <w:tr w14:paraId="59350495">
        <w:tblPrEx>
          <w:tblCellMar>
            <w:top w:w="0" w:type="dxa"/>
            <w:left w:w="108" w:type="dxa"/>
            <w:bottom w:w="0" w:type="dxa"/>
            <w:right w:w="108" w:type="dxa"/>
          </w:tblCellMar>
        </w:tblPrEx>
        <w:trPr>
          <w:trHeight w:val="571" w:hRule="atLeast"/>
        </w:trPr>
        <w:tc>
          <w:tcPr>
            <w:tcW w:w="8865" w:type="dxa"/>
            <w:gridSpan w:val="5"/>
            <w:tcBorders>
              <w:top w:val="single" w:color="auto" w:sz="4" w:space="0"/>
              <w:left w:val="single" w:color="auto" w:sz="4" w:space="0"/>
              <w:bottom w:val="single" w:color="auto" w:sz="4" w:space="0"/>
              <w:right w:val="single" w:color="auto" w:sz="4" w:space="0"/>
            </w:tcBorders>
            <w:noWrap w:val="0"/>
            <w:vAlign w:val="center"/>
          </w:tcPr>
          <w:p w14:paraId="41EA4A76">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注：本表未涵盖内容，由征迁工作组会同属地街道，通过市场询价或委托评估确定。</w:t>
            </w:r>
          </w:p>
        </w:tc>
      </w:tr>
    </w:tbl>
    <w:p w14:paraId="14874689">
      <w:pPr>
        <w:widowControl/>
        <w:jc w:val="center"/>
        <w:rPr>
          <w:rFonts w:hint="eastAsia" w:ascii="仿宋_GB2312" w:hAnsi="宋体" w:eastAsia="仿宋_GB2312" w:cs="宋体"/>
          <w:color w:val="auto"/>
          <w:kern w:val="0"/>
          <w:sz w:val="24"/>
          <w:highlight w:val="none"/>
          <w:u w:val="none"/>
        </w:rPr>
      </w:pPr>
    </w:p>
    <w:p w14:paraId="14D9325A">
      <w:pPr>
        <w:widowControl/>
        <w:jc w:val="both"/>
        <w:rPr>
          <w:rFonts w:hint="eastAsia" w:ascii="仿宋_GB2312" w:hAnsi="宋体" w:eastAsia="仿宋_GB2312" w:cs="宋体"/>
          <w:color w:val="auto"/>
          <w:kern w:val="0"/>
          <w:sz w:val="24"/>
          <w:highlight w:val="none"/>
          <w:u w:val="none"/>
        </w:rPr>
      </w:pPr>
    </w:p>
    <w:p w14:paraId="2ECB30B3">
      <w:pPr>
        <w:jc w:val="both"/>
        <w:rPr>
          <w:rFonts w:hint="eastAsia" w:ascii="仿宋_GB2312" w:eastAsia="仿宋_GB2312"/>
          <w:b/>
          <w:color w:val="auto"/>
          <w:kern w:val="0"/>
          <w:sz w:val="32"/>
          <w:szCs w:val="32"/>
          <w:highlight w:val="none"/>
          <w:u w:val="none"/>
          <w:lang w:val="en-US" w:eastAsia="zh-CN"/>
        </w:rPr>
      </w:pPr>
      <w:r>
        <w:rPr>
          <w:rFonts w:hint="eastAsia" w:ascii="仿宋_GB2312" w:eastAsia="仿宋_GB2312"/>
          <w:b/>
          <w:color w:val="auto"/>
          <w:kern w:val="0"/>
          <w:sz w:val="32"/>
          <w:szCs w:val="32"/>
          <w:highlight w:val="none"/>
          <w:u w:val="none"/>
        </w:rPr>
        <w:t xml:space="preserve">附表七   </w:t>
      </w:r>
      <w:r>
        <w:rPr>
          <w:rFonts w:hint="eastAsia" w:ascii="仿宋_GB2312" w:eastAsia="仿宋_GB2312"/>
          <w:b/>
          <w:color w:val="auto"/>
          <w:kern w:val="0"/>
          <w:sz w:val="32"/>
          <w:szCs w:val="32"/>
          <w:highlight w:val="none"/>
          <w:u w:val="none"/>
          <w:lang w:val="en-US" w:eastAsia="zh-CN"/>
        </w:rPr>
        <w:t xml:space="preserve">        临时搭盖的补偿规定</w:t>
      </w:r>
    </w:p>
    <w:p w14:paraId="7C78BA9F">
      <w:pPr>
        <w:ind w:firstLine="640" w:firstLineChars="200"/>
        <w:jc w:val="left"/>
        <w:rPr>
          <w:rFonts w:hint="eastAsia" w:ascii="仿宋_GB2312" w:hAnsi="仿宋_GB2312" w:eastAsia="仿宋_GB2312" w:cs="仿宋_GB2312"/>
          <w:color w:val="auto"/>
          <w:sz w:val="32"/>
          <w:szCs w:val="32"/>
          <w:highlight w:val="none"/>
          <w:u w:val="none"/>
        </w:rPr>
      </w:pPr>
    </w:p>
    <w:p w14:paraId="24AA1DC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在房屋征收过程存在较多的临时搭盖问题，本着既实事求是又遏制临时搭盖的原则，对房屋征收过程遇到的临时搭盖补偿问题作如下规定。</w:t>
      </w:r>
    </w:p>
    <w:p w14:paraId="3BA7FDDB">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临时搭盖的认定依据</w:t>
      </w:r>
    </w:p>
    <w:p w14:paraId="727F252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有以下情形之一的即认定为临时搭盖：</w:t>
      </w:r>
    </w:p>
    <w:p w14:paraId="209C269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1、以空心砖、加气砖、水泥砖为承重墙体；</w:t>
      </w:r>
    </w:p>
    <w:p w14:paraId="7A6E5C3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2、以简易钢结构为承重体系；</w:t>
      </w:r>
    </w:p>
    <w:p w14:paraId="5D85CEB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3、以12cm厚</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实心砖为承重墙体；</w:t>
      </w:r>
    </w:p>
    <w:p w14:paraId="37A213A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4、未采用钢筋混凝土或烧结</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瓦为屋顶（如：采用铁皮、石棉瓦、油毡为屋顶）。</w:t>
      </w:r>
    </w:p>
    <w:p w14:paraId="3416337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临时搭盖的建筑面积计算规定</w:t>
      </w:r>
    </w:p>
    <w:p w14:paraId="3B705BB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1、临时搭盖不论层数均按单层计算建筑面积。</w:t>
      </w:r>
    </w:p>
    <w:p w14:paraId="0EA6F12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2、临时搭盖不论层高均按一般层高单层计算建筑面积。</w:t>
      </w:r>
    </w:p>
    <w:p w14:paraId="3FA9015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3、以临时搭盖外墙面轮廓线计算建筑面积。</w:t>
      </w:r>
    </w:p>
    <w:p w14:paraId="018E83C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临时搭盖的补偿计算</w:t>
      </w:r>
    </w:p>
    <w:p w14:paraId="2727CD6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1、临时搭盖的建筑重置价补偿标准为100-300</w:t>
      </w:r>
      <w:r>
        <w:rPr>
          <w:rFonts w:hint="eastAsia" w:ascii="仿宋_GB2312" w:eastAsia="仿宋_GB2312"/>
          <w:color w:val="auto"/>
          <w:sz w:val="32"/>
          <w:szCs w:val="32"/>
          <w:highlight w:val="none"/>
          <w:u w:val="none"/>
          <w:lang w:val="zh-CN" w:eastAsia="zh-CN"/>
        </w:rPr>
        <w:t>元/</w:t>
      </w:r>
      <w:r>
        <w:rPr>
          <w:rFonts w:hint="eastAsia" w:ascii="仿宋_GB2312" w:eastAsia="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rPr>
        <w:t>。</w:t>
      </w:r>
    </w:p>
    <w:p w14:paraId="50B511E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2、临时搭盖的二次装修重置价补偿不得超过其建筑重置价补偿。</w:t>
      </w:r>
    </w:p>
    <w:p w14:paraId="621AC61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3、采用18cm或24cm厚</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实心砖为承重墙体的，可参照砖木结构二等略低标准给予建筑重置价补偿。</w:t>
      </w:r>
    </w:p>
    <w:p w14:paraId="3FA66FB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4、临时搭盖除建筑重置价和二次装修重置价补偿外，不再享有含搬迁补助在内的其他任何补偿。</w:t>
      </w:r>
    </w:p>
    <w:p w14:paraId="3EED24E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5、实施突击抢建的，由项目所在镇（街）负责拆除并不予任何补偿。</w:t>
      </w:r>
    </w:p>
    <w:p w14:paraId="3562040E">
      <w:pPr>
        <w:widowControl/>
        <w:jc w:val="both"/>
        <w:rPr>
          <w:rFonts w:hint="eastAsia" w:ascii="仿宋_GB2312" w:hAnsi="宋体" w:eastAsia="仿宋_GB2312" w:cs="宋体"/>
          <w:color w:val="auto"/>
          <w:kern w:val="0"/>
          <w:sz w:val="24"/>
          <w:highlight w:val="none"/>
          <w:u w:val="none"/>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7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05E76">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24</w:t>
    </w:r>
    <w:r>
      <w:fldChar w:fldCharType="end"/>
    </w:r>
  </w:p>
  <w:p w14:paraId="0F3BA94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4EB5">
    <w:pPr>
      <w:pStyle w:val="3"/>
      <w:framePr w:wrap="around" w:vAnchor="text" w:hAnchor="margin" w:xAlign="center" w:y="1"/>
      <w:rPr>
        <w:rStyle w:val="7"/>
      </w:rPr>
    </w:pPr>
    <w:r>
      <w:fldChar w:fldCharType="begin"/>
    </w:r>
    <w:r>
      <w:rPr>
        <w:rStyle w:val="7"/>
      </w:rPr>
      <w:instrText xml:space="preserve">PAGE  </w:instrText>
    </w:r>
    <w:r>
      <w:fldChar w:fldCharType="end"/>
    </w:r>
  </w:p>
  <w:p w14:paraId="7345539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034AB">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91"/>
    <w:rsid w:val="00006056"/>
    <w:rsid w:val="0002041F"/>
    <w:rsid w:val="00026B25"/>
    <w:rsid w:val="00026C31"/>
    <w:rsid w:val="00030CB0"/>
    <w:rsid w:val="00036B0C"/>
    <w:rsid w:val="00041432"/>
    <w:rsid w:val="000420F0"/>
    <w:rsid w:val="00046D70"/>
    <w:rsid w:val="00052C74"/>
    <w:rsid w:val="00052F89"/>
    <w:rsid w:val="00056603"/>
    <w:rsid w:val="00057029"/>
    <w:rsid w:val="00061203"/>
    <w:rsid w:val="00062A17"/>
    <w:rsid w:val="000636EE"/>
    <w:rsid w:val="00063C57"/>
    <w:rsid w:val="00065941"/>
    <w:rsid w:val="00070875"/>
    <w:rsid w:val="00073D9C"/>
    <w:rsid w:val="0007659E"/>
    <w:rsid w:val="0007680D"/>
    <w:rsid w:val="000804D8"/>
    <w:rsid w:val="00080E7C"/>
    <w:rsid w:val="000822CC"/>
    <w:rsid w:val="000823FD"/>
    <w:rsid w:val="000830D0"/>
    <w:rsid w:val="00083423"/>
    <w:rsid w:val="00097EA8"/>
    <w:rsid w:val="000A0262"/>
    <w:rsid w:val="000A0B53"/>
    <w:rsid w:val="000A2240"/>
    <w:rsid w:val="000A34F4"/>
    <w:rsid w:val="000A39EB"/>
    <w:rsid w:val="000A4C47"/>
    <w:rsid w:val="000A4C67"/>
    <w:rsid w:val="000A6F88"/>
    <w:rsid w:val="000B339F"/>
    <w:rsid w:val="000B5F38"/>
    <w:rsid w:val="000C09A8"/>
    <w:rsid w:val="000C0FA9"/>
    <w:rsid w:val="000C15D2"/>
    <w:rsid w:val="000C4055"/>
    <w:rsid w:val="000C7AC1"/>
    <w:rsid w:val="000D5BC5"/>
    <w:rsid w:val="000D6282"/>
    <w:rsid w:val="000E3A33"/>
    <w:rsid w:val="000E63A3"/>
    <w:rsid w:val="000F3209"/>
    <w:rsid w:val="000F6232"/>
    <w:rsid w:val="000F6496"/>
    <w:rsid w:val="000F6B4B"/>
    <w:rsid w:val="00104FF9"/>
    <w:rsid w:val="00106433"/>
    <w:rsid w:val="00107813"/>
    <w:rsid w:val="0011102D"/>
    <w:rsid w:val="00111AE3"/>
    <w:rsid w:val="001161F1"/>
    <w:rsid w:val="001173B8"/>
    <w:rsid w:val="00117997"/>
    <w:rsid w:val="00122DEA"/>
    <w:rsid w:val="001329A0"/>
    <w:rsid w:val="00132AF3"/>
    <w:rsid w:val="001332C8"/>
    <w:rsid w:val="00133610"/>
    <w:rsid w:val="001337AE"/>
    <w:rsid w:val="001342BF"/>
    <w:rsid w:val="0013588A"/>
    <w:rsid w:val="0014099D"/>
    <w:rsid w:val="00141946"/>
    <w:rsid w:val="00150008"/>
    <w:rsid w:val="001504BB"/>
    <w:rsid w:val="00150991"/>
    <w:rsid w:val="00151FB0"/>
    <w:rsid w:val="00153155"/>
    <w:rsid w:val="00153B9A"/>
    <w:rsid w:val="00156EAF"/>
    <w:rsid w:val="00157E09"/>
    <w:rsid w:val="001606E1"/>
    <w:rsid w:val="00161663"/>
    <w:rsid w:val="00167E63"/>
    <w:rsid w:val="00175A7F"/>
    <w:rsid w:val="0017782B"/>
    <w:rsid w:val="00186C10"/>
    <w:rsid w:val="00190CF6"/>
    <w:rsid w:val="001A6E46"/>
    <w:rsid w:val="001B0998"/>
    <w:rsid w:val="001B1130"/>
    <w:rsid w:val="001B4A7D"/>
    <w:rsid w:val="001B592E"/>
    <w:rsid w:val="001C11C5"/>
    <w:rsid w:val="001C136C"/>
    <w:rsid w:val="001C665E"/>
    <w:rsid w:val="001C6D96"/>
    <w:rsid w:val="001D6BBD"/>
    <w:rsid w:val="001E08FA"/>
    <w:rsid w:val="001E0B61"/>
    <w:rsid w:val="001E78AD"/>
    <w:rsid w:val="001F0172"/>
    <w:rsid w:val="001F3687"/>
    <w:rsid w:val="001F3FE9"/>
    <w:rsid w:val="0020003F"/>
    <w:rsid w:val="002025A6"/>
    <w:rsid w:val="00202DF8"/>
    <w:rsid w:val="002121BF"/>
    <w:rsid w:val="00212887"/>
    <w:rsid w:val="00212C46"/>
    <w:rsid w:val="0021512D"/>
    <w:rsid w:val="002172F4"/>
    <w:rsid w:val="002223A8"/>
    <w:rsid w:val="00224EBF"/>
    <w:rsid w:val="00241A17"/>
    <w:rsid w:val="002439A4"/>
    <w:rsid w:val="00243EEF"/>
    <w:rsid w:val="0024512B"/>
    <w:rsid w:val="002451A0"/>
    <w:rsid w:val="00246A81"/>
    <w:rsid w:val="00254468"/>
    <w:rsid w:val="00260471"/>
    <w:rsid w:val="00271053"/>
    <w:rsid w:val="00271FEC"/>
    <w:rsid w:val="0027749B"/>
    <w:rsid w:val="0029108F"/>
    <w:rsid w:val="00294620"/>
    <w:rsid w:val="00296B0F"/>
    <w:rsid w:val="002A3FE9"/>
    <w:rsid w:val="002A6F84"/>
    <w:rsid w:val="002B268B"/>
    <w:rsid w:val="002B52B8"/>
    <w:rsid w:val="002B769C"/>
    <w:rsid w:val="002C02C3"/>
    <w:rsid w:val="002C060C"/>
    <w:rsid w:val="002C5A3D"/>
    <w:rsid w:val="002C6093"/>
    <w:rsid w:val="002D032D"/>
    <w:rsid w:val="002D2944"/>
    <w:rsid w:val="002D4AC2"/>
    <w:rsid w:val="002D59C3"/>
    <w:rsid w:val="002D638D"/>
    <w:rsid w:val="002E1B1A"/>
    <w:rsid w:val="002E3AA9"/>
    <w:rsid w:val="002E7D7C"/>
    <w:rsid w:val="00302A68"/>
    <w:rsid w:val="00303480"/>
    <w:rsid w:val="003050A9"/>
    <w:rsid w:val="0031187E"/>
    <w:rsid w:val="00316425"/>
    <w:rsid w:val="00322C83"/>
    <w:rsid w:val="00323BA9"/>
    <w:rsid w:val="003270EE"/>
    <w:rsid w:val="00337CE4"/>
    <w:rsid w:val="00337F8E"/>
    <w:rsid w:val="0034047E"/>
    <w:rsid w:val="00343AD8"/>
    <w:rsid w:val="0035286D"/>
    <w:rsid w:val="00353941"/>
    <w:rsid w:val="00353ACE"/>
    <w:rsid w:val="00354743"/>
    <w:rsid w:val="003665AC"/>
    <w:rsid w:val="00374EC4"/>
    <w:rsid w:val="003826AC"/>
    <w:rsid w:val="003854F7"/>
    <w:rsid w:val="00391B37"/>
    <w:rsid w:val="003965A3"/>
    <w:rsid w:val="003A4BEE"/>
    <w:rsid w:val="003A735D"/>
    <w:rsid w:val="003A7A9D"/>
    <w:rsid w:val="003B3C77"/>
    <w:rsid w:val="003B4E98"/>
    <w:rsid w:val="003C1640"/>
    <w:rsid w:val="003E0529"/>
    <w:rsid w:val="003E313C"/>
    <w:rsid w:val="003E512C"/>
    <w:rsid w:val="003F2714"/>
    <w:rsid w:val="003F376A"/>
    <w:rsid w:val="003F4E6C"/>
    <w:rsid w:val="00404B03"/>
    <w:rsid w:val="004059C4"/>
    <w:rsid w:val="004100E1"/>
    <w:rsid w:val="00410A49"/>
    <w:rsid w:val="00411886"/>
    <w:rsid w:val="00412CCD"/>
    <w:rsid w:val="00412E38"/>
    <w:rsid w:val="0042058E"/>
    <w:rsid w:val="00421F90"/>
    <w:rsid w:val="004236A4"/>
    <w:rsid w:val="00423AC4"/>
    <w:rsid w:val="0042430A"/>
    <w:rsid w:val="00425333"/>
    <w:rsid w:val="00433207"/>
    <w:rsid w:val="00437156"/>
    <w:rsid w:val="00442D48"/>
    <w:rsid w:val="00442EBA"/>
    <w:rsid w:val="00443AAA"/>
    <w:rsid w:val="004468EA"/>
    <w:rsid w:val="00450D80"/>
    <w:rsid w:val="0045224D"/>
    <w:rsid w:val="00456289"/>
    <w:rsid w:val="00456B07"/>
    <w:rsid w:val="004670F8"/>
    <w:rsid w:val="00470B7B"/>
    <w:rsid w:val="004721CC"/>
    <w:rsid w:val="004801DB"/>
    <w:rsid w:val="0048310E"/>
    <w:rsid w:val="00484F84"/>
    <w:rsid w:val="004906A2"/>
    <w:rsid w:val="00491F89"/>
    <w:rsid w:val="00492741"/>
    <w:rsid w:val="00493478"/>
    <w:rsid w:val="004942AB"/>
    <w:rsid w:val="004A0BC0"/>
    <w:rsid w:val="004A3C26"/>
    <w:rsid w:val="004A4239"/>
    <w:rsid w:val="004B077E"/>
    <w:rsid w:val="004B0E55"/>
    <w:rsid w:val="004C26EC"/>
    <w:rsid w:val="004C4895"/>
    <w:rsid w:val="004C6080"/>
    <w:rsid w:val="004C644D"/>
    <w:rsid w:val="004C7AE5"/>
    <w:rsid w:val="004D4103"/>
    <w:rsid w:val="004D42A3"/>
    <w:rsid w:val="004D469E"/>
    <w:rsid w:val="004D5A4C"/>
    <w:rsid w:val="004E0C6D"/>
    <w:rsid w:val="004E275B"/>
    <w:rsid w:val="004E2B20"/>
    <w:rsid w:val="004E3251"/>
    <w:rsid w:val="004E356F"/>
    <w:rsid w:val="004E563D"/>
    <w:rsid w:val="004F023B"/>
    <w:rsid w:val="004F2780"/>
    <w:rsid w:val="004F2EF0"/>
    <w:rsid w:val="004F2F5A"/>
    <w:rsid w:val="005015F6"/>
    <w:rsid w:val="00504B29"/>
    <w:rsid w:val="00505D7A"/>
    <w:rsid w:val="00506229"/>
    <w:rsid w:val="00513F84"/>
    <w:rsid w:val="0051551C"/>
    <w:rsid w:val="00516E6D"/>
    <w:rsid w:val="00521137"/>
    <w:rsid w:val="00523565"/>
    <w:rsid w:val="005244AB"/>
    <w:rsid w:val="00524698"/>
    <w:rsid w:val="0052510E"/>
    <w:rsid w:val="00527672"/>
    <w:rsid w:val="00527730"/>
    <w:rsid w:val="00537A7F"/>
    <w:rsid w:val="00542A4F"/>
    <w:rsid w:val="005435CD"/>
    <w:rsid w:val="00545C7C"/>
    <w:rsid w:val="00550204"/>
    <w:rsid w:val="005569BF"/>
    <w:rsid w:val="00560D38"/>
    <w:rsid w:val="005652EB"/>
    <w:rsid w:val="0056574A"/>
    <w:rsid w:val="00566671"/>
    <w:rsid w:val="005667C8"/>
    <w:rsid w:val="00571D05"/>
    <w:rsid w:val="00573AF4"/>
    <w:rsid w:val="00574A92"/>
    <w:rsid w:val="00576F45"/>
    <w:rsid w:val="00580064"/>
    <w:rsid w:val="00581441"/>
    <w:rsid w:val="00581663"/>
    <w:rsid w:val="00581E0F"/>
    <w:rsid w:val="0059108A"/>
    <w:rsid w:val="00592041"/>
    <w:rsid w:val="00592A11"/>
    <w:rsid w:val="005934DA"/>
    <w:rsid w:val="0059399A"/>
    <w:rsid w:val="005A3AD5"/>
    <w:rsid w:val="005A4D4C"/>
    <w:rsid w:val="005A7B34"/>
    <w:rsid w:val="005B5AC6"/>
    <w:rsid w:val="005B5E23"/>
    <w:rsid w:val="005B607B"/>
    <w:rsid w:val="005B6EF7"/>
    <w:rsid w:val="005D44EC"/>
    <w:rsid w:val="005D5B26"/>
    <w:rsid w:val="005D7024"/>
    <w:rsid w:val="005E1B6F"/>
    <w:rsid w:val="005E5619"/>
    <w:rsid w:val="005E69B5"/>
    <w:rsid w:val="005E783A"/>
    <w:rsid w:val="005F2629"/>
    <w:rsid w:val="005F2D31"/>
    <w:rsid w:val="005F3A83"/>
    <w:rsid w:val="005F4231"/>
    <w:rsid w:val="005F79A8"/>
    <w:rsid w:val="005F7EA7"/>
    <w:rsid w:val="0060197C"/>
    <w:rsid w:val="00604197"/>
    <w:rsid w:val="006065E0"/>
    <w:rsid w:val="00607D31"/>
    <w:rsid w:val="00607E43"/>
    <w:rsid w:val="00613792"/>
    <w:rsid w:val="00615DA0"/>
    <w:rsid w:val="00622D54"/>
    <w:rsid w:val="006305D3"/>
    <w:rsid w:val="00632816"/>
    <w:rsid w:val="00634168"/>
    <w:rsid w:val="006360BA"/>
    <w:rsid w:val="006365B5"/>
    <w:rsid w:val="00637235"/>
    <w:rsid w:val="00647020"/>
    <w:rsid w:val="00650FC2"/>
    <w:rsid w:val="006512F8"/>
    <w:rsid w:val="00652588"/>
    <w:rsid w:val="00652AA6"/>
    <w:rsid w:val="00655C4A"/>
    <w:rsid w:val="006570C5"/>
    <w:rsid w:val="00665B3C"/>
    <w:rsid w:val="00667651"/>
    <w:rsid w:val="006701E3"/>
    <w:rsid w:val="006706FF"/>
    <w:rsid w:val="00676F3E"/>
    <w:rsid w:val="00677442"/>
    <w:rsid w:val="00680C86"/>
    <w:rsid w:val="00680E83"/>
    <w:rsid w:val="006829A3"/>
    <w:rsid w:val="00687085"/>
    <w:rsid w:val="00687E7B"/>
    <w:rsid w:val="00691D90"/>
    <w:rsid w:val="006923C3"/>
    <w:rsid w:val="00696ADD"/>
    <w:rsid w:val="00697ECF"/>
    <w:rsid w:val="006A1388"/>
    <w:rsid w:val="006B2CBD"/>
    <w:rsid w:val="006B5FAF"/>
    <w:rsid w:val="006C23DE"/>
    <w:rsid w:val="006C6585"/>
    <w:rsid w:val="006C6C53"/>
    <w:rsid w:val="006D1C27"/>
    <w:rsid w:val="006D7679"/>
    <w:rsid w:val="006E67CD"/>
    <w:rsid w:val="006F66F4"/>
    <w:rsid w:val="006F6A52"/>
    <w:rsid w:val="00702B3A"/>
    <w:rsid w:val="007048A6"/>
    <w:rsid w:val="00705D60"/>
    <w:rsid w:val="00715FB6"/>
    <w:rsid w:val="007215E2"/>
    <w:rsid w:val="00725D62"/>
    <w:rsid w:val="00726F95"/>
    <w:rsid w:val="007304A0"/>
    <w:rsid w:val="007322A4"/>
    <w:rsid w:val="0073258C"/>
    <w:rsid w:val="00734AC1"/>
    <w:rsid w:val="0073660B"/>
    <w:rsid w:val="00736ACC"/>
    <w:rsid w:val="00736BFD"/>
    <w:rsid w:val="007409A0"/>
    <w:rsid w:val="00741817"/>
    <w:rsid w:val="00746B1A"/>
    <w:rsid w:val="007519E3"/>
    <w:rsid w:val="00751B18"/>
    <w:rsid w:val="00752E4A"/>
    <w:rsid w:val="00753B4F"/>
    <w:rsid w:val="00753E5A"/>
    <w:rsid w:val="007550A9"/>
    <w:rsid w:val="0076439D"/>
    <w:rsid w:val="00764708"/>
    <w:rsid w:val="00772267"/>
    <w:rsid w:val="00775A5F"/>
    <w:rsid w:val="00784637"/>
    <w:rsid w:val="00785614"/>
    <w:rsid w:val="00791701"/>
    <w:rsid w:val="00792240"/>
    <w:rsid w:val="0079497F"/>
    <w:rsid w:val="00797E82"/>
    <w:rsid w:val="007A039B"/>
    <w:rsid w:val="007A4959"/>
    <w:rsid w:val="007A58F2"/>
    <w:rsid w:val="007B216F"/>
    <w:rsid w:val="007B298C"/>
    <w:rsid w:val="007D0FC4"/>
    <w:rsid w:val="007D41E8"/>
    <w:rsid w:val="007D62C7"/>
    <w:rsid w:val="007E126D"/>
    <w:rsid w:val="007E1A73"/>
    <w:rsid w:val="007E6DD2"/>
    <w:rsid w:val="007E7415"/>
    <w:rsid w:val="007F0871"/>
    <w:rsid w:val="007F3CA9"/>
    <w:rsid w:val="007F3D38"/>
    <w:rsid w:val="007F7F37"/>
    <w:rsid w:val="0080123B"/>
    <w:rsid w:val="0080257F"/>
    <w:rsid w:val="00806D3D"/>
    <w:rsid w:val="00807E0A"/>
    <w:rsid w:val="008114C3"/>
    <w:rsid w:val="00811F09"/>
    <w:rsid w:val="00812856"/>
    <w:rsid w:val="00813FEB"/>
    <w:rsid w:val="008156C5"/>
    <w:rsid w:val="00821095"/>
    <w:rsid w:val="008223EA"/>
    <w:rsid w:val="00822642"/>
    <w:rsid w:val="00824666"/>
    <w:rsid w:val="008306D1"/>
    <w:rsid w:val="0083336F"/>
    <w:rsid w:val="00836060"/>
    <w:rsid w:val="00841DE3"/>
    <w:rsid w:val="00842EB6"/>
    <w:rsid w:val="00845BDE"/>
    <w:rsid w:val="0084624B"/>
    <w:rsid w:val="00846C28"/>
    <w:rsid w:val="00852F3D"/>
    <w:rsid w:val="00853A9E"/>
    <w:rsid w:val="008561A5"/>
    <w:rsid w:val="008702FE"/>
    <w:rsid w:val="00870341"/>
    <w:rsid w:val="008725B0"/>
    <w:rsid w:val="00872BFC"/>
    <w:rsid w:val="00872C51"/>
    <w:rsid w:val="00875F06"/>
    <w:rsid w:val="008770E0"/>
    <w:rsid w:val="00882826"/>
    <w:rsid w:val="00884256"/>
    <w:rsid w:val="0089178A"/>
    <w:rsid w:val="008979CE"/>
    <w:rsid w:val="008A1CEF"/>
    <w:rsid w:val="008A496E"/>
    <w:rsid w:val="008A504E"/>
    <w:rsid w:val="008B1ED2"/>
    <w:rsid w:val="008B27AF"/>
    <w:rsid w:val="008C467C"/>
    <w:rsid w:val="008C74A9"/>
    <w:rsid w:val="008D13A9"/>
    <w:rsid w:val="008D2919"/>
    <w:rsid w:val="008D4144"/>
    <w:rsid w:val="008D5D1C"/>
    <w:rsid w:val="008D78DA"/>
    <w:rsid w:val="008E1737"/>
    <w:rsid w:val="008E3775"/>
    <w:rsid w:val="008E7408"/>
    <w:rsid w:val="008E7AC6"/>
    <w:rsid w:val="008F73EC"/>
    <w:rsid w:val="00901413"/>
    <w:rsid w:val="0090445A"/>
    <w:rsid w:val="00920EAF"/>
    <w:rsid w:val="0092281E"/>
    <w:rsid w:val="00927DA4"/>
    <w:rsid w:val="00932835"/>
    <w:rsid w:val="00932C3D"/>
    <w:rsid w:val="009338F4"/>
    <w:rsid w:val="0093464B"/>
    <w:rsid w:val="009444C8"/>
    <w:rsid w:val="009514D9"/>
    <w:rsid w:val="009542AF"/>
    <w:rsid w:val="00954FBE"/>
    <w:rsid w:val="009563A9"/>
    <w:rsid w:val="0095754C"/>
    <w:rsid w:val="00960178"/>
    <w:rsid w:val="00960F31"/>
    <w:rsid w:val="009667F3"/>
    <w:rsid w:val="00972F8F"/>
    <w:rsid w:val="00974EDA"/>
    <w:rsid w:val="009808B4"/>
    <w:rsid w:val="0098186B"/>
    <w:rsid w:val="00982096"/>
    <w:rsid w:val="00992B56"/>
    <w:rsid w:val="00995A10"/>
    <w:rsid w:val="00997916"/>
    <w:rsid w:val="009A0151"/>
    <w:rsid w:val="009A4AD7"/>
    <w:rsid w:val="009B09A5"/>
    <w:rsid w:val="009B1523"/>
    <w:rsid w:val="009B387E"/>
    <w:rsid w:val="009B5117"/>
    <w:rsid w:val="009B5121"/>
    <w:rsid w:val="009B6967"/>
    <w:rsid w:val="009C1535"/>
    <w:rsid w:val="009C1DC9"/>
    <w:rsid w:val="009C7687"/>
    <w:rsid w:val="009D1BF6"/>
    <w:rsid w:val="009D49FC"/>
    <w:rsid w:val="009D67C7"/>
    <w:rsid w:val="009E4484"/>
    <w:rsid w:val="009E4806"/>
    <w:rsid w:val="009E6A00"/>
    <w:rsid w:val="009E7F06"/>
    <w:rsid w:val="009F0BAE"/>
    <w:rsid w:val="009F17BF"/>
    <w:rsid w:val="009F59EE"/>
    <w:rsid w:val="009F6A4F"/>
    <w:rsid w:val="009F6D60"/>
    <w:rsid w:val="00A07FFD"/>
    <w:rsid w:val="00A102C5"/>
    <w:rsid w:val="00A14B65"/>
    <w:rsid w:val="00A249BE"/>
    <w:rsid w:val="00A24E77"/>
    <w:rsid w:val="00A25224"/>
    <w:rsid w:val="00A26ADE"/>
    <w:rsid w:val="00A309E1"/>
    <w:rsid w:val="00A34AB7"/>
    <w:rsid w:val="00A358C2"/>
    <w:rsid w:val="00A3739D"/>
    <w:rsid w:val="00A37776"/>
    <w:rsid w:val="00A44C30"/>
    <w:rsid w:val="00A450C8"/>
    <w:rsid w:val="00A4519E"/>
    <w:rsid w:val="00A4553C"/>
    <w:rsid w:val="00A45FCE"/>
    <w:rsid w:val="00A54395"/>
    <w:rsid w:val="00A54E57"/>
    <w:rsid w:val="00A57C86"/>
    <w:rsid w:val="00A57F3D"/>
    <w:rsid w:val="00A6337D"/>
    <w:rsid w:val="00A641EE"/>
    <w:rsid w:val="00A64639"/>
    <w:rsid w:val="00A74BDC"/>
    <w:rsid w:val="00A74D86"/>
    <w:rsid w:val="00A81747"/>
    <w:rsid w:val="00A8222C"/>
    <w:rsid w:val="00A82830"/>
    <w:rsid w:val="00A82BDE"/>
    <w:rsid w:val="00A83D96"/>
    <w:rsid w:val="00A84DDB"/>
    <w:rsid w:val="00A85F7C"/>
    <w:rsid w:val="00A86C84"/>
    <w:rsid w:val="00A912EA"/>
    <w:rsid w:val="00A9318D"/>
    <w:rsid w:val="00A95C9B"/>
    <w:rsid w:val="00AA169C"/>
    <w:rsid w:val="00AA6D89"/>
    <w:rsid w:val="00AB0B76"/>
    <w:rsid w:val="00AB612A"/>
    <w:rsid w:val="00AB74AA"/>
    <w:rsid w:val="00AC0D9F"/>
    <w:rsid w:val="00AC1AA5"/>
    <w:rsid w:val="00AC2BBC"/>
    <w:rsid w:val="00AC72B6"/>
    <w:rsid w:val="00AD31D2"/>
    <w:rsid w:val="00AD3805"/>
    <w:rsid w:val="00AD518A"/>
    <w:rsid w:val="00AE435B"/>
    <w:rsid w:val="00AE7140"/>
    <w:rsid w:val="00AF1FB5"/>
    <w:rsid w:val="00AF269B"/>
    <w:rsid w:val="00B001AA"/>
    <w:rsid w:val="00B001CF"/>
    <w:rsid w:val="00B038D1"/>
    <w:rsid w:val="00B05157"/>
    <w:rsid w:val="00B05922"/>
    <w:rsid w:val="00B061BF"/>
    <w:rsid w:val="00B10940"/>
    <w:rsid w:val="00B11179"/>
    <w:rsid w:val="00B16912"/>
    <w:rsid w:val="00B16FB6"/>
    <w:rsid w:val="00B27E1E"/>
    <w:rsid w:val="00B32492"/>
    <w:rsid w:val="00B32EFC"/>
    <w:rsid w:val="00B340B8"/>
    <w:rsid w:val="00B35947"/>
    <w:rsid w:val="00B3627A"/>
    <w:rsid w:val="00B40D82"/>
    <w:rsid w:val="00B444B6"/>
    <w:rsid w:val="00B52394"/>
    <w:rsid w:val="00B5359A"/>
    <w:rsid w:val="00B54BCA"/>
    <w:rsid w:val="00B61ED2"/>
    <w:rsid w:val="00B61EE7"/>
    <w:rsid w:val="00B66569"/>
    <w:rsid w:val="00B66BE2"/>
    <w:rsid w:val="00B6720B"/>
    <w:rsid w:val="00B677F1"/>
    <w:rsid w:val="00B7308A"/>
    <w:rsid w:val="00B75964"/>
    <w:rsid w:val="00B80BE9"/>
    <w:rsid w:val="00B853F3"/>
    <w:rsid w:val="00B87CC5"/>
    <w:rsid w:val="00B90852"/>
    <w:rsid w:val="00B90AFC"/>
    <w:rsid w:val="00B9492D"/>
    <w:rsid w:val="00B97EAF"/>
    <w:rsid w:val="00BA0336"/>
    <w:rsid w:val="00BA0456"/>
    <w:rsid w:val="00BA2C69"/>
    <w:rsid w:val="00BA494D"/>
    <w:rsid w:val="00BA4A13"/>
    <w:rsid w:val="00BA4E06"/>
    <w:rsid w:val="00BB1D65"/>
    <w:rsid w:val="00BB3AD0"/>
    <w:rsid w:val="00BB5EA2"/>
    <w:rsid w:val="00BC5022"/>
    <w:rsid w:val="00BD037F"/>
    <w:rsid w:val="00BD0751"/>
    <w:rsid w:val="00BD5D40"/>
    <w:rsid w:val="00BE0EC2"/>
    <w:rsid w:val="00BE17F4"/>
    <w:rsid w:val="00BE4E1C"/>
    <w:rsid w:val="00BE605D"/>
    <w:rsid w:val="00BF7BE2"/>
    <w:rsid w:val="00C032DF"/>
    <w:rsid w:val="00C06995"/>
    <w:rsid w:val="00C149F4"/>
    <w:rsid w:val="00C17A87"/>
    <w:rsid w:val="00C205D5"/>
    <w:rsid w:val="00C22BD0"/>
    <w:rsid w:val="00C2632B"/>
    <w:rsid w:val="00C349FB"/>
    <w:rsid w:val="00C379FF"/>
    <w:rsid w:val="00C40A0E"/>
    <w:rsid w:val="00C4333C"/>
    <w:rsid w:val="00C43965"/>
    <w:rsid w:val="00C6235A"/>
    <w:rsid w:val="00C651AD"/>
    <w:rsid w:val="00C66CC2"/>
    <w:rsid w:val="00C75B9C"/>
    <w:rsid w:val="00C75EE8"/>
    <w:rsid w:val="00C765AF"/>
    <w:rsid w:val="00C76CEF"/>
    <w:rsid w:val="00C80F2F"/>
    <w:rsid w:val="00C869F1"/>
    <w:rsid w:val="00C86B7A"/>
    <w:rsid w:val="00C87959"/>
    <w:rsid w:val="00C9227E"/>
    <w:rsid w:val="00C922AA"/>
    <w:rsid w:val="00CA23CF"/>
    <w:rsid w:val="00CA296B"/>
    <w:rsid w:val="00CA2F1A"/>
    <w:rsid w:val="00CA336B"/>
    <w:rsid w:val="00CA4902"/>
    <w:rsid w:val="00CA6EF8"/>
    <w:rsid w:val="00CB1406"/>
    <w:rsid w:val="00CB43D4"/>
    <w:rsid w:val="00CB7474"/>
    <w:rsid w:val="00CC3CFD"/>
    <w:rsid w:val="00CC4059"/>
    <w:rsid w:val="00CD0944"/>
    <w:rsid w:val="00CD132A"/>
    <w:rsid w:val="00CD75BC"/>
    <w:rsid w:val="00CE4EEF"/>
    <w:rsid w:val="00CE61E3"/>
    <w:rsid w:val="00CE7BCD"/>
    <w:rsid w:val="00CF1727"/>
    <w:rsid w:val="00CF1BB2"/>
    <w:rsid w:val="00CF3118"/>
    <w:rsid w:val="00CF72A2"/>
    <w:rsid w:val="00CF74E9"/>
    <w:rsid w:val="00D00B64"/>
    <w:rsid w:val="00D0140B"/>
    <w:rsid w:val="00D02A08"/>
    <w:rsid w:val="00D02FB5"/>
    <w:rsid w:val="00D03320"/>
    <w:rsid w:val="00D205F5"/>
    <w:rsid w:val="00D31355"/>
    <w:rsid w:val="00D56534"/>
    <w:rsid w:val="00D565B4"/>
    <w:rsid w:val="00D6003C"/>
    <w:rsid w:val="00D61A57"/>
    <w:rsid w:val="00D630B6"/>
    <w:rsid w:val="00D6482D"/>
    <w:rsid w:val="00D72034"/>
    <w:rsid w:val="00D736AD"/>
    <w:rsid w:val="00D74E34"/>
    <w:rsid w:val="00D8199D"/>
    <w:rsid w:val="00D81DDC"/>
    <w:rsid w:val="00D825A8"/>
    <w:rsid w:val="00D82B68"/>
    <w:rsid w:val="00D83568"/>
    <w:rsid w:val="00D84599"/>
    <w:rsid w:val="00D8760B"/>
    <w:rsid w:val="00D901AD"/>
    <w:rsid w:val="00D93D68"/>
    <w:rsid w:val="00DA4CC6"/>
    <w:rsid w:val="00DB361B"/>
    <w:rsid w:val="00DB6C20"/>
    <w:rsid w:val="00DB738A"/>
    <w:rsid w:val="00DC2B34"/>
    <w:rsid w:val="00DC403A"/>
    <w:rsid w:val="00DC7C02"/>
    <w:rsid w:val="00DC7DD8"/>
    <w:rsid w:val="00DD2640"/>
    <w:rsid w:val="00DD738D"/>
    <w:rsid w:val="00DE6530"/>
    <w:rsid w:val="00DE7C63"/>
    <w:rsid w:val="00DF0908"/>
    <w:rsid w:val="00DF1FDB"/>
    <w:rsid w:val="00DF4E2E"/>
    <w:rsid w:val="00E0668C"/>
    <w:rsid w:val="00E11100"/>
    <w:rsid w:val="00E142CF"/>
    <w:rsid w:val="00E14D19"/>
    <w:rsid w:val="00E17DF7"/>
    <w:rsid w:val="00E224D6"/>
    <w:rsid w:val="00E24E18"/>
    <w:rsid w:val="00E2795F"/>
    <w:rsid w:val="00E3416A"/>
    <w:rsid w:val="00E40F7E"/>
    <w:rsid w:val="00E433CB"/>
    <w:rsid w:val="00E43802"/>
    <w:rsid w:val="00E446ED"/>
    <w:rsid w:val="00E44BC8"/>
    <w:rsid w:val="00E44EDA"/>
    <w:rsid w:val="00E46A5F"/>
    <w:rsid w:val="00E472F3"/>
    <w:rsid w:val="00E5057F"/>
    <w:rsid w:val="00E54284"/>
    <w:rsid w:val="00E55E2C"/>
    <w:rsid w:val="00E62405"/>
    <w:rsid w:val="00E63744"/>
    <w:rsid w:val="00E860EC"/>
    <w:rsid w:val="00E865F6"/>
    <w:rsid w:val="00E94ADE"/>
    <w:rsid w:val="00E97C11"/>
    <w:rsid w:val="00EA2EDC"/>
    <w:rsid w:val="00EA452F"/>
    <w:rsid w:val="00EA6113"/>
    <w:rsid w:val="00EA752C"/>
    <w:rsid w:val="00EB049B"/>
    <w:rsid w:val="00EB0DAB"/>
    <w:rsid w:val="00EB3F2C"/>
    <w:rsid w:val="00EC11F4"/>
    <w:rsid w:val="00EC46E8"/>
    <w:rsid w:val="00EC5906"/>
    <w:rsid w:val="00EC7A5A"/>
    <w:rsid w:val="00ED3093"/>
    <w:rsid w:val="00EE26FC"/>
    <w:rsid w:val="00EE4A55"/>
    <w:rsid w:val="00EE4AE9"/>
    <w:rsid w:val="00EE6A63"/>
    <w:rsid w:val="00EF0A88"/>
    <w:rsid w:val="00EF4EA9"/>
    <w:rsid w:val="00EF6D13"/>
    <w:rsid w:val="00F00CB4"/>
    <w:rsid w:val="00F03106"/>
    <w:rsid w:val="00F105FF"/>
    <w:rsid w:val="00F11795"/>
    <w:rsid w:val="00F23F42"/>
    <w:rsid w:val="00F247A2"/>
    <w:rsid w:val="00F31AD5"/>
    <w:rsid w:val="00F31EDE"/>
    <w:rsid w:val="00F3453C"/>
    <w:rsid w:val="00F34E55"/>
    <w:rsid w:val="00F37B3D"/>
    <w:rsid w:val="00F42B4F"/>
    <w:rsid w:val="00F46549"/>
    <w:rsid w:val="00F65E6E"/>
    <w:rsid w:val="00F875A1"/>
    <w:rsid w:val="00F87906"/>
    <w:rsid w:val="00F901A4"/>
    <w:rsid w:val="00F9698E"/>
    <w:rsid w:val="00F97446"/>
    <w:rsid w:val="00FA1D75"/>
    <w:rsid w:val="00FA2A14"/>
    <w:rsid w:val="00FB5A0C"/>
    <w:rsid w:val="00FC3E37"/>
    <w:rsid w:val="00FC5E6B"/>
    <w:rsid w:val="00FD7A30"/>
    <w:rsid w:val="00FF0782"/>
    <w:rsid w:val="00FF0F60"/>
    <w:rsid w:val="00FF1F94"/>
    <w:rsid w:val="00FF6F21"/>
    <w:rsid w:val="013F0CAF"/>
    <w:rsid w:val="01947FC3"/>
    <w:rsid w:val="01D27EC4"/>
    <w:rsid w:val="01E117B9"/>
    <w:rsid w:val="01F00AB6"/>
    <w:rsid w:val="01F02ACA"/>
    <w:rsid w:val="0207272A"/>
    <w:rsid w:val="020B14CD"/>
    <w:rsid w:val="028127D2"/>
    <w:rsid w:val="02F64548"/>
    <w:rsid w:val="03011A10"/>
    <w:rsid w:val="031E07C6"/>
    <w:rsid w:val="034F4185"/>
    <w:rsid w:val="03696905"/>
    <w:rsid w:val="04025AE2"/>
    <w:rsid w:val="04027EE3"/>
    <w:rsid w:val="041C270D"/>
    <w:rsid w:val="04554499"/>
    <w:rsid w:val="047B53B0"/>
    <w:rsid w:val="04F55261"/>
    <w:rsid w:val="0506561A"/>
    <w:rsid w:val="055B3A3D"/>
    <w:rsid w:val="057524EE"/>
    <w:rsid w:val="057D2C4A"/>
    <w:rsid w:val="05C877CC"/>
    <w:rsid w:val="05D4006B"/>
    <w:rsid w:val="067E6BD3"/>
    <w:rsid w:val="06F82052"/>
    <w:rsid w:val="06FF4F50"/>
    <w:rsid w:val="07633062"/>
    <w:rsid w:val="07E3097C"/>
    <w:rsid w:val="08017B0C"/>
    <w:rsid w:val="081D5432"/>
    <w:rsid w:val="083F5782"/>
    <w:rsid w:val="08996726"/>
    <w:rsid w:val="08A066FD"/>
    <w:rsid w:val="08A16DD8"/>
    <w:rsid w:val="08C65D1E"/>
    <w:rsid w:val="08CC3D7A"/>
    <w:rsid w:val="093A1835"/>
    <w:rsid w:val="095D74F7"/>
    <w:rsid w:val="0984242B"/>
    <w:rsid w:val="09A020EF"/>
    <w:rsid w:val="0A046B83"/>
    <w:rsid w:val="0A141BC7"/>
    <w:rsid w:val="0A856592"/>
    <w:rsid w:val="0A9E6597"/>
    <w:rsid w:val="0AE77A1F"/>
    <w:rsid w:val="0B3C37C1"/>
    <w:rsid w:val="0B3E3D08"/>
    <w:rsid w:val="0BDF722F"/>
    <w:rsid w:val="0CF40D87"/>
    <w:rsid w:val="0D063813"/>
    <w:rsid w:val="0D540DB5"/>
    <w:rsid w:val="0DFF2AD7"/>
    <w:rsid w:val="0E2475FF"/>
    <w:rsid w:val="0E964359"/>
    <w:rsid w:val="0E974009"/>
    <w:rsid w:val="0EA64AE2"/>
    <w:rsid w:val="0EAA2FF1"/>
    <w:rsid w:val="0F7C6B07"/>
    <w:rsid w:val="0FB95E70"/>
    <w:rsid w:val="0FF148D7"/>
    <w:rsid w:val="10440000"/>
    <w:rsid w:val="11174A76"/>
    <w:rsid w:val="11272E6B"/>
    <w:rsid w:val="117665C5"/>
    <w:rsid w:val="11A31485"/>
    <w:rsid w:val="11AD56D5"/>
    <w:rsid w:val="120D0C5C"/>
    <w:rsid w:val="121431D5"/>
    <w:rsid w:val="1216408C"/>
    <w:rsid w:val="125D56A2"/>
    <w:rsid w:val="128D22C7"/>
    <w:rsid w:val="12B46205"/>
    <w:rsid w:val="12CC5894"/>
    <w:rsid w:val="12E013C7"/>
    <w:rsid w:val="13123160"/>
    <w:rsid w:val="133800A6"/>
    <w:rsid w:val="135143E4"/>
    <w:rsid w:val="137A0B9B"/>
    <w:rsid w:val="13B47D66"/>
    <w:rsid w:val="13C32C71"/>
    <w:rsid w:val="13D03B7D"/>
    <w:rsid w:val="140317CF"/>
    <w:rsid w:val="14535B84"/>
    <w:rsid w:val="15190AF7"/>
    <w:rsid w:val="15431667"/>
    <w:rsid w:val="154E3F37"/>
    <w:rsid w:val="15860A56"/>
    <w:rsid w:val="158E4826"/>
    <w:rsid w:val="15C92902"/>
    <w:rsid w:val="15CB4B8E"/>
    <w:rsid w:val="15CD7F6B"/>
    <w:rsid w:val="161F180C"/>
    <w:rsid w:val="161F18D6"/>
    <w:rsid w:val="163657A1"/>
    <w:rsid w:val="16440030"/>
    <w:rsid w:val="16457622"/>
    <w:rsid w:val="1649310C"/>
    <w:rsid w:val="166C7EE9"/>
    <w:rsid w:val="16854A6A"/>
    <w:rsid w:val="16E24384"/>
    <w:rsid w:val="178F6E4C"/>
    <w:rsid w:val="17C00706"/>
    <w:rsid w:val="17EE003C"/>
    <w:rsid w:val="18FE24B3"/>
    <w:rsid w:val="193E0A8B"/>
    <w:rsid w:val="19475BD2"/>
    <w:rsid w:val="19553204"/>
    <w:rsid w:val="19571D4E"/>
    <w:rsid w:val="199E717D"/>
    <w:rsid w:val="19D035CE"/>
    <w:rsid w:val="1A7056EB"/>
    <w:rsid w:val="1A8C3502"/>
    <w:rsid w:val="1ABC1634"/>
    <w:rsid w:val="1AC20350"/>
    <w:rsid w:val="1B9625DE"/>
    <w:rsid w:val="1BE03F4B"/>
    <w:rsid w:val="1C403CE3"/>
    <w:rsid w:val="1CCF174F"/>
    <w:rsid w:val="1CF06B3B"/>
    <w:rsid w:val="1DAC2CE4"/>
    <w:rsid w:val="1DBE37FF"/>
    <w:rsid w:val="1DC76241"/>
    <w:rsid w:val="1E1C0422"/>
    <w:rsid w:val="1E721941"/>
    <w:rsid w:val="1E895C65"/>
    <w:rsid w:val="1EE469DB"/>
    <w:rsid w:val="1F344DC8"/>
    <w:rsid w:val="1FC46C00"/>
    <w:rsid w:val="1FEA4FFD"/>
    <w:rsid w:val="20D20016"/>
    <w:rsid w:val="21147137"/>
    <w:rsid w:val="21184DB4"/>
    <w:rsid w:val="211B14CF"/>
    <w:rsid w:val="21240FFB"/>
    <w:rsid w:val="21353652"/>
    <w:rsid w:val="21E573F5"/>
    <w:rsid w:val="21F015D4"/>
    <w:rsid w:val="226955D4"/>
    <w:rsid w:val="22697DE6"/>
    <w:rsid w:val="2270477B"/>
    <w:rsid w:val="22927B10"/>
    <w:rsid w:val="234A0CD7"/>
    <w:rsid w:val="2353267C"/>
    <w:rsid w:val="23C21815"/>
    <w:rsid w:val="23D57518"/>
    <w:rsid w:val="24256156"/>
    <w:rsid w:val="242E1792"/>
    <w:rsid w:val="24665C72"/>
    <w:rsid w:val="249D1040"/>
    <w:rsid w:val="24B22244"/>
    <w:rsid w:val="24E95DD0"/>
    <w:rsid w:val="25061BD4"/>
    <w:rsid w:val="25805531"/>
    <w:rsid w:val="2589612C"/>
    <w:rsid w:val="25A22C56"/>
    <w:rsid w:val="26040640"/>
    <w:rsid w:val="26297D33"/>
    <w:rsid w:val="263B4D60"/>
    <w:rsid w:val="264E7927"/>
    <w:rsid w:val="26531ED4"/>
    <w:rsid w:val="26687C5C"/>
    <w:rsid w:val="26A84E7A"/>
    <w:rsid w:val="26D80E3C"/>
    <w:rsid w:val="280D47EC"/>
    <w:rsid w:val="282375E5"/>
    <w:rsid w:val="282D3300"/>
    <w:rsid w:val="285B3E57"/>
    <w:rsid w:val="28A43F3D"/>
    <w:rsid w:val="292C4E37"/>
    <w:rsid w:val="29370C4D"/>
    <w:rsid w:val="2947531F"/>
    <w:rsid w:val="294B1A5E"/>
    <w:rsid w:val="29C40102"/>
    <w:rsid w:val="29CB6079"/>
    <w:rsid w:val="29EE3D5D"/>
    <w:rsid w:val="2A9F5A13"/>
    <w:rsid w:val="2ABB5621"/>
    <w:rsid w:val="2AE91A91"/>
    <w:rsid w:val="2B261FDD"/>
    <w:rsid w:val="2B2F226B"/>
    <w:rsid w:val="2BB00BE2"/>
    <w:rsid w:val="2C164832"/>
    <w:rsid w:val="2C1A068D"/>
    <w:rsid w:val="2C6460D4"/>
    <w:rsid w:val="2C6A469C"/>
    <w:rsid w:val="2CB84136"/>
    <w:rsid w:val="2CEF299A"/>
    <w:rsid w:val="2D302B7D"/>
    <w:rsid w:val="2D9078D9"/>
    <w:rsid w:val="2D9C0CB3"/>
    <w:rsid w:val="2DE235AC"/>
    <w:rsid w:val="2E2E0787"/>
    <w:rsid w:val="2E6C16D6"/>
    <w:rsid w:val="2E6E03C4"/>
    <w:rsid w:val="2E911BEA"/>
    <w:rsid w:val="2ED82C7D"/>
    <w:rsid w:val="2F517EEE"/>
    <w:rsid w:val="2F5B747E"/>
    <w:rsid w:val="2F762B07"/>
    <w:rsid w:val="30217178"/>
    <w:rsid w:val="30455CEF"/>
    <w:rsid w:val="30611C71"/>
    <w:rsid w:val="30980F47"/>
    <w:rsid w:val="310437B2"/>
    <w:rsid w:val="313A307D"/>
    <w:rsid w:val="3172715A"/>
    <w:rsid w:val="324A49D1"/>
    <w:rsid w:val="32726213"/>
    <w:rsid w:val="32757E7F"/>
    <w:rsid w:val="32DF4EA1"/>
    <w:rsid w:val="33AE7368"/>
    <w:rsid w:val="345A63BB"/>
    <w:rsid w:val="347D2FD6"/>
    <w:rsid w:val="349F467B"/>
    <w:rsid w:val="34AD46B0"/>
    <w:rsid w:val="351671EE"/>
    <w:rsid w:val="35AB7FB9"/>
    <w:rsid w:val="3652430D"/>
    <w:rsid w:val="366476F3"/>
    <w:rsid w:val="379A0BAB"/>
    <w:rsid w:val="382D2F72"/>
    <w:rsid w:val="38865EEB"/>
    <w:rsid w:val="38D133CE"/>
    <w:rsid w:val="392D3B3E"/>
    <w:rsid w:val="39CD234B"/>
    <w:rsid w:val="3A0C2671"/>
    <w:rsid w:val="3A6317CC"/>
    <w:rsid w:val="3B2330CF"/>
    <w:rsid w:val="3B342A07"/>
    <w:rsid w:val="3B605268"/>
    <w:rsid w:val="3B974E55"/>
    <w:rsid w:val="3B9D1CE1"/>
    <w:rsid w:val="3BD5527A"/>
    <w:rsid w:val="3BE6022F"/>
    <w:rsid w:val="3C404B82"/>
    <w:rsid w:val="3D1C3E3B"/>
    <w:rsid w:val="3D9117CF"/>
    <w:rsid w:val="3DE01C38"/>
    <w:rsid w:val="3DE926CA"/>
    <w:rsid w:val="3E290584"/>
    <w:rsid w:val="3E30369B"/>
    <w:rsid w:val="3E6637A9"/>
    <w:rsid w:val="3E741EFD"/>
    <w:rsid w:val="3E80196F"/>
    <w:rsid w:val="3E9A0B1E"/>
    <w:rsid w:val="3EED2975"/>
    <w:rsid w:val="3F657DBF"/>
    <w:rsid w:val="3FCA548A"/>
    <w:rsid w:val="3FDF2B71"/>
    <w:rsid w:val="40256B05"/>
    <w:rsid w:val="403E5436"/>
    <w:rsid w:val="405729A0"/>
    <w:rsid w:val="40857991"/>
    <w:rsid w:val="408707A9"/>
    <w:rsid w:val="410A568D"/>
    <w:rsid w:val="410E166C"/>
    <w:rsid w:val="410F476C"/>
    <w:rsid w:val="41396CD7"/>
    <w:rsid w:val="41B03718"/>
    <w:rsid w:val="41D504DC"/>
    <w:rsid w:val="41D5755A"/>
    <w:rsid w:val="428B6380"/>
    <w:rsid w:val="42A038C8"/>
    <w:rsid w:val="42A05648"/>
    <w:rsid w:val="42D340DE"/>
    <w:rsid w:val="43084129"/>
    <w:rsid w:val="43205D7F"/>
    <w:rsid w:val="432A3CD2"/>
    <w:rsid w:val="4363703B"/>
    <w:rsid w:val="43C87DD5"/>
    <w:rsid w:val="441A4CBC"/>
    <w:rsid w:val="447645FB"/>
    <w:rsid w:val="44BA10F1"/>
    <w:rsid w:val="44CD5C33"/>
    <w:rsid w:val="44D10FE2"/>
    <w:rsid w:val="455C0125"/>
    <w:rsid w:val="456B1626"/>
    <w:rsid w:val="45AB574C"/>
    <w:rsid w:val="45C42CE3"/>
    <w:rsid w:val="464227B9"/>
    <w:rsid w:val="46473C1B"/>
    <w:rsid w:val="46AB4B1D"/>
    <w:rsid w:val="46B459C8"/>
    <w:rsid w:val="471F0558"/>
    <w:rsid w:val="47333503"/>
    <w:rsid w:val="475E0BEF"/>
    <w:rsid w:val="47825722"/>
    <w:rsid w:val="47AB219B"/>
    <w:rsid w:val="47BE37E1"/>
    <w:rsid w:val="4803096C"/>
    <w:rsid w:val="48146AB4"/>
    <w:rsid w:val="48490571"/>
    <w:rsid w:val="48585583"/>
    <w:rsid w:val="48F17772"/>
    <w:rsid w:val="493C384C"/>
    <w:rsid w:val="49687979"/>
    <w:rsid w:val="49E2661E"/>
    <w:rsid w:val="4A372611"/>
    <w:rsid w:val="4A647920"/>
    <w:rsid w:val="4A8D3414"/>
    <w:rsid w:val="4ADC3708"/>
    <w:rsid w:val="4AED21F8"/>
    <w:rsid w:val="4B074543"/>
    <w:rsid w:val="4B314963"/>
    <w:rsid w:val="4B5E1C84"/>
    <w:rsid w:val="4B851713"/>
    <w:rsid w:val="4B8722B7"/>
    <w:rsid w:val="4B971EF3"/>
    <w:rsid w:val="4BB50933"/>
    <w:rsid w:val="4C426ADF"/>
    <w:rsid w:val="4C494C45"/>
    <w:rsid w:val="4C8D7009"/>
    <w:rsid w:val="4CCA50DD"/>
    <w:rsid w:val="4D1A69DD"/>
    <w:rsid w:val="4D3C2B29"/>
    <w:rsid w:val="4D4C44E7"/>
    <w:rsid w:val="4D6516E0"/>
    <w:rsid w:val="4D9117CA"/>
    <w:rsid w:val="4DB93822"/>
    <w:rsid w:val="4DF0395C"/>
    <w:rsid w:val="4DF84694"/>
    <w:rsid w:val="4E2E4676"/>
    <w:rsid w:val="4E98632C"/>
    <w:rsid w:val="4EAD5060"/>
    <w:rsid w:val="4F0726A8"/>
    <w:rsid w:val="4F9E40AA"/>
    <w:rsid w:val="50231D07"/>
    <w:rsid w:val="506E768D"/>
    <w:rsid w:val="507F1338"/>
    <w:rsid w:val="508F1446"/>
    <w:rsid w:val="509C3DCD"/>
    <w:rsid w:val="50B16A07"/>
    <w:rsid w:val="50FB5334"/>
    <w:rsid w:val="512C2141"/>
    <w:rsid w:val="51F2337C"/>
    <w:rsid w:val="528A2F2D"/>
    <w:rsid w:val="52BE6D6C"/>
    <w:rsid w:val="52DA2057"/>
    <w:rsid w:val="531F5E23"/>
    <w:rsid w:val="532508DA"/>
    <w:rsid w:val="537B6C11"/>
    <w:rsid w:val="53A92559"/>
    <w:rsid w:val="541F0A38"/>
    <w:rsid w:val="54204EBC"/>
    <w:rsid w:val="542851EC"/>
    <w:rsid w:val="54D27A78"/>
    <w:rsid w:val="54F15A6E"/>
    <w:rsid w:val="550226B6"/>
    <w:rsid w:val="55DD63CC"/>
    <w:rsid w:val="55F371F9"/>
    <w:rsid w:val="56155365"/>
    <w:rsid w:val="56267959"/>
    <w:rsid w:val="5651744E"/>
    <w:rsid w:val="56C049FC"/>
    <w:rsid w:val="56D1171C"/>
    <w:rsid w:val="56EF384A"/>
    <w:rsid w:val="572003CB"/>
    <w:rsid w:val="578B4ACC"/>
    <w:rsid w:val="57D6538F"/>
    <w:rsid w:val="57EB29ED"/>
    <w:rsid w:val="57F331B1"/>
    <w:rsid w:val="582F3B2C"/>
    <w:rsid w:val="58AA35D8"/>
    <w:rsid w:val="58C87345"/>
    <w:rsid w:val="58F229A2"/>
    <w:rsid w:val="597635C6"/>
    <w:rsid w:val="59CE4750"/>
    <w:rsid w:val="5A0A4E6E"/>
    <w:rsid w:val="5A5C2FF8"/>
    <w:rsid w:val="5A6B04E4"/>
    <w:rsid w:val="5A9C50FA"/>
    <w:rsid w:val="5AB2234C"/>
    <w:rsid w:val="5ACC2C79"/>
    <w:rsid w:val="5ADA4644"/>
    <w:rsid w:val="5B072717"/>
    <w:rsid w:val="5B7343E4"/>
    <w:rsid w:val="5B7F0A93"/>
    <w:rsid w:val="5BEE3995"/>
    <w:rsid w:val="5C4727C3"/>
    <w:rsid w:val="5C8F4FF2"/>
    <w:rsid w:val="5CD076FE"/>
    <w:rsid w:val="5CF66419"/>
    <w:rsid w:val="5D507A42"/>
    <w:rsid w:val="5D9923FF"/>
    <w:rsid w:val="5E0F3FE5"/>
    <w:rsid w:val="5E354578"/>
    <w:rsid w:val="5EA74DE4"/>
    <w:rsid w:val="5EC86D7F"/>
    <w:rsid w:val="5EE97014"/>
    <w:rsid w:val="5EFA24FB"/>
    <w:rsid w:val="5F165CC6"/>
    <w:rsid w:val="5F4B3757"/>
    <w:rsid w:val="5F7807CB"/>
    <w:rsid w:val="5FDF500E"/>
    <w:rsid w:val="5FF87025"/>
    <w:rsid w:val="60065B06"/>
    <w:rsid w:val="602E01AD"/>
    <w:rsid w:val="60C075D0"/>
    <w:rsid w:val="60D70696"/>
    <w:rsid w:val="60ED7877"/>
    <w:rsid w:val="610A1B60"/>
    <w:rsid w:val="61262229"/>
    <w:rsid w:val="617D7F45"/>
    <w:rsid w:val="618E4751"/>
    <w:rsid w:val="621D75D7"/>
    <w:rsid w:val="622C3805"/>
    <w:rsid w:val="622D0BF8"/>
    <w:rsid w:val="622E0D52"/>
    <w:rsid w:val="62962D71"/>
    <w:rsid w:val="62D3004D"/>
    <w:rsid w:val="62D509B6"/>
    <w:rsid w:val="62DC0CDE"/>
    <w:rsid w:val="6334724C"/>
    <w:rsid w:val="63A806AD"/>
    <w:rsid w:val="63DA2433"/>
    <w:rsid w:val="64021E38"/>
    <w:rsid w:val="645B110F"/>
    <w:rsid w:val="648C1355"/>
    <w:rsid w:val="64941EA5"/>
    <w:rsid w:val="649A3DAE"/>
    <w:rsid w:val="64E96C1E"/>
    <w:rsid w:val="65026A55"/>
    <w:rsid w:val="653A4310"/>
    <w:rsid w:val="658018F6"/>
    <w:rsid w:val="6584688C"/>
    <w:rsid w:val="65E049B8"/>
    <w:rsid w:val="660A7801"/>
    <w:rsid w:val="661444AB"/>
    <w:rsid w:val="661956B5"/>
    <w:rsid w:val="66330ED0"/>
    <w:rsid w:val="663445B0"/>
    <w:rsid w:val="66686AAB"/>
    <w:rsid w:val="667C3879"/>
    <w:rsid w:val="669C78C8"/>
    <w:rsid w:val="670D2312"/>
    <w:rsid w:val="670D3850"/>
    <w:rsid w:val="67581514"/>
    <w:rsid w:val="6778711F"/>
    <w:rsid w:val="67F27407"/>
    <w:rsid w:val="68153468"/>
    <w:rsid w:val="68285284"/>
    <w:rsid w:val="68301B59"/>
    <w:rsid w:val="688E0C16"/>
    <w:rsid w:val="694B66C9"/>
    <w:rsid w:val="697D5192"/>
    <w:rsid w:val="69C02C7B"/>
    <w:rsid w:val="69CE3320"/>
    <w:rsid w:val="69CF04D1"/>
    <w:rsid w:val="69FB3A54"/>
    <w:rsid w:val="6A065078"/>
    <w:rsid w:val="6A0B4248"/>
    <w:rsid w:val="6A1A6973"/>
    <w:rsid w:val="6AB06BCF"/>
    <w:rsid w:val="6AC625B2"/>
    <w:rsid w:val="6B1F148D"/>
    <w:rsid w:val="6B25614C"/>
    <w:rsid w:val="6BE06F08"/>
    <w:rsid w:val="6C506A8D"/>
    <w:rsid w:val="6C762AD9"/>
    <w:rsid w:val="6C777A4D"/>
    <w:rsid w:val="6CA15372"/>
    <w:rsid w:val="6CD36398"/>
    <w:rsid w:val="6CD6199A"/>
    <w:rsid w:val="6D6B5151"/>
    <w:rsid w:val="6D7766B7"/>
    <w:rsid w:val="6DB05798"/>
    <w:rsid w:val="6DC50903"/>
    <w:rsid w:val="6E9F2EE5"/>
    <w:rsid w:val="6F262639"/>
    <w:rsid w:val="6F307E18"/>
    <w:rsid w:val="6F5D1460"/>
    <w:rsid w:val="6F6A7954"/>
    <w:rsid w:val="701D3944"/>
    <w:rsid w:val="702627A1"/>
    <w:rsid w:val="702708DB"/>
    <w:rsid w:val="70463EF4"/>
    <w:rsid w:val="705D06FD"/>
    <w:rsid w:val="708504C8"/>
    <w:rsid w:val="70BD10C1"/>
    <w:rsid w:val="70FD0E5A"/>
    <w:rsid w:val="710A06AF"/>
    <w:rsid w:val="71B1754D"/>
    <w:rsid w:val="71B73648"/>
    <w:rsid w:val="71CA4AF4"/>
    <w:rsid w:val="71DA6665"/>
    <w:rsid w:val="71ED0615"/>
    <w:rsid w:val="71ED4072"/>
    <w:rsid w:val="71EE243C"/>
    <w:rsid w:val="71FA06C1"/>
    <w:rsid w:val="72047F80"/>
    <w:rsid w:val="72173EC5"/>
    <w:rsid w:val="7232263B"/>
    <w:rsid w:val="727A71A6"/>
    <w:rsid w:val="729533AB"/>
    <w:rsid w:val="72BB043C"/>
    <w:rsid w:val="72C776A7"/>
    <w:rsid w:val="73202B37"/>
    <w:rsid w:val="737175E6"/>
    <w:rsid w:val="73AF7CBF"/>
    <w:rsid w:val="73BB403B"/>
    <w:rsid w:val="73C34D23"/>
    <w:rsid w:val="73C472B9"/>
    <w:rsid w:val="74175451"/>
    <w:rsid w:val="74745FA7"/>
    <w:rsid w:val="74C60209"/>
    <w:rsid w:val="74EE0CE1"/>
    <w:rsid w:val="75104721"/>
    <w:rsid w:val="751C3537"/>
    <w:rsid w:val="751F1F98"/>
    <w:rsid w:val="752C38F7"/>
    <w:rsid w:val="756073B9"/>
    <w:rsid w:val="75641032"/>
    <w:rsid w:val="75CA6A26"/>
    <w:rsid w:val="75E1748B"/>
    <w:rsid w:val="76913001"/>
    <w:rsid w:val="770135AD"/>
    <w:rsid w:val="770604C0"/>
    <w:rsid w:val="77370095"/>
    <w:rsid w:val="775F1688"/>
    <w:rsid w:val="776A0769"/>
    <w:rsid w:val="776C3D78"/>
    <w:rsid w:val="784624F0"/>
    <w:rsid w:val="787D1358"/>
    <w:rsid w:val="7883350C"/>
    <w:rsid w:val="788D63A7"/>
    <w:rsid w:val="78C45DA6"/>
    <w:rsid w:val="78F03601"/>
    <w:rsid w:val="7916600B"/>
    <w:rsid w:val="791717F6"/>
    <w:rsid w:val="79661AD2"/>
    <w:rsid w:val="79AC5526"/>
    <w:rsid w:val="79E2303F"/>
    <w:rsid w:val="7A1E5998"/>
    <w:rsid w:val="7A2777F4"/>
    <w:rsid w:val="7A406A6E"/>
    <w:rsid w:val="7A443120"/>
    <w:rsid w:val="7AA877D9"/>
    <w:rsid w:val="7AE4167D"/>
    <w:rsid w:val="7B037BB0"/>
    <w:rsid w:val="7B0A69B2"/>
    <w:rsid w:val="7B61183B"/>
    <w:rsid w:val="7B8B3E25"/>
    <w:rsid w:val="7BBB012F"/>
    <w:rsid w:val="7BF35F17"/>
    <w:rsid w:val="7CD902EB"/>
    <w:rsid w:val="7D5F3A85"/>
    <w:rsid w:val="7E524C2F"/>
    <w:rsid w:val="7E872AE5"/>
    <w:rsid w:val="7E8875CE"/>
    <w:rsid w:val="7EDC2001"/>
    <w:rsid w:val="7EFC5797"/>
    <w:rsid w:val="7F3513EA"/>
    <w:rsid w:val="7F446E7D"/>
    <w:rsid w:val="7FBE06E6"/>
    <w:rsid w:val="7FF945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rPr>
      <w:rFonts w:ascii="Times New Roman" w:hAnsi="Times New Roman" w:eastAsia="宋体" w:cs="Times New Roman"/>
    </w:rPr>
  </w:style>
  <w:style w:type="table" w:default="1" w:styleId="5">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link w:val="27"/>
    <w:qFormat/>
    <w:uiPriority w:val="0"/>
    <w:pPr>
      <w:widowControl/>
      <w:shd w:val="clear" w:color="auto" w:fill="FFFFFF"/>
      <w:spacing w:after="1200" w:line="240" w:lineRule="atLeast"/>
      <w:jc w:val="left"/>
    </w:pPr>
    <w:rPr>
      <w:rFonts w:ascii="MingLiU" w:hAnsi="Times New Roman" w:eastAsia="MingLiU" w:cs="Times New Roman"/>
      <w:kern w:val="0"/>
      <w:sz w:val="28"/>
      <w:szCs w:val="28"/>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8">
    <w:name w:val="Normal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9">
    <w:name w:val="标题 #2 (2)"/>
    <w:basedOn w:val="1"/>
    <w:link w:val="24"/>
    <w:qFormat/>
    <w:uiPriority w:val="0"/>
    <w:pPr>
      <w:widowControl/>
      <w:shd w:val="clear" w:color="auto" w:fill="FFFFFF"/>
      <w:spacing w:before="480" w:after="720" w:line="240" w:lineRule="atLeast"/>
      <w:jc w:val="center"/>
      <w:outlineLvl w:val="1"/>
    </w:pPr>
    <w:rPr>
      <w:rFonts w:ascii="MingLiU" w:hAnsi="Times New Roman" w:eastAsia="MingLiU" w:cs="Times New Roman"/>
      <w:b/>
      <w:bCs/>
      <w:kern w:val="0"/>
      <w:sz w:val="29"/>
      <w:szCs w:val="29"/>
    </w:rPr>
  </w:style>
  <w:style w:type="paragraph" w:customStyle="1" w:styleId="10">
    <w:name w:val="标题 #1 (5)"/>
    <w:basedOn w:val="1"/>
    <w:link w:val="30"/>
    <w:qFormat/>
    <w:uiPriority w:val="0"/>
    <w:pPr>
      <w:widowControl/>
      <w:shd w:val="clear" w:color="auto" w:fill="FFFFFF"/>
      <w:spacing w:before="240" w:after="600" w:line="240" w:lineRule="atLeast"/>
      <w:jc w:val="left"/>
      <w:outlineLvl w:val="0"/>
    </w:pPr>
    <w:rPr>
      <w:rFonts w:ascii="MingLiU" w:hAnsi="Times New Roman" w:eastAsia="MingLiU" w:cs="Times New Roman"/>
      <w:kern w:val="0"/>
      <w:sz w:val="38"/>
      <w:szCs w:val="38"/>
    </w:rPr>
  </w:style>
  <w:style w:type="paragraph" w:customStyle="1" w:styleId="11">
    <w:name w:val="正文文本 (8)1"/>
    <w:basedOn w:val="1"/>
    <w:link w:val="17"/>
    <w:qFormat/>
    <w:uiPriority w:val="0"/>
    <w:pPr>
      <w:widowControl/>
      <w:shd w:val="clear" w:color="auto" w:fill="FFFFFF"/>
      <w:spacing w:line="240" w:lineRule="atLeast"/>
      <w:jc w:val="left"/>
    </w:pPr>
    <w:rPr>
      <w:rFonts w:ascii="MingLiU" w:hAnsi="Times New Roman" w:eastAsia="MingLiU" w:cs="Times New Roman"/>
      <w:kern w:val="0"/>
      <w:sz w:val="19"/>
      <w:szCs w:val="19"/>
    </w:rPr>
  </w:style>
  <w:style w:type="paragraph" w:customStyle="1" w:styleId="12">
    <w:name w:val="标题 #6"/>
    <w:basedOn w:val="1"/>
    <w:link w:val="25"/>
    <w:qFormat/>
    <w:uiPriority w:val="0"/>
    <w:pPr>
      <w:widowControl/>
      <w:shd w:val="clear" w:color="auto" w:fill="FFFFFF"/>
      <w:spacing w:before="480" w:after="720" w:line="240" w:lineRule="atLeast"/>
      <w:jc w:val="center"/>
      <w:outlineLvl w:val="5"/>
    </w:pPr>
    <w:rPr>
      <w:rFonts w:ascii="MingLiU" w:hAnsi="Times New Roman" w:eastAsia="MingLiU" w:cs="Times New Roman"/>
      <w:b/>
      <w:bCs/>
      <w:kern w:val="0"/>
      <w:sz w:val="29"/>
      <w:szCs w:val="29"/>
    </w:rPr>
  </w:style>
  <w:style w:type="paragraph" w:customStyle="1" w:styleId="13">
    <w:name w:val="正文文本 (4)"/>
    <w:basedOn w:val="1"/>
    <w:link w:val="19"/>
    <w:qFormat/>
    <w:uiPriority w:val="0"/>
    <w:pPr>
      <w:widowControl/>
      <w:shd w:val="clear" w:color="auto" w:fill="FFFFFF"/>
      <w:spacing w:line="626" w:lineRule="exact"/>
      <w:jc w:val="distribute"/>
    </w:pPr>
    <w:rPr>
      <w:rFonts w:ascii="MingLiU" w:hAnsi="Times New Roman" w:eastAsia="MingLiU" w:cs="Times New Roman"/>
      <w:b/>
      <w:bCs/>
      <w:kern w:val="0"/>
      <w:sz w:val="29"/>
      <w:szCs w:val="29"/>
    </w:rPr>
  </w:style>
  <w:style w:type="paragraph" w:customStyle="1" w:styleId="14">
    <w:name w:val="正文文本 (11)"/>
    <w:basedOn w:val="1"/>
    <w:link w:val="29"/>
    <w:qFormat/>
    <w:uiPriority w:val="0"/>
    <w:pPr>
      <w:widowControl/>
      <w:shd w:val="clear" w:color="auto" w:fill="FFFFFF"/>
      <w:spacing w:before="420" w:after="660" w:line="240" w:lineRule="atLeast"/>
      <w:jc w:val="left"/>
    </w:pPr>
    <w:rPr>
      <w:rFonts w:ascii="MingLiU" w:hAnsi="Times New Roman" w:eastAsia="MingLiU" w:cs="Times New Roman"/>
      <w:w w:val="150"/>
      <w:kern w:val="0"/>
      <w:sz w:val="8"/>
      <w:szCs w:val="8"/>
    </w:rPr>
  </w:style>
  <w:style w:type="paragraph" w:customStyle="1" w:styleId="15">
    <w:name w:val="正文文本 (2)"/>
    <w:basedOn w:val="1"/>
    <w:link w:val="18"/>
    <w:qFormat/>
    <w:uiPriority w:val="0"/>
    <w:pPr>
      <w:widowControl/>
      <w:shd w:val="clear" w:color="auto" w:fill="FFFFFF"/>
      <w:spacing w:after="7920" w:line="240" w:lineRule="atLeast"/>
      <w:jc w:val="left"/>
    </w:pPr>
    <w:rPr>
      <w:rFonts w:ascii="MingLiU" w:hAnsi="Times New Roman" w:eastAsia="MingLiU" w:cs="Times New Roman"/>
      <w:kern w:val="0"/>
      <w:sz w:val="25"/>
      <w:szCs w:val="25"/>
    </w:rPr>
  </w:style>
  <w:style w:type="paragraph" w:customStyle="1" w:styleId="16">
    <w:name w:val="Normal_0_0"/>
    <w:basedOn w:val="8"/>
    <w:qFormat/>
    <w:uiPriority w:val="99"/>
    <w:rPr>
      <w:szCs w:val="21"/>
    </w:rPr>
  </w:style>
  <w:style w:type="character" w:customStyle="1" w:styleId="17">
    <w:name w:val="正文文本 (8)_"/>
    <w:basedOn w:val="6"/>
    <w:link w:val="11"/>
    <w:qFormat/>
    <w:uiPriority w:val="0"/>
    <w:rPr>
      <w:rFonts w:ascii="MingLiU" w:hAnsi="Times New Roman" w:eastAsia="MingLiU" w:cs="Times New Roman"/>
      <w:sz w:val="19"/>
      <w:szCs w:val="19"/>
      <w:lang w:bidi="ar-SA"/>
    </w:rPr>
  </w:style>
  <w:style w:type="character" w:customStyle="1" w:styleId="18">
    <w:name w:val="正文文本 (2)_"/>
    <w:basedOn w:val="6"/>
    <w:link w:val="15"/>
    <w:qFormat/>
    <w:uiPriority w:val="0"/>
    <w:rPr>
      <w:rFonts w:ascii="MingLiU" w:hAnsi="Times New Roman" w:eastAsia="MingLiU" w:cs="Times New Roman"/>
      <w:sz w:val="25"/>
      <w:szCs w:val="25"/>
      <w:lang w:bidi="ar-SA"/>
    </w:rPr>
  </w:style>
  <w:style w:type="character" w:customStyle="1" w:styleId="19">
    <w:name w:val="正文文本 (4)_"/>
    <w:basedOn w:val="6"/>
    <w:link w:val="13"/>
    <w:qFormat/>
    <w:uiPriority w:val="0"/>
    <w:rPr>
      <w:rFonts w:ascii="MingLiU" w:hAnsi="Times New Roman" w:eastAsia="MingLiU" w:cs="Times New Roman"/>
      <w:b/>
      <w:bCs/>
      <w:sz w:val="29"/>
      <w:szCs w:val="29"/>
      <w:lang w:bidi="ar-SA"/>
    </w:rPr>
  </w:style>
  <w:style w:type="character" w:customStyle="1" w:styleId="20">
    <w:name w:val=" Char Char"/>
    <w:qFormat/>
    <w:uiPriority w:val="0"/>
    <w:rPr>
      <w:rFonts w:ascii="MingLiU" w:hAnsi="Times New Roman" w:eastAsia="MingLiU" w:cs="Times New Roman"/>
      <w:sz w:val="28"/>
      <w:szCs w:val="28"/>
      <w:lang w:bidi="ar-SA"/>
    </w:rPr>
  </w:style>
  <w:style w:type="character" w:customStyle="1" w:styleId="21">
    <w:name w:val="正文文本_"/>
    <w:basedOn w:val="6"/>
    <w:qFormat/>
    <w:uiPriority w:val="0"/>
    <w:rPr>
      <w:rFonts w:ascii="MingLiU" w:hAnsi="Times New Roman" w:eastAsia="MingLiU" w:cs="Times New Roman"/>
      <w:sz w:val="28"/>
      <w:szCs w:val="28"/>
      <w:lang w:bidi="ar-SA"/>
    </w:rPr>
  </w:style>
  <w:style w:type="character" w:customStyle="1" w:styleId="22">
    <w:name w:val="font51"/>
    <w:basedOn w:val="6"/>
    <w:qFormat/>
    <w:uiPriority w:val="0"/>
    <w:rPr>
      <w:rFonts w:hint="eastAsia" w:ascii="宋体" w:hAnsi="宋体" w:eastAsia="宋体" w:cs="宋体"/>
      <w:color w:val="000000"/>
      <w:sz w:val="20"/>
      <w:szCs w:val="20"/>
      <w:u w:val="none"/>
    </w:rPr>
  </w:style>
  <w:style w:type="character" w:customStyle="1" w:styleId="23">
    <w:name w:val="font21"/>
    <w:basedOn w:val="6"/>
    <w:qFormat/>
    <w:uiPriority w:val="0"/>
    <w:rPr>
      <w:rFonts w:hint="eastAsia" w:ascii="宋体" w:hAnsi="宋体" w:eastAsia="宋体" w:cs="宋体"/>
      <w:color w:val="000000"/>
      <w:sz w:val="20"/>
      <w:szCs w:val="20"/>
      <w:u w:val="none"/>
    </w:rPr>
  </w:style>
  <w:style w:type="character" w:customStyle="1" w:styleId="24">
    <w:name w:val="标题 #2 (2)_"/>
    <w:basedOn w:val="6"/>
    <w:link w:val="9"/>
    <w:qFormat/>
    <w:uiPriority w:val="0"/>
    <w:rPr>
      <w:rFonts w:ascii="MingLiU" w:hAnsi="Times New Roman" w:eastAsia="MingLiU" w:cs="Times New Roman"/>
      <w:b/>
      <w:bCs/>
      <w:sz w:val="29"/>
      <w:szCs w:val="29"/>
      <w:lang w:bidi="ar-SA"/>
    </w:rPr>
  </w:style>
  <w:style w:type="character" w:customStyle="1" w:styleId="25">
    <w:name w:val="标题 #6_"/>
    <w:basedOn w:val="6"/>
    <w:link w:val="12"/>
    <w:qFormat/>
    <w:uiPriority w:val="0"/>
    <w:rPr>
      <w:rFonts w:ascii="MingLiU" w:hAnsi="Times New Roman" w:eastAsia="MingLiU" w:cs="Times New Roman"/>
      <w:b/>
      <w:bCs/>
      <w:sz w:val="29"/>
      <w:szCs w:val="29"/>
      <w:lang w:bidi="ar-SA"/>
    </w:rPr>
  </w:style>
  <w:style w:type="character" w:customStyle="1" w:styleId="26">
    <w:name w:val="font11"/>
    <w:basedOn w:val="6"/>
    <w:qFormat/>
    <w:uiPriority w:val="0"/>
    <w:rPr>
      <w:rFonts w:hint="eastAsia" w:ascii="宋体" w:hAnsi="宋体" w:eastAsia="宋体" w:cs="宋体"/>
      <w:color w:val="FF0000"/>
      <w:sz w:val="20"/>
      <w:szCs w:val="20"/>
      <w:u w:val="none"/>
    </w:rPr>
  </w:style>
  <w:style w:type="character" w:customStyle="1" w:styleId="27">
    <w:name w:val=" Char Char1"/>
    <w:basedOn w:val="6"/>
    <w:link w:val="2"/>
    <w:qFormat/>
    <w:uiPriority w:val="0"/>
    <w:rPr>
      <w:rFonts w:ascii="MingLiU" w:hAnsi="Times New Roman" w:eastAsia="MingLiU" w:cs="Times New Roman"/>
      <w:sz w:val="28"/>
      <w:szCs w:val="28"/>
      <w:lang w:bidi="ar-SA"/>
    </w:rPr>
  </w:style>
  <w:style w:type="character" w:customStyle="1" w:styleId="28">
    <w:name w:val="font41"/>
    <w:basedOn w:val="6"/>
    <w:qFormat/>
    <w:uiPriority w:val="0"/>
    <w:rPr>
      <w:rFonts w:hint="eastAsia" w:ascii="宋体" w:hAnsi="宋体" w:eastAsia="宋体" w:cs="宋体"/>
      <w:color w:val="FF0000"/>
      <w:sz w:val="20"/>
      <w:szCs w:val="20"/>
      <w:u w:val="none"/>
    </w:rPr>
  </w:style>
  <w:style w:type="character" w:customStyle="1" w:styleId="29">
    <w:name w:val="正文文本 (11)_"/>
    <w:basedOn w:val="6"/>
    <w:link w:val="14"/>
    <w:qFormat/>
    <w:uiPriority w:val="0"/>
    <w:rPr>
      <w:rFonts w:ascii="MingLiU" w:hAnsi="Times New Roman" w:eastAsia="MingLiU" w:cs="Times New Roman"/>
      <w:w w:val="150"/>
      <w:sz w:val="8"/>
      <w:szCs w:val="8"/>
      <w:lang w:bidi="ar-SA"/>
    </w:rPr>
  </w:style>
  <w:style w:type="character" w:customStyle="1" w:styleId="30">
    <w:name w:val="标题 #1 (5)_"/>
    <w:basedOn w:val="6"/>
    <w:link w:val="10"/>
    <w:qFormat/>
    <w:uiPriority w:val="0"/>
    <w:rPr>
      <w:rFonts w:ascii="MingLiU" w:hAnsi="Times New Roman" w:eastAsia="MingLiU" w:cs="Times New Roman"/>
      <w:sz w:val="38"/>
      <w:szCs w:val="3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Lenovo</Company>
  <Pages>35</Pages>
  <Words>2637</Words>
  <Characters>15037</Characters>
  <Lines>125</Lines>
  <Paragraphs>35</Paragraphs>
  <TotalTime>14</TotalTime>
  <ScaleCrop>false</ScaleCrop>
  <LinksUpToDate>false</LinksUpToDate>
  <CharactersWithSpaces>17639</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2017-05-20T02:28:00Z</dcterms:created>
  <dc:creator>User</dc:creator>
  <cp:lastModifiedBy>郑若玲</cp:lastModifiedBy>
  <cp:lastPrinted>2020-03-03T06:56:00Z</cp:lastPrinted>
  <dcterms:modified xsi:type="dcterms:W3CDTF">2025-07-29T01:39:27Z</dcterms:modified>
  <dc:title>福清市石竹街道龙塘村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0A0F5B2582EE4734BEB265728374EDD2</vt:lpwstr>
  </property>
  <property fmtid="{D5CDD505-2E9C-101B-9397-08002B2CF9AE}" pid="4" name="hmcheck_markmode">
    <vt:i4>0</vt:i4>
  </property>
  <property fmtid="{D5CDD505-2E9C-101B-9397-08002B2CF9AE}" pid="5" name="hmcheck_taskpanetype">
    <vt:i4>1</vt:i4>
  </property>
</Properties>
</file>