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970D">
      <w:pPr>
        <w:jc w:val="center"/>
        <w:rPr>
          <w:rFonts w:hint="eastAsia" w:ascii="宋体" w:hAnsi="宋体"/>
          <w:b/>
          <w:bCs/>
          <w:color w:val="auto"/>
          <w:sz w:val="44"/>
          <w:szCs w:val="44"/>
          <w:highlight w:val="none"/>
          <w:u w:val="none"/>
          <w:lang w:eastAsia="zh-CN"/>
        </w:rPr>
      </w:pPr>
      <w:r>
        <w:rPr>
          <w:rFonts w:hint="eastAsia" w:ascii="宋体" w:hAnsi="宋体"/>
          <w:b/>
          <w:bCs/>
          <w:color w:val="auto"/>
          <w:sz w:val="44"/>
          <w:szCs w:val="44"/>
          <w:highlight w:val="none"/>
          <w:u w:val="none"/>
          <w:lang w:eastAsia="zh-CN"/>
        </w:rPr>
        <w:t>龙东片区改造项目房屋征收补偿方案</w:t>
      </w:r>
    </w:p>
    <w:p w14:paraId="124C69B9">
      <w:pPr>
        <w:jc w:val="center"/>
        <w:rPr>
          <w:rFonts w:hint="eastAsia" w:ascii="仿宋_GB2312" w:hAnsi="Times New Roman" w:eastAsia="仿宋_GB2312" w:cs="Times New Roman"/>
          <w:color w:val="auto"/>
          <w:w w:val="100"/>
          <w:kern w:val="0"/>
          <w:sz w:val="32"/>
          <w:szCs w:val="32"/>
          <w:highlight w:val="none"/>
          <w:u w:val="none"/>
          <w:lang w:val="en-US" w:eastAsia="zh-CN" w:bidi="ar-SA"/>
        </w:rPr>
      </w:pPr>
      <w:r>
        <w:rPr>
          <w:rFonts w:hint="eastAsia" w:ascii="仿宋_GB2312" w:eastAsia="仿宋_GB2312" w:cs="Times New Roman"/>
          <w:color w:val="auto"/>
          <w:w w:val="100"/>
          <w:kern w:val="0"/>
          <w:sz w:val="32"/>
          <w:szCs w:val="32"/>
          <w:highlight w:val="none"/>
          <w:u w:val="none"/>
          <w:lang w:val="en-US" w:eastAsia="zh-CN" w:bidi="ar-SA"/>
        </w:rPr>
        <w:t>（</w:t>
      </w:r>
      <w:r>
        <w:rPr>
          <w:rFonts w:hint="eastAsia" w:ascii="仿宋_GB2312" w:hAnsi="Times New Roman" w:eastAsia="仿宋_GB2312" w:cs="Times New Roman"/>
          <w:color w:val="auto"/>
          <w:w w:val="100"/>
          <w:kern w:val="0"/>
          <w:sz w:val="32"/>
          <w:szCs w:val="32"/>
          <w:highlight w:val="none"/>
          <w:u w:val="none"/>
          <w:lang w:val="en-US" w:eastAsia="zh-CN" w:bidi="ar-SA"/>
        </w:rPr>
        <w:t>适用私人自建住宅部分征求意见稿</w:t>
      </w:r>
      <w:r>
        <w:rPr>
          <w:rFonts w:hint="eastAsia" w:ascii="仿宋_GB2312" w:eastAsia="仿宋_GB2312" w:cs="Times New Roman"/>
          <w:color w:val="auto"/>
          <w:w w:val="100"/>
          <w:kern w:val="0"/>
          <w:sz w:val="32"/>
          <w:szCs w:val="32"/>
          <w:highlight w:val="none"/>
          <w:u w:val="none"/>
          <w:lang w:val="en-US" w:eastAsia="zh-CN" w:bidi="ar-SA"/>
        </w:rPr>
        <w:t>）</w:t>
      </w:r>
    </w:p>
    <w:p w14:paraId="5BC9BF8D">
      <w:pPr>
        <w:pStyle w:val="14"/>
        <w:shd w:val="clear" w:color="auto" w:fill="auto"/>
        <w:tabs>
          <w:tab w:val="left" w:pos="7085"/>
        </w:tabs>
        <w:spacing w:before="0" w:after="0" w:line="600" w:lineRule="exact"/>
        <w:ind w:firstLine="640" w:firstLineChars="200"/>
        <w:jc w:val="both"/>
        <w:rPr>
          <w:rFonts w:hint="eastAsia" w:ascii="仿宋_GB2312" w:eastAsia="仿宋_GB2312"/>
          <w:color w:val="auto"/>
          <w:w w:val="100"/>
          <w:sz w:val="32"/>
          <w:szCs w:val="32"/>
          <w:highlight w:val="none"/>
          <w:u w:val="none"/>
          <w:lang w:eastAsia="zh-CN"/>
        </w:rPr>
      </w:pPr>
    </w:p>
    <w:p w14:paraId="5048BBD7">
      <w:pPr>
        <w:pStyle w:val="14"/>
        <w:shd w:val="clear" w:color="auto" w:fill="auto"/>
        <w:tabs>
          <w:tab w:val="left" w:pos="7085"/>
        </w:tabs>
        <w:spacing w:before="0" w:after="0" w:line="600" w:lineRule="exact"/>
        <w:ind w:firstLine="640" w:firstLineChars="200"/>
        <w:jc w:val="both"/>
        <w:rPr>
          <w:rFonts w:ascii="仿宋_GB2312" w:eastAsia="仿宋_GB2312"/>
          <w:color w:val="auto"/>
          <w:w w:val="100"/>
          <w:sz w:val="32"/>
          <w:szCs w:val="32"/>
          <w:highlight w:val="none"/>
          <w:u w:val="none"/>
          <w:lang w:eastAsia="zh-CN"/>
        </w:rPr>
      </w:pPr>
      <w:r>
        <w:rPr>
          <w:rFonts w:hint="eastAsia" w:ascii="仿宋_GB2312" w:eastAsia="仿宋_GB2312"/>
          <w:color w:val="auto"/>
          <w:w w:val="100"/>
          <w:sz w:val="32"/>
          <w:szCs w:val="32"/>
          <w:highlight w:val="none"/>
          <w:u w:val="none"/>
          <w:lang w:eastAsia="zh-CN"/>
        </w:rPr>
        <w:t>因城市建设发展和旧城改造建设需要，福清市人民政府决定征收龙东</w:t>
      </w:r>
      <w:r>
        <w:rPr>
          <w:rFonts w:hint="eastAsia" w:ascii="仿宋_GB2312" w:eastAsia="仿宋_GB2312"/>
          <w:color w:val="auto"/>
          <w:w w:val="100"/>
          <w:sz w:val="32"/>
          <w:szCs w:val="32"/>
          <w:highlight w:val="none"/>
          <w:u w:val="none"/>
          <w:lang w:val="en-US" w:eastAsia="zh-CN"/>
        </w:rPr>
        <w:t>片区（报批名称含政府储备地2022-027号）改造</w:t>
      </w:r>
      <w:r>
        <w:rPr>
          <w:rFonts w:hint="eastAsia" w:ascii="仿宋_GB2312" w:eastAsia="仿宋_GB2312"/>
          <w:color w:val="auto"/>
          <w:w w:val="100"/>
          <w:sz w:val="32"/>
          <w:szCs w:val="32"/>
          <w:highlight w:val="none"/>
          <w:u w:val="none"/>
          <w:lang w:eastAsia="zh-CN"/>
        </w:rPr>
        <w:t>项目规划红线内的房屋。根据《中华人民共和国土地管理法</w:t>
      </w:r>
      <w:r>
        <w:rPr>
          <w:rFonts w:hint="eastAsia" w:ascii="仿宋_GB2312" w:eastAsia="仿宋_GB2312"/>
          <w:color w:val="auto"/>
          <w:w w:val="100"/>
          <w:sz w:val="32"/>
          <w:szCs w:val="32"/>
          <w:highlight w:val="none"/>
          <w:u w:val="none"/>
          <w:shd w:val="clear" w:fill="FFFFFF"/>
          <w:lang w:eastAsia="zh-CN"/>
        </w:rPr>
        <w:t>》、《</w:t>
      </w:r>
      <w:r>
        <w:rPr>
          <w:rFonts w:hint="eastAsia" w:ascii="仿宋_GB2312" w:eastAsia="仿宋_GB2312"/>
          <w:color w:val="auto"/>
          <w:w w:val="100"/>
          <w:sz w:val="32"/>
          <w:szCs w:val="32"/>
          <w:highlight w:val="none"/>
          <w:u w:val="none"/>
          <w:lang w:eastAsia="zh-CN"/>
        </w:rPr>
        <w:t>国有土地上房屋征收与补偿条例》等有关</w:t>
      </w:r>
      <w:r>
        <w:rPr>
          <w:rFonts w:hint="eastAsia" w:ascii="仿宋_GB2312" w:eastAsia="仿宋_GB2312"/>
          <w:color w:val="auto"/>
          <w:w w:val="100"/>
          <w:sz w:val="32"/>
          <w:szCs w:val="32"/>
          <w:highlight w:val="none"/>
          <w:u w:val="none"/>
          <w:shd w:val="clear" w:fill="FFFFFF"/>
          <w:lang w:eastAsia="zh-CN"/>
        </w:rPr>
        <w:t>法律、法规</w:t>
      </w:r>
      <w:r>
        <w:rPr>
          <w:rFonts w:hint="eastAsia" w:ascii="仿宋_GB2312" w:eastAsia="仿宋_GB2312"/>
          <w:color w:val="auto"/>
          <w:w w:val="100"/>
          <w:sz w:val="32"/>
          <w:szCs w:val="32"/>
          <w:highlight w:val="none"/>
          <w:u w:val="none"/>
          <w:lang w:eastAsia="zh-CN"/>
        </w:rPr>
        <w:t>及政策规定，为规范征收补偿安置行为，维护被征收人合法权益，</w:t>
      </w:r>
      <w:r>
        <w:rPr>
          <w:rFonts w:hint="eastAsia" w:ascii="仿宋_GB2312" w:eastAsia="仿宋_GB2312"/>
          <w:color w:val="auto"/>
          <w:w w:val="100"/>
          <w:sz w:val="32"/>
          <w:szCs w:val="32"/>
          <w:highlight w:val="none"/>
          <w:u w:val="none"/>
        </w:rPr>
        <w:t>制定本征收补偿方案。</w:t>
      </w:r>
    </w:p>
    <w:p w14:paraId="3AFEC864">
      <w:pPr>
        <w:pStyle w:val="9"/>
        <w:keepNext/>
        <w:keepLines/>
        <w:shd w:val="clear" w:color="auto" w:fill="auto"/>
        <w:spacing w:before="0" w:after="0" w:line="600" w:lineRule="exact"/>
        <w:ind w:firstLine="643" w:firstLineChars="200"/>
        <w:jc w:val="both"/>
        <w:rPr>
          <w:rFonts w:hint="eastAsia" w:ascii="仿宋_GB2312" w:eastAsia="仿宋_GB2312"/>
          <w:color w:val="auto"/>
          <w:sz w:val="32"/>
          <w:szCs w:val="32"/>
          <w:highlight w:val="none"/>
          <w:u w:val="none"/>
          <w:lang w:val="zh-CN" w:eastAsia="zh-CN"/>
        </w:rPr>
      </w:pPr>
      <w:bookmarkStart w:id="0" w:name="bookmark5"/>
    </w:p>
    <w:p w14:paraId="34E94C8F">
      <w:pPr>
        <w:pStyle w:val="9"/>
        <w:keepNext/>
        <w:keepLines/>
        <w:shd w:val="clear" w:color="auto" w:fill="auto"/>
        <w:spacing w:before="0" w:after="0" w:line="600" w:lineRule="exact"/>
        <w:ind w:firstLine="643" w:firstLineChars="200"/>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第一部分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总则</w:t>
      </w:r>
      <w:bookmarkEnd w:id="0"/>
    </w:p>
    <w:p w14:paraId="3407ED03">
      <w:pPr>
        <w:pStyle w:val="9"/>
        <w:keepNext/>
        <w:keepLines/>
        <w:shd w:val="clear" w:color="auto" w:fill="auto"/>
        <w:spacing w:before="0" w:after="0" w:line="600" w:lineRule="exact"/>
        <w:ind w:firstLine="580" w:firstLineChars="200"/>
        <w:jc w:val="both"/>
        <w:rPr>
          <w:rFonts w:eastAsia="宋体"/>
          <w:b w:val="0"/>
          <w:color w:val="auto"/>
          <w:highlight w:val="none"/>
          <w:u w:val="none"/>
        </w:rPr>
      </w:pPr>
      <w:bookmarkStart w:id="1" w:name="bookmark6"/>
    </w:p>
    <w:p w14:paraId="3B3F9C88">
      <w:pPr>
        <w:pStyle w:val="9"/>
        <w:keepNext/>
        <w:keepLines/>
        <w:shd w:val="clear" w:color="auto" w:fill="auto"/>
        <w:spacing w:before="0" w:after="0" w:line="600" w:lineRule="exact"/>
        <w:ind w:firstLine="725" w:firstLineChars="250"/>
        <w:jc w:val="both"/>
        <w:rPr>
          <w:rFonts w:ascii="仿宋_GB2312" w:eastAsia="仿宋_GB2312"/>
          <w:color w:val="auto"/>
          <w:sz w:val="32"/>
          <w:szCs w:val="32"/>
          <w:highlight w:val="none"/>
          <w:u w:val="none"/>
          <w:lang w:val="zh-CN"/>
        </w:rPr>
      </w:pPr>
      <w:r>
        <w:rPr>
          <w:rFonts w:hint="eastAsia" w:eastAsia="宋体"/>
          <w:b w:val="0"/>
          <w:color w:val="auto"/>
          <w:highlight w:val="none"/>
          <w:u w:val="none"/>
          <w:lang w:eastAsia="zh-CN"/>
        </w:rPr>
        <w:t>一、</w:t>
      </w:r>
      <w:r>
        <w:rPr>
          <w:rFonts w:hint="eastAsia" w:ascii="仿宋_GB2312" w:eastAsia="仿宋_GB2312"/>
          <w:color w:val="auto"/>
          <w:sz w:val="32"/>
          <w:szCs w:val="32"/>
          <w:highlight w:val="none"/>
          <w:u w:val="none"/>
          <w:lang w:val="zh-CN"/>
        </w:rPr>
        <w:t>基本原则</w:t>
      </w:r>
      <w:bookmarkEnd w:id="1"/>
    </w:p>
    <w:p w14:paraId="6A44464F">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征收工作坚持“依法依规、民主公开、以人为本、权益保障、和谐征收”的原则，征收人主动接受监督部门、被征收人及社会各界人士的监督。</w:t>
      </w:r>
    </w:p>
    <w:p w14:paraId="21AE4E41">
      <w:pPr>
        <w:pStyle w:val="9"/>
        <w:keepNext/>
        <w:keepLines/>
        <w:shd w:val="clear" w:color="auto" w:fill="auto"/>
        <w:spacing w:before="0" w:after="0" w:line="600" w:lineRule="exact"/>
        <w:ind w:firstLine="643" w:firstLineChars="200"/>
        <w:jc w:val="both"/>
        <w:rPr>
          <w:rFonts w:ascii="仿宋_GB2312" w:eastAsia="仿宋_GB2312"/>
          <w:color w:val="auto"/>
          <w:sz w:val="32"/>
          <w:szCs w:val="32"/>
          <w:highlight w:val="none"/>
          <w:u w:val="none"/>
        </w:rPr>
      </w:pPr>
      <w:bookmarkStart w:id="2" w:name="bookmark7"/>
      <w:r>
        <w:rPr>
          <w:rFonts w:hint="eastAsia" w:ascii="仿宋_GB2312" w:eastAsia="仿宋_GB2312"/>
          <w:color w:val="auto"/>
          <w:sz w:val="32"/>
          <w:szCs w:val="32"/>
          <w:highlight w:val="none"/>
          <w:u w:val="none"/>
          <w:lang w:val="zh-CN"/>
        </w:rPr>
        <w:t>二、征收范围</w:t>
      </w:r>
      <w:bookmarkEnd w:id="2"/>
    </w:p>
    <w:p w14:paraId="2C9F639F">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具体征收范围以龙东</w:t>
      </w:r>
      <w:r>
        <w:rPr>
          <w:rFonts w:hint="eastAsia" w:ascii="仿宋_GB2312" w:eastAsia="仿宋_GB2312"/>
          <w:color w:val="auto"/>
          <w:w w:val="100"/>
          <w:sz w:val="32"/>
          <w:szCs w:val="32"/>
          <w:highlight w:val="none"/>
          <w:u w:val="none"/>
          <w:lang w:val="en-US" w:eastAsia="zh-CN"/>
        </w:rPr>
        <w:t>片区改造</w:t>
      </w:r>
      <w:r>
        <w:rPr>
          <w:rFonts w:hint="eastAsia" w:ascii="仿宋_GB2312" w:eastAsia="仿宋_GB2312"/>
          <w:color w:val="auto"/>
          <w:sz w:val="32"/>
          <w:szCs w:val="32"/>
          <w:highlight w:val="none"/>
          <w:u w:val="none"/>
          <w:lang w:val="zh-CN"/>
        </w:rPr>
        <w:t>项目红线图为准。</w:t>
      </w:r>
      <w:bookmarkStart w:id="3" w:name="bookmark8"/>
    </w:p>
    <w:p w14:paraId="3D2DA305">
      <w:pPr>
        <w:pStyle w:val="2"/>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rPr>
        <w:t>三、征收补偿对象及方式</w:t>
      </w:r>
      <w:bookmarkEnd w:id="3"/>
    </w:p>
    <w:p w14:paraId="17C0D33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4BDA5361">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6361AE7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35253E48">
      <w:pPr>
        <w:pStyle w:val="2"/>
        <w:shd w:val="clear" w:color="auto" w:fill="auto"/>
        <w:spacing w:after="0" w:line="600" w:lineRule="exact"/>
        <w:ind w:firstLine="640" w:firstLineChars="200"/>
        <w:jc w:val="both"/>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7E4F306C">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61641900">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土地使用证》登记的产权人为准，或经审批的《用地申请表</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lang w:val="zh-CN"/>
        </w:rPr>
        <w:t>建筑许可证》以及其他证明产权材料为认定依据。</w:t>
      </w:r>
    </w:p>
    <w:p w14:paraId="378EC98C">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bookmarkStart w:id="4" w:name="bookmark9"/>
      <w:r>
        <w:rPr>
          <w:rFonts w:hint="eastAsia" w:ascii="仿宋_GB2312" w:eastAsia="仿宋_GB2312"/>
          <w:color w:val="auto"/>
          <w:sz w:val="32"/>
          <w:szCs w:val="32"/>
          <w:highlight w:val="none"/>
          <w:u w:val="none"/>
          <w:lang w:val="zh-CN"/>
        </w:rPr>
        <w:t>四、补偿安置</w:t>
      </w:r>
      <w:bookmarkEnd w:id="4"/>
    </w:p>
    <w:p w14:paraId="43CDA7D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方式。分为产权调换、货币补偿、部分产权调换与部分货币补偿相结合三种方式</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选择部分产权调换与部分货币补偿相结合的方式，</w:t>
      </w:r>
      <w:r>
        <w:rPr>
          <w:rFonts w:hint="eastAsia" w:ascii="仿宋_GB2312" w:eastAsia="仿宋_GB2312"/>
          <w:color w:val="auto"/>
          <w:sz w:val="32"/>
          <w:szCs w:val="32"/>
          <w:highlight w:val="none"/>
          <w:u w:val="none"/>
          <w:lang w:val="zh-CN" w:eastAsia="zh-CN"/>
        </w:rPr>
        <w:t>其</w:t>
      </w:r>
      <w:r>
        <w:rPr>
          <w:rFonts w:hint="eastAsia" w:ascii="仿宋_GB2312" w:eastAsia="仿宋_GB2312"/>
          <w:color w:val="auto"/>
          <w:sz w:val="32"/>
          <w:szCs w:val="32"/>
          <w:highlight w:val="none"/>
          <w:u w:val="none"/>
          <w:lang w:val="zh-CN"/>
        </w:rPr>
        <w:t>用于产权调换部分的面积只能</w:t>
      </w:r>
      <w:r>
        <w:rPr>
          <w:rFonts w:hint="eastAsia" w:ascii="仿宋_GB2312" w:eastAsia="仿宋_GB2312"/>
          <w:color w:val="auto"/>
          <w:sz w:val="32"/>
          <w:szCs w:val="32"/>
          <w:highlight w:val="none"/>
          <w:u w:val="none"/>
          <w:lang w:val="zh-CN" w:eastAsia="zh-CN"/>
        </w:rPr>
        <w:t>从</w:t>
      </w:r>
      <w:r>
        <w:rPr>
          <w:rFonts w:hint="eastAsia" w:ascii="仿宋_GB2312" w:eastAsia="仿宋_GB2312"/>
          <w:color w:val="auto"/>
          <w:sz w:val="32"/>
          <w:szCs w:val="32"/>
          <w:highlight w:val="none"/>
          <w:u w:val="none"/>
          <w:lang w:val="zh-CN"/>
        </w:rPr>
        <w:t>一层</w:t>
      </w:r>
      <w:r>
        <w:rPr>
          <w:rFonts w:hint="eastAsia" w:ascii="仿宋_GB2312" w:eastAsia="仿宋_GB2312"/>
          <w:color w:val="auto"/>
          <w:sz w:val="32"/>
          <w:szCs w:val="32"/>
          <w:highlight w:val="none"/>
          <w:u w:val="none"/>
          <w:lang w:val="zh-CN" w:eastAsia="zh-CN"/>
        </w:rPr>
        <w:t>开始</w:t>
      </w:r>
      <w:r>
        <w:rPr>
          <w:rFonts w:hint="eastAsia" w:ascii="仿宋_GB2312" w:eastAsia="仿宋_GB2312"/>
          <w:color w:val="auto"/>
          <w:sz w:val="32"/>
          <w:szCs w:val="32"/>
          <w:highlight w:val="none"/>
          <w:u w:val="none"/>
          <w:lang w:val="zh-CN"/>
        </w:rPr>
        <w:t>依次往上累积</w:t>
      </w:r>
      <w:r>
        <w:rPr>
          <w:rFonts w:hint="eastAsia" w:ascii="仿宋_GB2312" w:eastAsia="仿宋_GB2312"/>
          <w:color w:val="auto"/>
          <w:sz w:val="32"/>
          <w:szCs w:val="32"/>
          <w:highlight w:val="none"/>
          <w:u w:val="none"/>
          <w:lang w:val="zh-CN" w:eastAsia="zh-CN"/>
        </w:rPr>
        <w:t>进行产权调换，</w:t>
      </w:r>
      <w:r>
        <w:rPr>
          <w:rFonts w:hint="eastAsia" w:ascii="仿宋_GB2312" w:eastAsia="仿宋_GB2312"/>
          <w:color w:val="auto"/>
          <w:sz w:val="32"/>
          <w:szCs w:val="32"/>
          <w:highlight w:val="none"/>
          <w:u w:val="none"/>
          <w:lang w:val="zh-CN"/>
        </w:rPr>
        <w:t>土地价值按产权调换与货币补偿面积比例分摊。</w:t>
      </w:r>
    </w:p>
    <w:p w14:paraId="03C2B19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（二）补偿计算。</w:t>
      </w:r>
      <w:r>
        <w:rPr>
          <w:rFonts w:hint="eastAsia" w:ascii="仿宋_GB2312" w:eastAsia="仿宋_GB2312"/>
          <w:color w:val="auto"/>
          <w:sz w:val="32"/>
          <w:szCs w:val="32"/>
          <w:highlight w:val="none"/>
          <w:u w:val="none"/>
          <w:lang w:val="zh-CN" w:eastAsia="zh-CN"/>
        </w:rPr>
        <w:t>房屋</w:t>
      </w:r>
      <w:r>
        <w:rPr>
          <w:rFonts w:hint="eastAsia" w:ascii="仿宋_GB2312" w:eastAsia="仿宋_GB2312"/>
          <w:color w:val="auto"/>
          <w:sz w:val="32"/>
          <w:szCs w:val="32"/>
          <w:highlight w:val="none"/>
          <w:u w:val="none"/>
          <w:lang w:val="zh-CN"/>
        </w:rPr>
        <w:t>补偿实行土地、房屋分别计算，合并结算。土地补偿</w:t>
      </w:r>
      <w:r>
        <w:rPr>
          <w:rFonts w:hint="eastAsia" w:ascii="仿宋_GB2312" w:eastAsia="仿宋_GB2312"/>
          <w:color w:val="auto"/>
          <w:sz w:val="32"/>
          <w:szCs w:val="32"/>
          <w:highlight w:val="none"/>
          <w:u w:val="none"/>
          <w:lang w:val="zh-CN" w:eastAsia="zh-CN"/>
        </w:rPr>
        <w:t>（专指住宅）</w:t>
      </w:r>
      <w:r>
        <w:rPr>
          <w:rFonts w:hint="eastAsia" w:ascii="仿宋_GB2312" w:eastAsia="仿宋_GB2312"/>
          <w:color w:val="auto"/>
          <w:sz w:val="32"/>
          <w:szCs w:val="32"/>
          <w:highlight w:val="none"/>
          <w:u w:val="none"/>
          <w:lang w:val="zh-CN"/>
        </w:rPr>
        <w:t>，经批准的房屋建筑占地土地补偿价格</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万元/亩；房屋补偿，由房屋重置价和二次装修重置价结合成新率组成。埕地、空地的补偿：经国土部门确权的，属出让土地的按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万元/亩计算，属划拨土地或持有集体土地使用证的按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万元/亩的60%计算；经市镇（街）两级清理收费的，按</w:t>
      </w:r>
      <w:r>
        <w:rPr>
          <w:rFonts w:hint="eastAsia" w:ascii="仿宋_GB2312" w:eastAsia="仿宋_GB2312"/>
          <w:color w:val="auto"/>
          <w:w w:val="100"/>
          <w:sz w:val="32"/>
          <w:szCs w:val="32"/>
          <w:highlight w:val="none"/>
          <w:u w:val="single"/>
          <w:lang w:val="en-US" w:eastAsia="zh-CN"/>
        </w:rPr>
        <w:t xml:space="preserve">    </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eastAsia="zh-CN"/>
        </w:rPr>
        <w:t>万元/亩的</w:t>
      </w:r>
      <w:r>
        <w:rPr>
          <w:rFonts w:hint="eastAsia" w:ascii="仿宋_GB2312" w:eastAsia="仿宋_GB2312"/>
          <w:color w:val="auto"/>
          <w:sz w:val="32"/>
          <w:szCs w:val="32"/>
          <w:highlight w:val="none"/>
          <w:u w:val="none"/>
          <w:lang w:val="zh-CN"/>
        </w:rPr>
        <w:t>40</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计算；其他未确权和未经市镇（街）两级清理收费的，按4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万元/亩计算。埕地、空地是指房屋四</w:t>
      </w:r>
      <w:r>
        <w:rPr>
          <w:rFonts w:hint="eastAsia" w:ascii="仿宋_GB2312" w:eastAsia="仿宋_GB2312"/>
          <w:color w:val="auto"/>
          <w:sz w:val="32"/>
          <w:szCs w:val="32"/>
          <w:highlight w:val="none"/>
          <w:u w:val="none"/>
          <w:lang w:val="zh-CN" w:eastAsia="zh-CN"/>
        </w:rPr>
        <w:t>至</w:t>
      </w:r>
      <w:r>
        <w:rPr>
          <w:rFonts w:hint="eastAsia" w:ascii="仿宋_GB2312" w:eastAsia="仿宋_GB2312"/>
          <w:color w:val="auto"/>
          <w:sz w:val="32"/>
          <w:szCs w:val="32"/>
          <w:highlight w:val="none"/>
          <w:u w:val="none"/>
          <w:lang w:val="zh-CN"/>
        </w:rPr>
        <w:t>权属明确、界址明显范围内的用地面积扣除建筑物占地后余下的土地。</w:t>
      </w:r>
    </w:p>
    <w:p w14:paraId="1F58649A">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w:t>
      </w:r>
      <w:r>
        <w:rPr>
          <w:rFonts w:hint="eastAsia" w:ascii="仿宋_GB2312" w:eastAsia="仿宋_GB2312"/>
          <w:color w:val="auto"/>
          <w:sz w:val="32"/>
          <w:szCs w:val="32"/>
          <w:highlight w:val="none"/>
          <w:u w:val="none"/>
          <w:lang w:val="zh-CN" w:eastAsia="zh-CN"/>
        </w:rPr>
        <w:t>产权调换补偿方式</w:t>
      </w:r>
      <w:r>
        <w:rPr>
          <w:rFonts w:hint="eastAsia" w:ascii="仿宋_GB2312" w:eastAsia="仿宋_GB2312"/>
          <w:color w:val="auto"/>
          <w:sz w:val="32"/>
          <w:szCs w:val="32"/>
          <w:highlight w:val="none"/>
          <w:u w:val="none"/>
          <w:lang w:val="zh-CN"/>
        </w:rPr>
        <w:t>安置</w:t>
      </w:r>
      <w:r>
        <w:rPr>
          <w:rFonts w:hint="eastAsia" w:ascii="仿宋_GB2312" w:eastAsia="仿宋_GB2312"/>
          <w:color w:val="auto"/>
          <w:sz w:val="32"/>
          <w:szCs w:val="32"/>
          <w:highlight w:val="none"/>
          <w:u w:val="none"/>
          <w:lang w:val="zh-CN" w:eastAsia="zh-CN"/>
        </w:rPr>
        <w:t>原则</w:t>
      </w:r>
      <w:r>
        <w:rPr>
          <w:rFonts w:hint="eastAsia" w:ascii="仿宋_GB2312" w:eastAsia="仿宋_GB2312"/>
          <w:color w:val="auto"/>
          <w:sz w:val="32"/>
          <w:szCs w:val="32"/>
          <w:highlight w:val="none"/>
          <w:u w:val="none"/>
          <w:lang w:val="zh-CN"/>
        </w:rPr>
        <w:t>。住宅按照“等面积调换、差价互补、严控扩购、就近安置”的原则，采取“先签约、先</w:t>
      </w:r>
      <w:r>
        <w:rPr>
          <w:rFonts w:hint="eastAsia" w:ascii="仿宋_GB2312" w:eastAsia="仿宋_GB2312"/>
          <w:color w:val="auto"/>
          <w:sz w:val="32"/>
          <w:szCs w:val="32"/>
          <w:highlight w:val="none"/>
          <w:u w:val="none"/>
          <w:lang w:val="zh-CN" w:eastAsia="zh-CN"/>
        </w:rPr>
        <w:t>封房</w:t>
      </w:r>
      <w:r>
        <w:rPr>
          <w:rFonts w:hint="eastAsia" w:ascii="仿宋_GB2312" w:eastAsia="仿宋_GB2312"/>
          <w:color w:val="auto"/>
          <w:sz w:val="32"/>
          <w:szCs w:val="32"/>
          <w:highlight w:val="none"/>
          <w:u w:val="none"/>
          <w:lang w:val="zh-CN"/>
        </w:rPr>
        <w:t>、先选房”的办法，在相应安置区内按选房顺序号进行选房，</w:t>
      </w:r>
      <w:r>
        <w:rPr>
          <w:rFonts w:hint="eastAsia" w:ascii="仿宋_GB2312" w:eastAsia="仿宋_GB2312"/>
          <w:color w:val="auto"/>
          <w:sz w:val="32"/>
          <w:szCs w:val="32"/>
          <w:highlight w:val="none"/>
          <w:u w:val="none"/>
          <w:lang w:val="zh-CN" w:eastAsia="zh-CN"/>
        </w:rPr>
        <w:t>安置房朝向、楼层不做价格</w:t>
      </w:r>
      <w:r>
        <w:rPr>
          <w:rFonts w:hint="eastAsia" w:ascii="仿宋_GB2312" w:eastAsia="仿宋_GB2312"/>
          <w:color w:val="auto"/>
          <w:sz w:val="32"/>
          <w:szCs w:val="32"/>
          <w:highlight w:val="none"/>
          <w:u w:val="none"/>
          <w:shd w:val="clear" w:fill="FFFFFF"/>
          <w:lang w:val="zh-CN" w:eastAsia="zh-CN"/>
        </w:rPr>
        <w:t>调差</w:t>
      </w:r>
      <w:r>
        <w:rPr>
          <w:rFonts w:hint="eastAsia" w:ascii="仿宋_GB2312" w:eastAsia="仿宋_GB2312"/>
          <w:color w:val="auto"/>
          <w:sz w:val="32"/>
          <w:szCs w:val="32"/>
          <w:highlight w:val="none"/>
          <w:u w:val="none"/>
          <w:lang w:val="zh-CN"/>
        </w:rPr>
        <w:t>具体详见选房细则。</w:t>
      </w:r>
    </w:p>
    <w:p w14:paraId="597F2020">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）根据本区域房屋的结构状况，将房屋结构划归为</w:t>
      </w:r>
      <w:r>
        <w:rPr>
          <w:rFonts w:hint="eastAsia" w:ascii="仿宋_GB2312" w:eastAsia="仿宋_GB2312"/>
          <w:color w:val="auto"/>
          <w:sz w:val="32"/>
          <w:szCs w:val="32"/>
          <w:highlight w:val="none"/>
          <w:u w:val="none"/>
          <w:lang w:val="zh-CN" w:eastAsia="zh-CN"/>
        </w:rPr>
        <w:t>8</w:t>
      </w:r>
      <w:r>
        <w:rPr>
          <w:rFonts w:hint="eastAsia" w:ascii="仿宋_GB2312" w:eastAsia="仿宋_GB2312"/>
          <w:color w:val="auto"/>
          <w:sz w:val="32"/>
          <w:szCs w:val="32"/>
          <w:highlight w:val="none"/>
          <w:u w:val="none"/>
          <w:lang w:val="zh-CN"/>
        </w:rPr>
        <w:t>类</w:t>
      </w:r>
      <w:r>
        <w:rPr>
          <w:rFonts w:hint="eastAsia" w:ascii="仿宋_GB2312" w:eastAsia="仿宋_GB2312"/>
          <w:color w:val="auto"/>
          <w:sz w:val="32"/>
          <w:szCs w:val="32"/>
          <w:highlight w:val="none"/>
          <w:u w:val="none"/>
          <w:lang w:val="zh-CN" w:eastAsia="zh-CN"/>
        </w:rPr>
        <w:t>22</w:t>
      </w:r>
      <w:r>
        <w:rPr>
          <w:rFonts w:hint="eastAsia" w:ascii="仿宋_GB2312" w:eastAsia="仿宋_GB2312"/>
          <w:color w:val="auto"/>
          <w:sz w:val="32"/>
          <w:szCs w:val="32"/>
          <w:highlight w:val="none"/>
          <w:u w:val="none"/>
          <w:lang w:val="zh-CN"/>
        </w:rPr>
        <w:t>等，其重置价标准详见附</w:t>
      </w:r>
      <w:r>
        <w:rPr>
          <w:rFonts w:hint="eastAsia" w:ascii="仿宋_GB2312" w:eastAsia="仿宋_GB2312"/>
          <w:color w:val="auto"/>
          <w:sz w:val="32"/>
          <w:szCs w:val="32"/>
          <w:highlight w:val="none"/>
          <w:u w:val="none"/>
          <w:lang w:val="zh-CN" w:eastAsia="zh-CN"/>
        </w:rPr>
        <w:t>表一</w:t>
      </w:r>
      <w:r>
        <w:rPr>
          <w:rFonts w:hint="eastAsia" w:ascii="仿宋_GB2312" w:eastAsia="仿宋_GB2312"/>
          <w:color w:val="auto"/>
          <w:sz w:val="32"/>
          <w:szCs w:val="32"/>
          <w:highlight w:val="none"/>
          <w:u w:val="none"/>
          <w:lang w:val="zh-CN"/>
        </w:rPr>
        <w:t>。</w:t>
      </w:r>
    </w:p>
    <w:p w14:paraId="3706FFA3">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根据原城乡建设</w:t>
      </w:r>
      <w:r>
        <w:rPr>
          <w:rFonts w:hint="eastAsia" w:ascii="仿宋_GB2312" w:eastAsia="仿宋_GB2312"/>
          <w:color w:val="auto"/>
          <w:sz w:val="32"/>
          <w:szCs w:val="32"/>
          <w:highlight w:val="none"/>
          <w:u w:val="none"/>
          <w:shd w:val="clear" w:fill="FFFFFF"/>
          <w:lang w:val="zh-CN"/>
        </w:rPr>
        <w:t>环境保护部</w:t>
      </w:r>
      <w:r>
        <w:rPr>
          <w:rFonts w:hint="eastAsia" w:ascii="仿宋_GB2312" w:eastAsia="仿宋_GB2312"/>
          <w:color w:val="auto"/>
          <w:sz w:val="32"/>
          <w:szCs w:val="32"/>
          <w:highlight w:val="none"/>
          <w:u w:val="none"/>
          <w:lang w:val="zh-CN"/>
        </w:rPr>
        <w:t>发布的《房屋完损等级评定标准》，结合被征收房屋的残值后，制定出不同完损等级房屋的成新标准，具体详见附</w:t>
      </w:r>
      <w:r>
        <w:rPr>
          <w:rFonts w:hint="eastAsia" w:ascii="仿宋_GB2312" w:eastAsia="仿宋_GB2312"/>
          <w:color w:val="auto"/>
          <w:sz w:val="32"/>
          <w:szCs w:val="32"/>
          <w:highlight w:val="none"/>
          <w:u w:val="none"/>
          <w:lang w:val="zh-CN" w:eastAsia="zh-CN"/>
        </w:rPr>
        <w:t>表二</w:t>
      </w:r>
      <w:r>
        <w:rPr>
          <w:rFonts w:hint="eastAsia" w:ascii="仿宋_GB2312" w:eastAsia="仿宋_GB2312"/>
          <w:color w:val="auto"/>
          <w:sz w:val="32"/>
          <w:szCs w:val="32"/>
          <w:highlight w:val="none"/>
          <w:u w:val="none"/>
          <w:lang w:val="zh-CN"/>
        </w:rPr>
        <w:t>。</w:t>
      </w:r>
    </w:p>
    <w:p w14:paraId="5439D9E0">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装修价值按附表</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补偿标准进行补偿（按实际装修面积计算），并视装修新旧程度按</w:t>
      </w:r>
      <w:r>
        <w:rPr>
          <w:rFonts w:hint="eastAsia" w:ascii="仿宋_GB2312" w:eastAsia="仿宋_GB2312"/>
          <w:color w:val="auto"/>
          <w:sz w:val="32"/>
          <w:szCs w:val="32"/>
          <w:highlight w:val="none"/>
          <w:u w:val="none"/>
          <w:lang w:val="zh-CN" w:eastAsia="zh-CN"/>
        </w:rPr>
        <w:t>附表四</w:t>
      </w:r>
      <w:r>
        <w:rPr>
          <w:rFonts w:hint="eastAsia" w:ascii="仿宋_GB2312" w:eastAsia="仿宋_GB2312"/>
          <w:color w:val="auto"/>
          <w:sz w:val="32"/>
          <w:szCs w:val="32"/>
          <w:highlight w:val="none"/>
          <w:u w:val="none"/>
          <w:lang w:val="zh-CN"/>
        </w:rPr>
        <w:t>折旧率计价。</w:t>
      </w:r>
    </w:p>
    <w:p w14:paraId="39D917F2">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）被征收房屋属于以下情形的只作产权调换，不作货币补偿：</w:t>
      </w:r>
    </w:p>
    <w:p w14:paraId="1631F440">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、被征收私有房屋的共有人对安置方式的选择达不成一致意见的；</w:t>
      </w:r>
    </w:p>
    <w:p w14:paraId="1D481F98">
      <w:pPr>
        <w:pStyle w:val="2"/>
        <w:shd w:val="clear" w:color="auto" w:fill="auto"/>
        <w:spacing w:after="0" w:line="600" w:lineRule="exact"/>
        <w:ind w:firstLine="640" w:firstLineChars="200"/>
        <w:jc w:val="both"/>
        <w:rPr>
          <w:rFonts w:ascii="仿宋_GB2312" w:eastAsia="仿宋_GB2312"/>
          <w:color w:val="auto"/>
          <w:sz w:val="32"/>
          <w:szCs w:val="32"/>
          <w:highlight w:val="none"/>
          <w:u w:val="none"/>
        </w:rPr>
      </w:pP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、被征收房屋产权有纠纷、权属不清或产权人下落不明的；</w:t>
      </w:r>
    </w:p>
    <w:p w14:paraId="702A127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rPr>
        <w:t>、被征收房屋设有抵押权的，抵押权人和抵押人未重新设立抵押权或抵押人未清偿债务的。</w:t>
      </w:r>
    </w:p>
    <w:p w14:paraId="4E12C3FD">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4、被征收房屋被法院查封的。</w:t>
      </w:r>
    </w:p>
    <w:p w14:paraId="2828F0FB">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（六）补偿安置及签约程序</w:t>
      </w:r>
    </w:p>
    <w:p w14:paraId="6E5F13F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房屋征收补偿安置协议书，内容含：认定补偿安置建筑、土地面积，认定不予补偿安置建筑、土地面积，认定补偿安置中选择货币补偿和产权调换的具体面积。</w:t>
      </w:r>
    </w:p>
    <w:p w14:paraId="50B33B1C">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选择产权调换或享受照顾购买的</w:t>
      </w:r>
      <w:r>
        <w:rPr>
          <w:rFonts w:hint="eastAsia" w:ascii="仿宋_GB2312" w:eastAsia="仿宋_GB2312"/>
          <w:color w:val="auto"/>
          <w:sz w:val="32"/>
          <w:szCs w:val="32"/>
          <w:highlight w:val="none"/>
          <w:u w:val="none"/>
          <w:lang w:val="zh-CN"/>
        </w:rPr>
        <w:t>被征收人进行安置房选择</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详</w:t>
      </w:r>
      <w:r>
        <w:rPr>
          <w:rFonts w:hint="eastAsia" w:ascii="仿宋_GB2312" w:eastAsia="仿宋_GB2312"/>
          <w:color w:val="auto"/>
          <w:sz w:val="32"/>
          <w:szCs w:val="32"/>
          <w:highlight w:val="none"/>
          <w:u w:val="none"/>
          <w:lang w:val="zh-CN" w:eastAsia="zh-CN"/>
        </w:rPr>
        <w:t>安置房选房细则）</w:t>
      </w:r>
      <w:r>
        <w:rPr>
          <w:rFonts w:hint="eastAsia" w:ascii="仿宋_GB2312" w:eastAsia="仿宋_GB2312"/>
          <w:color w:val="auto"/>
          <w:sz w:val="32"/>
          <w:szCs w:val="32"/>
          <w:highlight w:val="none"/>
          <w:u w:val="none"/>
          <w:lang w:val="zh-CN"/>
        </w:rPr>
        <w:t>。</w:t>
      </w:r>
    </w:p>
    <w:p w14:paraId="6D2597B8">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3、征收人作出房屋征收补偿结果计算表，如选择安置房面积与《房屋征收补偿协议书》有出入，则由征收人与被征收人</w:t>
      </w:r>
      <w:r>
        <w:rPr>
          <w:rFonts w:hint="eastAsia" w:ascii="仿宋_GB2312" w:eastAsia="仿宋_GB2312"/>
          <w:color w:val="auto"/>
          <w:sz w:val="32"/>
          <w:szCs w:val="32"/>
          <w:highlight w:val="none"/>
          <w:u w:val="none"/>
          <w:shd w:val="clear" w:fill="FFFFFF"/>
          <w:lang w:val="zh-CN"/>
        </w:rPr>
        <w:t>签定</w:t>
      </w:r>
      <w:r>
        <w:rPr>
          <w:rFonts w:hint="eastAsia" w:ascii="仿宋_GB2312" w:eastAsia="仿宋_GB2312"/>
          <w:color w:val="auto"/>
          <w:sz w:val="32"/>
          <w:szCs w:val="32"/>
          <w:highlight w:val="none"/>
          <w:u w:val="none"/>
          <w:lang w:val="zh-CN"/>
        </w:rPr>
        <w:t>房屋征收补偿安置补充协议书，予以明确。</w:t>
      </w:r>
    </w:p>
    <w:p w14:paraId="538C5371">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五、面积计算</w:t>
      </w:r>
    </w:p>
    <w:p w14:paraId="7F8D5D4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4D8E2617">
      <w:pPr>
        <w:pStyle w:val="13"/>
        <w:shd w:val="clear" w:color="auto" w:fill="auto"/>
        <w:spacing w:line="600" w:lineRule="exact"/>
        <w:ind w:firstLine="643" w:firstLineChars="20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六、补偿结算</w:t>
      </w:r>
    </w:p>
    <w:p w14:paraId="68B4DEA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13A1329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2FFEBB6B">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155FAF4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635AC15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71025765">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53E15EA3">
      <w:pPr>
        <w:pStyle w:val="2"/>
        <w:shd w:val="clear" w:color="auto" w:fill="auto"/>
        <w:spacing w:after="0" w:line="600" w:lineRule="exact"/>
        <w:ind w:firstLine="467" w:firstLineChars="146"/>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401685E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1F26735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73174B4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7D1D981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64F5B26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5CA11C8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0EB5515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0C53003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w:t>
      </w:r>
      <w:r>
        <w:rPr>
          <w:rFonts w:hint="eastAsia" w:ascii="仿宋_GB2312" w:eastAsia="仿宋_GB2312"/>
          <w:color w:val="auto"/>
          <w:sz w:val="32"/>
          <w:szCs w:val="32"/>
          <w:highlight w:val="none"/>
          <w:u w:val="none"/>
          <w:shd w:val="clear" w:fill="FFFFFF"/>
          <w:lang w:val="zh-CN"/>
        </w:rPr>
        <w:t>（三）、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6D9F6AC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7A24177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3399ED6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en-US" w:eastAsia="zh-CN"/>
        </w:rPr>
        <w:t>11</w:t>
      </w:r>
      <w:r>
        <w:rPr>
          <w:rFonts w:hint="eastAsia" w:ascii="仿宋_GB2312" w:eastAsia="仿宋_GB2312"/>
          <w:color w:val="auto"/>
          <w:sz w:val="32"/>
          <w:szCs w:val="32"/>
          <w:highlight w:val="none"/>
          <w:u w:val="none"/>
          <w:shd w:val="clear" w:fill="FFFFFF"/>
          <w:lang w:val="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79DFDEC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74670EE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11655AD3">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03F7AF2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14298A5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1EE4B25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12B383E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466A612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shd w:val="clear" w:fill="FFFFFF"/>
          <w:lang w:val="zh-CN" w:eastAsia="zh-CN"/>
        </w:rPr>
        <w:t>埕地</w:t>
      </w:r>
      <w:r>
        <w:rPr>
          <w:rFonts w:hint="eastAsia" w:ascii="仿宋_GB2312" w:eastAsia="仿宋_GB2312"/>
          <w:color w:val="auto"/>
          <w:sz w:val="32"/>
          <w:szCs w:val="32"/>
          <w:highlight w:val="none"/>
          <w:u w:val="none"/>
          <w:lang w:val="zh-CN" w:eastAsia="zh-CN"/>
        </w:rPr>
        <w:t>、空地及奖励）</w:t>
      </w:r>
      <w:r>
        <w:rPr>
          <w:rFonts w:hint="eastAsia" w:ascii="仿宋_GB2312" w:eastAsia="仿宋_GB2312"/>
          <w:color w:val="auto"/>
          <w:sz w:val="32"/>
          <w:szCs w:val="32"/>
          <w:highlight w:val="none"/>
          <w:u w:val="none"/>
          <w:lang w:val="zh-CN"/>
        </w:rPr>
        <w:t>补偿款</w:t>
      </w:r>
    </w:p>
    <w:p w14:paraId="31663A9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21E5CF1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7F666CD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5DD08A2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7C21F24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7564B9B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67EDB35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3144CFF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w:t>
      </w:r>
      <w:r>
        <w:rPr>
          <w:rFonts w:hint="eastAsia" w:ascii="仿宋_GB2312" w:eastAsia="仿宋_GB2312"/>
          <w:color w:val="auto"/>
          <w:sz w:val="32"/>
          <w:szCs w:val="32"/>
          <w:highlight w:val="none"/>
          <w:u w:val="none"/>
          <w:shd w:val="clear" w:fill="FFFFFF"/>
          <w:lang w:val="zh-CN" w:eastAsia="zh-CN"/>
        </w:rPr>
        <w:t>（三）、</w:t>
      </w:r>
      <w:r>
        <w:rPr>
          <w:rFonts w:hint="eastAsia" w:ascii="仿宋_GB2312" w:eastAsia="仿宋_GB2312"/>
          <w:color w:val="auto"/>
          <w:sz w:val="32"/>
          <w:szCs w:val="32"/>
          <w:highlight w:val="none"/>
          <w:u w:val="none"/>
          <w:lang w:val="zh-CN" w:eastAsia="zh-CN"/>
        </w:rPr>
        <w:t>3执行）</w:t>
      </w:r>
    </w:p>
    <w:p w14:paraId="1AEC26B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44D1F51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38C2E689">
      <w:pPr>
        <w:pStyle w:val="2"/>
        <w:shd w:val="clear" w:color="auto" w:fill="auto"/>
        <w:spacing w:after="0" w:line="600" w:lineRule="exact"/>
        <w:ind w:firstLine="640" w:firstLineChars="200"/>
        <w:jc w:val="lef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shd w:val="clear" w:fill="FFFFFF"/>
          <w:lang w:val="en-US" w:eastAsia="zh-CN"/>
        </w:rPr>
        <w:t>12</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45362AB6">
      <w:pPr>
        <w:pStyle w:val="2"/>
        <w:shd w:val="clear" w:color="auto" w:fill="auto"/>
        <w:spacing w:after="0" w:line="600" w:lineRule="exact"/>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w:t>
      </w: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4D37EF6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1E2DDE40">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04F28694">
      <w:pPr>
        <w:pStyle w:val="13"/>
        <w:shd w:val="clear" w:color="auto" w:fill="auto"/>
        <w:spacing w:line="600" w:lineRule="exact"/>
        <w:jc w:val="center"/>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第二部分  手续认定</w:t>
      </w:r>
    </w:p>
    <w:p w14:paraId="0B684E66">
      <w:pPr>
        <w:pStyle w:val="13"/>
        <w:shd w:val="clear" w:color="auto" w:fill="auto"/>
        <w:spacing w:line="600" w:lineRule="exact"/>
        <w:ind w:firstLine="803" w:firstLineChars="250"/>
        <w:jc w:val="both"/>
        <w:rPr>
          <w:rFonts w:hint="eastAsia" w:ascii="仿宋_GB2312" w:eastAsia="仿宋_GB2312"/>
          <w:color w:val="auto"/>
          <w:sz w:val="32"/>
          <w:szCs w:val="32"/>
          <w:highlight w:val="none"/>
          <w:u w:val="none"/>
          <w:lang w:val="zh-CN" w:eastAsia="zh-CN"/>
        </w:rPr>
      </w:pPr>
    </w:p>
    <w:p w14:paraId="54FD0329">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七</w:t>
      </w:r>
      <w:r>
        <w:rPr>
          <w:rFonts w:hint="eastAsia" w:ascii="仿宋_GB2312" w:eastAsia="仿宋_GB2312"/>
          <w:color w:val="auto"/>
          <w:sz w:val="32"/>
          <w:szCs w:val="32"/>
          <w:highlight w:val="none"/>
          <w:u w:val="none"/>
          <w:lang w:val="zh-CN"/>
        </w:rPr>
        <w:t>、手续完整</w:t>
      </w:r>
    </w:p>
    <w:p w14:paraId="02E00A47">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3655CC1C">
      <w:pPr>
        <w:pStyle w:val="13"/>
        <w:shd w:val="clear" w:color="auto" w:fill="auto"/>
        <w:spacing w:line="600" w:lineRule="exact"/>
        <w:ind w:firstLine="643"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八、手续不完整</w:t>
      </w:r>
    </w:p>
    <w:p w14:paraId="0DF40795">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30D31514">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660A5B71">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21616C7E">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shd w:val="clear" w:fill="FFFFFF"/>
          <w:lang w:val="zh-CN" w:eastAsia="zh-CN"/>
        </w:rPr>
        <w:t>、且</w:t>
      </w:r>
      <w:r>
        <w:rPr>
          <w:rFonts w:hint="eastAsia" w:ascii="仿宋_GB2312" w:eastAsia="仿宋_GB2312"/>
          <w:color w:val="auto"/>
          <w:sz w:val="32"/>
          <w:szCs w:val="32"/>
          <w:highlight w:val="none"/>
          <w:u w:val="none"/>
          <w:lang w:val="zh-CN" w:eastAsia="zh-CN"/>
        </w:rPr>
        <w:t>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3C7BFE4C">
      <w:pPr>
        <w:pStyle w:val="2"/>
        <w:shd w:val="clear" w:color="auto" w:fill="auto"/>
        <w:spacing w:after="0" w:line="600" w:lineRule="exact"/>
        <w:ind w:firstLine="643" w:firstLineChars="200"/>
        <w:jc w:val="both"/>
        <w:rPr>
          <w:rFonts w:hint="eastAsia" w:ascii="仿宋_GB2312" w:eastAsia="仿宋_GB2312"/>
          <w:color w:val="auto"/>
          <w:sz w:val="32"/>
          <w:szCs w:val="32"/>
          <w:highlight w:val="none"/>
          <w:u w:val="none"/>
          <w:lang w:val="zh-CN"/>
        </w:rPr>
      </w:pPr>
      <w:r>
        <w:rPr>
          <w:rFonts w:hint="eastAsia" w:ascii="仿宋_GB2312" w:eastAsia="仿宋_GB2312"/>
          <w:b/>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056CE1DE">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（五）在已审批、经镇（街）清理的以及未审批的土地搭建的建筑物上被认定为临时搭盖的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2F8004A3">
      <w:pPr>
        <w:spacing w:line="560" w:lineRule="exact"/>
        <w:ind w:firstLine="643" w:firstLineChars="200"/>
        <w:rPr>
          <w:rFonts w:hint="eastAsia" w:ascii="仿宋_GB2312" w:eastAsia="仿宋_GB2312"/>
          <w:b/>
          <w:color w:val="auto"/>
          <w:kern w:val="0"/>
          <w:sz w:val="32"/>
          <w:szCs w:val="32"/>
          <w:highlight w:val="none"/>
          <w:u w:val="none"/>
          <w:lang w:val="zh-CN"/>
        </w:rPr>
      </w:pPr>
      <w:r>
        <w:rPr>
          <w:rFonts w:hint="eastAsia" w:ascii="仿宋_GB2312" w:eastAsia="仿宋_GB2312"/>
          <w:b/>
          <w:color w:val="auto"/>
          <w:kern w:val="0"/>
          <w:sz w:val="32"/>
          <w:szCs w:val="32"/>
          <w:highlight w:val="none"/>
          <w:u w:val="none"/>
          <w:lang w:val="zh-CN"/>
        </w:rPr>
        <w:t>九、无手续</w:t>
      </w:r>
    </w:p>
    <w:p w14:paraId="1C3726D7">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6CB37980">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0CA5E677">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412262E6">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1F653CD5">
      <w:pPr>
        <w:pStyle w:val="2"/>
        <w:shd w:val="clear" w:color="auto" w:fill="auto"/>
        <w:spacing w:after="0" w:line="600" w:lineRule="exact"/>
        <w:ind w:firstLine="480" w:firstLineChars="15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4B4BC907">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4D6ABCFD">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2681DE4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w:t>
      </w:r>
      <w:r>
        <w:rPr>
          <w:rFonts w:hint="eastAsia" w:ascii="仿宋_GB2312" w:eastAsia="仿宋_GB2312"/>
          <w:color w:val="auto"/>
          <w:sz w:val="32"/>
          <w:szCs w:val="32"/>
          <w:highlight w:val="none"/>
          <w:u w:val="none"/>
          <w:lang w:val="zh-CN"/>
        </w:rPr>
        <w:t>视实际情况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1BE71E66">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4、2016年4月1日后未经审批建成的，一律不予认定补偿安置面积，且不给予含建安造价、一次性搬迁补助在内的任何补偿。</w:t>
      </w:r>
    </w:p>
    <w:p w14:paraId="521907F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以上“九、无手续”中（一）至（三）项及（四）项第1、2点，</w:t>
      </w:r>
      <w:r>
        <w:rPr>
          <w:rFonts w:hint="eastAsia" w:ascii="仿宋_GB2312" w:eastAsia="仿宋_GB2312"/>
          <w:color w:val="auto"/>
          <w:sz w:val="32"/>
          <w:szCs w:val="32"/>
          <w:highlight w:val="none"/>
          <w:u w:val="none"/>
          <w:lang w:val="zh-CN"/>
        </w:rPr>
        <w:t>未经权属登记</w:t>
      </w:r>
      <w:r>
        <w:rPr>
          <w:rFonts w:hint="eastAsia" w:ascii="仿宋_GB2312" w:eastAsia="仿宋_GB2312"/>
          <w:color w:val="auto"/>
          <w:sz w:val="32"/>
          <w:szCs w:val="32"/>
          <w:highlight w:val="none"/>
          <w:u w:val="none"/>
          <w:lang w:val="zh-CN" w:eastAsia="zh-CN"/>
        </w:rPr>
        <w:t>、未经镇（街）建房清理等无审批手续</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非公寓式住宅，</w:t>
      </w:r>
      <w:r>
        <w:rPr>
          <w:rFonts w:hint="eastAsia" w:ascii="仿宋_GB2312" w:eastAsia="仿宋_GB2312"/>
          <w:color w:val="auto"/>
          <w:sz w:val="32"/>
          <w:szCs w:val="32"/>
          <w:highlight w:val="none"/>
          <w:u w:val="none"/>
          <w:lang w:val="zh-CN"/>
        </w:rPr>
        <w:t>以栋为单位，</w:t>
      </w:r>
      <w:r>
        <w:rPr>
          <w:rFonts w:hint="eastAsia" w:ascii="仿宋_GB2312" w:eastAsia="仿宋_GB2312"/>
          <w:color w:val="auto"/>
          <w:sz w:val="32"/>
          <w:szCs w:val="32"/>
          <w:highlight w:val="none"/>
          <w:u w:val="none"/>
          <w:lang w:val="zh-CN" w:eastAsia="zh-CN"/>
        </w:rPr>
        <w:t>土地、建筑</w:t>
      </w:r>
      <w:r>
        <w:rPr>
          <w:rFonts w:hint="eastAsia" w:ascii="仿宋_GB2312" w:eastAsia="仿宋_GB2312"/>
          <w:color w:val="auto"/>
          <w:sz w:val="32"/>
          <w:szCs w:val="32"/>
          <w:highlight w:val="none"/>
          <w:u w:val="none"/>
          <w:lang w:val="zh-CN"/>
        </w:rPr>
        <w:t>单层认定安置补偿面积</w:t>
      </w:r>
      <w:r>
        <w:rPr>
          <w:rFonts w:hint="eastAsia" w:ascii="仿宋_GB2312" w:eastAsia="仿宋_GB2312"/>
          <w:color w:val="auto"/>
          <w:sz w:val="32"/>
          <w:szCs w:val="32"/>
          <w:highlight w:val="none"/>
          <w:u w:val="none"/>
          <w:lang w:val="zh-CN" w:eastAsia="zh-CN"/>
        </w:rPr>
        <w:t>以15</w:t>
      </w:r>
      <w:r>
        <w:rPr>
          <w:rFonts w:hint="eastAsia"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eastAsia="zh-CN"/>
        </w:rPr>
        <w:t>为限，</w:t>
      </w:r>
      <w:r>
        <w:rPr>
          <w:rFonts w:hint="eastAsia" w:ascii="仿宋_GB2312" w:eastAsia="仿宋_GB2312"/>
          <w:color w:val="auto"/>
          <w:sz w:val="32"/>
          <w:szCs w:val="32"/>
          <w:highlight w:val="none"/>
          <w:u w:val="none"/>
          <w:lang w:val="zh-CN"/>
        </w:rPr>
        <w:t>超过</w:t>
      </w:r>
      <w:r>
        <w:rPr>
          <w:rFonts w:hint="eastAsia" w:ascii="仿宋_GB2312" w:eastAsia="仿宋_GB2312"/>
          <w:color w:val="auto"/>
          <w:sz w:val="32"/>
          <w:szCs w:val="32"/>
          <w:highlight w:val="none"/>
          <w:u w:val="none"/>
          <w:lang w:val="zh-CN" w:eastAsia="zh-CN"/>
        </w:rPr>
        <w:t>150㎡的，土地部分按征地价4.3</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计算，建筑部分按房屋建安造价（含房屋和二次装修重置价，下同）给予补偿。</w:t>
      </w:r>
    </w:p>
    <w:p w14:paraId="3FF65EC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11FAC0C1">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建房时间和建房手续由村（居）审核并公示后，由项目所在街道会同征迁工作组结合航拍图等技术资料予以审核确认。</w:t>
      </w:r>
    </w:p>
    <w:p w14:paraId="2431295D">
      <w:pPr>
        <w:pStyle w:val="13"/>
        <w:shd w:val="clear" w:color="auto" w:fill="auto"/>
        <w:spacing w:line="600" w:lineRule="exact"/>
        <w:jc w:val="center"/>
        <w:rPr>
          <w:rFonts w:hint="eastAsia" w:ascii="仿宋_GB2312" w:eastAsia="仿宋_GB2312"/>
          <w:color w:val="auto"/>
          <w:sz w:val="32"/>
          <w:szCs w:val="32"/>
          <w:highlight w:val="none"/>
          <w:u w:val="none"/>
          <w:lang w:val="zh-CN"/>
        </w:rPr>
      </w:pPr>
    </w:p>
    <w:p w14:paraId="6C8D98C1">
      <w:pPr>
        <w:pStyle w:val="13"/>
        <w:shd w:val="clear" w:color="auto" w:fill="auto"/>
        <w:spacing w:line="600" w:lineRule="exact"/>
        <w:jc w:val="center"/>
        <w:rPr>
          <w:rFonts w:hint="eastAsia" w:ascii="仿宋_GB2312" w:eastAsia="仿宋_GB2312"/>
          <w:b w:val="0"/>
          <w:color w:val="auto"/>
          <w:sz w:val="32"/>
          <w:szCs w:val="32"/>
          <w:highlight w:val="none"/>
          <w:u w:val="none"/>
          <w:lang w:val="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住宅补偿安置</w:t>
      </w:r>
    </w:p>
    <w:p w14:paraId="5AE9A0AE">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p>
    <w:p w14:paraId="5BA7869B">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rPr>
        <w:t>十、补偿计算</w:t>
      </w:r>
    </w:p>
    <w:p w14:paraId="26E741B7">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补偿金额实行土地、房屋</w:t>
      </w:r>
      <w:r>
        <w:rPr>
          <w:rFonts w:ascii="仿宋_GB2312" w:eastAsia="仿宋_GB2312"/>
          <w:color w:val="auto"/>
          <w:sz w:val="32"/>
          <w:szCs w:val="32"/>
          <w:highlight w:val="none"/>
          <w:u w:val="none"/>
          <w:lang w:val="zh-CN"/>
        </w:rPr>
        <w:t>分</w:t>
      </w:r>
      <w:r>
        <w:rPr>
          <w:rFonts w:hint="eastAsia" w:ascii="仿宋_GB2312" w:eastAsia="仿宋_GB2312"/>
          <w:color w:val="auto"/>
          <w:sz w:val="32"/>
          <w:szCs w:val="32"/>
          <w:highlight w:val="none"/>
          <w:u w:val="none"/>
          <w:lang w:val="zh-CN"/>
        </w:rPr>
        <w:t>别</w:t>
      </w:r>
      <w:r>
        <w:rPr>
          <w:rFonts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rPr>
        <w:t>，合并结算。</w:t>
      </w:r>
    </w:p>
    <w:p w14:paraId="02B943D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1、选择货币补偿的结算：</w:t>
      </w:r>
    </w:p>
    <w:p w14:paraId="057849AA">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计算公式：私人自建民宅补偿金额=</w:t>
      </w:r>
      <w:r>
        <w:rPr>
          <w:rFonts w:hint="eastAsia" w:ascii="仿宋_GB2312" w:eastAsia="仿宋_GB2312"/>
          <w:color w:val="auto"/>
          <w:sz w:val="32"/>
          <w:szCs w:val="32"/>
          <w:highlight w:val="none"/>
          <w:u w:val="none"/>
          <w:lang w:val="zh-CN" w:eastAsia="zh-CN"/>
        </w:rPr>
        <w:t>经认定可补偿安置的房屋建筑占地面积</w:t>
      </w:r>
      <w:r>
        <w:rPr>
          <w:rFonts w:hint="eastAsia" w:ascii="仿宋_GB2312" w:eastAsia="仿宋_GB2312"/>
          <w:color w:val="auto"/>
          <w:sz w:val="32"/>
          <w:szCs w:val="32"/>
          <w:highlight w:val="none"/>
          <w:u w:val="none"/>
          <w:lang w:val="zh-CN"/>
        </w:rPr>
        <w:t>×土地补偿价</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属划拨土地</w:t>
      </w:r>
      <w:r>
        <w:rPr>
          <w:rFonts w:hint="eastAsia" w:ascii="仿宋_GB2312" w:eastAsia="仿宋_GB2312"/>
          <w:color w:val="auto"/>
          <w:sz w:val="32"/>
          <w:szCs w:val="32"/>
          <w:highlight w:val="none"/>
          <w:u w:val="none"/>
          <w:lang w:val="zh-CN" w:eastAsia="zh-CN"/>
        </w:rPr>
        <w:t>或持有集体土地使用证</w:t>
      </w:r>
      <w:r>
        <w:rPr>
          <w:rFonts w:hint="eastAsia" w:ascii="仿宋_GB2312" w:eastAsia="仿宋_GB2312"/>
          <w:color w:val="auto"/>
          <w:sz w:val="32"/>
          <w:szCs w:val="32"/>
          <w:highlight w:val="none"/>
          <w:u w:val="none"/>
          <w:lang w:val="zh-CN"/>
        </w:rPr>
        <w:t>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w:t>
      </w:r>
      <w:r>
        <w:rPr>
          <w:rFonts w:hint="eastAsia" w:ascii="仿宋_GB2312" w:eastAsia="仿宋_GB2312"/>
          <w:color w:val="auto"/>
          <w:sz w:val="32"/>
          <w:szCs w:val="32"/>
          <w:highlight w:val="none"/>
          <w:u w:val="none"/>
          <w:lang w:val="zh-CN" w:eastAsia="zh-CN"/>
        </w:rPr>
        <w:t>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经市镇（街）两级清理收费的，按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其他未确权和未经市镇（街）两级清理收费的，按4</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万元/亩计算</w:t>
      </w:r>
      <w:r>
        <w:rPr>
          <w:rFonts w:hint="eastAsia" w:ascii="仿宋_GB2312" w:eastAsia="仿宋_GB2312"/>
          <w:color w:val="auto"/>
          <w:sz w:val="32"/>
          <w:szCs w:val="32"/>
          <w:highlight w:val="none"/>
          <w:u w:val="none"/>
          <w:shd w:val="clear" w:fill="FFFFFF"/>
          <w:lang w:val="zh-CN" w:eastAsia="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面积×（房屋重置价×房屋成新率＋室内二次装修×二次装修成新率）+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+各项奖励、补助等费用</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房屋重置价、房屋成新率、室内二次装修及成新率</w:t>
      </w:r>
      <w:r>
        <w:rPr>
          <w:rFonts w:hint="eastAsia" w:ascii="仿宋_GB2312" w:eastAsia="仿宋_GB2312"/>
          <w:color w:val="auto"/>
          <w:sz w:val="32"/>
          <w:szCs w:val="32"/>
          <w:highlight w:val="none"/>
          <w:u w:val="none"/>
          <w:lang w:val="zh-CN"/>
        </w:rPr>
        <w:t>详见附表一、二、三、四。</w:t>
      </w:r>
    </w:p>
    <w:tbl>
      <w:tblPr>
        <w:tblStyle w:val="5"/>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1"/>
        <w:gridCol w:w="783"/>
        <w:gridCol w:w="1960"/>
        <w:gridCol w:w="55"/>
        <w:gridCol w:w="2590"/>
        <w:gridCol w:w="825"/>
        <w:gridCol w:w="1710"/>
        <w:gridCol w:w="390"/>
        <w:gridCol w:w="596"/>
      </w:tblGrid>
      <w:tr w14:paraId="233E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7" w:hRule="atLeast"/>
        </w:trPr>
        <w:tc>
          <w:tcPr>
            <w:tcW w:w="9460" w:type="dxa"/>
            <w:gridSpan w:val="9"/>
            <w:tcBorders>
              <w:tl2br w:val="nil"/>
              <w:tr2bl w:val="nil"/>
            </w:tcBorders>
            <w:vAlign w:val="center"/>
          </w:tcPr>
          <w:p w14:paraId="3B184F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房屋征收补偿结果计算表（全部货币补偿）</w:t>
            </w:r>
          </w:p>
        </w:tc>
      </w:tr>
      <w:tr w14:paraId="1864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4" w:hRule="atLeast"/>
        </w:trPr>
        <w:tc>
          <w:tcPr>
            <w:tcW w:w="1334" w:type="dxa"/>
            <w:gridSpan w:val="2"/>
            <w:tcBorders>
              <w:tl2br w:val="nil"/>
              <w:tr2bl w:val="nil"/>
            </w:tcBorders>
            <w:vAlign w:val="center"/>
          </w:tcPr>
          <w:p w14:paraId="13BA0F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  项</w:t>
            </w:r>
          </w:p>
        </w:tc>
        <w:tc>
          <w:tcPr>
            <w:tcW w:w="4605" w:type="dxa"/>
            <w:gridSpan w:val="3"/>
            <w:tcBorders>
              <w:tl2br w:val="nil"/>
              <w:tr2bl w:val="nil"/>
            </w:tcBorders>
            <w:vAlign w:val="center"/>
          </w:tcPr>
          <w:p w14:paraId="3CF55AB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  目</w:t>
            </w:r>
          </w:p>
        </w:tc>
        <w:tc>
          <w:tcPr>
            <w:tcW w:w="825" w:type="dxa"/>
            <w:tcBorders>
              <w:tl2br w:val="nil"/>
              <w:tr2bl w:val="nil"/>
            </w:tcBorders>
            <w:vAlign w:val="center"/>
          </w:tcPr>
          <w:p w14:paraId="67BF6A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面积（㎡）</w:t>
            </w:r>
          </w:p>
        </w:tc>
        <w:tc>
          <w:tcPr>
            <w:tcW w:w="1710" w:type="dxa"/>
            <w:tcBorders>
              <w:tl2br w:val="nil"/>
              <w:tr2bl w:val="nil"/>
            </w:tcBorders>
            <w:vAlign w:val="center"/>
          </w:tcPr>
          <w:p w14:paraId="361E04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390" w:type="dxa"/>
            <w:tcBorders>
              <w:tl2br w:val="nil"/>
              <w:tr2bl w:val="nil"/>
            </w:tcBorders>
            <w:vAlign w:val="center"/>
          </w:tcPr>
          <w:p w14:paraId="5E90184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596" w:type="dxa"/>
            <w:tcBorders>
              <w:tl2br w:val="nil"/>
              <w:tr2bl w:val="nil"/>
            </w:tcBorders>
            <w:vAlign w:val="center"/>
          </w:tcPr>
          <w:p w14:paraId="32E4C4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金额（元）</w:t>
            </w:r>
          </w:p>
        </w:tc>
      </w:tr>
      <w:tr w14:paraId="4A86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2" w:hRule="atLeast"/>
        </w:trPr>
        <w:tc>
          <w:tcPr>
            <w:tcW w:w="1334" w:type="dxa"/>
            <w:gridSpan w:val="2"/>
            <w:vMerge w:val="restart"/>
            <w:tcBorders>
              <w:tl2br w:val="nil"/>
              <w:tr2bl w:val="nil"/>
            </w:tcBorders>
            <w:shd w:val="clear" w:color="auto" w:fill="auto"/>
            <w:vAlign w:val="center"/>
          </w:tcPr>
          <w:p w14:paraId="5DD264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各项补助   A</w:t>
            </w:r>
          </w:p>
        </w:tc>
        <w:tc>
          <w:tcPr>
            <w:tcW w:w="4605" w:type="dxa"/>
            <w:gridSpan w:val="3"/>
            <w:tcBorders>
              <w:tl2br w:val="nil"/>
              <w:tr2bl w:val="nil"/>
            </w:tcBorders>
            <w:shd w:val="clear" w:color="auto" w:fill="auto"/>
            <w:vAlign w:val="center"/>
          </w:tcPr>
          <w:p w14:paraId="7AAC0F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825" w:type="dxa"/>
            <w:tcBorders>
              <w:tl2br w:val="nil"/>
              <w:tr2bl w:val="nil"/>
            </w:tcBorders>
            <w:shd w:val="clear" w:color="auto" w:fill="auto"/>
            <w:vAlign w:val="center"/>
          </w:tcPr>
          <w:p w14:paraId="6FBF329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6AD0A3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vAlign w:val="center"/>
          </w:tcPr>
          <w:p w14:paraId="20DE62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7F71371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9DE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vAlign w:val="center"/>
          </w:tcPr>
          <w:p w14:paraId="61D4A1C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vAlign w:val="center"/>
          </w:tcPr>
          <w:p w14:paraId="36C50D6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825" w:type="dxa"/>
            <w:tcBorders>
              <w:tl2br w:val="nil"/>
              <w:tr2bl w:val="nil"/>
            </w:tcBorders>
            <w:shd w:val="clear" w:color="auto" w:fill="auto"/>
            <w:vAlign w:val="center"/>
          </w:tcPr>
          <w:p w14:paraId="6A4FA0D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0B1E33B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月</w:t>
            </w:r>
          </w:p>
        </w:tc>
        <w:tc>
          <w:tcPr>
            <w:tcW w:w="390" w:type="dxa"/>
            <w:tcBorders>
              <w:tl2br w:val="nil"/>
              <w:tr2bl w:val="nil"/>
            </w:tcBorders>
            <w:shd w:val="clear" w:color="auto" w:fill="C0C0C0"/>
            <w:vAlign w:val="center"/>
          </w:tcPr>
          <w:p w14:paraId="53CDCAD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w:t>
            </w:r>
          </w:p>
        </w:tc>
        <w:tc>
          <w:tcPr>
            <w:tcW w:w="596" w:type="dxa"/>
            <w:tcBorders>
              <w:tl2br w:val="nil"/>
              <w:tr2bl w:val="nil"/>
            </w:tcBorders>
            <w:vAlign w:val="center"/>
          </w:tcPr>
          <w:p w14:paraId="0D76071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65C9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1334" w:type="dxa"/>
            <w:gridSpan w:val="2"/>
            <w:vMerge w:val="continue"/>
            <w:tcBorders>
              <w:tl2br w:val="nil"/>
              <w:tr2bl w:val="nil"/>
            </w:tcBorders>
            <w:shd w:val="clear" w:color="auto" w:fill="auto"/>
            <w:vAlign w:val="center"/>
          </w:tcPr>
          <w:p w14:paraId="361B855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auto"/>
            <w:vAlign w:val="center"/>
          </w:tcPr>
          <w:p w14:paraId="350CE1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低保户/五保户/孤寡老人补助</w:t>
            </w:r>
          </w:p>
        </w:tc>
        <w:tc>
          <w:tcPr>
            <w:tcW w:w="825" w:type="dxa"/>
            <w:tcBorders>
              <w:tl2br w:val="nil"/>
              <w:tr2bl w:val="nil"/>
            </w:tcBorders>
            <w:shd w:val="clear" w:color="auto" w:fill="auto"/>
            <w:vAlign w:val="center"/>
          </w:tcPr>
          <w:p w14:paraId="2477009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75CCED0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30000</w:t>
            </w:r>
            <w:r>
              <w:rPr>
                <w:rFonts w:hint="eastAsia" w:ascii="宋体" w:hAnsi="宋体" w:cs="宋体"/>
                <w:i w:val="0"/>
                <w:color w:val="auto"/>
                <w:kern w:val="0"/>
                <w:sz w:val="18"/>
                <w:szCs w:val="18"/>
                <w:highlight w:val="none"/>
                <w:u w:val="none"/>
                <w:lang w:val="en-US" w:eastAsia="zh-CN" w:bidi="ar"/>
              </w:rPr>
              <w:t>元/户</w:t>
            </w:r>
          </w:p>
        </w:tc>
        <w:tc>
          <w:tcPr>
            <w:tcW w:w="390" w:type="dxa"/>
            <w:tcBorders>
              <w:tl2br w:val="nil"/>
              <w:tr2bl w:val="nil"/>
            </w:tcBorders>
            <w:shd w:val="clear" w:color="auto" w:fill="C0C0C0"/>
            <w:vAlign w:val="center"/>
          </w:tcPr>
          <w:p w14:paraId="309483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7CD0697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67E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restart"/>
            <w:tcBorders>
              <w:tl2br w:val="nil"/>
              <w:tr2bl w:val="nil"/>
            </w:tcBorders>
            <w:shd w:val="clear" w:color="auto" w:fill="FFFFFF"/>
            <w:vAlign w:val="center"/>
          </w:tcPr>
          <w:p w14:paraId="29F7C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各项补偿款</w:t>
            </w:r>
          </w:p>
        </w:tc>
        <w:tc>
          <w:tcPr>
            <w:tcW w:w="783" w:type="dxa"/>
            <w:vMerge w:val="restart"/>
            <w:tcBorders>
              <w:tl2br w:val="nil"/>
              <w:tr2bl w:val="nil"/>
            </w:tcBorders>
            <w:shd w:val="clear" w:color="auto" w:fill="FFFFFF"/>
            <w:vAlign w:val="center"/>
          </w:tcPr>
          <w:p w14:paraId="049EE86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4605" w:type="dxa"/>
            <w:gridSpan w:val="3"/>
            <w:tcBorders>
              <w:tl2br w:val="nil"/>
              <w:tr2bl w:val="nil"/>
            </w:tcBorders>
            <w:shd w:val="clear" w:color="auto" w:fill="FFFFFF"/>
            <w:vAlign w:val="center"/>
          </w:tcPr>
          <w:p w14:paraId="7CA6A6B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认定补偿安置建筑占地     B</w:t>
            </w:r>
          </w:p>
        </w:tc>
        <w:tc>
          <w:tcPr>
            <w:tcW w:w="825" w:type="dxa"/>
            <w:tcBorders>
              <w:tl2br w:val="nil"/>
              <w:tr2bl w:val="nil"/>
            </w:tcBorders>
            <w:shd w:val="clear" w:color="auto" w:fill="auto"/>
            <w:vAlign w:val="center"/>
          </w:tcPr>
          <w:p w14:paraId="48F3331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5867736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46A93C7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5E8CF4C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40DF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1A3C45D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7497391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vAlign w:val="center"/>
          </w:tcPr>
          <w:p w14:paraId="45ABA7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认定不予补偿安置建筑占地 (h)</w:t>
            </w:r>
          </w:p>
        </w:tc>
        <w:tc>
          <w:tcPr>
            <w:tcW w:w="2590" w:type="dxa"/>
            <w:tcBorders>
              <w:tl2br w:val="nil"/>
              <w:tr2bl w:val="nil"/>
            </w:tcBorders>
            <w:shd w:val="clear" w:color="auto" w:fill="FFFFFF"/>
            <w:vAlign w:val="center"/>
          </w:tcPr>
          <w:p w14:paraId="0FF098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25" w:type="dxa"/>
            <w:tcBorders>
              <w:tl2br w:val="nil"/>
              <w:tr2bl w:val="nil"/>
            </w:tcBorders>
            <w:shd w:val="clear" w:color="auto" w:fill="auto"/>
            <w:vAlign w:val="center"/>
          </w:tcPr>
          <w:p w14:paraId="0771E12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0B59D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3A4E73B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vAlign w:val="center"/>
          </w:tcPr>
          <w:p w14:paraId="16C7F98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724900C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C44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 w:hRule="atLeast"/>
        </w:trPr>
        <w:tc>
          <w:tcPr>
            <w:tcW w:w="551" w:type="dxa"/>
            <w:vMerge w:val="continue"/>
            <w:tcBorders>
              <w:tl2br w:val="nil"/>
              <w:tr2bl w:val="nil"/>
            </w:tcBorders>
            <w:shd w:val="clear" w:color="auto" w:fill="FFFFFF"/>
            <w:vAlign w:val="center"/>
          </w:tcPr>
          <w:p w14:paraId="386F30D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1F86E3B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vAlign w:val="center"/>
          </w:tcPr>
          <w:p w14:paraId="5918193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vAlign w:val="center"/>
          </w:tcPr>
          <w:p w14:paraId="77BDE0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vAlign w:val="center"/>
          </w:tcPr>
          <w:p w14:paraId="158DA6C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702EA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56F795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vAlign w:val="center"/>
          </w:tcPr>
          <w:p w14:paraId="645C9A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4388426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93C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5FE2A0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vAlign w:val="center"/>
          </w:tcPr>
          <w:p w14:paraId="676DF3C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015" w:type="dxa"/>
            <w:gridSpan w:val="2"/>
            <w:vMerge w:val="restart"/>
            <w:tcBorders>
              <w:tl2br w:val="nil"/>
              <w:tr2bl w:val="nil"/>
            </w:tcBorders>
            <w:shd w:val="clear" w:color="auto" w:fill="FFFFFF"/>
            <w:vAlign w:val="center"/>
          </w:tcPr>
          <w:p w14:paraId="3A3ECF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2590" w:type="dxa"/>
            <w:tcBorders>
              <w:tl2br w:val="nil"/>
              <w:tr2bl w:val="nil"/>
            </w:tcBorders>
            <w:shd w:val="clear" w:color="auto" w:fill="FFFFFF"/>
            <w:vAlign w:val="center"/>
          </w:tcPr>
          <w:p w14:paraId="68716B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825" w:type="dxa"/>
            <w:tcBorders>
              <w:tl2br w:val="nil"/>
              <w:tr2bl w:val="nil"/>
            </w:tcBorders>
            <w:shd w:val="clear" w:color="auto" w:fill="auto"/>
            <w:vAlign w:val="center"/>
          </w:tcPr>
          <w:p w14:paraId="5D618B5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6009434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221863B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7F553E4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390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5064D96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33DBE45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vAlign w:val="center"/>
          </w:tcPr>
          <w:p w14:paraId="598AAD9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vAlign w:val="center"/>
          </w:tcPr>
          <w:p w14:paraId="7B32A51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825" w:type="dxa"/>
            <w:tcBorders>
              <w:tl2br w:val="nil"/>
              <w:tr2bl w:val="nil"/>
            </w:tcBorders>
            <w:shd w:val="clear" w:color="auto" w:fill="auto"/>
            <w:vAlign w:val="center"/>
          </w:tcPr>
          <w:p w14:paraId="29B3C14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5A37B03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6BFF985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w:t>
            </w:r>
          </w:p>
        </w:tc>
        <w:tc>
          <w:tcPr>
            <w:tcW w:w="596" w:type="dxa"/>
            <w:tcBorders>
              <w:tl2br w:val="nil"/>
              <w:tr2bl w:val="nil"/>
            </w:tcBorders>
            <w:vAlign w:val="center"/>
          </w:tcPr>
          <w:p w14:paraId="570977F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DD9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 w:hRule="atLeast"/>
        </w:trPr>
        <w:tc>
          <w:tcPr>
            <w:tcW w:w="551" w:type="dxa"/>
            <w:vMerge w:val="continue"/>
            <w:tcBorders>
              <w:tl2br w:val="nil"/>
              <w:tr2bl w:val="nil"/>
            </w:tcBorders>
            <w:shd w:val="clear" w:color="auto" w:fill="FFFFFF"/>
            <w:vAlign w:val="center"/>
          </w:tcPr>
          <w:p w14:paraId="55FB467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654B4CE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3E78287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825" w:type="dxa"/>
            <w:tcBorders>
              <w:tl2br w:val="nil"/>
              <w:tr2bl w:val="nil"/>
            </w:tcBorders>
            <w:shd w:val="clear" w:color="auto" w:fill="auto"/>
            <w:vAlign w:val="center"/>
          </w:tcPr>
          <w:p w14:paraId="3585E1F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4A5977D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070D7A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w:t>
            </w:r>
          </w:p>
        </w:tc>
        <w:tc>
          <w:tcPr>
            <w:tcW w:w="596" w:type="dxa"/>
            <w:tcBorders>
              <w:tl2br w:val="nil"/>
              <w:tr2bl w:val="nil"/>
            </w:tcBorders>
            <w:vAlign w:val="center"/>
          </w:tcPr>
          <w:p w14:paraId="3BB93EA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BC1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CE0B71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614A5DE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015" w:type="dxa"/>
            <w:gridSpan w:val="2"/>
            <w:vMerge w:val="restart"/>
            <w:tcBorders>
              <w:tl2br w:val="nil"/>
              <w:tr2bl w:val="nil"/>
            </w:tcBorders>
            <w:shd w:val="clear" w:color="auto" w:fill="FFFFFF"/>
            <w:vAlign w:val="center"/>
          </w:tcPr>
          <w:p w14:paraId="4194943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2590" w:type="dxa"/>
            <w:tcBorders>
              <w:tl2br w:val="nil"/>
              <w:tr2bl w:val="nil"/>
            </w:tcBorders>
            <w:shd w:val="clear" w:color="auto" w:fill="FFFFFF"/>
            <w:vAlign w:val="center"/>
          </w:tcPr>
          <w:p w14:paraId="4AECBC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25" w:type="dxa"/>
            <w:tcBorders>
              <w:tl2br w:val="nil"/>
              <w:tr2bl w:val="nil"/>
            </w:tcBorders>
            <w:shd w:val="clear" w:color="auto" w:fill="auto"/>
            <w:vAlign w:val="center"/>
          </w:tcPr>
          <w:p w14:paraId="2941838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1B275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51233A7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vAlign w:val="center"/>
          </w:tcPr>
          <w:p w14:paraId="1E6A3C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340D8C9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161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471D6EA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7A45463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015" w:type="dxa"/>
            <w:gridSpan w:val="2"/>
            <w:vMerge w:val="continue"/>
            <w:tcBorders>
              <w:tl2br w:val="nil"/>
              <w:tr2bl w:val="nil"/>
            </w:tcBorders>
            <w:shd w:val="clear" w:color="auto" w:fill="FFFFFF"/>
            <w:vAlign w:val="center"/>
          </w:tcPr>
          <w:p w14:paraId="3D56E61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2590" w:type="dxa"/>
            <w:tcBorders>
              <w:tl2br w:val="nil"/>
              <w:tr2bl w:val="nil"/>
            </w:tcBorders>
            <w:shd w:val="clear" w:color="auto" w:fill="FFFFFF"/>
            <w:vAlign w:val="center"/>
          </w:tcPr>
          <w:p w14:paraId="4CC1A09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vAlign w:val="center"/>
          </w:tcPr>
          <w:p w14:paraId="0FB88FC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7CB4C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3DF225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390" w:type="dxa"/>
            <w:tcBorders>
              <w:tl2br w:val="nil"/>
              <w:tr2bl w:val="nil"/>
            </w:tcBorders>
            <w:shd w:val="clear" w:color="auto" w:fill="C0C0C0"/>
            <w:vAlign w:val="center"/>
          </w:tcPr>
          <w:p w14:paraId="7E4677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4A4A784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4160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69DCA9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vAlign w:val="center"/>
          </w:tcPr>
          <w:p w14:paraId="2E314C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4605" w:type="dxa"/>
            <w:gridSpan w:val="3"/>
            <w:vMerge w:val="restart"/>
            <w:tcBorders>
              <w:tl2br w:val="nil"/>
              <w:tr2bl w:val="nil"/>
            </w:tcBorders>
            <w:shd w:val="clear" w:color="auto" w:fill="FFFFFF"/>
            <w:vAlign w:val="center"/>
          </w:tcPr>
          <w:p w14:paraId="775EA40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认定补偿安置面积的重置价      C</w:t>
            </w:r>
          </w:p>
        </w:tc>
        <w:tc>
          <w:tcPr>
            <w:tcW w:w="825" w:type="dxa"/>
            <w:tcBorders>
              <w:tl2br w:val="nil"/>
              <w:tr2bl w:val="nil"/>
            </w:tcBorders>
            <w:vAlign w:val="center"/>
          </w:tcPr>
          <w:p w14:paraId="3AEC783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568D01B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2D94EB0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00578FE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EAC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vAlign w:val="center"/>
          </w:tcPr>
          <w:p w14:paraId="0DF92E2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26022C0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vAlign w:val="center"/>
          </w:tcPr>
          <w:p w14:paraId="21B8A03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25" w:type="dxa"/>
            <w:tcBorders>
              <w:tl2br w:val="nil"/>
              <w:tr2bl w:val="nil"/>
            </w:tcBorders>
            <w:vAlign w:val="center"/>
          </w:tcPr>
          <w:p w14:paraId="410F29B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57CDAF3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5D3F96C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3E8B739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480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70A8219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11F4AD6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09EE243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认定不予补偿安置面积的重置价      (i)</w:t>
            </w:r>
          </w:p>
        </w:tc>
        <w:tc>
          <w:tcPr>
            <w:tcW w:w="825" w:type="dxa"/>
            <w:tcBorders>
              <w:tl2br w:val="nil"/>
              <w:tr2bl w:val="nil"/>
            </w:tcBorders>
            <w:vAlign w:val="center"/>
          </w:tcPr>
          <w:p w14:paraId="0AA2333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4960505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2CAE9B9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04D85F4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791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3ECFA62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533B692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vAlign w:val="center"/>
          </w:tcPr>
          <w:p w14:paraId="416A84C3">
            <w:pPr>
              <w:keepNext w:val="0"/>
              <w:keepLines w:val="0"/>
              <w:widowControl/>
              <w:suppressLineNumbers w:val="0"/>
              <w:spacing w:before="0" w:beforeAutospacing="0" w:after="0" w:afterAutospacing="0"/>
              <w:ind w:left="0" w:leftChars="0" w:right="0" w:rightChars="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认定补偿安置面积的二次装修         D</w:t>
            </w:r>
          </w:p>
        </w:tc>
        <w:tc>
          <w:tcPr>
            <w:tcW w:w="825" w:type="dxa"/>
            <w:tcBorders>
              <w:tl2br w:val="nil"/>
              <w:tr2bl w:val="nil"/>
            </w:tcBorders>
            <w:vAlign w:val="center"/>
          </w:tcPr>
          <w:p w14:paraId="516D3FF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13D0B9A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2D4001A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02252B6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8B2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51" w:type="dxa"/>
            <w:vMerge w:val="continue"/>
            <w:tcBorders>
              <w:tl2br w:val="nil"/>
              <w:tr2bl w:val="nil"/>
            </w:tcBorders>
            <w:shd w:val="clear" w:color="auto" w:fill="FFFFFF"/>
            <w:vAlign w:val="center"/>
          </w:tcPr>
          <w:p w14:paraId="7CE6990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676D4B7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vAlign w:val="center"/>
          </w:tcPr>
          <w:p w14:paraId="73FD821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25" w:type="dxa"/>
            <w:tcBorders>
              <w:tl2br w:val="nil"/>
              <w:tr2bl w:val="nil"/>
            </w:tcBorders>
            <w:vAlign w:val="center"/>
          </w:tcPr>
          <w:p w14:paraId="38228A3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71A8A2F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4F19A95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0EB2F53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66B1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2485E7A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01CCC8E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vMerge w:val="restart"/>
            <w:tcBorders>
              <w:tl2br w:val="nil"/>
              <w:tr2bl w:val="nil"/>
            </w:tcBorders>
            <w:shd w:val="clear" w:color="auto" w:fill="FFFFFF"/>
            <w:vAlign w:val="center"/>
          </w:tcPr>
          <w:p w14:paraId="50F10C58">
            <w:pPr>
              <w:keepNext w:val="0"/>
              <w:keepLines w:val="0"/>
              <w:widowControl/>
              <w:suppressLineNumbers w:val="0"/>
              <w:spacing w:before="0" w:beforeAutospacing="0" w:after="0" w:afterAutospacing="0"/>
              <w:ind w:left="0" w:leftChars="0" w:right="0" w:rightChars="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认定不予补偿安置面积的二次装修     (j)  </w:t>
            </w:r>
          </w:p>
        </w:tc>
        <w:tc>
          <w:tcPr>
            <w:tcW w:w="825" w:type="dxa"/>
            <w:tcBorders>
              <w:tl2br w:val="nil"/>
              <w:tr2bl w:val="nil"/>
            </w:tcBorders>
            <w:vAlign w:val="center"/>
          </w:tcPr>
          <w:p w14:paraId="420408B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6D194E5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3397478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7D09FDC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510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7" w:hRule="atLeast"/>
        </w:trPr>
        <w:tc>
          <w:tcPr>
            <w:tcW w:w="551" w:type="dxa"/>
            <w:vMerge w:val="continue"/>
            <w:tcBorders>
              <w:tl2br w:val="nil"/>
              <w:tr2bl w:val="nil"/>
            </w:tcBorders>
            <w:shd w:val="clear" w:color="auto" w:fill="FFFFFF"/>
            <w:vAlign w:val="center"/>
          </w:tcPr>
          <w:p w14:paraId="3BB243B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708E7F4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vMerge w:val="continue"/>
            <w:tcBorders>
              <w:tl2br w:val="nil"/>
              <w:tr2bl w:val="nil"/>
            </w:tcBorders>
            <w:shd w:val="clear" w:color="auto" w:fill="FFFFFF"/>
            <w:vAlign w:val="center"/>
          </w:tcPr>
          <w:p w14:paraId="394D25D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25" w:type="dxa"/>
            <w:tcBorders>
              <w:tl2br w:val="nil"/>
              <w:tr2bl w:val="nil"/>
            </w:tcBorders>
            <w:vAlign w:val="center"/>
          </w:tcPr>
          <w:p w14:paraId="0C12FD3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vAlign w:val="center"/>
          </w:tcPr>
          <w:p w14:paraId="5724C68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vAlign w:val="center"/>
          </w:tcPr>
          <w:p w14:paraId="03E0534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673256E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0EA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634F80F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restart"/>
            <w:tcBorders>
              <w:tl2br w:val="nil"/>
              <w:tr2bl w:val="nil"/>
            </w:tcBorders>
            <w:shd w:val="clear" w:color="auto" w:fill="FFFFFF"/>
            <w:vAlign w:val="center"/>
          </w:tcPr>
          <w:p w14:paraId="79F74B7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各项奖励E</w:t>
            </w:r>
          </w:p>
        </w:tc>
        <w:tc>
          <w:tcPr>
            <w:tcW w:w="4605" w:type="dxa"/>
            <w:gridSpan w:val="3"/>
            <w:tcBorders>
              <w:tl2br w:val="nil"/>
              <w:tr2bl w:val="nil"/>
            </w:tcBorders>
            <w:shd w:val="clear" w:color="auto" w:fill="FFFFFF"/>
            <w:vAlign w:val="center"/>
          </w:tcPr>
          <w:p w14:paraId="662E4C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825" w:type="dxa"/>
            <w:tcBorders>
              <w:tl2br w:val="nil"/>
              <w:tr2bl w:val="nil"/>
            </w:tcBorders>
            <w:shd w:val="clear" w:color="auto" w:fill="auto"/>
            <w:vAlign w:val="center"/>
          </w:tcPr>
          <w:p w14:paraId="2F9E502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011FD9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vAlign w:val="center"/>
          </w:tcPr>
          <w:p w14:paraId="6916F9E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5100D69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2A1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78310BE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2142506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063DD7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825" w:type="dxa"/>
            <w:tcBorders>
              <w:tl2br w:val="nil"/>
              <w:tr2bl w:val="nil"/>
            </w:tcBorders>
            <w:shd w:val="clear" w:color="auto" w:fill="auto"/>
            <w:vAlign w:val="center"/>
          </w:tcPr>
          <w:p w14:paraId="200D075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07D1BF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vAlign w:val="center"/>
          </w:tcPr>
          <w:p w14:paraId="70019A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39A5F46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21C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0C40C66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783" w:type="dxa"/>
            <w:vMerge w:val="continue"/>
            <w:tcBorders>
              <w:tl2br w:val="nil"/>
              <w:tr2bl w:val="nil"/>
            </w:tcBorders>
            <w:shd w:val="clear" w:color="auto" w:fill="FFFFFF"/>
            <w:vAlign w:val="center"/>
          </w:tcPr>
          <w:p w14:paraId="3A09234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605" w:type="dxa"/>
            <w:gridSpan w:val="3"/>
            <w:tcBorders>
              <w:tl2br w:val="nil"/>
              <w:tr2bl w:val="nil"/>
            </w:tcBorders>
            <w:shd w:val="clear" w:color="auto" w:fill="FFFFFF"/>
            <w:vAlign w:val="center"/>
          </w:tcPr>
          <w:p w14:paraId="1ADBB9B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825" w:type="dxa"/>
            <w:tcBorders>
              <w:tl2br w:val="nil"/>
              <w:tr2bl w:val="nil"/>
            </w:tcBorders>
            <w:shd w:val="clear" w:color="auto" w:fill="auto"/>
            <w:vAlign w:val="center"/>
          </w:tcPr>
          <w:p w14:paraId="1395231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4A894E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r>
              <w:rPr>
                <w:rFonts w:hint="eastAsia" w:ascii="宋体" w:hAnsi="宋体" w:eastAsia="宋体" w:cs="宋体"/>
                <w:i w:val="0"/>
                <w:color w:val="auto"/>
                <w:kern w:val="0"/>
                <w:sz w:val="20"/>
                <w:szCs w:val="20"/>
                <w:highlight w:val="none"/>
                <w:u w:val="none"/>
                <w:lang w:val="en-US" w:eastAsia="zh-CN" w:bidi="ar"/>
              </w:rPr>
              <w:t>元/㎡</w:t>
            </w:r>
          </w:p>
        </w:tc>
        <w:tc>
          <w:tcPr>
            <w:tcW w:w="390" w:type="dxa"/>
            <w:tcBorders>
              <w:tl2br w:val="nil"/>
              <w:tr2bl w:val="nil"/>
            </w:tcBorders>
            <w:shd w:val="clear" w:color="auto" w:fill="C0C0C0"/>
            <w:vAlign w:val="center"/>
          </w:tcPr>
          <w:p w14:paraId="58172E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7BAF017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3F2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7A94EC2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575B65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825" w:type="dxa"/>
            <w:tcBorders>
              <w:tl2br w:val="nil"/>
              <w:tr2bl w:val="nil"/>
            </w:tcBorders>
            <w:shd w:val="clear" w:color="auto" w:fill="auto"/>
            <w:vAlign w:val="center"/>
          </w:tcPr>
          <w:p w14:paraId="311FE6B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FFFFFF"/>
            <w:vAlign w:val="center"/>
          </w:tcPr>
          <w:p w14:paraId="6875CA4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558D812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70B1678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B77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08107D6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vMerge w:val="restart"/>
            <w:tcBorders>
              <w:tl2br w:val="nil"/>
              <w:tr2bl w:val="nil"/>
            </w:tcBorders>
            <w:shd w:val="clear" w:color="auto" w:fill="FFFFFF"/>
            <w:vAlign w:val="center"/>
          </w:tcPr>
          <w:p w14:paraId="66B116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放弃产权调换安置的补差               F          </w:t>
            </w:r>
          </w:p>
        </w:tc>
        <w:tc>
          <w:tcPr>
            <w:tcW w:w="825" w:type="dxa"/>
            <w:tcBorders>
              <w:tl2br w:val="nil"/>
              <w:tr2bl w:val="nil"/>
            </w:tcBorders>
            <w:shd w:val="clear" w:color="auto" w:fill="auto"/>
            <w:vAlign w:val="center"/>
          </w:tcPr>
          <w:p w14:paraId="2DDCFA4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572ADED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7F5FBC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17B5FF3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8D3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580FFDF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vAlign w:val="center"/>
          </w:tcPr>
          <w:p w14:paraId="35913F4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vAlign w:val="center"/>
          </w:tcPr>
          <w:p w14:paraId="6418F7C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7C8380C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1B6E97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11D4273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05F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51" w:type="dxa"/>
            <w:vMerge w:val="continue"/>
            <w:tcBorders>
              <w:tl2br w:val="nil"/>
              <w:tr2bl w:val="nil"/>
            </w:tcBorders>
            <w:shd w:val="clear" w:color="auto" w:fill="FFFFFF"/>
            <w:vAlign w:val="center"/>
          </w:tcPr>
          <w:p w14:paraId="6EBF604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vMerge w:val="continue"/>
            <w:tcBorders>
              <w:tl2br w:val="nil"/>
              <w:tr2bl w:val="nil"/>
            </w:tcBorders>
            <w:shd w:val="clear" w:color="auto" w:fill="FFFFFF"/>
            <w:vAlign w:val="center"/>
          </w:tcPr>
          <w:p w14:paraId="348F3AF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25" w:type="dxa"/>
            <w:tcBorders>
              <w:tl2br w:val="nil"/>
              <w:tr2bl w:val="nil"/>
            </w:tcBorders>
            <w:shd w:val="clear" w:color="auto" w:fill="auto"/>
            <w:vAlign w:val="center"/>
          </w:tcPr>
          <w:p w14:paraId="25D411C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10E2DE5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67A86D2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12D0DFA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68E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725F8B4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3FC9A3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825" w:type="dxa"/>
            <w:tcBorders>
              <w:tl2br w:val="nil"/>
              <w:tr2bl w:val="nil"/>
            </w:tcBorders>
            <w:shd w:val="clear" w:color="auto" w:fill="auto"/>
            <w:vAlign w:val="center"/>
          </w:tcPr>
          <w:p w14:paraId="0BC7562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2E8F43A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5C9460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48C27FB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DF7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31E0128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1843DD5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825" w:type="dxa"/>
            <w:tcBorders>
              <w:tl2br w:val="nil"/>
              <w:tr2bl w:val="nil"/>
            </w:tcBorders>
            <w:shd w:val="clear" w:color="auto" w:fill="auto"/>
            <w:vAlign w:val="center"/>
          </w:tcPr>
          <w:p w14:paraId="4447F35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284B97D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2E03E6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1EC5853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41F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6EED101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0BA01F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照顾购买面积应缴款</w:t>
            </w:r>
          </w:p>
        </w:tc>
        <w:tc>
          <w:tcPr>
            <w:tcW w:w="825" w:type="dxa"/>
            <w:tcBorders>
              <w:tl2br w:val="nil"/>
              <w:tr2bl w:val="nil"/>
            </w:tcBorders>
            <w:shd w:val="clear" w:color="auto" w:fill="auto"/>
            <w:vAlign w:val="center"/>
          </w:tcPr>
          <w:p w14:paraId="1E835BA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3D83A06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3163E6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45D96C3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0D3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551" w:type="dxa"/>
            <w:vMerge w:val="continue"/>
            <w:tcBorders>
              <w:tl2br w:val="nil"/>
              <w:tr2bl w:val="nil"/>
            </w:tcBorders>
            <w:shd w:val="clear" w:color="auto" w:fill="FFFFFF"/>
            <w:vAlign w:val="center"/>
          </w:tcPr>
          <w:p w14:paraId="4BC6502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5388" w:type="dxa"/>
            <w:gridSpan w:val="4"/>
            <w:tcBorders>
              <w:tl2br w:val="nil"/>
              <w:tr2bl w:val="nil"/>
            </w:tcBorders>
            <w:shd w:val="clear" w:color="auto" w:fill="FFFFFF"/>
            <w:vAlign w:val="center"/>
          </w:tcPr>
          <w:p w14:paraId="75DF93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  计</w:t>
            </w:r>
          </w:p>
        </w:tc>
        <w:tc>
          <w:tcPr>
            <w:tcW w:w="825" w:type="dxa"/>
            <w:tcBorders>
              <w:tl2br w:val="nil"/>
              <w:tr2bl w:val="nil"/>
            </w:tcBorders>
            <w:shd w:val="clear" w:color="auto" w:fill="C0C0C0"/>
            <w:vAlign w:val="center"/>
          </w:tcPr>
          <w:p w14:paraId="1112E69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2D957CC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450799F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5703002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013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0" w:hRule="atLeast"/>
        </w:trPr>
        <w:tc>
          <w:tcPr>
            <w:tcW w:w="3294" w:type="dxa"/>
            <w:gridSpan w:val="3"/>
            <w:tcBorders>
              <w:tl2br w:val="nil"/>
              <w:tr2bl w:val="nil"/>
            </w:tcBorders>
            <w:shd w:val="clear" w:color="auto" w:fill="FFFFFF"/>
            <w:vAlign w:val="center"/>
          </w:tcPr>
          <w:p w14:paraId="4963004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照顾购买房交房时结算的款项   G</w:t>
            </w:r>
          </w:p>
        </w:tc>
        <w:tc>
          <w:tcPr>
            <w:tcW w:w="2645" w:type="dxa"/>
            <w:gridSpan w:val="2"/>
            <w:tcBorders>
              <w:tl2br w:val="nil"/>
              <w:tr2bl w:val="nil"/>
            </w:tcBorders>
            <w:shd w:val="clear" w:color="auto" w:fill="FFFFFF"/>
            <w:vAlign w:val="center"/>
          </w:tcPr>
          <w:p w14:paraId="3AE5EA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交房时面积误差</w:t>
            </w:r>
          </w:p>
          <w:p w14:paraId="750CCC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产生的款</w:t>
            </w:r>
          </w:p>
        </w:tc>
        <w:tc>
          <w:tcPr>
            <w:tcW w:w="825" w:type="dxa"/>
            <w:tcBorders>
              <w:tl2br w:val="nil"/>
              <w:tr2bl w:val="nil"/>
            </w:tcBorders>
            <w:shd w:val="clear" w:color="auto" w:fill="auto"/>
            <w:vAlign w:val="center"/>
          </w:tcPr>
          <w:p w14:paraId="67301BB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auto"/>
            <w:vAlign w:val="center"/>
          </w:tcPr>
          <w:p w14:paraId="57F07F2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769D0D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596" w:type="dxa"/>
            <w:tcBorders>
              <w:tl2br w:val="nil"/>
              <w:tr2bl w:val="nil"/>
            </w:tcBorders>
            <w:vAlign w:val="center"/>
          </w:tcPr>
          <w:p w14:paraId="4201F02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3E5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9" w:hRule="atLeast"/>
        </w:trPr>
        <w:tc>
          <w:tcPr>
            <w:tcW w:w="5939" w:type="dxa"/>
            <w:gridSpan w:val="5"/>
            <w:tcBorders>
              <w:tl2br w:val="nil"/>
              <w:tr2bl w:val="nil"/>
            </w:tcBorders>
            <w:shd w:val="clear" w:color="auto" w:fill="auto"/>
            <w:vAlign w:val="center"/>
          </w:tcPr>
          <w:p w14:paraId="080519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   计                   </w:t>
            </w:r>
          </w:p>
        </w:tc>
        <w:tc>
          <w:tcPr>
            <w:tcW w:w="825" w:type="dxa"/>
            <w:tcBorders>
              <w:tl2br w:val="nil"/>
              <w:tr2bl w:val="nil"/>
            </w:tcBorders>
            <w:shd w:val="clear" w:color="auto" w:fill="C0C0C0"/>
            <w:vAlign w:val="center"/>
          </w:tcPr>
          <w:p w14:paraId="5C31134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c>
          <w:tcPr>
            <w:tcW w:w="1710" w:type="dxa"/>
            <w:tcBorders>
              <w:tl2br w:val="nil"/>
              <w:tr2bl w:val="nil"/>
            </w:tcBorders>
            <w:shd w:val="clear" w:color="auto" w:fill="C0C0C0"/>
            <w:vAlign w:val="center"/>
          </w:tcPr>
          <w:p w14:paraId="602EE04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390" w:type="dxa"/>
            <w:tcBorders>
              <w:tl2br w:val="nil"/>
              <w:tr2bl w:val="nil"/>
            </w:tcBorders>
            <w:shd w:val="clear" w:color="auto" w:fill="C0C0C0"/>
            <w:vAlign w:val="center"/>
          </w:tcPr>
          <w:p w14:paraId="378080E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96" w:type="dxa"/>
            <w:tcBorders>
              <w:tl2br w:val="nil"/>
              <w:tr2bl w:val="nil"/>
            </w:tcBorders>
            <w:vAlign w:val="center"/>
          </w:tcPr>
          <w:p w14:paraId="36B10D45">
            <w:pPr>
              <w:keepNext w:val="0"/>
              <w:keepLines w:val="0"/>
              <w:suppressLineNumbers w:val="0"/>
              <w:spacing w:before="0" w:beforeAutospacing="0" w:after="0" w:afterAutospacing="0"/>
              <w:ind w:left="0" w:leftChars="0" w:right="0" w:rightChars="0"/>
              <w:jc w:val="left"/>
              <w:rPr>
                <w:rFonts w:hint="eastAsia" w:ascii="宋体" w:hAnsi="宋体" w:eastAsia="宋体" w:cs="宋体"/>
                <w:i w:val="0"/>
                <w:color w:val="auto"/>
                <w:sz w:val="24"/>
                <w:szCs w:val="24"/>
                <w:highlight w:val="none"/>
                <w:u w:val="none"/>
              </w:rPr>
            </w:pPr>
          </w:p>
        </w:tc>
      </w:tr>
    </w:tbl>
    <w:p w14:paraId="12DC311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2、选择产权调换的结算：</w:t>
      </w:r>
    </w:p>
    <w:p w14:paraId="3312A532">
      <w:pPr>
        <w:pStyle w:val="2"/>
        <w:shd w:val="clear" w:color="auto" w:fill="auto"/>
        <w:spacing w:after="0" w:line="600" w:lineRule="exact"/>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在等面积产权调换的基础上，按以下计算：</w:t>
      </w:r>
    </w:p>
    <w:p w14:paraId="54A56838">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被征收人领回款=</w:t>
      </w:r>
      <w:r>
        <w:rPr>
          <w:rFonts w:hint="eastAsia" w:ascii="仿宋_GB2312" w:eastAsia="仿宋_GB2312"/>
          <w:color w:val="auto"/>
          <w:sz w:val="32"/>
          <w:szCs w:val="32"/>
          <w:highlight w:val="none"/>
          <w:u w:val="none"/>
          <w:lang w:val="zh-CN" w:eastAsia="zh-CN"/>
        </w:rPr>
        <w:t>埕地、空</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面积</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相应的埕地、空地补偿价（</w:t>
      </w:r>
      <w:r>
        <w:rPr>
          <w:rFonts w:hint="eastAsia" w:ascii="仿宋_GB2312" w:eastAsia="仿宋_GB2312"/>
          <w:color w:val="auto"/>
          <w:sz w:val="32"/>
          <w:szCs w:val="32"/>
          <w:highlight w:val="none"/>
          <w:u w:val="none"/>
          <w:lang w:val="zh-CN"/>
        </w:rPr>
        <w:t>经国土部门确权的，属出让土地的按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万元/亩计算，属划拨土地或持有集体土地使用证的按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60%</w:t>
      </w:r>
      <w:r>
        <w:rPr>
          <w:rFonts w:hint="eastAsia" w:ascii="仿宋_GB2312" w:eastAsia="仿宋_GB2312"/>
          <w:color w:val="auto"/>
          <w:sz w:val="32"/>
          <w:szCs w:val="32"/>
          <w:highlight w:val="none"/>
          <w:u w:val="none"/>
          <w:lang w:val="zh-CN"/>
        </w:rPr>
        <w:t>计算；经市镇（街）两级清理收费的，按</w:t>
      </w:r>
      <w:r>
        <w:rPr>
          <w:rFonts w:hint="eastAsia" w:ascii="仿宋_GB2312" w:eastAsia="仿宋_GB2312"/>
          <w:color w:val="auto"/>
          <w:w w:val="100"/>
          <w:sz w:val="32"/>
          <w:szCs w:val="32"/>
          <w:highlight w:val="none"/>
          <w:u w:val="none"/>
          <w:lang w:val="en-US" w:eastAsia="zh-CN"/>
        </w:rPr>
        <w:t>265</w:t>
      </w:r>
      <w:r>
        <w:rPr>
          <w:rFonts w:hint="eastAsia" w:ascii="仿宋_GB2312" w:eastAsia="仿宋_GB2312"/>
          <w:color w:val="auto"/>
          <w:sz w:val="32"/>
          <w:szCs w:val="32"/>
          <w:highlight w:val="none"/>
          <w:u w:val="none"/>
          <w:lang w:val="zh-CN"/>
        </w:rPr>
        <w:t>万元/亩的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计算；其他未确权和未经市镇（街）两级清理收费的，按4.3万元/亩计算。</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认定</w:t>
      </w:r>
      <w:r>
        <w:rPr>
          <w:rFonts w:hint="eastAsia" w:ascii="仿宋_GB2312" w:eastAsia="仿宋_GB2312"/>
          <w:color w:val="auto"/>
          <w:sz w:val="32"/>
          <w:szCs w:val="32"/>
          <w:highlight w:val="none"/>
          <w:u w:val="none"/>
          <w:lang w:val="zh-CN"/>
        </w:rPr>
        <w:t>补偿</w:t>
      </w:r>
      <w:r>
        <w:rPr>
          <w:rFonts w:hint="eastAsia" w:ascii="仿宋_GB2312" w:eastAsia="仿宋_GB2312"/>
          <w:color w:val="auto"/>
          <w:sz w:val="32"/>
          <w:szCs w:val="32"/>
          <w:highlight w:val="none"/>
          <w:u w:val="none"/>
          <w:lang w:val="zh-CN" w:eastAsia="zh-CN"/>
        </w:rPr>
        <w:t>安置</w:t>
      </w:r>
      <w:r>
        <w:rPr>
          <w:rFonts w:hint="eastAsia" w:ascii="仿宋_GB2312" w:eastAsia="仿宋_GB2312"/>
          <w:color w:val="auto"/>
          <w:sz w:val="32"/>
          <w:szCs w:val="32"/>
          <w:highlight w:val="none"/>
          <w:u w:val="none"/>
          <w:lang w:val="zh-CN"/>
        </w:rPr>
        <w:t>面积×室内二次装修×二次装修成新率+</w:t>
      </w:r>
      <w:r>
        <w:rPr>
          <w:rFonts w:hint="eastAsia" w:ascii="仿宋_GB2312" w:eastAsia="仿宋_GB2312"/>
          <w:color w:val="auto"/>
          <w:sz w:val="32"/>
          <w:szCs w:val="32"/>
          <w:highlight w:val="none"/>
          <w:u w:val="none"/>
          <w:lang w:val="zh-CN" w:eastAsia="zh-CN"/>
        </w:rPr>
        <w:t>被认定不予补偿安置的土地面积×征地价格＋被认定不予补偿安置的房屋建筑面积×建安造价×成新率</w:t>
      </w:r>
      <w:r>
        <w:rPr>
          <w:rFonts w:hint="eastAsia" w:ascii="仿宋_GB2312" w:eastAsia="仿宋_GB2312"/>
          <w:color w:val="auto"/>
          <w:sz w:val="32"/>
          <w:szCs w:val="32"/>
          <w:highlight w:val="none"/>
          <w:u w:val="none"/>
          <w:lang w:val="en-US" w:eastAsia="zh-CN"/>
        </w:rPr>
        <w:t>+各项奖励、补助费用（扣除放弃产权调换安置的补差款）</w:t>
      </w:r>
      <w:r>
        <w:rPr>
          <w:rFonts w:hint="eastAsia" w:ascii="仿宋_GB2312" w:eastAsia="仿宋_GB2312"/>
          <w:color w:val="auto"/>
          <w:sz w:val="32"/>
          <w:szCs w:val="32"/>
          <w:highlight w:val="none"/>
          <w:u w:val="none"/>
          <w:lang w:val="zh-CN"/>
        </w:rPr>
        <w:t>，详见附表一、二、三、四。</w:t>
      </w:r>
    </w:p>
    <w:p w14:paraId="195A4CF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被征收人应缴款</w:t>
      </w:r>
      <w:r>
        <w:rPr>
          <w:rFonts w:hint="eastAsia" w:ascii="仿宋_GB2312" w:eastAsia="仿宋_GB2312"/>
          <w:color w:val="auto"/>
          <w:sz w:val="32"/>
          <w:szCs w:val="32"/>
          <w:highlight w:val="none"/>
          <w:u w:val="none"/>
          <w:lang w:val="en-US" w:eastAsia="zh-CN"/>
        </w:rPr>
        <w:t>=照顾购买面积×照顾购买价+选择产权调换的面积</w:t>
      </w:r>
      <w:r>
        <w:rPr>
          <w:rFonts w:hint="eastAsia" w:ascii="仿宋_GB2312" w:eastAsia="仿宋_GB2312"/>
          <w:color w:val="auto"/>
          <w:sz w:val="32"/>
          <w:szCs w:val="32"/>
          <w:highlight w:val="none"/>
          <w:u w:val="none"/>
          <w:lang w:val="zh-CN"/>
        </w:rPr>
        <w:t>×等面积应补缴价格（附表五）</w:t>
      </w:r>
    </w:p>
    <w:tbl>
      <w:tblPr>
        <w:tblStyle w:val="5"/>
        <w:tblpPr w:leftFromText="180" w:rightFromText="180" w:vertAnchor="text" w:horzAnchor="page" w:tblpX="1444" w:tblpY="112"/>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03"/>
        <w:gridCol w:w="777"/>
        <w:gridCol w:w="784"/>
        <w:gridCol w:w="994"/>
        <w:gridCol w:w="407"/>
        <w:gridCol w:w="1661"/>
        <w:gridCol w:w="884"/>
        <w:gridCol w:w="1711"/>
        <w:gridCol w:w="509"/>
        <w:gridCol w:w="1130"/>
      </w:tblGrid>
      <w:tr w14:paraId="0EDB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9360" w:type="dxa"/>
            <w:gridSpan w:val="10"/>
            <w:tcBorders>
              <w:tl2br w:val="nil"/>
              <w:tr2bl w:val="nil"/>
            </w:tcBorders>
            <w:vAlign w:val="center"/>
          </w:tcPr>
          <w:p w14:paraId="6E27B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房屋征收补偿结果计算表（全部产权调换）</w:t>
            </w:r>
          </w:p>
        </w:tc>
      </w:tr>
      <w:tr w14:paraId="25AC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7" w:hRule="atLeast"/>
        </w:trPr>
        <w:tc>
          <w:tcPr>
            <w:tcW w:w="1280" w:type="dxa"/>
            <w:gridSpan w:val="2"/>
            <w:tcBorders>
              <w:tl2br w:val="nil"/>
              <w:tr2bl w:val="nil"/>
            </w:tcBorders>
            <w:vAlign w:val="center"/>
          </w:tcPr>
          <w:p w14:paraId="3B0634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款项</w:t>
            </w:r>
          </w:p>
        </w:tc>
        <w:tc>
          <w:tcPr>
            <w:tcW w:w="3846" w:type="dxa"/>
            <w:gridSpan w:val="4"/>
            <w:tcBorders>
              <w:tl2br w:val="nil"/>
              <w:tr2bl w:val="nil"/>
            </w:tcBorders>
            <w:vAlign w:val="center"/>
          </w:tcPr>
          <w:p w14:paraId="19780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w:t>
            </w:r>
          </w:p>
        </w:tc>
        <w:tc>
          <w:tcPr>
            <w:tcW w:w="884" w:type="dxa"/>
            <w:tcBorders>
              <w:tl2br w:val="nil"/>
              <w:tr2bl w:val="nil"/>
            </w:tcBorders>
            <w:vAlign w:val="center"/>
          </w:tcPr>
          <w:p w14:paraId="47BA1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面积（㎡）</w:t>
            </w:r>
          </w:p>
        </w:tc>
        <w:tc>
          <w:tcPr>
            <w:tcW w:w="1711" w:type="dxa"/>
            <w:tcBorders>
              <w:tl2br w:val="nil"/>
              <w:tr2bl w:val="nil"/>
            </w:tcBorders>
            <w:vAlign w:val="center"/>
          </w:tcPr>
          <w:p w14:paraId="6DBA68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509" w:type="dxa"/>
            <w:tcBorders>
              <w:tl2br w:val="nil"/>
              <w:tr2bl w:val="nil"/>
            </w:tcBorders>
            <w:vAlign w:val="center"/>
          </w:tcPr>
          <w:p w14:paraId="56C2556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1130" w:type="dxa"/>
            <w:tcBorders>
              <w:tl2br w:val="nil"/>
              <w:tr2bl w:val="nil"/>
            </w:tcBorders>
            <w:vAlign w:val="center"/>
          </w:tcPr>
          <w:p w14:paraId="5614E5F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金额（元）</w:t>
            </w:r>
          </w:p>
        </w:tc>
      </w:tr>
      <w:tr w14:paraId="5CD3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restart"/>
            <w:tcBorders>
              <w:tl2br w:val="nil"/>
              <w:tr2bl w:val="nil"/>
            </w:tcBorders>
            <w:shd w:val="clear" w:color="auto" w:fill="auto"/>
            <w:vAlign w:val="center"/>
          </w:tcPr>
          <w:p w14:paraId="26158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选房时结算的款项</w:t>
            </w:r>
          </w:p>
        </w:tc>
        <w:tc>
          <w:tcPr>
            <w:tcW w:w="777" w:type="dxa"/>
            <w:vMerge w:val="restart"/>
            <w:tcBorders>
              <w:tl2br w:val="nil"/>
              <w:tr2bl w:val="nil"/>
            </w:tcBorders>
            <w:shd w:val="clear" w:color="auto" w:fill="auto"/>
            <w:vAlign w:val="center"/>
          </w:tcPr>
          <w:p w14:paraId="7F643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各项补助</w:t>
            </w:r>
          </w:p>
          <w:p w14:paraId="04A8BE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A</w:t>
            </w:r>
          </w:p>
        </w:tc>
        <w:tc>
          <w:tcPr>
            <w:tcW w:w="3846" w:type="dxa"/>
            <w:gridSpan w:val="4"/>
            <w:tcBorders>
              <w:tl2br w:val="nil"/>
              <w:tr2bl w:val="nil"/>
            </w:tcBorders>
            <w:shd w:val="clear" w:color="auto" w:fill="auto"/>
            <w:vAlign w:val="center"/>
          </w:tcPr>
          <w:p w14:paraId="3B741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884" w:type="dxa"/>
            <w:tcBorders>
              <w:tl2br w:val="nil"/>
              <w:tr2bl w:val="nil"/>
            </w:tcBorders>
            <w:shd w:val="clear" w:color="auto" w:fill="auto"/>
            <w:vAlign w:val="center"/>
          </w:tcPr>
          <w:p w14:paraId="565DED4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41BBE5E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vAlign w:val="center"/>
          </w:tcPr>
          <w:p w14:paraId="1F01FE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130" w:type="dxa"/>
            <w:tcBorders>
              <w:tl2br w:val="nil"/>
              <w:tr2bl w:val="nil"/>
            </w:tcBorders>
            <w:vAlign w:val="center"/>
          </w:tcPr>
          <w:p w14:paraId="4BFF195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F5A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06C81D0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4FE13B6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4ACB3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884" w:type="dxa"/>
            <w:tcBorders>
              <w:tl2br w:val="nil"/>
              <w:tr2bl w:val="nil"/>
            </w:tcBorders>
            <w:shd w:val="clear" w:color="auto" w:fill="auto"/>
            <w:vAlign w:val="center"/>
          </w:tcPr>
          <w:p w14:paraId="37FE098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257382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r>
              <w:rPr>
                <w:rFonts w:hint="eastAsia" w:ascii="宋体" w:hAnsi="宋体" w:eastAsia="宋体" w:cs="宋体"/>
                <w:i w:val="0"/>
                <w:color w:val="auto"/>
                <w:kern w:val="0"/>
                <w:sz w:val="20"/>
                <w:szCs w:val="20"/>
                <w:highlight w:val="none"/>
                <w:u w:val="none"/>
                <w:lang w:val="en-US" w:eastAsia="zh-CN" w:bidi="ar"/>
              </w:rPr>
              <w:t>元/㎡/</w:t>
            </w:r>
            <w:r>
              <w:rPr>
                <w:rFonts w:hint="eastAsia" w:ascii="宋体" w:hAnsi="宋体" w:cs="宋体"/>
                <w:i w:val="0"/>
                <w:color w:val="auto"/>
                <w:kern w:val="0"/>
                <w:sz w:val="20"/>
                <w:szCs w:val="20"/>
                <w:highlight w:val="none"/>
                <w:u w:val="none"/>
                <w:lang w:val="en-US" w:eastAsia="zh-CN" w:bidi="ar"/>
              </w:rPr>
              <w:t>月</w:t>
            </w:r>
          </w:p>
        </w:tc>
        <w:tc>
          <w:tcPr>
            <w:tcW w:w="509" w:type="dxa"/>
            <w:tcBorders>
              <w:tl2br w:val="nil"/>
              <w:tr2bl w:val="nil"/>
            </w:tcBorders>
            <w:shd w:val="clear" w:color="auto" w:fill="FFFFFF"/>
            <w:vAlign w:val="center"/>
          </w:tcPr>
          <w:p w14:paraId="7FE5D0C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1F33E76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AEA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341384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3A1F6F4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17784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低保户/五保户/孤寡老人补助</w:t>
            </w:r>
          </w:p>
        </w:tc>
        <w:tc>
          <w:tcPr>
            <w:tcW w:w="884" w:type="dxa"/>
            <w:tcBorders>
              <w:tl2br w:val="nil"/>
              <w:tr2bl w:val="nil"/>
            </w:tcBorders>
            <w:shd w:val="clear" w:color="auto" w:fill="auto"/>
            <w:vAlign w:val="center"/>
          </w:tcPr>
          <w:p w14:paraId="3D0B4B0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328068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30000</w:t>
            </w:r>
            <w:r>
              <w:rPr>
                <w:rFonts w:hint="eastAsia" w:ascii="宋体" w:hAnsi="宋体" w:cs="宋体"/>
                <w:i w:val="0"/>
                <w:color w:val="auto"/>
                <w:kern w:val="0"/>
                <w:sz w:val="18"/>
                <w:szCs w:val="18"/>
                <w:highlight w:val="none"/>
                <w:u w:val="none"/>
                <w:lang w:val="en-US" w:eastAsia="zh-CN" w:bidi="ar"/>
              </w:rPr>
              <w:t>元/户</w:t>
            </w:r>
          </w:p>
        </w:tc>
        <w:tc>
          <w:tcPr>
            <w:tcW w:w="509" w:type="dxa"/>
            <w:tcBorders>
              <w:tl2br w:val="nil"/>
              <w:tr2bl w:val="nil"/>
            </w:tcBorders>
            <w:shd w:val="clear" w:color="auto" w:fill="C0C0C0"/>
            <w:vAlign w:val="center"/>
          </w:tcPr>
          <w:p w14:paraId="4B228F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4497B3A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3FF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503" w:type="dxa"/>
            <w:vMerge w:val="continue"/>
            <w:tcBorders>
              <w:tl2br w:val="nil"/>
              <w:tr2bl w:val="nil"/>
            </w:tcBorders>
            <w:shd w:val="clear" w:color="auto" w:fill="auto"/>
            <w:vAlign w:val="center"/>
          </w:tcPr>
          <w:p w14:paraId="6A10892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vAlign w:val="center"/>
          </w:tcPr>
          <w:p w14:paraId="5055D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2185" w:type="dxa"/>
            <w:gridSpan w:val="3"/>
            <w:vMerge w:val="restart"/>
            <w:tcBorders>
              <w:tl2br w:val="nil"/>
              <w:tr2bl w:val="nil"/>
            </w:tcBorders>
            <w:shd w:val="clear" w:color="auto" w:fill="auto"/>
            <w:vAlign w:val="center"/>
          </w:tcPr>
          <w:p w14:paraId="534BD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认定不予补偿安置建筑占地(g)</w:t>
            </w:r>
          </w:p>
        </w:tc>
        <w:tc>
          <w:tcPr>
            <w:tcW w:w="1661" w:type="dxa"/>
            <w:tcBorders>
              <w:tl2br w:val="nil"/>
              <w:tr2bl w:val="nil"/>
            </w:tcBorders>
            <w:shd w:val="clear" w:color="auto" w:fill="auto"/>
            <w:vAlign w:val="center"/>
          </w:tcPr>
          <w:p w14:paraId="30AB93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84" w:type="dxa"/>
            <w:tcBorders>
              <w:tl2br w:val="nil"/>
              <w:tr2bl w:val="nil"/>
            </w:tcBorders>
            <w:shd w:val="clear" w:color="auto" w:fill="auto"/>
            <w:vAlign w:val="center"/>
          </w:tcPr>
          <w:p w14:paraId="63716E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5037B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78DBA5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vAlign w:val="center"/>
          </w:tcPr>
          <w:p w14:paraId="5F09F5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53A56C8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59E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2" w:hRule="atLeast"/>
        </w:trPr>
        <w:tc>
          <w:tcPr>
            <w:tcW w:w="503" w:type="dxa"/>
            <w:vMerge w:val="continue"/>
            <w:tcBorders>
              <w:tl2br w:val="nil"/>
              <w:tr2bl w:val="nil"/>
            </w:tcBorders>
            <w:shd w:val="clear" w:color="auto" w:fill="auto"/>
            <w:vAlign w:val="center"/>
          </w:tcPr>
          <w:p w14:paraId="5570C7D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23465F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vAlign w:val="center"/>
          </w:tcPr>
          <w:p w14:paraId="4F0302A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vAlign w:val="center"/>
          </w:tcPr>
          <w:p w14:paraId="247B74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vAlign w:val="center"/>
          </w:tcPr>
          <w:p w14:paraId="19CB9E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6FBC6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10C5FD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vAlign w:val="center"/>
          </w:tcPr>
          <w:p w14:paraId="5BCB2FA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61E65BC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45A7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75FA4C0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vAlign w:val="center"/>
          </w:tcPr>
          <w:p w14:paraId="398CD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185" w:type="dxa"/>
            <w:gridSpan w:val="3"/>
            <w:vMerge w:val="restart"/>
            <w:tcBorders>
              <w:tl2br w:val="nil"/>
              <w:tr2bl w:val="nil"/>
            </w:tcBorders>
            <w:shd w:val="clear" w:color="auto" w:fill="auto"/>
            <w:vAlign w:val="center"/>
          </w:tcPr>
          <w:p w14:paraId="39C58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1661" w:type="dxa"/>
            <w:tcBorders>
              <w:tl2br w:val="nil"/>
              <w:tr2bl w:val="nil"/>
            </w:tcBorders>
            <w:shd w:val="clear" w:color="auto" w:fill="auto"/>
            <w:vAlign w:val="center"/>
          </w:tcPr>
          <w:p w14:paraId="1FACB5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884" w:type="dxa"/>
            <w:tcBorders>
              <w:tl2br w:val="nil"/>
              <w:tr2bl w:val="nil"/>
            </w:tcBorders>
            <w:shd w:val="clear" w:color="auto" w:fill="auto"/>
            <w:vAlign w:val="center"/>
          </w:tcPr>
          <w:p w14:paraId="37947C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04AFE62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25FCB8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1230E13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70D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4913C2F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60DA76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185" w:type="dxa"/>
            <w:gridSpan w:val="3"/>
            <w:vMerge w:val="continue"/>
            <w:tcBorders>
              <w:tl2br w:val="nil"/>
              <w:tr2bl w:val="nil"/>
            </w:tcBorders>
            <w:shd w:val="clear" w:color="auto" w:fill="auto"/>
            <w:vAlign w:val="center"/>
          </w:tcPr>
          <w:p w14:paraId="6EDD087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661" w:type="dxa"/>
            <w:tcBorders>
              <w:tl2br w:val="nil"/>
              <w:tr2bl w:val="nil"/>
            </w:tcBorders>
            <w:shd w:val="clear" w:color="auto" w:fill="auto"/>
            <w:vAlign w:val="center"/>
          </w:tcPr>
          <w:p w14:paraId="37592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884" w:type="dxa"/>
            <w:tcBorders>
              <w:tl2br w:val="nil"/>
              <w:tr2bl w:val="nil"/>
            </w:tcBorders>
            <w:shd w:val="clear" w:color="auto" w:fill="auto"/>
            <w:vAlign w:val="center"/>
          </w:tcPr>
          <w:p w14:paraId="3E379FE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45332D1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458486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60%</w:t>
            </w:r>
          </w:p>
        </w:tc>
        <w:tc>
          <w:tcPr>
            <w:tcW w:w="1130" w:type="dxa"/>
            <w:tcBorders>
              <w:tl2br w:val="nil"/>
              <w:tr2bl w:val="nil"/>
            </w:tcBorders>
            <w:vAlign w:val="center"/>
          </w:tcPr>
          <w:p w14:paraId="3304EEB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A44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503" w:type="dxa"/>
            <w:vMerge w:val="continue"/>
            <w:tcBorders>
              <w:tl2br w:val="nil"/>
              <w:tr2bl w:val="nil"/>
            </w:tcBorders>
            <w:shd w:val="clear" w:color="auto" w:fill="auto"/>
            <w:vAlign w:val="center"/>
          </w:tcPr>
          <w:p w14:paraId="0C2B2E6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719B8CB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68312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884" w:type="dxa"/>
            <w:tcBorders>
              <w:tl2br w:val="nil"/>
              <w:tr2bl w:val="nil"/>
            </w:tcBorders>
            <w:shd w:val="clear" w:color="auto" w:fill="auto"/>
            <w:vAlign w:val="center"/>
          </w:tcPr>
          <w:p w14:paraId="699FCB0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3E366CB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3792BA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40%</w:t>
            </w:r>
          </w:p>
        </w:tc>
        <w:tc>
          <w:tcPr>
            <w:tcW w:w="1130" w:type="dxa"/>
            <w:tcBorders>
              <w:tl2br w:val="nil"/>
              <w:tr2bl w:val="nil"/>
            </w:tcBorders>
            <w:vAlign w:val="center"/>
          </w:tcPr>
          <w:p w14:paraId="658929F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E72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393D4C9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7204A0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restart"/>
            <w:tcBorders>
              <w:tl2br w:val="nil"/>
              <w:tr2bl w:val="nil"/>
            </w:tcBorders>
            <w:shd w:val="clear" w:color="auto" w:fill="auto"/>
            <w:vAlign w:val="center"/>
          </w:tcPr>
          <w:p w14:paraId="42EA9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2068" w:type="dxa"/>
            <w:gridSpan w:val="2"/>
            <w:tcBorders>
              <w:tl2br w:val="nil"/>
              <w:tr2bl w:val="nil"/>
            </w:tcBorders>
            <w:shd w:val="clear" w:color="auto" w:fill="auto"/>
            <w:vAlign w:val="center"/>
          </w:tcPr>
          <w:p w14:paraId="20495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884" w:type="dxa"/>
            <w:tcBorders>
              <w:tl2br w:val="nil"/>
              <w:tr2bl w:val="nil"/>
            </w:tcBorders>
            <w:shd w:val="clear" w:color="auto" w:fill="auto"/>
            <w:vAlign w:val="center"/>
          </w:tcPr>
          <w:p w14:paraId="0592679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499C6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64.5</w:t>
            </w:r>
            <w:r>
              <w:rPr>
                <w:rFonts w:hint="eastAsia" w:ascii="宋体" w:hAnsi="宋体" w:eastAsia="宋体" w:cs="宋体"/>
                <w:i w:val="0"/>
                <w:color w:val="auto"/>
                <w:kern w:val="0"/>
                <w:sz w:val="20"/>
                <w:szCs w:val="20"/>
                <w:highlight w:val="none"/>
                <w:u w:val="none"/>
                <w:lang w:val="en-US" w:eastAsia="zh-CN" w:bidi="ar"/>
              </w:rPr>
              <w:t>元/㎡</w:t>
            </w:r>
          </w:p>
          <w:p w14:paraId="176265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（4.3万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vAlign w:val="center"/>
          </w:tcPr>
          <w:p w14:paraId="285FBA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405273E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AC5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trPr>
        <w:tc>
          <w:tcPr>
            <w:tcW w:w="503" w:type="dxa"/>
            <w:vMerge w:val="continue"/>
            <w:tcBorders>
              <w:tl2br w:val="nil"/>
              <w:tr2bl w:val="nil"/>
            </w:tcBorders>
            <w:shd w:val="clear" w:color="auto" w:fill="auto"/>
            <w:vAlign w:val="center"/>
          </w:tcPr>
          <w:p w14:paraId="0360C9B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5F45A1A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78" w:type="dxa"/>
            <w:gridSpan w:val="2"/>
            <w:vMerge w:val="continue"/>
            <w:tcBorders>
              <w:tl2br w:val="nil"/>
              <w:tr2bl w:val="nil"/>
            </w:tcBorders>
            <w:shd w:val="clear" w:color="auto" w:fill="auto"/>
            <w:vAlign w:val="center"/>
          </w:tcPr>
          <w:p w14:paraId="66E65E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068" w:type="dxa"/>
            <w:gridSpan w:val="2"/>
            <w:tcBorders>
              <w:tl2br w:val="nil"/>
              <w:tr2bl w:val="nil"/>
            </w:tcBorders>
            <w:shd w:val="clear" w:color="auto" w:fill="auto"/>
            <w:vAlign w:val="center"/>
          </w:tcPr>
          <w:p w14:paraId="4F107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vAlign w:val="center"/>
          </w:tcPr>
          <w:p w14:paraId="7CA6568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50CC1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210</w:t>
            </w:r>
            <w:r>
              <w:rPr>
                <w:rFonts w:hint="eastAsia" w:ascii="宋体" w:hAnsi="宋体" w:eastAsia="宋体" w:cs="宋体"/>
                <w:i w:val="0"/>
                <w:color w:val="auto"/>
                <w:kern w:val="0"/>
                <w:sz w:val="20"/>
                <w:szCs w:val="20"/>
                <w:highlight w:val="none"/>
                <w:u w:val="none"/>
                <w:lang w:val="en-US" w:eastAsia="zh-CN" w:bidi="ar"/>
              </w:rPr>
              <w:t>元/㎡</w:t>
            </w:r>
          </w:p>
          <w:p w14:paraId="28233C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（14万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p>
        </w:tc>
        <w:tc>
          <w:tcPr>
            <w:tcW w:w="509" w:type="dxa"/>
            <w:tcBorders>
              <w:tl2br w:val="nil"/>
              <w:tr2bl w:val="nil"/>
            </w:tcBorders>
            <w:shd w:val="clear" w:color="auto" w:fill="C0C0C0"/>
            <w:vAlign w:val="center"/>
          </w:tcPr>
          <w:p w14:paraId="7FA0C42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384C5A8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01D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vAlign w:val="center"/>
          </w:tcPr>
          <w:p w14:paraId="5D157C2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vAlign w:val="center"/>
          </w:tcPr>
          <w:p w14:paraId="21BD9D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3846" w:type="dxa"/>
            <w:gridSpan w:val="4"/>
            <w:vMerge w:val="restart"/>
            <w:tcBorders>
              <w:tl2br w:val="nil"/>
              <w:tr2bl w:val="nil"/>
            </w:tcBorders>
            <w:vAlign w:val="center"/>
          </w:tcPr>
          <w:p w14:paraId="771979E9">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认定不予补偿安置面积的重置价    (h)    </w:t>
            </w:r>
          </w:p>
        </w:tc>
        <w:tc>
          <w:tcPr>
            <w:tcW w:w="884" w:type="dxa"/>
            <w:tcBorders>
              <w:tl2br w:val="nil"/>
              <w:tr2bl w:val="nil"/>
            </w:tcBorders>
            <w:vAlign w:val="center"/>
          </w:tcPr>
          <w:p w14:paraId="337AFA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0A7D0E8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366C0E1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6CB69EF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42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vAlign w:val="center"/>
          </w:tcPr>
          <w:p w14:paraId="2CDD3CE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1A04DD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vAlign w:val="center"/>
          </w:tcPr>
          <w:p w14:paraId="7C8595F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vAlign w:val="center"/>
          </w:tcPr>
          <w:p w14:paraId="75A02A7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61D5D91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744D559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28B23F6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24F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vAlign w:val="center"/>
          </w:tcPr>
          <w:p w14:paraId="003071D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321742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vAlign w:val="center"/>
          </w:tcPr>
          <w:p w14:paraId="6CEEC415">
            <w:pPr>
              <w:keepNext w:val="0"/>
              <w:keepLines w:val="0"/>
              <w:widowControl/>
              <w:suppressLineNumbers w:val="0"/>
              <w:spacing w:before="0" w:beforeAutospacing="0" w:after="0" w:afterAutospacing="0"/>
              <w:ind w:left="0" w:right="0" w:firstLine="200" w:firstLineChars="100"/>
              <w:jc w:val="both"/>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认定补偿安置面积的二次装修      B</w:t>
            </w:r>
          </w:p>
        </w:tc>
        <w:tc>
          <w:tcPr>
            <w:tcW w:w="884" w:type="dxa"/>
            <w:tcBorders>
              <w:tl2br w:val="nil"/>
              <w:tr2bl w:val="nil"/>
            </w:tcBorders>
            <w:vAlign w:val="center"/>
          </w:tcPr>
          <w:p w14:paraId="478B1D7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5DDF0CB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0C81256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1400602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677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3" w:type="dxa"/>
            <w:vMerge w:val="continue"/>
            <w:tcBorders>
              <w:tl2br w:val="nil"/>
              <w:tr2bl w:val="nil"/>
            </w:tcBorders>
            <w:vAlign w:val="center"/>
          </w:tcPr>
          <w:p w14:paraId="375A7D9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19F1EAA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vAlign w:val="center"/>
          </w:tcPr>
          <w:p w14:paraId="2F37E32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vAlign w:val="center"/>
          </w:tcPr>
          <w:p w14:paraId="5081AB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4AACA78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71E5A87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69F3401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3BC9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vAlign w:val="center"/>
          </w:tcPr>
          <w:p w14:paraId="75ED409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17D22CA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restart"/>
            <w:tcBorders>
              <w:tl2br w:val="nil"/>
              <w:tr2bl w:val="nil"/>
            </w:tcBorders>
            <w:vAlign w:val="center"/>
          </w:tcPr>
          <w:p w14:paraId="38463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认定不予补偿安置面积的二次装修    (i)</w:t>
            </w:r>
          </w:p>
        </w:tc>
        <w:tc>
          <w:tcPr>
            <w:tcW w:w="884" w:type="dxa"/>
            <w:tcBorders>
              <w:tl2br w:val="nil"/>
              <w:tr2bl w:val="nil"/>
            </w:tcBorders>
            <w:vAlign w:val="center"/>
          </w:tcPr>
          <w:p w14:paraId="495D4B4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5A91AC6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4AC72F7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5F5C99C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329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2" w:hRule="atLeast"/>
        </w:trPr>
        <w:tc>
          <w:tcPr>
            <w:tcW w:w="503" w:type="dxa"/>
            <w:vMerge w:val="continue"/>
            <w:tcBorders>
              <w:tl2br w:val="nil"/>
              <w:tr2bl w:val="nil"/>
            </w:tcBorders>
            <w:vAlign w:val="center"/>
          </w:tcPr>
          <w:p w14:paraId="0F64E7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vAlign w:val="center"/>
          </w:tcPr>
          <w:p w14:paraId="0AD3AFA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vMerge w:val="continue"/>
            <w:tcBorders>
              <w:tl2br w:val="nil"/>
              <w:tr2bl w:val="nil"/>
            </w:tcBorders>
            <w:vAlign w:val="center"/>
          </w:tcPr>
          <w:p w14:paraId="7D7E2D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884" w:type="dxa"/>
            <w:tcBorders>
              <w:tl2br w:val="nil"/>
              <w:tr2bl w:val="nil"/>
            </w:tcBorders>
            <w:vAlign w:val="center"/>
          </w:tcPr>
          <w:p w14:paraId="1CB43E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vAlign w:val="center"/>
          </w:tcPr>
          <w:p w14:paraId="1BA713B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vAlign w:val="center"/>
          </w:tcPr>
          <w:p w14:paraId="0CAAC51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6DD5110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62A3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44951A7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restart"/>
            <w:tcBorders>
              <w:tl2br w:val="nil"/>
              <w:tr2bl w:val="nil"/>
            </w:tcBorders>
            <w:shd w:val="clear" w:color="auto" w:fill="auto"/>
            <w:vAlign w:val="center"/>
          </w:tcPr>
          <w:p w14:paraId="63FDB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3347E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奖励</w:t>
            </w:r>
          </w:p>
          <w:p w14:paraId="4FBB8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w:t>
            </w:r>
          </w:p>
        </w:tc>
        <w:tc>
          <w:tcPr>
            <w:tcW w:w="3846" w:type="dxa"/>
            <w:gridSpan w:val="4"/>
            <w:tcBorders>
              <w:tl2br w:val="nil"/>
              <w:tr2bl w:val="nil"/>
            </w:tcBorders>
            <w:shd w:val="clear" w:color="auto" w:fill="auto"/>
            <w:vAlign w:val="center"/>
          </w:tcPr>
          <w:p w14:paraId="2FD2C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884" w:type="dxa"/>
            <w:tcBorders>
              <w:tl2br w:val="nil"/>
              <w:tr2bl w:val="nil"/>
            </w:tcBorders>
            <w:shd w:val="clear" w:color="auto" w:fill="auto"/>
            <w:vAlign w:val="center"/>
          </w:tcPr>
          <w:p w14:paraId="31B17EF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78FCE7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vAlign w:val="center"/>
          </w:tcPr>
          <w:p w14:paraId="33CAA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1138533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C0D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5599A7F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27AE70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574F0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884" w:type="dxa"/>
            <w:tcBorders>
              <w:tl2br w:val="nil"/>
              <w:tr2bl w:val="nil"/>
            </w:tcBorders>
            <w:shd w:val="clear" w:color="auto" w:fill="auto"/>
            <w:vAlign w:val="center"/>
          </w:tcPr>
          <w:p w14:paraId="060290B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057703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r>
              <w:rPr>
                <w:rFonts w:hint="eastAsia" w:ascii="宋体" w:hAnsi="宋体" w:eastAsia="宋体" w:cs="宋体"/>
                <w:i w:val="0"/>
                <w:color w:val="auto"/>
                <w:kern w:val="0"/>
                <w:sz w:val="18"/>
                <w:szCs w:val="18"/>
                <w:highlight w:val="none"/>
                <w:u w:val="none"/>
                <w:lang w:val="en-US" w:eastAsia="zh-CN" w:bidi="ar"/>
              </w:rPr>
              <w:t>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vAlign w:val="center"/>
          </w:tcPr>
          <w:p w14:paraId="49F5951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4D7DD81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66C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vAlign w:val="center"/>
          </w:tcPr>
          <w:p w14:paraId="463CF00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777" w:type="dxa"/>
            <w:vMerge w:val="continue"/>
            <w:tcBorders>
              <w:tl2br w:val="nil"/>
              <w:tr2bl w:val="nil"/>
            </w:tcBorders>
            <w:shd w:val="clear" w:color="auto" w:fill="auto"/>
            <w:vAlign w:val="center"/>
          </w:tcPr>
          <w:p w14:paraId="092C7B5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846" w:type="dxa"/>
            <w:gridSpan w:val="4"/>
            <w:tcBorders>
              <w:tl2br w:val="nil"/>
              <w:tr2bl w:val="nil"/>
            </w:tcBorders>
            <w:shd w:val="clear" w:color="auto" w:fill="auto"/>
            <w:vAlign w:val="center"/>
          </w:tcPr>
          <w:p w14:paraId="68EFE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884" w:type="dxa"/>
            <w:tcBorders>
              <w:tl2br w:val="nil"/>
              <w:tr2bl w:val="nil"/>
            </w:tcBorders>
            <w:shd w:val="clear" w:color="auto" w:fill="auto"/>
            <w:vAlign w:val="center"/>
          </w:tcPr>
          <w:p w14:paraId="7A1A550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216DE9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200</w:t>
            </w:r>
            <w:r>
              <w:rPr>
                <w:rFonts w:hint="eastAsia" w:ascii="宋体" w:hAnsi="宋体" w:eastAsia="宋体" w:cs="宋体"/>
                <w:i w:val="0"/>
                <w:color w:val="auto"/>
                <w:kern w:val="0"/>
                <w:sz w:val="20"/>
                <w:szCs w:val="20"/>
                <w:highlight w:val="none"/>
                <w:u w:val="none"/>
                <w:lang w:val="en-US" w:eastAsia="zh-CN" w:bidi="ar"/>
              </w:rPr>
              <w:t>元/㎡</w:t>
            </w:r>
          </w:p>
        </w:tc>
        <w:tc>
          <w:tcPr>
            <w:tcW w:w="509" w:type="dxa"/>
            <w:tcBorders>
              <w:tl2br w:val="nil"/>
              <w:tr2bl w:val="nil"/>
            </w:tcBorders>
            <w:shd w:val="clear" w:color="auto" w:fill="C0C0C0"/>
            <w:vAlign w:val="center"/>
          </w:tcPr>
          <w:p w14:paraId="7D44F4F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4A8B700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0F5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2" w:hRule="atLeast"/>
        </w:trPr>
        <w:tc>
          <w:tcPr>
            <w:tcW w:w="503" w:type="dxa"/>
            <w:vMerge w:val="continue"/>
            <w:tcBorders>
              <w:tl2br w:val="nil"/>
              <w:tr2bl w:val="nil"/>
            </w:tcBorders>
            <w:shd w:val="clear" w:color="auto" w:fill="auto"/>
            <w:vAlign w:val="center"/>
          </w:tcPr>
          <w:p w14:paraId="7FA957B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58197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884" w:type="dxa"/>
            <w:tcBorders>
              <w:tl2br w:val="nil"/>
              <w:tr2bl w:val="nil"/>
            </w:tcBorders>
            <w:shd w:val="clear" w:color="auto" w:fill="auto"/>
            <w:vAlign w:val="center"/>
          </w:tcPr>
          <w:p w14:paraId="7ECC97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FFFFFF"/>
            <w:vAlign w:val="center"/>
          </w:tcPr>
          <w:p w14:paraId="3BBA29D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63A3103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5FE8510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6F9F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 w:hRule="atLeast"/>
        </w:trPr>
        <w:tc>
          <w:tcPr>
            <w:tcW w:w="503" w:type="dxa"/>
            <w:vMerge w:val="continue"/>
            <w:tcBorders>
              <w:tl2br w:val="nil"/>
              <w:tr2bl w:val="nil"/>
            </w:tcBorders>
            <w:shd w:val="clear" w:color="auto" w:fill="auto"/>
            <w:vAlign w:val="center"/>
          </w:tcPr>
          <w:p w14:paraId="7D24F5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FFFFFF"/>
            <w:vAlign w:val="center"/>
          </w:tcPr>
          <w:p w14:paraId="1BBF74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884" w:type="dxa"/>
            <w:tcBorders>
              <w:tl2br w:val="nil"/>
              <w:tr2bl w:val="nil"/>
            </w:tcBorders>
            <w:shd w:val="clear" w:color="auto" w:fill="auto"/>
            <w:vAlign w:val="center"/>
          </w:tcPr>
          <w:p w14:paraId="0A8C085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7009D62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27C611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1BE2754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458A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2" w:hRule="atLeast"/>
        </w:trPr>
        <w:tc>
          <w:tcPr>
            <w:tcW w:w="503" w:type="dxa"/>
            <w:vMerge w:val="continue"/>
            <w:tcBorders>
              <w:tl2br w:val="nil"/>
              <w:tr2bl w:val="nil"/>
            </w:tcBorders>
            <w:shd w:val="clear" w:color="auto" w:fill="auto"/>
            <w:vAlign w:val="center"/>
          </w:tcPr>
          <w:p w14:paraId="1598929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6B0DC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884" w:type="dxa"/>
            <w:tcBorders>
              <w:tl2br w:val="nil"/>
              <w:tr2bl w:val="nil"/>
            </w:tcBorders>
            <w:shd w:val="clear" w:color="auto" w:fill="auto"/>
            <w:vAlign w:val="center"/>
          </w:tcPr>
          <w:p w14:paraId="688F76D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0147076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47CD22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654D15C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7530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503" w:type="dxa"/>
            <w:vMerge w:val="continue"/>
            <w:tcBorders>
              <w:tl2br w:val="nil"/>
              <w:tr2bl w:val="nil"/>
            </w:tcBorders>
            <w:shd w:val="clear" w:color="auto" w:fill="auto"/>
            <w:vAlign w:val="center"/>
          </w:tcPr>
          <w:p w14:paraId="25A89E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3C8D1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降低（升高）地段等级补差价      D</w:t>
            </w:r>
          </w:p>
        </w:tc>
        <w:tc>
          <w:tcPr>
            <w:tcW w:w="884" w:type="dxa"/>
            <w:tcBorders>
              <w:tl2br w:val="nil"/>
              <w:tr2bl w:val="nil"/>
            </w:tcBorders>
            <w:shd w:val="clear" w:color="auto" w:fill="auto"/>
            <w:vAlign w:val="center"/>
          </w:tcPr>
          <w:p w14:paraId="27D69CA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34D1766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3215F3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5BAD43E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1215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503" w:type="dxa"/>
            <w:vMerge w:val="continue"/>
            <w:tcBorders>
              <w:tl2br w:val="nil"/>
              <w:tr2bl w:val="nil"/>
            </w:tcBorders>
            <w:shd w:val="clear" w:color="auto" w:fill="auto"/>
            <w:vAlign w:val="center"/>
          </w:tcPr>
          <w:p w14:paraId="38513A9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528B9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产权调换等面积补缴款               E</w:t>
            </w:r>
          </w:p>
        </w:tc>
        <w:tc>
          <w:tcPr>
            <w:tcW w:w="884" w:type="dxa"/>
            <w:tcBorders>
              <w:tl2br w:val="nil"/>
              <w:tr2bl w:val="nil"/>
            </w:tcBorders>
            <w:shd w:val="clear" w:color="auto" w:fill="auto"/>
            <w:vAlign w:val="center"/>
          </w:tcPr>
          <w:p w14:paraId="23DF19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602039C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75DDF60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2DE6AD3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2BC6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 w:hRule="atLeast"/>
        </w:trPr>
        <w:tc>
          <w:tcPr>
            <w:tcW w:w="503" w:type="dxa"/>
            <w:vMerge w:val="continue"/>
            <w:tcBorders>
              <w:tl2br w:val="nil"/>
              <w:tr2bl w:val="nil"/>
            </w:tcBorders>
            <w:shd w:val="clear" w:color="auto" w:fill="auto"/>
            <w:vAlign w:val="center"/>
          </w:tcPr>
          <w:p w14:paraId="2FB8F94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7EF48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照顾购买面积缴款</w:t>
            </w:r>
          </w:p>
        </w:tc>
        <w:tc>
          <w:tcPr>
            <w:tcW w:w="884" w:type="dxa"/>
            <w:tcBorders>
              <w:tl2br w:val="nil"/>
              <w:tr2bl w:val="nil"/>
            </w:tcBorders>
            <w:shd w:val="clear" w:color="auto" w:fill="auto"/>
            <w:vAlign w:val="center"/>
          </w:tcPr>
          <w:p w14:paraId="3608213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4C371B9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08AB5C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309C0576">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5AB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2" w:hRule="atLeast"/>
        </w:trPr>
        <w:tc>
          <w:tcPr>
            <w:tcW w:w="503" w:type="dxa"/>
            <w:vMerge w:val="continue"/>
            <w:tcBorders>
              <w:tl2br w:val="nil"/>
              <w:tr2bl w:val="nil"/>
            </w:tcBorders>
            <w:shd w:val="clear" w:color="auto" w:fill="auto"/>
            <w:vAlign w:val="center"/>
          </w:tcPr>
          <w:p w14:paraId="4F03ED2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623" w:type="dxa"/>
            <w:gridSpan w:val="5"/>
            <w:tcBorders>
              <w:tl2br w:val="nil"/>
              <w:tr2bl w:val="nil"/>
            </w:tcBorders>
            <w:shd w:val="clear" w:color="auto" w:fill="auto"/>
            <w:vAlign w:val="center"/>
          </w:tcPr>
          <w:p w14:paraId="1B0F08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小计</w:t>
            </w:r>
          </w:p>
        </w:tc>
        <w:tc>
          <w:tcPr>
            <w:tcW w:w="884" w:type="dxa"/>
            <w:tcBorders>
              <w:tl2br w:val="nil"/>
              <w:tr2bl w:val="nil"/>
            </w:tcBorders>
            <w:shd w:val="clear" w:color="auto" w:fill="C0C0C0"/>
            <w:vAlign w:val="center"/>
          </w:tcPr>
          <w:p w14:paraId="3014838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4C3B18F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7D1968C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1126D4D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0E27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2064" w:type="dxa"/>
            <w:gridSpan w:val="3"/>
            <w:tcBorders>
              <w:tl2br w:val="nil"/>
              <w:tr2bl w:val="nil"/>
            </w:tcBorders>
            <w:shd w:val="clear" w:color="auto" w:fill="FFFFFF"/>
            <w:vAlign w:val="center"/>
          </w:tcPr>
          <w:p w14:paraId="00BBD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交房时结算的款项  F  </w:t>
            </w:r>
          </w:p>
        </w:tc>
        <w:tc>
          <w:tcPr>
            <w:tcW w:w="3062" w:type="dxa"/>
            <w:gridSpan w:val="3"/>
            <w:tcBorders>
              <w:tl2br w:val="nil"/>
              <w:tr2bl w:val="nil"/>
            </w:tcBorders>
            <w:shd w:val="clear" w:color="auto" w:fill="FFFFFF"/>
            <w:vAlign w:val="center"/>
          </w:tcPr>
          <w:p w14:paraId="0B287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交房时面积误差产生的款</w:t>
            </w:r>
          </w:p>
        </w:tc>
        <w:tc>
          <w:tcPr>
            <w:tcW w:w="884" w:type="dxa"/>
            <w:tcBorders>
              <w:tl2br w:val="nil"/>
              <w:tr2bl w:val="nil"/>
            </w:tcBorders>
            <w:shd w:val="clear" w:color="auto" w:fill="auto"/>
            <w:vAlign w:val="center"/>
          </w:tcPr>
          <w:p w14:paraId="1C35502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auto"/>
            <w:vAlign w:val="center"/>
          </w:tcPr>
          <w:p w14:paraId="5CA34BE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05F61BE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30" w:type="dxa"/>
            <w:tcBorders>
              <w:tl2br w:val="nil"/>
              <w:tr2bl w:val="nil"/>
            </w:tcBorders>
            <w:vAlign w:val="center"/>
          </w:tcPr>
          <w:p w14:paraId="58B8D9B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4"/>
                <w:szCs w:val="24"/>
                <w:highlight w:val="none"/>
                <w:u w:val="none"/>
              </w:rPr>
            </w:pPr>
          </w:p>
        </w:tc>
      </w:tr>
      <w:tr w14:paraId="5A79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5126" w:type="dxa"/>
            <w:gridSpan w:val="6"/>
            <w:tcBorders>
              <w:tl2br w:val="nil"/>
              <w:tr2bl w:val="nil"/>
            </w:tcBorders>
            <w:shd w:val="clear" w:color="auto" w:fill="auto"/>
            <w:vAlign w:val="center"/>
          </w:tcPr>
          <w:p w14:paraId="449DC8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合计                  </w:t>
            </w:r>
          </w:p>
        </w:tc>
        <w:tc>
          <w:tcPr>
            <w:tcW w:w="884" w:type="dxa"/>
            <w:tcBorders>
              <w:tl2br w:val="nil"/>
              <w:tr2bl w:val="nil"/>
            </w:tcBorders>
            <w:shd w:val="clear" w:color="auto" w:fill="C0C0C0"/>
            <w:vAlign w:val="center"/>
          </w:tcPr>
          <w:p w14:paraId="7A221CB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711" w:type="dxa"/>
            <w:tcBorders>
              <w:tl2br w:val="nil"/>
              <w:tr2bl w:val="nil"/>
            </w:tcBorders>
            <w:shd w:val="clear" w:color="auto" w:fill="C0C0C0"/>
            <w:vAlign w:val="center"/>
          </w:tcPr>
          <w:p w14:paraId="155535E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509" w:type="dxa"/>
            <w:tcBorders>
              <w:tl2br w:val="nil"/>
              <w:tr2bl w:val="nil"/>
            </w:tcBorders>
            <w:shd w:val="clear" w:color="auto" w:fill="C0C0C0"/>
            <w:vAlign w:val="center"/>
          </w:tcPr>
          <w:p w14:paraId="40D95CA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18"/>
                <w:szCs w:val="18"/>
                <w:highlight w:val="none"/>
                <w:u w:val="none"/>
              </w:rPr>
            </w:pPr>
          </w:p>
        </w:tc>
        <w:tc>
          <w:tcPr>
            <w:tcW w:w="1130" w:type="dxa"/>
            <w:tcBorders>
              <w:tl2br w:val="nil"/>
              <w:tr2bl w:val="nil"/>
            </w:tcBorders>
            <w:vAlign w:val="center"/>
          </w:tcPr>
          <w:p w14:paraId="079B4F54">
            <w:pPr>
              <w:keepNext w:val="0"/>
              <w:keepLines w:val="0"/>
              <w:suppressLineNumbers w:val="0"/>
              <w:spacing w:before="0" w:beforeAutospacing="0" w:after="0" w:afterAutospacing="0"/>
              <w:ind w:left="0" w:leftChars="0" w:right="0" w:rightChars="0"/>
              <w:jc w:val="left"/>
              <w:rPr>
                <w:rFonts w:hint="eastAsia" w:ascii="宋体" w:hAnsi="宋体" w:eastAsia="宋体" w:cs="宋体"/>
                <w:i w:val="0"/>
                <w:color w:val="auto"/>
                <w:sz w:val="24"/>
                <w:szCs w:val="24"/>
                <w:highlight w:val="none"/>
                <w:u w:val="none"/>
              </w:rPr>
            </w:pPr>
          </w:p>
        </w:tc>
      </w:tr>
    </w:tbl>
    <w:tbl>
      <w:tblPr>
        <w:tblStyle w:val="5"/>
        <w:tblpPr w:leftFromText="180" w:rightFromText="180" w:vertAnchor="text" w:horzAnchor="page" w:tblpX="1437" w:tblpY="446"/>
        <w:tblOverlap w:val="never"/>
        <w:tblW w:w="9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699"/>
        <w:gridCol w:w="1348"/>
        <w:gridCol w:w="1006"/>
        <w:gridCol w:w="1"/>
        <w:gridCol w:w="1"/>
        <w:gridCol w:w="1785"/>
        <w:gridCol w:w="645"/>
        <w:gridCol w:w="1916"/>
        <w:gridCol w:w="484"/>
        <w:gridCol w:w="885"/>
      </w:tblGrid>
      <w:tr w14:paraId="1534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7" w:hRule="atLeast"/>
        </w:trPr>
        <w:tc>
          <w:tcPr>
            <w:tcW w:w="9370" w:type="dxa"/>
            <w:gridSpan w:val="11"/>
            <w:tcBorders>
              <w:top w:val="single" w:color="000000" w:sz="4" w:space="0"/>
              <w:left w:val="single" w:color="000000" w:sz="4" w:space="0"/>
              <w:bottom w:val="single" w:color="000000" w:sz="4" w:space="0"/>
              <w:right w:val="single" w:color="000000" w:sz="4" w:space="0"/>
            </w:tcBorders>
            <w:vAlign w:val="center"/>
          </w:tcPr>
          <w:p w14:paraId="2BB95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房屋征收补偿结果计算表(部分产权调换与部分货币补偿)</w:t>
            </w:r>
          </w:p>
        </w:tc>
      </w:tr>
      <w:tr w14:paraId="06B2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299" w:type="dxa"/>
            <w:gridSpan w:val="2"/>
            <w:tcBorders>
              <w:top w:val="single" w:color="000000" w:sz="4" w:space="0"/>
              <w:left w:val="single" w:color="000000" w:sz="4" w:space="0"/>
              <w:bottom w:val="single" w:color="000000" w:sz="4" w:space="0"/>
              <w:right w:val="single" w:color="000000" w:sz="4" w:space="0"/>
            </w:tcBorders>
            <w:vAlign w:val="center"/>
          </w:tcPr>
          <w:p w14:paraId="42950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款项</w:t>
            </w:r>
          </w:p>
        </w:tc>
        <w:tc>
          <w:tcPr>
            <w:tcW w:w="4141" w:type="dxa"/>
            <w:gridSpan w:val="5"/>
            <w:tcBorders>
              <w:top w:val="single" w:color="000000" w:sz="4" w:space="0"/>
              <w:left w:val="single" w:color="000000" w:sz="4" w:space="0"/>
              <w:bottom w:val="single" w:color="000000" w:sz="4" w:space="0"/>
              <w:right w:val="single" w:color="000000" w:sz="4" w:space="0"/>
            </w:tcBorders>
            <w:vAlign w:val="center"/>
          </w:tcPr>
          <w:p w14:paraId="5D5F0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w:t>
            </w:r>
          </w:p>
        </w:tc>
        <w:tc>
          <w:tcPr>
            <w:tcW w:w="645" w:type="dxa"/>
            <w:tcBorders>
              <w:top w:val="single" w:color="000000" w:sz="4" w:space="0"/>
              <w:left w:val="single" w:color="000000" w:sz="4" w:space="0"/>
              <w:bottom w:val="single" w:color="000000" w:sz="4" w:space="0"/>
              <w:right w:val="single" w:color="000000" w:sz="4" w:space="0"/>
            </w:tcBorders>
            <w:vAlign w:val="center"/>
          </w:tcPr>
          <w:p w14:paraId="23617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面积</w:t>
            </w:r>
          </w:p>
          <w:p w14:paraId="144B2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916" w:type="dxa"/>
            <w:tcBorders>
              <w:top w:val="single" w:color="000000" w:sz="4" w:space="0"/>
              <w:left w:val="single" w:color="000000" w:sz="4" w:space="0"/>
              <w:bottom w:val="single" w:color="000000" w:sz="4" w:space="0"/>
              <w:right w:val="single" w:color="000000" w:sz="4" w:space="0"/>
            </w:tcBorders>
            <w:vAlign w:val="center"/>
          </w:tcPr>
          <w:p w14:paraId="14E6E9D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单价</w:t>
            </w:r>
          </w:p>
        </w:tc>
        <w:tc>
          <w:tcPr>
            <w:tcW w:w="484" w:type="dxa"/>
            <w:tcBorders>
              <w:top w:val="single" w:color="000000" w:sz="4" w:space="0"/>
              <w:left w:val="single" w:color="000000" w:sz="4" w:space="0"/>
              <w:bottom w:val="single" w:color="000000" w:sz="4" w:space="0"/>
              <w:right w:val="single" w:color="000000" w:sz="4" w:space="0"/>
            </w:tcBorders>
            <w:vAlign w:val="center"/>
          </w:tcPr>
          <w:p w14:paraId="388ABF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系数</w:t>
            </w:r>
          </w:p>
        </w:tc>
        <w:tc>
          <w:tcPr>
            <w:tcW w:w="885" w:type="dxa"/>
            <w:tcBorders>
              <w:top w:val="single" w:color="000000" w:sz="4" w:space="0"/>
              <w:left w:val="single" w:color="000000" w:sz="4" w:space="0"/>
              <w:bottom w:val="single" w:color="000000" w:sz="4" w:space="0"/>
              <w:right w:val="single" w:color="000000" w:sz="4" w:space="0"/>
            </w:tcBorders>
            <w:vAlign w:val="center"/>
          </w:tcPr>
          <w:p w14:paraId="30207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金额</w:t>
            </w:r>
          </w:p>
          <w:p w14:paraId="691678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r>
      <w:tr w14:paraId="6709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7E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选房时结算的款项</w:t>
            </w: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0D648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7BC70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补助</w:t>
            </w:r>
          </w:p>
        </w:tc>
        <w:tc>
          <w:tcPr>
            <w:tcW w:w="235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140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搬迁补助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6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95A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D8802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15元/㎡</w:t>
            </w:r>
          </w:p>
        </w:tc>
        <w:tc>
          <w:tcPr>
            <w:tcW w:w="484" w:type="dxa"/>
            <w:tcBorders>
              <w:top w:val="single" w:color="000000" w:sz="4" w:space="0"/>
              <w:bottom w:val="single" w:color="000000" w:sz="4" w:space="0"/>
              <w:right w:val="single" w:color="000000" w:sz="4" w:space="0"/>
            </w:tcBorders>
            <w:shd w:val="clear" w:color="auto" w:fill="C0C0C0"/>
            <w:vAlign w:val="center"/>
          </w:tcPr>
          <w:p w14:paraId="283F241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left w:val="single" w:color="000000" w:sz="4" w:space="0"/>
              <w:bottom w:val="single" w:color="000000" w:sz="4" w:space="0"/>
              <w:right w:val="single" w:color="000000" w:sz="4" w:space="0"/>
            </w:tcBorders>
            <w:vAlign w:val="center"/>
          </w:tcPr>
          <w:p w14:paraId="0E2A62E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7E65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5B8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054C244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8CAA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E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a</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6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BE4C2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15元/㎡</w:t>
            </w:r>
          </w:p>
        </w:tc>
        <w:tc>
          <w:tcPr>
            <w:tcW w:w="484" w:type="dxa"/>
            <w:tcBorders>
              <w:top w:val="single" w:color="000000" w:sz="4" w:space="0"/>
              <w:bottom w:val="single" w:color="000000" w:sz="4" w:space="0"/>
              <w:right w:val="single" w:color="000000" w:sz="4" w:space="0"/>
            </w:tcBorders>
            <w:shd w:val="clear" w:color="auto" w:fill="C0C0C0"/>
            <w:vAlign w:val="center"/>
          </w:tcPr>
          <w:p w14:paraId="0979BA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885" w:type="dxa"/>
            <w:tcBorders>
              <w:left w:val="single" w:color="000000" w:sz="4" w:space="0"/>
              <w:bottom w:val="single" w:color="000000" w:sz="4" w:space="0"/>
              <w:right w:val="single" w:color="000000" w:sz="4" w:space="0"/>
            </w:tcBorders>
            <w:vAlign w:val="center"/>
          </w:tcPr>
          <w:p w14:paraId="76A603C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5BC5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8020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282FFF9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restart"/>
            <w:tcBorders>
              <w:top w:val="single" w:color="000000" w:sz="4" w:space="0"/>
              <w:left w:val="single" w:color="000000" w:sz="4" w:space="0"/>
              <w:bottom w:val="single" w:color="000000" w:sz="4" w:space="0"/>
            </w:tcBorders>
            <w:shd w:val="clear" w:color="auto" w:fill="auto"/>
            <w:vAlign w:val="center"/>
          </w:tcPr>
          <w:p w14:paraId="26A93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临时过渡补助</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0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69D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74858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10元/㎡/</w:t>
            </w:r>
            <w:r>
              <w:rPr>
                <w:rFonts w:hint="eastAsia" w:ascii="宋体" w:hAnsi="宋体" w:cs="宋体"/>
                <w:i w:val="0"/>
                <w:color w:val="auto"/>
                <w:kern w:val="0"/>
                <w:sz w:val="20"/>
                <w:szCs w:val="20"/>
                <w:highlight w:val="none"/>
                <w:u w:val="none"/>
                <w:lang w:val="en-US" w:eastAsia="zh-CN" w:bidi="ar"/>
              </w:rPr>
              <w:t>月</w:t>
            </w:r>
          </w:p>
        </w:tc>
        <w:tc>
          <w:tcPr>
            <w:tcW w:w="484" w:type="dxa"/>
            <w:tcBorders>
              <w:top w:val="single" w:color="000000" w:sz="4" w:space="0"/>
              <w:bottom w:val="single" w:color="000000" w:sz="4" w:space="0"/>
              <w:right w:val="single" w:color="000000" w:sz="4" w:space="0"/>
            </w:tcBorders>
            <w:shd w:val="clear" w:color="auto" w:fill="C0C0C0"/>
            <w:vAlign w:val="center"/>
          </w:tcPr>
          <w:p w14:paraId="6F7AA7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885" w:type="dxa"/>
            <w:tcBorders>
              <w:left w:val="single" w:color="000000" w:sz="4" w:space="0"/>
              <w:bottom w:val="single" w:color="000000" w:sz="4" w:space="0"/>
              <w:right w:val="single" w:color="000000" w:sz="4" w:space="0"/>
            </w:tcBorders>
            <w:vAlign w:val="center"/>
          </w:tcPr>
          <w:p w14:paraId="627F4F2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5D50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A18B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018A43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6" w:type="dxa"/>
            <w:gridSpan w:val="4"/>
            <w:vMerge w:val="continue"/>
            <w:tcBorders>
              <w:top w:val="single" w:color="000000" w:sz="4" w:space="0"/>
              <w:left w:val="single" w:color="000000" w:sz="4" w:space="0"/>
              <w:bottom w:val="single" w:color="000000" w:sz="4" w:space="0"/>
            </w:tcBorders>
            <w:shd w:val="clear" w:color="auto" w:fill="auto"/>
            <w:vAlign w:val="center"/>
          </w:tcPr>
          <w:p w14:paraId="52EE42D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B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b</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D7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C32BA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10元/㎡/</w:t>
            </w:r>
            <w:r>
              <w:rPr>
                <w:rFonts w:hint="eastAsia" w:ascii="宋体" w:hAnsi="宋体" w:cs="宋体"/>
                <w:i w:val="0"/>
                <w:color w:val="auto"/>
                <w:kern w:val="0"/>
                <w:sz w:val="20"/>
                <w:szCs w:val="20"/>
                <w:highlight w:val="none"/>
                <w:u w:val="none"/>
                <w:lang w:val="en-US" w:eastAsia="zh-CN" w:bidi="ar"/>
              </w:rPr>
              <w:t>月</w:t>
            </w:r>
          </w:p>
        </w:tc>
        <w:tc>
          <w:tcPr>
            <w:tcW w:w="484" w:type="dxa"/>
            <w:tcBorders>
              <w:top w:val="single" w:color="000000" w:sz="4" w:space="0"/>
              <w:bottom w:val="single" w:color="000000" w:sz="4" w:space="0"/>
              <w:right w:val="single" w:color="000000" w:sz="4" w:space="0"/>
            </w:tcBorders>
            <w:shd w:val="clear" w:color="auto" w:fill="FFFFFF"/>
            <w:vAlign w:val="center"/>
          </w:tcPr>
          <w:p w14:paraId="1DC10FD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left w:val="single" w:color="000000" w:sz="4" w:space="0"/>
              <w:bottom w:val="single" w:color="000000" w:sz="4" w:space="0"/>
              <w:right w:val="single" w:color="000000" w:sz="4" w:space="0"/>
            </w:tcBorders>
            <w:vAlign w:val="center"/>
          </w:tcPr>
          <w:p w14:paraId="5ABDAD8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1606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F585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407C5EC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E5D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低保户/五保户/孤寡老人补助       C</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78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AD4EAF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30000</w:t>
            </w:r>
            <w:r>
              <w:rPr>
                <w:rFonts w:hint="eastAsia" w:ascii="宋体" w:hAnsi="宋体" w:cs="宋体"/>
                <w:i w:val="0"/>
                <w:color w:val="auto"/>
                <w:kern w:val="0"/>
                <w:sz w:val="20"/>
                <w:szCs w:val="20"/>
                <w:highlight w:val="none"/>
                <w:u w:val="none"/>
                <w:lang w:val="en-US" w:eastAsia="zh-CN" w:bidi="ar"/>
              </w:rPr>
              <w:t>元/户</w:t>
            </w:r>
          </w:p>
        </w:tc>
        <w:tc>
          <w:tcPr>
            <w:tcW w:w="484" w:type="dxa"/>
            <w:tcBorders>
              <w:top w:val="single" w:color="000000" w:sz="4" w:space="0"/>
              <w:bottom w:val="single" w:color="000000" w:sz="4" w:space="0"/>
              <w:right w:val="single" w:color="000000" w:sz="4" w:space="0"/>
            </w:tcBorders>
            <w:shd w:val="clear" w:color="auto" w:fill="C0C0C0"/>
            <w:vAlign w:val="center"/>
          </w:tcPr>
          <w:p w14:paraId="68D1C21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left w:val="single" w:color="000000" w:sz="4" w:space="0"/>
              <w:bottom w:val="single" w:color="000000" w:sz="4" w:space="0"/>
              <w:right w:val="single" w:color="000000" w:sz="4" w:space="0"/>
            </w:tcBorders>
            <w:vAlign w:val="center"/>
          </w:tcPr>
          <w:p w14:paraId="45389E9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0CD2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377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1DE9D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4D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认定补偿安置建筑占地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04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货币补偿部分   D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A81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129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vAlign w:val="center"/>
          </w:tcPr>
          <w:p w14:paraId="2FDD105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57B662C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49C0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96C0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3FF990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4C7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06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产权调换部分   d</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B1C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766C19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vAlign w:val="center"/>
          </w:tcPr>
          <w:p w14:paraId="4919EBB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12B24D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14BAD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568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409615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tcBorders>
            <w:shd w:val="clear" w:color="auto" w:fill="auto"/>
            <w:vAlign w:val="center"/>
          </w:tcPr>
          <w:p w14:paraId="22490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认定不予补偿安置</w:t>
            </w:r>
          </w:p>
          <w:p w14:paraId="74C23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建筑占地(l)</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1AE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91F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8C9E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64.5元/㎡</w:t>
            </w:r>
          </w:p>
          <w:p w14:paraId="146B5AE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46DE9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010CC39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9E8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01BE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6D4D939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tcBorders>
            <w:shd w:val="clear" w:color="auto" w:fill="auto"/>
            <w:vAlign w:val="center"/>
          </w:tcPr>
          <w:p w14:paraId="545A9F5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2C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58D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B9D5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210元/㎡</w:t>
            </w:r>
          </w:p>
          <w:p w14:paraId="5DA19C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AB883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1D8BE41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1874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496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18556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埕空地补偿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D3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确权的埕空地</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A5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出让</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6AA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AD6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0B552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7697510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0B5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F752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3CA7F58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2DBB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D16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划拨及集体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A4D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410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3D2B2A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vAlign w:val="center"/>
          </w:tcPr>
          <w:p w14:paraId="0034249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0922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A85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3C2B2F8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D4F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清理手续的埕空地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0B6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EEA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8A754A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vAlign w:val="center"/>
          </w:tcPr>
          <w:p w14:paraId="71A3977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6FEF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DD8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7B529B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84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无手续的埕空地  </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F4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补偿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10B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861F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64.5元/㎡</w:t>
            </w:r>
          </w:p>
          <w:p w14:paraId="400ED2B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8AB5A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3E06AF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2FF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CE71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420AD1E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C66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A5A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3E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1681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210元/㎡</w:t>
            </w:r>
          </w:p>
          <w:p w14:paraId="3D81765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r>
              <w:rPr>
                <w:rFonts w:hint="eastAsia" w:ascii="宋体" w:hAnsi="宋体" w:eastAsia="宋体" w:cs="宋体"/>
                <w:i w:val="0"/>
                <w:color w:val="auto"/>
                <w:kern w:val="0"/>
                <w:sz w:val="18"/>
                <w:szCs w:val="18"/>
                <w:highlight w:val="none"/>
                <w:u w:val="none"/>
                <w:lang w:val="en-US" w:eastAsia="zh-CN" w:bidi="ar"/>
              </w:rPr>
              <w:t>万</w:t>
            </w:r>
            <w:r>
              <w:rPr>
                <w:rFonts w:hint="eastAsia" w:ascii="宋体" w:hAnsi="宋体" w:eastAsia="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亩</w:t>
            </w:r>
            <w:r>
              <w:rPr>
                <w:rFonts w:hint="eastAsia" w:ascii="宋体" w:hAnsi="宋体" w:eastAsia="宋体" w:cs="宋体"/>
                <w:i w:val="0"/>
                <w:color w:val="auto"/>
                <w:kern w:val="0"/>
                <w:sz w:val="20"/>
                <w:szCs w:val="20"/>
                <w:highlight w:val="none"/>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25181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3E8DD8C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D0A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6D2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782A4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建筑物补偿</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340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认定补偿安置面积的重置价</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B6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76B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DEB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bottom w:val="single" w:color="000000" w:sz="4" w:space="0"/>
              <w:right w:val="single" w:color="000000" w:sz="4" w:space="0"/>
            </w:tcBorders>
            <w:shd w:val="clear" w:color="auto" w:fill="FFFFFF"/>
            <w:vAlign w:val="center"/>
          </w:tcPr>
          <w:p w14:paraId="023A4E2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0564D4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D16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FD0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222C3DC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D23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F7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e</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028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68C31D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87388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B8B806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6DB0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448AFEF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36E827B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tcBorders>
              <w:top w:val="single" w:color="000000" w:sz="4" w:space="0"/>
              <w:left w:val="single" w:color="000000" w:sz="4" w:space="0"/>
              <w:bottom w:val="single" w:color="000000" w:sz="4" w:space="0"/>
              <w:right w:val="single" w:color="000000" w:sz="4" w:space="0"/>
            </w:tcBorders>
            <w:vAlign w:val="center"/>
          </w:tcPr>
          <w:p w14:paraId="77F8D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认定不予补偿安置面积的重置价       (m)</w:t>
            </w:r>
          </w:p>
        </w:tc>
        <w:tc>
          <w:tcPr>
            <w:tcW w:w="645" w:type="dxa"/>
            <w:tcBorders>
              <w:top w:val="single" w:color="000000" w:sz="4" w:space="0"/>
              <w:left w:val="single" w:color="000000" w:sz="4" w:space="0"/>
              <w:bottom w:val="single" w:color="000000" w:sz="4" w:space="0"/>
              <w:right w:val="single" w:color="000000" w:sz="4" w:space="0"/>
            </w:tcBorders>
            <w:vAlign w:val="center"/>
          </w:tcPr>
          <w:p w14:paraId="58FB7D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484FD77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0847C88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7790CDA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0EB6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41383E1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1A2CBAB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18A34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 xml:space="preserve"> 认定补偿安置面积</w:t>
            </w:r>
          </w:p>
          <w:p w14:paraId="67BC7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的二次装修 </w:t>
            </w:r>
          </w:p>
        </w:tc>
        <w:tc>
          <w:tcPr>
            <w:tcW w:w="1786" w:type="dxa"/>
            <w:gridSpan w:val="2"/>
            <w:tcBorders>
              <w:top w:val="single" w:color="000000" w:sz="4" w:space="0"/>
              <w:left w:val="single" w:color="000000" w:sz="4" w:space="0"/>
              <w:bottom w:val="single" w:color="000000" w:sz="4" w:space="0"/>
              <w:right w:val="single" w:color="000000" w:sz="4" w:space="0"/>
            </w:tcBorders>
            <w:vAlign w:val="center"/>
          </w:tcPr>
          <w:p w14:paraId="4B2ED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F</w:t>
            </w:r>
          </w:p>
        </w:tc>
        <w:tc>
          <w:tcPr>
            <w:tcW w:w="645" w:type="dxa"/>
            <w:tcBorders>
              <w:top w:val="single" w:color="000000" w:sz="4" w:space="0"/>
              <w:left w:val="single" w:color="000000" w:sz="4" w:space="0"/>
              <w:bottom w:val="single" w:color="000000" w:sz="4" w:space="0"/>
              <w:right w:val="single" w:color="000000" w:sz="4" w:space="0"/>
            </w:tcBorders>
            <w:vAlign w:val="center"/>
          </w:tcPr>
          <w:p w14:paraId="1D8C8BD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5A854B2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3D5A674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0A3FD5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4A3A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08F4923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61D5EE8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6453454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vAlign w:val="center"/>
          </w:tcPr>
          <w:p w14:paraId="34702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f</w:t>
            </w:r>
          </w:p>
        </w:tc>
        <w:tc>
          <w:tcPr>
            <w:tcW w:w="645" w:type="dxa"/>
            <w:tcBorders>
              <w:top w:val="single" w:color="000000" w:sz="4" w:space="0"/>
              <w:left w:val="single" w:color="000000" w:sz="4" w:space="0"/>
              <w:bottom w:val="single" w:color="000000" w:sz="4" w:space="0"/>
              <w:right w:val="single" w:color="000000" w:sz="4" w:space="0"/>
            </w:tcBorders>
            <w:vAlign w:val="center"/>
          </w:tcPr>
          <w:p w14:paraId="6496939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06FDC94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6B8A55B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5D667B6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2F8A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11090DF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0E97C35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restart"/>
            <w:tcBorders>
              <w:top w:val="single" w:color="000000" w:sz="4" w:space="0"/>
              <w:left w:val="single" w:color="000000" w:sz="4" w:space="0"/>
              <w:bottom w:val="single" w:color="000000" w:sz="4" w:space="0"/>
              <w:right w:val="single" w:color="000000" w:sz="4" w:space="0"/>
            </w:tcBorders>
            <w:vAlign w:val="center"/>
          </w:tcPr>
          <w:p w14:paraId="105A6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认定不予补偿安置面积的二次装修      (n)</w:t>
            </w:r>
          </w:p>
        </w:tc>
        <w:tc>
          <w:tcPr>
            <w:tcW w:w="645" w:type="dxa"/>
            <w:tcBorders>
              <w:top w:val="single" w:color="000000" w:sz="4" w:space="0"/>
              <w:left w:val="single" w:color="000000" w:sz="4" w:space="0"/>
              <w:bottom w:val="single" w:color="000000" w:sz="4" w:space="0"/>
              <w:right w:val="single" w:color="000000" w:sz="4" w:space="0"/>
            </w:tcBorders>
            <w:vAlign w:val="center"/>
          </w:tcPr>
          <w:p w14:paraId="6A8E00A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329D02B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5C5274B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1564426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44E2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2" w:hRule="atLeast"/>
        </w:trPr>
        <w:tc>
          <w:tcPr>
            <w:tcW w:w="600" w:type="dxa"/>
            <w:vMerge w:val="continue"/>
            <w:tcBorders>
              <w:top w:val="single" w:color="000000" w:sz="4" w:space="0"/>
              <w:left w:val="single" w:color="000000" w:sz="4" w:space="0"/>
              <w:bottom w:val="single" w:color="000000" w:sz="4" w:space="0"/>
              <w:right w:val="single" w:color="000000" w:sz="4" w:space="0"/>
            </w:tcBorders>
            <w:vAlign w:val="center"/>
          </w:tcPr>
          <w:p w14:paraId="50B0FB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vAlign w:val="center"/>
          </w:tcPr>
          <w:p w14:paraId="59B06B0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141"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49FD6FB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B6BEE8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vAlign w:val="center"/>
          </w:tcPr>
          <w:p w14:paraId="3CB798E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60156E5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62C52B9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74FE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844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restart"/>
            <w:tcBorders>
              <w:top w:val="single" w:color="000000" w:sz="4" w:space="0"/>
              <w:bottom w:val="single" w:color="000000" w:sz="4" w:space="0"/>
              <w:right w:val="single" w:color="000000" w:sz="4" w:space="0"/>
            </w:tcBorders>
            <w:shd w:val="clear" w:color="auto" w:fill="auto"/>
            <w:vAlign w:val="center"/>
          </w:tcPr>
          <w:p w14:paraId="5D519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各项</w:t>
            </w:r>
          </w:p>
          <w:p w14:paraId="16255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奖励</w:t>
            </w: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89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按时签约奖励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02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B7F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8BAFD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3B17B2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71645A3E">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5F1D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E20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1228824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C5BD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BD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g</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E5C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CD604D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9DEB7E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74398B5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478E2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ECA9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2B11F41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6E5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自行</w:t>
            </w:r>
            <w:r>
              <w:rPr>
                <w:rFonts w:hint="eastAsia" w:ascii="宋体" w:hAnsi="宋体" w:eastAsia="宋体" w:cs="宋体"/>
                <w:i w:val="0"/>
                <w:color w:val="auto"/>
                <w:kern w:val="0"/>
                <w:sz w:val="20"/>
                <w:szCs w:val="20"/>
                <w:highlight w:val="none"/>
                <w:u w:val="none"/>
                <w:lang w:val="en-US" w:eastAsia="zh-CN" w:bidi="ar"/>
              </w:rPr>
              <w:t>封房</w:t>
            </w:r>
            <w:r>
              <w:rPr>
                <w:rFonts w:hint="eastAsia" w:ascii="宋体" w:hAnsi="宋体" w:cs="宋体"/>
                <w:i w:val="0"/>
                <w:color w:val="auto"/>
                <w:kern w:val="0"/>
                <w:sz w:val="20"/>
                <w:szCs w:val="20"/>
                <w:highlight w:val="none"/>
                <w:u w:val="none"/>
                <w:lang w:val="en-US" w:eastAsia="zh-CN" w:bidi="ar"/>
              </w:rPr>
              <w:t>交拆</w:t>
            </w:r>
            <w:r>
              <w:rPr>
                <w:rFonts w:hint="eastAsia" w:ascii="宋体" w:hAnsi="宋体" w:eastAsia="宋体" w:cs="宋体"/>
                <w:i w:val="0"/>
                <w:color w:val="auto"/>
                <w:kern w:val="0"/>
                <w:sz w:val="20"/>
                <w:szCs w:val="20"/>
                <w:highlight w:val="none"/>
                <w:u w:val="none"/>
                <w:lang w:val="en-US" w:eastAsia="zh-CN" w:bidi="ar"/>
              </w:rPr>
              <w:t>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A9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699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570C3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534E06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7A88628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1ADF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9907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68B1B56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7308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E6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h</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06C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771F6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4</w:t>
            </w:r>
            <w:r>
              <w:rPr>
                <w:rFonts w:hint="eastAsia" w:ascii="宋体" w:hAnsi="宋体" w:eastAsia="宋体" w:cs="宋体"/>
                <w:i w:val="0"/>
                <w:color w:val="auto"/>
                <w:kern w:val="0"/>
                <w:sz w:val="20"/>
                <w:szCs w:val="20"/>
                <w:highlight w:val="none"/>
                <w:u w:val="none"/>
                <w:lang w:val="en-US" w:eastAsia="zh-CN" w:bidi="ar"/>
              </w:rPr>
              <w:t>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9D3828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4D141BE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5697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4EDB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6946CE5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26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自行过渡奖励</w:t>
            </w: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C6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货币补偿部分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9F5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48D6F6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E5C9D0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48228B0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C7C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3726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99" w:type="dxa"/>
            <w:vMerge w:val="continue"/>
            <w:tcBorders>
              <w:top w:val="single" w:color="000000" w:sz="4" w:space="0"/>
              <w:bottom w:val="single" w:color="000000" w:sz="4" w:space="0"/>
              <w:right w:val="single" w:color="000000" w:sz="4" w:space="0"/>
            </w:tcBorders>
            <w:shd w:val="clear" w:color="auto" w:fill="auto"/>
            <w:vAlign w:val="center"/>
          </w:tcPr>
          <w:p w14:paraId="1266764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23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29D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71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产权调换部分   i</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3C9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53769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200元/㎡</w:t>
            </w: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0E64F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9F1262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7567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247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restart"/>
            <w:tcBorders>
              <w:top w:val="single" w:color="000000" w:sz="4" w:space="0"/>
              <w:bottom w:val="single" w:color="000000" w:sz="4" w:space="0"/>
              <w:right w:val="single" w:color="000000" w:sz="4" w:space="0"/>
            </w:tcBorders>
            <w:shd w:val="clear" w:color="auto" w:fill="auto"/>
            <w:vAlign w:val="center"/>
          </w:tcPr>
          <w:p w14:paraId="00141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放弃产权调换安置的补差                   </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C7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认定补偿安置面积选择货币补偿部分J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C0E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2A1E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59A35F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FB2A2E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561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835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4" w:type="dxa"/>
            <w:gridSpan w:val="4"/>
            <w:vMerge w:val="continue"/>
            <w:tcBorders>
              <w:top w:val="single" w:color="000000" w:sz="4" w:space="0"/>
              <w:bottom w:val="single" w:color="000000" w:sz="4" w:space="0"/>
              <w:right w:val="single" w:color="000000" w:sz="4" w:space="0"/>
            </w:tcBorders>
            <w:shd w:val="clear" w:color="auto" w:fill="auto"/>
            <w:vAlign w:val="center"/>
          </w:tcPr>
          <w:p w14:paraId="3F04324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15CF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3EE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E733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164F2C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2A50651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5F8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7BF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2B696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公摊面积奖励</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AE5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0334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A88C9F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69063D4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63F50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A96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FFFFFF"/>
            <w:vAlign w:val="center"/>
          </w:tcPr>
          <w:p w14:paraId="4A0F9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店面补助</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3331">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70FB">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EE2AA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55DC9B8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0FBC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A398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1C206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附属物补偿（详表</w:t>
            </w:r>
            <w:r>
              <w:rPr>
                <w:rFonts w:hint="eastAsia" w:ascii="宋体" w:hAnsi="宋体" w:cs="宋体"/>
                <w:i w:val="0"/>
                <w:color w:val="auto"/>
                <w:kern w:val="0"/>
                <w:sz w:val="20"/>
                <w:szCs w:val="20"/>
                <w:highlight w:val="none"/>
                <w:u w:val="none"/>
                <w:lang w:val="en-US" w:eastAsia="zh-CN" w:bidi="ar"/>
              </w:rPr>
              <w:t>六</w:t>
            </w:r>
            <w:r>
              <w:rPr>
                <w:rFonts w:hint="eastAsia" w:ascii="宋体" w:hAnsi="宋体" w:eastAsia="宋体" w:cs="宋体"/>
                <w:i w:val="0"/>
                <w:color w:val="auto"/>
                <w:kern w:val="0"/>
                <w:sz w:val="20"/>
                <w:szCs w:val="20"/>
                <w:highlight w:val="none"/>
                <w:u w:val="none"/>
                <w:lang w:val="en-US" w:eastAsia="zh-CN" w:bidi="ar"/>
              </w:rPr>
              <w:t xml:space="preserve">）        </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E6D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DD1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2842F8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51EEA57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C824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A7F4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vAlign w:val="center"/>
          </w:tcPr>
          <w:p w14:paraId="7AFB0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降低（升高）地段等级补差价</w:t>
            </w:r>
          </w:p>
        </w:tc>
        <w:tc>
          <w:tcPr>
            <w:tcW w:w="17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A6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认定补偿安置面积选择产权调换部分j</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003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1263">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CA7D44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1F954BA7">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5014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B8AA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3053" w:type="dxa"/>
            <w:gridSpan w:val="3"/>
            <w:tcBorders>
              <w:top w:val="single" w:color="000000" w:sz="4" w:space="0"/>
              <w:bottom w:val="single" w:color="000000" w:sz="4" w:space="0"/>
              <w:right w:val="single" w:color="000000" w:sz="4" w:space="0"/>
            </w:tcBorders>
            <w:shd w:val="clear" w:color="auto" w:fill="auto"/>
            <w:vAlign w:val="center"/>
          </w:tcPr>
          <w:p w14:paraId="0A21E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产权调换等面积补缴款</w:t>
            </w:r>
          </w:p>
        </w:tc>
        <w:tc>
          <w:tcPr>
            <w:tcW w:w="17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FCE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1EC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959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0482E2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188D8EF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3B4C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A73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01C9C6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照顾购买面积缴款</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CB1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6D05">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7BF322A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vAlign w:val="center"/>
          </w:tcPr>
          <w:p w14:paraId="2D04FC4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2DCE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D3D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4840" w:type="dxa"/>
            <w:gridSpan w:val="6"/>
            <w:tcBorders>
              <w:top w:val="single" w:color="000000" w:sz="4" w:space="0"/>
              <w:bottom w:val="single" w:color="000000" w:sz="4" w:space="0"/>
              <w:right w:val="single" w:color="000000" w:sz="4" w:space="0"/>
            </w:tcBorders>
            <w:shd w:val="clear" w:color="auto" w:fill="auto"/>
            <w:vAlign w:val="center"/>
          </w:tcPr>
          <w:p w14:paraId="4B73A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小计</w:t>
            </w:r>
          </w:p>
        </w:tc>
        <w:tc>
          <w:tcPr>
            <w:tcW w:w="64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4F4B38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541AB82">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652702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left w:val="single" w:color="000000" w:sz="4" w:space="0"/>
              <w:bottom w:val="single" w:color="000000" w:sz="4" w:space="0"/>
              <w:right w:val="single" w:color="000000" w:sz="4" w:space="0"/>
            </w:tcBorders>
            <w:vAlign w:val="center"/>
          </w:tcPr>
          <w:p w14:paraId="3211ADC9">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5A55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 w:hRule="atLeast"/>
        </w:trPr>
        <w:tc>
          <w:tcPr>
            <w:tcW w:w="264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8CED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Style w:val="28"/>
                <w:color w:val="auto"/>
                <w:sz w:val="20"/>
                <w:szCs w:val="20"/>
                <w:highlight w:val="none"/>
                <w:u w:val="none"/>
                <w:lang w:val="en-US" w:eastAsia="zh-CN" w:bidi="ar"/>
              </w:rPr>
              <w:t xml:space="preserve"> </w:t>
            </w:r>
            <w:r>
              <w:rPr>
                <w:rStyle w:val="22"/>
                <w:color w:val="auto"/>
                <w:sz w:val="20"/>
                <w:szCs w:val="20"/>
                <w:highlight w:val="none"/>
                <w:u w:val="none"/>
                <w:lang w:val="en-US" w:eastAsia="zh-CN" w:bidi="ar"/>
              </w:rPr>
              <w:t>交房时结算的款项    K</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4BFD3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交房时面积误差产生的款</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BFA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F08D">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178E28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85" w:type="dxa"/>
            <w:tcBorders>
              <w:top w:val="single" w:color="000000" w:sz="4" w:space="0"/>
              <w:bottom w:val="single" w:color="000000" w:sz="4" w:space="0"/>
              <w:right w:val="single" w:color="000000" w:sz="4" w:space="0"/>
            </w:tcBorders>
            <w:vAlign w:val="center"/>
          </w:tcPr>
          <w:p w14:paraId="66A3A97A">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r>
      <w:tr w14:paraId="315A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6" w:hRule="atLeast"/>
        </w:trPr>
        <w:tc>
          <w:tcPr>
            <w:tcW w:w="54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C590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 xml:space="preserve">                        合计                   </w:t>
            </w:r>
          </w:p>
        </w:tc>
        <w:tc>
          <w:tcPr>
            <w:tcW w:w="645"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54C130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0"/>
                <w:szCs w:val="20"/>
                <w:highlight w:val="none"/>
                <w:u w:val="none"/>
              </w:rPr>
            </w:pPr>
          </w:p>
        </w:tc>
        <w:tc>
          <w:tcPr>
            <w:tcW w:w="1916"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618915B8">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C0C0C0"/>
            <w:vAlign w:val="center"/>
          </w:tcPr>
          <w:p w14:paraId="3B8230DF">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auto"/>
                <w:sz w:val="20"/>
                <w:szCs w:val="20"/>
                <w:highlight w:val="none"/>
                <w:u w:val="none"/>
              </w:rPr>
            </w:pPr>
          </w:p>
        </w:tc>
        <w:tc>
          <w:tcPr>
            <w:tcW w:w="885" w:type="dxa"/>
            <w:tcBorders>
              <w:top w:val="single" w:color="000000" w:sz="4" w:space="0"/>
              <w:bottom w:val="single" w:color="000000" w:sz="4" w:space="0"/>
              <w:right w:val="single" w:color="000000" w:sz="4" w:space="0"/>
            </w:tcBorders>
            <w:vAlign w:val="center"/>
          </w:tcPr>
          <w:p w14:paraId="327FD186">
            <w:pPr>
              <w:keepNext w:val="0"/>
              <w:keepLines w:val="0"/>
              <w:suppressLineNumbers w:val="0"/>
              <w:spacing w:before="0" w:beforeAutospacing="0" w:after="0" w:afterAutospacing="0"/>
              <w:ind w:left="0" w:leftChars="0" w:right="0" w:rightChars="0"/>
              <w:jc w:val="left"/>
              <w:rPr>
                <w:rFonts w:hint="eastAsia" w:ascii="宋体" w:hAnsi="宋体" w:eastAsia="宋体" w:cs="宋体"/>
                <w:i w:val="0"/>
                <w:color w:val="auto"/>
                <w:sz w:val="20"/>
                <w:szCs w:val="20"/>
                <w:highlight w:val="none"/>
                <w:u w:val="none"/>
              </w:rPr>
            </w:pPr>
          </w:p>
        </w:tc>
      </w:tr>
    </w:tbl>
    <w:p w14:paraId="68524E75">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eastAsia="仿宋_GB2312"/>
          <w:b w:val="0"/>
          <w:bCs w:val="0"/>
          <w:color w:val="auto"/>
          <w:sz w:val="32"/>
          <w:szCs w:val="32"/>
          <w:highlight w:val="none"/>
          <w:u w:val="none"/>
          <w:lang w:val="zh-CN"/>
        </w:rPr>
        <w:t>利用坡屋顶空间作为阁楼层的建筑形式，阁楼层与原房同时设计建造的，其楼底高度在2.2米以上（含）计算建筑面积，阁楼层层高小于2.2米部分不计算建筑面积。坡屋顶阁楼不计入总层数。</w:t>
      </w:r>
    </w:p>
    <w:p w14:paraId="5E66DA28">
      <w:pPr>
        <w:pStyle w:val="2"/>
        <w:numPr>
          <w:ilvl w:val="0"/>
          <w:numId w:val="0"/>
        </w:numPr>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3A08FBDC">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（四）</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露出室外地面超过其层</w:t>
      </w:r>
      <w:r>
        <w:rPr>
          <w:rFonts w:hint="eastAsia" w:ascii="仿宋_GB2312" w:eastAsia="仿宋_GB2312"/>
          <w:color w:val="auto"/>
          <w:sz w:val="32"/>
          <w:szCs w:val="32"/>
          <w:highlight w:val="none"/>
          <w:u w:val="none"/>
          <w:lang w:val="zh-CN"/>
        </w:rPr>
        <w:t>高1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以上的，按规定给予认定补偿安置面积，并</w:t>
      </w:r>
      <w:r>
        <w:rPr>
          <w:rFonts w:hint="eastAsia" w:ascii="仿宋_GB2312" w:eastAsia="仿宋_GB2312"/>
          <w:color w:val="auto"/>
          <w:sz w:val="32"/>
          <w:szCs w:val="32"/>
          <w:highlight w:val="none"/>
          <w:u w:val="none"/>
          <w:lang w:val="zh-CN"/>
        </w:rPr>
        <w:t>计</w:t>
      </w:r>
      <w:r>
        <w:rPr>
          <w:rFonts w:hint="eastAsia" w:ascii="仿宋_GB2312" w:eastAsia="仿宋_GB2312"/>
          <w:color w:val="auto"/>
          <w:sz w:val="32"/>
          <w:szCs w:val="32"/>
          <w:highlight w:val="none"/>
          <w:u w:val="none"/>
          <w:lang w:val="zh-CN" w:eastAsia="zh-CN"/>
        </w:rPr>
        <w:t>入总层数；</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露出室外地面在其层高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／3(不含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／3）至</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（含</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）的，按规定给予认定一半的补偿安置面积，</w:t>
      </w:r>
      <w:r>
        <w:rPr>
          <w:rFonts w:hint="eastAsia" w:ascii="仿宋_GB2312" w:eastAsia="仿宋_GB2312"/>
          <w:color w:val="auto"/>
          <w:sz w:val="32"/>
          <w:szCs w:val="32"/>
          <w:highlight w:val="none"/>
          <w:u w:val="none"/>
          <w:lang w:val="zh-CN"/>
        </w:rPr>
        <w:t>不计入总层数</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地下层</w:t>
      </w:r>
      <w:r>
        <w:rPr>
          <w:rFonts w:hint="eastAsia" w:ascii="仿宋_GB2312" w:eastAsia="仿宋_GB2312"/>
          <w:color w:val="auto"/>
          <w:sz w:val="32"/>
          <w:szCs w:val="32"/>
          <w:highlight w:val="none"/>
          <w:u w:val="none"/>
          <w:lang w:val="zh-CN" w:eastAsia="zh-CN"/>
        </w:rPr>
        <w:t>露出室外地面不超过其层高</w:t>
      </w: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／3的，只</w:t>
      </w:r>
      <w:r>
        <w:rPr>
          <w:rFonts w:hint="eastAsia" w:ascii="仿宋_GB2312" w:eastAsia="仿宋_GB2312"/>
          <w:color w:val="auto"/>
          <w:sz w:val="32"/>
          <w:szCs w:val="32"/>
          <w:highlight w:val="none"/>
          <w:u w:val="none"/>
          <w:lang w:val="zh-CN"/>
        </w:rPr>
        <w:t>给予房屋建安造价补偿，不予认定补偿安置面积，不计入总层数。</w:t>
      </w:r>
    </w:p>
    <w:p w14:paraId="3A2182DB">
      <w:pPr>
        <w:pStyle w:val="2"/>
        <w:shd w:val="clear" w:color="auto" w:fill="auto"/>
        <w:spacing w:after="0" w:line="600" w:lineRule="exact"/>
        <w:ind w:firstLine="480" w:firstLineChars="1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339603FB">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十</w:t>
      </w:r>
      <w:r>
        <w:rPr>
          <w:rFonts w:hint="eastAsia" w:ascii="仿宋_GB2312" w:eastAsia="仿宋_GB2312"/>
          <w:b w:val="0"/>
          <w:bCs w:val="0"/>
          <w:color w:val="auto"/>
          <w:sz w:val="32"/>
          <w:szCs w:val="32"/>
          <w:highlight w:val="none"/>
          <w:u w:val="none"/>
          <w:lang w:val="zh-CN" w:eastAsia="zh-CN"/>
        </w:rPr>
        <w:t>一</w:t>
      </w:r>
      <w:r>
        <w:rPr>
          <w:rFonts w:hint="eastAsia" w:ascii="仿宋_GB2312" w:eastAsia="仿宋_GB2312"/>
          <w:b w:val="0"/>
          <w:bCs w:val="0"/>
          <w:color w:val="auto"/>
          <w:sz w:val="32"/>
          <w:szCs w:val="32"/>
          <w:highlight w:val="none"/>
          <w:u w:val="none"/>
          <w:lang w:val="zh-CN"/>
        </w:rPr>
        <w:t>、安置办法</w:t>
      </w:r>
    </w:p>
    <w:p w14:paraId="39C3DCC8">
      <w:pPr>
        <w:spacing w:line="600" w:lineRule="exact"/>
        <w:ind w:firstLine="480" w:firstLineChars="15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（一）安置房的选择</w:t>
      </w:r>
    </w:p>
    <w:p w14:paraId="3358F304">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被征收人因房屋被征收后在征收人提供的安置区内选择的安置房面积，原则上等同被征收房屋认定的补偿安置面积。</w:t>
      </w:r>
    </w:p>
    <w:p w14:paraId="5B7ACAD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（二）照顾购买面积的标准</w:t>
      </w:r>
    </w:p>
    <w:p w14:paraId="647E969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低层私人自建</w:t>
      </w:r>
      <w:r>
        <w:rPr>
          <w:rFonts w:hint="eastAsia" w:ascii="仿宋_GB2312" w:eastAsia="仿宋_GB2312"/>
          <w:color w:val="auto"/>
          <w:sz w:val="32"/>
          <w:szCs w:val="32"/>
          <w:highlight w:val="none"/>
          <w:u w:val="none"/>
          <w:lang w:val="zh-CN" w:eastAsia="zh-CN"/>
        </w:rPr>
        <w:t>住</w:t>
      </w:r>
      <w:r>
        <w:rPr>
          <w:rFonts w:hint="eastAsia" w:ascii="仿宋_GB2312" w:eastAsia="仿宋_GB2312"/>
          <w:color w:val="auto"/>
          <w:sz w:val="32"/>
          <w:szCs w:val="32"/>
          <w:highlight w:val="none"/>
          <w:u w:val="none"/>
          <w:lang w:val="zh-CN"/>
        </w:rPr>
        <w:t>宅照顾购买。</w:t>
      </w:r>
      <w:r>
        <w:rPr>
          <w:rFonts w:hint="eastAsia" w:ascii="仿宋_GB2312" w:eastAsia="仿宋_GB2312"/>
          <w:color w:val="auto"/>
          <w:sz w:val="32"/>
          <w:szCs w:val="32"/>
          <w:highlight w:val="none"/>
          <w:u w:val="none"/>
          <w:lang w:val="zh-CN" w:eastAsia="zh-CN"/>
        </w:rPr>
        <w:t>房屋总层数按房屋现状层数予以认定。</w:t>
      </w:r>
      <w:r>
        <w:rPr>
          <w:rFonts w:hint="eastAsia" w:ascii="仿宋_GB2312" w:eastAsia="仿宋_GB2312"/>
          <w:color w:val="auto"/>
          <w:sz w:val="32"/>
          <w:szCs w:val="32"/>
          <w:highlight w:val="none"/>
          <w:u w:val="none"/>
          <w:lang w:val="zh-CN"/>
        </w:rPr>
        <w:t>属总一层的房屋，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安置面积的1倍；属总二层的房屋，</w:t>
      </w:r>
      <w:r>
        <w:rPr>
          <w:rFonts w:hint="eastAsia" w:ascii="仿宋_GB2312" w:eastAsia="仿宋_GB2312"/>
          <w:color w:val="auto"/>
          <w:sz w:val="32"/>
          <w:szCs w:val="32"/>
          <w:highlight w:val="none"/>
          <w:u w:val="none"/>
          <w:lang w:val="zh-CN" w:eastAsia="zh-CN"/>
        </w:rPr>
        <w:t>选择产权调换的，可</w:t>
      </w:r>
      <w:r>
        <w:rPr>
          <w:rFonts w:hint="eastAsia" w:ascii="仿宋_GB2312" w:eastAsia="仿宋_GB2312"/>
          <w:color w:val="auto"/>
          <w:sz w:val="32"/>
          <w:szCs w:val="32"/>
          <w:highlight w:val="none"/>
          <w:u w:val="none"/>
          <w:lang w:val="zh-CN"/>
        </w:rPr>
        <w:t>照顾购买安置</w:t>
      </w:r>
      <w:r>
        <w:rPr>
          <w:rFonts w:hint="eastAsia" w:ascii="仿宋_GB2312" w:eastAsia="仿宋_GB2312"/>
          <w:color w:val="auto"/>
          <w:sz w:val="32"/>
          <w:szCs w:val="32"/>
          <w:highlight w:val="none"/>
          <w:u w:val="none"/>
          <w:lang w:val="zh-CN" w:eastAsia="zh-CN"/>
        </w:rPr>
        <w:t>房，照顾购买安置房的面积</w:t>
      </w:r>
      <w:r>
        <w:rPr>
          <w:rFonts w:hint="eastAsia" w:ascii="仿宋_GB2312" w:eastAsia="仿宋_GB2312"/>
          <w:color w:val="auto"/>
          <w:sz w:val="32"/>
          <w:szCs w:val="32"/>
          <w:highlight w:val="none"/>
          <w:u w:val="none"/>
          <w:lang w:val="zh-CN"/>
        </w:rPr>
        <w:t>不得超过</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安置面积的0.</w:t>
      </w:r>
      <w:r>
        <w:rPr>
          <w:rFonts w:hint="eastAsia" w:ascii="仿宋_GB2312" w:eastAsia="仿宋_GB2312"/>
          <w:color w:val="auto"/>
          <w:sz w:val="32"/>
          <w:szCs w:val="32"/>
          <w:highlight w:val="none"/>
          <w:u w:val="none"/>
          <w:lang w:val="zh-CN" w:eastAsia="zh-CN"/>
        </w:rPr>
        <w:t>5</w:t>
      </w:r>
      <w:r>
        <w:rPr>
          <w:rFonts w:hint="eastAsia" w:ascii="仿宋_GB2312" w:eastAsia="仿宋_GB2312"/>
          <w:color w:val="auto"/>
          <w:sz w:val="32"/>
          <w:szCs w:val="32"/>
          <w:highlight w:val="none"/>
          <w:u w:val="none"/>
          <w:lang w:val="zh-CN"/>
        </w:rPr>
        <w:t>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0442EFDE">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5F32E19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、奖励措施”中“（二）被征收人</w:t>
      </w:r>
      <w:r>
        <w:rPr>
          <w:rFonts w:hint="eastAsia" w:ascii="仿宋_GB2312" w:eastAsia="仿宋_GB2312"/>
          <w:color w:val="auto"/>
          <w:sz w:val="32"/>
          <w:szCs w:val="32"/>
          <w:highlight w:val="none"/>
          <w:u w:val="none"/>
          <w:lang w:val="zh-CN" w:eastAsia="zh-CN"/>
        </w:rPr>
        <w:t>另</w:t>
      </w:r>
      <w:r>
        <w:rPr>
          <w:rFonts w:hint="eastAsia" w:ascii="仿宋_GB2312" w:eastAsia="仿宋_GB2312"/>
          <w:color w:val="auto"/>
          <w:sz w:val="32"/>
          <w:szCs w:val="32"/>
          <w:highlight w:val="none"/>
          <w:u w:val="none"/>
          <w:lang w:val="zh-CN"/>
        </w:rPr>
        <w:t>可享受下列奖励”的第</w:t>
      </w:r>
      <w:r>
        <w:rPr>
          <w:rFonts w:hint="eastAsia" w:ascii="仿宋_GB2312" w:eastAsia="仿宋_GB2312"/>
          <w:color w:val="auto"/>
          <w:sz w:val="32"/>
          <w:szCs w:val="32"/>
          <w:highlight w:val="none"/>
          <w:u w:val="none"/>
          <w:lang w:val="en-US" w:eastAsia="zh-CN"/>
        </w:rPr>
        <w:t>2点“</w:t>
      </w:r>
      <w:r>
        <w:rPr>
          <w:rFonts w:hint="eastAsia" w:ascii="仿宋_GB2312" w:eastAsia="仿宋_GB2312"/>
          <w:color w:val="auto"/>
          <w:sz w:val="32"/>
          <w:szCs w:val="32"/>
          <w:highlight w:val="none"/>
          <w:u w:val="none"/>
          <w:lang w:val="zh-CN"/>
        </w:rPr>
        <w:t>放弃产权调换安置的补差</w:t>
      </w:r>
      <w:r>
        <w:rPr>
          <w:rFonts w:hint="eastAsia" w:ascii="仿宋_GB2312" w:eastAsia="仿宋_GB2312"/>
          <w:color w:val="auto"/>
          <w:sz w:val="32"/>
          <w:szCs w:val="32"/>
          <w:highlight w:val="none"/>
          <w:u w:val="none"/>
          <w:lang w:val="en-US" w:eastAsia="zh-CN"/>
        </w:rPr>
        <w:t>”</w:t>
      </w:r>
      <w:r>
        <w:rPr>
          <w:rFonts w:hint="eastAsia" w:ascii="仿宋_GB2312" w:eastAsia="仿宋_GB2312"/>
          <w:color w:val="auto"/>
          <w:sz w:val="32"/>
          <w:szCs w:val="32"/>
          <w:highlight w:val="none"/>
          <w:u w:val="none"/>
          <w:lang w:val="zh-CN"/>
        </w:rPr>
        <w:t>，放弃照顾购买部分的面积也不另外给予货币补偿。</w:t>
      </w:r>
    </w:p>
    <w:p w14:paraId="45A99223">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以上照顾购买面积按</w:t>
      </w:r>
      <w:r>
        <w:rPr>
          <w:rFonts w:hint="eastAsia" w:ascii="仿宋_GB2312" w:eastAsia="仿宋_GB2312"/>
          <w:color w:val="auto"/>
          <w:sz w:val="32"/>
          <w:szCs w:val="32"/>
          <w:highlight w:val="none"/>
          <w:u w:val="none"/>
          <w:shd w:val="clear" w:fill="FFFFFF"/>
          <w:lang w:val="zh-CN"/>
        </w:rPr>
        <w:t>照顾</w:t>
      </w:r>
      <w:r>
        <w:rPr>
          <w:rFonts w:hint="eastAsia" w:ascii="仿宋_GB2312" w:eastAsia="仿宋_GB2312"/>
          <w:color w:val="auto"/>
          <w:sz w:val="32"/>
          <w:szCs w:val="32"/>
          <w:highlight w:val="none"/>
          <w:u w:val="none"/>
          <w:lang w:val="zh-CN"/>
        </w:rPr>
        <w:t>购买价〔详见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（三）安置原则及安置房价格</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点〕计算。</w:t>
      </w:r>
    </w:p>
    <w:p w14:paraId="29FE99C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（三）安置原则及安置房价格</w:t>
      </w:r>
    </w:p>
    <w:p w14:paraId="1AC43DB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410E5D48">
      <w:pPr>
        <w:spacing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2、本项目产权调换可选择安置</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en-US" w:eastAsia="zh-CN"/>
        </w:rPr>
        <w:t>安置区及先后顺序、</w:t>
      </w:r>
      <w:r>
        <w:rPr>
          <w:rFonts w:hint="eastAsia" w:ascii="仿宋_GB2312" w:eastAsia="仿宋_GB2312"/>
          <w:color w:val="auto"/>
          <w:sz w:val="32"/>
          <w:szCs w:val="32"/>
          <w:highlight w:val="none"/>
          <w:u w:val="none"/>
          <w:lang w:val="zh-CN"/>
        </w:rPr>
        <w:t>所</w:t>
      </w:r>
      <w:r>
        <w:rPr>
          <w:rFonts w:hint="eastAsia" w:ascii="仿宋_GB2312" w:eastAsia="仿宋_GB2312"/>
          <w:color w:val="auto"/>
          <w:sz w:val="32"/>
          <w:szCs w:val="32"/>
          <w:highlight w:val="none"/>
          <w:u w:val="none"/>
          <w:lang w:val="zh-CN" w:eastAsia="zh-CN"/>
        </w:rPr>
        <w:t>选安置区因降低或</w:t>
      </w:r>
      <w:r>
        <w:rPr>
          <w:rFonts w:hint="eastAsia" w:ascii="仿宋_GB2312" w:eastAsia="仿宋_GB2312"/>
          <w:color w:val="auto"/>
          <w:sz w:val="32"/>
          <w:szCs w:val="32"/>
          <w:highlight w:val="none"/>
          <w:u w:val="none"/>
          <w:shd w:val="clear" w:fill="FFFFFF"/>
          <w:lang w:val="zh-CN" w:eastAsia="zh-CN"/>
        </w:rPr>
        <w:t>升高地段</w:t>
      </w:r>
      <w:r>
        <w:rPr>
          <w:rFonts w:hint="eastAsia" w:ascii="仿宋_GB2312" w:eastAsia="仿宋_GB2312"/>
          <w:color w:val="auto"/>
          <w:sz w:val="32"/>
          <w:szCs w:val="32"/>
          <w:highlight w:val="none"/>
          <w:u w:val="none"/>
          <w:lang w:val="zh-CN" w:eastAsia="zh-CN"/>
        </w:rPr>
        <w:t>等级的补差价、所选安置区的照顾购买价、</w:t>
      </w:r>
      <w:r>
        <w:rPr>
          <w:rFonts w:hint="eastAsia" w:ascii="仿宋_GB2312" w:eastAsia="仿宋_GB2312"/>
          <w:color w:val="auto"/>
          <w:sz w:val="32"/>
          <w:szCs w:val="32"/>
          <w:highlight w:val="none"/>
          <w:u w:val="none"/>
          <w:lang w:val="zh-CN"/>
        </w:rPr>
        <w:t>选房时因安置房户型和建筑结构等原因导致实际安置面积超出产权调换面积的</w:t>
      </w:r>
      <w:r>
        <w:rPr>
          <w:rFonts w:hint="eastAsia" w:ascii="仿宋_GB2312" w:hAnsi="仿宋_GB2312" w:eastAsia="仿宋_GB2312" w:cs="仿宋_GB2312"/>
          <w:color w:val="auto"/>
          <w:sz w:val="32"/>
          <w:szCs w:val="32"/>
          <w:highlight w:val="none"/>
          <w:u w:val="none"/>
          <w:lang w:val="zh-CN" w:eastAsia="zh-CN"/>
        </w:rPr>
        <w:t>补偿价（含</w:t>
      </w:r>
      <w:r>
        <w:rPr>
          <w:rFonts w:hint="eastAsia" w:ascii="仿宋_GB2312" w:eastAsia="仿宋_GB2312"/>
          <w:color w:val="auto"/>
          <w:sz w:val="32"/>
          <w:szCs w:val="32"/>
          <w:highlight w:val="none"/>
          <w:u w:val="none"/>
          <w:lang w:val="zh-CN"/>
        </w:rPr>
        <w:t>误差面积在7㎡</w:t>
      </w:r>
      <w:r>
        <w:rPr>
          <w:rFonts w:hint="eastAsia" w:ascii="仿宋_GB2312" w:hAnsi="仿宋_GB2312" w:eastAsia="仿宋_GB2312" w:cs="仿宋_GB2312"/>
          <w:color w:val="auto"/>
          <w:sz w:val="32"/>
          <w:szCs w:val="32"/>
          <w:highlight w:val="none"/>
          <w:u w:val="none"/>
          <w:lang w:val="zh-CN"/>
        </w:rPr>
        <w:t>以内及超出</w:t>
      </w:r>
      <w:r>
        <w:rPr>
          <w:rFonts w:hint="eastAsia" w:ascii="仿宋_GB2312" w:eastAsia="仿宋_GB2312"/>
          <w:color w:val="auto"/>
          <w:sz w:val="32"/>
          <w:szCs w:val="32"/>
          <w:highlight w:val="none"/>
          <w:u w:val="none"/>
          <w:lang w:val="zh-CN"/>
        </w:rPr>
        <w:t>7㎡</w:t>
      </w:r>
      <w:r>
        <w:rPr>
          <w:rFonts w:hint="eastAsia" w:ascii="仿宋_GB2312" w:hAnsi="仿宋_GB2312" w:eastAsia="仿宋_GB2312" w:cs="仿宋_GB2312"/>
          <w:color w:val="auto"/>
          <w:sz w:val="32"/>
          <w:szCs w:val="32"/>
          <w:highlight w:val="none"/>
          <w:u w:val="none"/>
          <w:lang w:val="zh-CN"/>
        </w:rPr>
        <w:t>部分</w:t>
      </w:r>
      <w:r>
        <w:rPr>
          <w:rFonts w:hint="eastAsia" w:ascii="仿宋_GB2312" w:hAnsi="仿宋_GB2312" w:eastAsia="仿宋_GB2312" w:cs="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eastAsia="zh-CN"/>
        </w:rPr>
        <w:t>详见下表：</w:t>
      </w:r>
    </w:p>
    <w:tbl>
      <w:tblPr>
        <w:tblStyle w:val="5"/>
        <w:tblW w:w="97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152"/>
        <w:gridCol w:w="1904"/>
        <w:gridCol w:w="1177"/>
        <w:gridCol w:w="1127"/>
        <w:gridCol w:w="1214"/>
        <w:gridCol w:w="1328"/>
        <w:gridCol w:w="1315"/>
      </w:tblGrid>
      <w:tr w14:paraId="3CDE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8" w:hRule="atLeast"/>
        </w:trPr>
        <w:tc>
          <w:tcPr>
            <w:tcW w:w="483" w:type="dxa"/>
            <w:vAlign w:val="center"/>
          </w:tcPr>
          <w:p w14:paraId="36A5897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序号</w:t>
            </w:r>
          </w:p>
        </w:tc>
        <w:tc>
          <w:tcPr>
            <w:tcW w:w="3056" w:type="dxa"/>
            <w:gridSpan w:val="2"/>
            <w:vAlign w:val="center"/>
          </w:tcPr>
          <w:p w14:paraId="19810D2D">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安置区</w:t>
            </w:r>
          </w:p>
        </w:tc>
        <w:tc>
          <w:tcPr>
            <w:tcW w:w="1177" w:type="dxa"/>
            <w:vAlign w:val="center"/>
          </w:tcPr>
          <w:p w14:paraId="1D6BBAB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补差价</w:t>
            </w:r>
          </w:p>
          <w:p w14:paraId="5E796FA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127" w:type="dxa"/>
            <w:vAlign w:val="center"/>
          </w:tcPr>
          <w:p w14:paraId="773C6A8A">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照顾</w:t>
            </w:r>
          </w:p>
          <w:p w14:paraId="480D249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购买价</w:t>
            </w:r>
          </w:p>
          <w:p w14:paraId="67D389FB">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214" w:type="dxa"/>
            <w:vAlign w:val="center"/>
          </w:tcPr>
          <w:p w14:paraId="58E3E1C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误差面积在7㎡以内的补偿价</w:t>
            </w:r>
          </w:p>
          <w:p w14:paraId="3DDCCFEB">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28" w:type="dxa"/>
            <w:vAlign w:val="center"/>
          </w:tcPr>
          <w:p w14:paraId="1904FA26">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误差面积超出7㎡部分的补偿价</w:t>
            </w:r>
          </w:p>
          <w:p w14:paraId="425410C5">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（元/㎡）</w:t>
            </w:r>
          </w:p>
        </w:tc>
        <w:tc>
          <w:tcPr>
            <w:tcW w:w="1315" w:type="dxa"/>
            <w:vAlign w:val="center"/>
          </w:tcPr>
          <w:p w14:paraId="110DFAA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计划</w:t>
            </w:r>
          </w:p>
          <w:p w14:paraId="366AC11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交房</w:t>
            </w:r>
          </w:p>
          <w:p w14:paraId="4788E6E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0"/>
                <w:szCs w:val="20"/>
                <w:highlight w:val="none"/>
                <w:u w:val="none"/>
              </w:rPr>
            </w:pPr>
            <w:r>
              <w:rPr>
                <w:rFonts w:hint="eastAsia" w:ascii="宋体" w:hAnsi="宋体" w:cs="宋体"/>
                <w:b/>
                <w:bCs/>
                <w:color w:val="auto"/>
                <w:kern w:val="0"/>
                <w:sz w:val="20"/>
                <w:szCs w:val="20"/>
                <w:highlight w:val="none"/>
                <w:u w:val="none"/>
              </w:rPr>
              <w:t>时间</w:t>
            </w:r>
          </w:p>
        </w:tc>
      </w:tr>
      <w:tr w14:paraId="7CEC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708D67E7">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w:t>
            </w:r>
          </w:p>
        </w:tc>
        <w:tc>
          <w:tcPr>
            <w:tcW w:w="3056" w:type="dxa"/>
            <w:gridSpan w:val="2"/>
            <w:vAlign w:val="center"/>
          </w:tcPr>
          <w:p w14:paraId="1177D3B8">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single"/>
                <w:lang w:val="en-US" w:eastAsia="zh-CN"/>
              </w:rPr>
            </w:pPr>
            <w:r>
              <w:rPr>
                <w:rFonts w:hint="eastAsia" w:ascii="宋体" w:hAnsi="宋体" w:cs="宋体"/>
                <w:color w:val="auto"/>
                <w:sz w:val="20"/>
                <w:szCs w:val="20"/>
                <w:highlight w:val="none"/>
                <w:u w:val="none"/>
                <w:lang w:val="en-US" w:eastAsia="zh-CN"/>
              </w:rPr>
              <w:t>龙东区域地块1</w:t>
            </w:r>
          </w:p>
        </w:tc>
        <w:tc>
          <w:tcPr>
            <w:tcW w:w="1177" w:type="dxa"/>
            <w:vAlign w:val="center"/>
          </w:tcPr>
          <w:p w14:paraId="5C01D4E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3EB9F87F">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44F16991">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4DBEC8FC">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70D0C69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482F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83" w:type="dxa"/>
            <w:vAlign w:val="center"/>
          </w:tcPr>
          <w:p w14:paraId="5F2923F7">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2</w:t>
            </w:r>
          </w:p>
        </w:tc>
        <w:tc>
          <w:tcPr>
            <w:tcW w:w="3056" w:type="dxa"/>
            <w:gridSpan w:val="2"/>
            <w:vAlign w:val="center"/>
          </w:tcPr>
          <w:p w14:paraId="76497A70">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政府储备地2015-025B号</w:t>
            </w:r>
          </w:p>
        </w:tc>
        <w:tc>
          <w:tcPr>
            <w:tcW w:w="1177" w:type="dxa"/>
            <w:vAlign w:val="center"/>
          </w:tcPr>
          <w:p w14:paraId="7EE59D27">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56F5D606">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4D7C7D03">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70AB6497">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1615252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按3年计算</w:t>
            </w:r>
          </w:p>
        </w:tc>
      </w:tr>
      <w:tr w14:paraId="3D94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3E001884">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3</w:t>
            </w:r>
          </w:p>
        </w:tc>
        <w:tc>
          <w:tcPr>
            <w:tcW w:w="3056" w:type="dxa"/>
            <w:gridSpan w:val="2"/>
            <w:vAlign w:val="center"/>
          </w:tcPr>
          <w:p w14:paraId="6C95E31C">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政府储备地2020-029号</w:t>
            </w:r>
          </w:p>
        </w:tc>
        <w:tc>
          <w:tcPr>
            <w:tcW w:w="1177" w:type="dxa"/>
            <w:vAlign w:val="center"/>
          </w:tcPr>
          <w:p w14:paraId="37DE265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-500</w:t>
            </w:r>
          </w:p>
        </w:tc>
        <w:tc>
          <w:tcPr>
            <w:tcW w:w="1127" w:type="dxa"/>
            <w:vAlign w:val="center"/>
          </w:tcPr>
          <w:p w14:paraId="163BDEBA">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1DE7A52E">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3BD66E1F">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65ABE8E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7ACE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2D2F5271">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4</w:t>
            </w:r>
          </w:p>
        </w:tc>
        <w:tc>
          <w:tcPr>
            <w:tcW w:w="3056" w:type="dxa"/>
            <w:gridSpan w:val="2"/>
            <w:vAlign w:val="center"/>
          </w:tcPr>
          <w:p w14:paraId="33CE8634">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政府储备地2020-017号</w:t>
            </w:r>
          </w:p>
        </w:tc>
        <w:tc>
          <w:tcPr>
            <w:tcW w:w="1177" w:type="dxa"/>
            <w:vAlign w:val="center"/>
          </w:tcPr>
          <w:p w14:paraId="013E1048">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59F0756F">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4500</w:t>
            </w:r>
          </w:p>
        </w:tc>
        <w:tc>
          <w:tcPr>
            <w:tcW w:w="1214" w:type="dxa"/>
            <w:vAlign w:val="center"/>
          </w:tcPr>
          <w:p w14:paraId="4071D9EE">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8000</w:t>
            </w:r>
          </w:p>
        </w:tc>
        <w:tc>
          <w:tcPr>
            <w:tcW w:w="1328" w:type="dxa"/>
            <w:vAlign w:val="center"/>
          </w:tcPr>
          <w:p w14:paraId="06BAF415">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10000</w:t>
            </w:r>
          </w:p>
        </w:tc>
        <w:tc>
          <w:tcPr>
            <w:tcW w:w="1315" w:type="dxa"/>
            <w:vAlign w:val="center"/>
          </w:tcPr>
          <w:p w14:paraId="702C677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762C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142F2552">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5</w:t>
            </w:r>
          </w:p>
        </w:tc>
        <w:tc>
          <w:tcPr>
            <w:tcW w:w="3056" w:type="dxa"/>
            <w:gridSpan w:val="2"/>
            <w:vAlign w:val="center"/>
          </w:tcPr>
          <w:p w14:paraId="2C46790C">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龙东地块2</w:t>
            </w:r>
          </w:p>
        </w:tc>
        <w:tc>
          <w:tcPr>
            <w:tcW w:w="1177" w:type="dxa"/>
            <w:vAlign w:val="center"/>
          </w:tcPr>
          <w:p w14:paraId="7C19453B">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4813D58E">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5B652D16">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5C1F13E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1AE687C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7885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032CBB3D">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3056" w:type="dxa"/>
            <w:gridSpan w:val="2"/>
            <w:vAlign w:val="center"/>
          </w:tcPr>
          <w:p w14:paraId="663D139B">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龙东地块3</w:t>
            </w:r>
          </w:p>
        </w:tc>
        <w:tc>
          <w:tcPr>
            <w:tcW w:w="1177" w:type="dxa"/>
            <w:vAlign w:val="center"/>
          </w:tcPr>
          <w:p w14:paraId="75DA02DD">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0CF6218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1C6BE04D">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0656815B">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6E31994E">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4875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47EE758F">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7</w:t>
            </w:r>
          </w:p>
        </w:tc>
        <w:tc>
          <w:tcPr>
            <w:tcW w:w="3056" w:type="dxa"/>
            <w:gridSpan w:val="2"/>
            <w:vAlign w:val="center"/>
          </w:tcPr>
          <w:p w14:paraId="2F560D26">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龙东地块4</w:t>
            </w:r>
          </w:p>
        </w:tc>
        <w:tc>
          <w:tcPr>
            <w:tcW w:w="1177" w:type="dxa"/>
            <w:vAlign w:val="center"/>
          </w:tcPr>
          <w:p w14:paraId="6001B76C">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0503120C">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630F98EF">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44BF9809">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34DF8B1F">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7734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54C08C12">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8</w:t>
            </w:r>
          </w:p>
        </w:tc>
        <w:tc>
          <w:tcPr>
            <w:tcW w:w="3056" w:type="dxa"/>
            <w:gridSpan w:val="2"/>
            <w:vAlign w:val="center"/>
          </w:tcPr>
          <w:p w14:paraId="4D25FD60">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龙东地块5</w:t>
            </w:r>
          </w:p>
        </w:tc>
        <w:tc>
          <w:tcPr>
            <w:tcW w:w="1177" w:type="dxa"/>
            <w:vAlign w:val="center"/>
          </w:tcPr>
          <w:p w14:paraId="41B79851">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7B9DEA35">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2C2B01B6">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5A490368">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736608D2">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按3年计算</w:t>
            </w:r>
          </w:p>
        </w:tc>
      </w:tr>
      <w:tr w14:paraId="43C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83" w:type="dxa"/>
            <w:vAlign w:val="center"/>
          </w:tcPr>
          <w:p w14:paraId="1CA16514">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9</w:t>
            </w:r>
          </w:p>
        </w:tc>
        <w:tc>
          <w:tcPr>
            <w:tcW w:w="3056" w:type="dxa"/>
            <w:gridSpan w:val="2"/>
            <w:vAlign w:val="center"/>
          </w:tcPr>
          <w:p w14:paraId="2FD0A75D">
            <w:pPr>
              <w:keepNext w:val="0"/>
              <w:keepLines w:val="0"/>
              <w:suppressLineNumbers w:val="0"/>
              <w:spacing w:before="0" w:beforeAutospacing="0" w:after="0" w:afterAutospacing="0"/>
              <w:ind w:left="0" w:right="0"/>
              <w:jc w:val="center"/>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优步花园小区（政府储备地2010-044B号地块）</w:t>
            </w:r>
          </w:p>
        </w:tc>
        <w:tc>
          <w:tcPr>
            <w:tcW w:w="1177" w:type="dxa"/>
            <w:vAlign w:val="center"/>
          </w:tcPr>
          <w:p w14:paraId="0806415A">
            <w:pPr>
              <w:keepNext w:val="0"/>
              <w:keepLines w:val="0"/>
              <w:widowControl/>
              <w:suppressLineNumbers w:val="0"/>
              <w:spacing w:before="0" w:beforeAutospacing="0" w:after="0" w:afterAutospacing="0"/>
              <w:ind w:left="0" w:right="0"/>
              <w:jc w:val="center"/>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62CE8259">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26B045AF">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4549A853">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0035690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2022.6.4</w:t>
            </w:r>
          </w:p>
        </w:tc>
      </w:tr>
      <w:tr w14:paraId="4EE5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83" w:type="dxa"/>
            <w:vAlign w:val="center"/>
          </w:tcPr>
          <w:p w14:paraId="715BEF63">
            <w:pPr>
              <w:keepNext w:val="0"/>
              <w:keepLines w:val="0"/>
              <w:suppressLineNumbers w:val="0"/>
              <w:spacing w:before="0" w:beforeAutospacing="0" w:after="0" w:afterAutospacing="0"/>
              <w:ind w:left="0" w:right="0"/>
              <w:jc w:val="center"/>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10</w:t>
            </w:r>
          </w:p>
        </w:tc>
        <w:tc>
          <w:tcPr>
            <w:tcW w:w="1152" w:type="dxa"/>
            <w:vMerge w:val="restart"/>
            <w:vAlign w:val="center"/>
          </w:tcPr>
          <w:p w14:paraId="250EB9BC">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全市指定</w:t>
            </w:r>
          </w:p>
          <w:p w14:paraId="4D577BE5">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r>
              <w:rPr>
                <w:rFonts w:hint="eastAsia" w:ascii="宋体" w:hAnsi="宋体"/>
                <w:color w:val="auto"/>
                <w:sz w:val="20"/>
                <w:szCs w:val="20"/>
                <w:highlight w:val="none"/>
                <w:u w:val="none"/>
              </w:rPr>
              <w:t>统筹安置区</w:t>
            </w:r>
          </w:p>
        </w:tc>
        <w:tc>
          <w:tcPr>
            <w:tcW w:w="1904" w:type="dxa"/>
            <w:vAlign w:val="center"/>
          </w:tcPr>
          <w:p w14:paraId="1E687732">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lang w:val="en-US" w:eastAsia="zh-CN"/>
              </w:rPr>
            </w:pPr>
            <w:r>
              <w:rPr>
                <w:rFonts w:hint="eastAsia" w:ascii="宋体" w:hAnsi="宋体"/>
                <w:color w:val="auto"/>
                <w:sz w:val="20"/>
                <w:szCs w:val="20"/>
                <w:highlight w:val="none"/>
                <w:u w:val="none"/>
                <w:lang w:eastAsia="zh-CN"/>
              </w:rPr>
              <w:t>政府储备地</w:t>
            </w:r>
            <w:r>
              <w:rPr>
                <w:rFonts w:hint="eastAsia" w:ascii="宋体" w:hAnsi="宋体"/>
                <w:color w:val="auto"/>
                <w:sz w:val="20"/>
                <w:szCs w:val="20"/>
                <w:highlight w:val="none"/>
                <w:u w:val="none"/>
                <w:lang w:val="en-US" w:eastAsia="zh-CN"/>
              </w:rPr>
              <w:t>2012-013A</w:t>
            </w:r>
          </w:p>
          <w:p w14:paraId="56F9AAA6">
            <w:pPr>
              <w:keepNext w:val="0"/>
              <w:keepLines w:val="0"/>
              <w:suppressLineNumbers w:val="0"/>
              <w:spacing w:before="0" w:beforeAutospacing="0" w:after="0" w:afterAutospacing="0"/>
              <w:ind w:left="0" w:right="0"/>
              <w:jc w:val="center"/>
              <w:rPr>
                <w:rFonts w:hint="default" w:ascii="宋体" w:hAnsi="宋体" w:eastAsia="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(璀璨天城）</w:t>
            </w:r>
          </w:p>
        </w:tc>
        <w:tc>
          <w:tcPr>
            <w:tcW w:w="1177" w:type="dxa"/>
            <w:vAlign w:val="center"/>
          </w:tcPr>
          <w:p w14:paraId="1A02B09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74DAD73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6666CD01">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6D275A87">
            <w:pPr>
              <w:keepNext w:val="0"/>
              <w:keepLines w:val="0"/>
              <w:widowControl/>
              <w:suppressLineNumbers w:val="0"/>
              <w:spacing w:before="0" w:beforeAutospacing="0" w:after="0" w:afterAutospacing="0"/>
              <w:ind w:left="0" w:leftChars="0" w:right="0" w:rightChars="0"/>
              <w:jc w:val="center"/>
              <w:rPr>
                <w:rFonts w:hint="eastAsia" w:ascii="宋体" w:hAnsi="宋体" w:cs="宋体"/>
                <w:color w:val="auto"/>
                <w:sz w:val="20"/>
                <w:szCs w:val="20"/>
                <w:highlight w:val="none"/>
                <w:u w:val="none"/>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63A2D8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0"/>
                <w:szCs w:val="20"/>
                <w:highlight w:val="none"/>
                <w:u w:val="none"/>
                <w:lang w:eastAsia="zh-CN"/>
              </w:rPr>
            </w:pPr>
            <w:r>
              <w:rPr>
                <w:rFonts w:hint="eastAsia" w:ascii="宋体" w:hAnsi="宋体" w:cs="宋体"/>
                <w:color w:val="auto"/>
                <w:sz w:val="20"/>
                <w:szCs w:val="20"/>
                <w:highlight w:val="none"/>
                <w:u w:val="none"/>
                <w:lang w:eastAsia="zh-CN"/>
              </w:rPr>
              <w:t>现房</w:t>
            </w:r>
          </w:p>
        </w:tc>
      </w:tr>
      <w:tr w14:paraId="341D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83" w:type="dxa"/>
            <w:vAlign w:val="center"/>
          </w:tcPr>
          <w:p w14:paraId="4F293C24">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11</w:t>
            </w:r>
          </w:p>
        </w:tc>
        <w:tc>
          <w:tcPr>
            <w:tcW w:w="1152" w:type="dxa"/>
            <w:vMerge w:val="continue"/>
            <w:vAlign w:val="center"/>
          </w:tcPr>
          <w:p w14:paraId="248A3311">
            <w:pPr>
              <w:keepNext w:val="0"/>
              <w:keepLines w:val="0"/>
              <w:suppressLineNumbers w:val="0"/>
              <w:spacing w:before="0" w:beforeAutospacing="0" w:after="0" w:afterAutospacing="0"/>
              <w:ind w:left="0" w:right="0"/>
              <w:jc w:val="center"/>
              <w:rPr>
                <w:rFonts w:hint="eastAsia" w:ascii="宋体" w:hAnsi="宋体"/>
                <w:color w:val="auto"/>
                <w:sz w:val="20"/>
                <w:szCs w:val="20"/>
                <w:highlight w:val="none"/>
                <w:u w:val="none"/>
              </w:rPr>
            </w:pPr>
          </w:p>
        </w:tc>
        <w:tc>
          <w:tcPr>
            <w:tcW w:w="1904" w:type="dxa"/>
            <w:vAlign w:val="center"/>
          </w:tcPr>
          <w:p w14:paraId="2FB4D3BA">
            <w:pPr>
              <w:keepNext w:val="0"/>
              <w:keepLines w:val="0"/>
              <w:suppressLineNumbers w:val="0"/>
              <w:spacing w:before="0" w:beforeAutospacing="0" w:after="0" w:afterAutospacing="0"/>
              <w:ind w:left="0" w:right="0"/>
              <w:jc w:val="center"/>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政府储备地2014-015号</w:t>
            </w:r>
          </w:p>
          <w:p w14:paraId="52B6B712">
            <w:pPr>
              <w:keepNext w:val="0"/>
              <w:keepLines w:val="0"/>
              <w:suppressLineNumbers w:val="0"/>
              <w:spacing w:before="0" w:beforeAutospacing="0" w:after="0" w:afterAutospacing="0"/>
              <w:ind w:left="0" w:right="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（中庚香澜）</w:t>
            </w:r>
          </w:p>
        </w:tc>
        <w:tc>
          <w:tcPr>
            <w:tcW w:w="1177" w:type="dxa"/>
            <w:vAlign w:val="center"/>
          </w:tcPr>
          <w:p w14:paraId="4D36D0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0</w:t>
            </w:r>
          </w:p>
        </w:tc>
        <w:tc>
          <w:tcPr>
            <w:tcW w:w="1127" w:type="dxa"/>
            <w:vAlign w:val="center"/>
          </w:tcPr>
          <w:p w14:paraId="5C486F14">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4000</w:t>
            </w:r>
          </w:p>
        </w:tc>
        <w:tc>
          <w:tcPr>
            <w:tcW w:w="1214" w:type="dxa"/>
            <w:vAlign w:val="center"/>
          </w:tcPr>
          <w:p w14:paraId="0F752E7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7500</w:t>
            </w:r>
          </w:p>
        </w:tc>
        <w:tc>
          <w:tcPr>
            <w:tcW w:w="1328" w:type="dxa"/>
            <w:vAlign w:val="center"/>
          </w:tcPr>
          <w:p w14:paraId="2F8833BF">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9000</w:t>
            </w:r>
          </w:p>
        </w:tc>
        <w:tc>
          <w:tcPr>
            <w:tcW w:w="1315" w:type="dxa"/>
            <w:vAlign w:val="center"/>
          </w:tcPr>
          <w:p w14:paraId="1BA528F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0"/>
                <w:szCs w:val="20"/>
                <w:highlight w:val="none"/>
                <w:u w:val="none"/>
                <w:lang w:eastAsia="zh-CN"/>
              </w:rPr>
            </w:pPr>
            <w:r>
              <w:rPr>
                <w:rFonts w:hint="eastAsia" w:ascii="宋体" w:hAnsi="宋体" w:cs="宋体"/>
                <w:color w:val="auto"/>
                <w:sz w:val="20"/>
                <w:szCs w:val="20"/>
                <w:highlight w:val="none"/>
                <w:u w:val="none"/>
                <w:lang w:eastAsia="zh-CN"/>
              </w:rPr>
              <w:t>现房</w:t>
            </w:r>
          </w:p>
        </w:tc>
      </w:tr>
    </w:tbl>
    <w:p w14:paraId="28B23F77">
      <w:pPr>
        <w:spacing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选择安置区的具体规定如下：</w:t>
      </w:r>
    </w:p>
    <w:p w14:paraId="3BF0A073">
      <w:pPr>
        <w:spacing w:line="600" w:lineRule="exact"/>
        <w:ind w:firstLine="640" w:firstLineChars="200"/>
        <w:rPr>
          <w:rFonts w:hint="eastAsia" w:ascii="仿宋_GB2312" w:eastAsia="仿宋_GB2312"/>
          <w:color w:val="auto"/>
          <w:kern w:val="0"/>
          <w:sz w:val="32"/>
          <w:szCs w:val="32"/>
          <w:highlight w:val="none"/>
          <w:u w:val="none"/>
          <w:lang w:val="zh-CN" w:eastAsia="zh-CN"/>
        </w:rPr>
      </w:pPr>
      <w:r>
        <w:rPr>
          <w:rFonts w:hint="eastAsia" w:ascii="仿宋_GB2312" w:eastAsia="仿宋_GB2312"/>
          <w:color w:val="auto"/>
          <w:kern w:val="0"/>
          <w:sz w:val="32"/>
          <w:szCs w:val="32"/>
          <w:highlight w:val="none"/>
          <w:u w:val="none"/>
          <w:lang w:val="zh-CN" w:eastAsia="zh-CN"/>
        </w:rPr>
        <w:t>拆迁区范围内的被征收人安置房可在一般房源龙东区域地块</w:t>
      </w:r>
      <w:r>
        <w:rPr>
          <w:rFonts w:hint="eastAsia" w:ascii="仿宋_GB2312" w:eastAsia="仿宋_GB2312"/>
          <w:color w:val="auto"/>
          <w:kern w:val="0"/>
          <w:sz w:val="32"/>
          <w:szCs w:val="32"/>
          <w:highlight w:val="none"/>
          <w:u w:val="none"/>
          <w:lang w:val="en-US" w:eastAsia="zh-CN"/>
        </w:rPr>
        <w:t>2</w:t>
      </w:r>
      <w:r>
        <w:rPr>
          <w:rFonts w:hint="eastAsia" w:ascii="仿宋_GB2312" w:eastAsia="仿宋_GB2312"/>
          <w:color w:val="auto"/>
          <w:kern w:val="0"/>
          <w:sz w:val="32"/>
          <w:szCs w:val="32"/>
          <w:highlight w:val="none"/>
          <w:u w:val="none"/>
          <w:lang w:val="zh-CN" w:eastAsia="zh-CN"/>
        </w:rPr>
        <w:t>、龙东区域地块</w:t>
      </w:r>
      <w:r>
        <w:rPr>
          <w:rFonts w:hint="eastAsia" w:ascii="仿宋_GB2312" w:eastAsia="仿宋_GB2312"/>
          <w:color w:val="auto"/>
          <w:kern w:val="0"/>
          <w:sz w:val="32"/>
          <w:szCs w:val="32"/>
          <w:highlight w:val="none"/>
          <w:u w:val="none"/>
          <w:lang w:val="en-US" w:eastAsia="zh-CN"/>
        </w:rPr>
        <w:t>3、龙东区域地块4、龙东区域地块5、优步花园小区（政府储备地2010-044B号地块）等安置区</w:t>
      </w:r>
      <w:r>
        <w:rPr>
          <w:rFonts w:hint="eastAsia" w:ascii="仿宋_GB2312" w:eastAsia="仿宋_GB2312"/>
          <w:color w:val="auto"/>
          <w:kern w:val="0"/>
          <w:sz w:val="32"/>
          <w:szCs w:val="32"/>
          <w:highlight w:val="none"/>
          <w:u w:val="none"/>
          <w:lang w:val="zh-CN" w:eastAsia="zh-CN"/>
        </w:rPr>
        <w:t>和统筹房源</w:t>
      </w:r>
      <w:r>
        <w:rPr>
          <w:rFonts w:hint="eastAsia" w:ascii="仿宋_GB2312" w:eastAsia="仿宋_GB2312"/>
          <w:color w:val="auto"/>
          <w:kern w:val="0"/>
          <w:sz w:val="32"/>
          <w:szCs w:val="32"/>
          <w:highlight w:val="none"/>
          <w:u w:val="none"/>
          <w:lang w:val="en-US" w:eastAsia="zh-CN"/>
        </w:rPr>
        <w:t>世茂璀璨天城（政府储备地2012-013A号地块）、中庚香澜（政府储备地2014-015号地块）等安置区</w:t>
      </w:r>
      <w:r>
        <w:rPr>
          <w:rFonts w:hint="eastAsia" w:ascii="仿宋_GB2312" w:eastAsia="仿宋_GB2312"/>
          <w:color w:val="auto"/>
          <w:kern w:val="0"/>
          <w:sz w:val="32"/>
          <w:szCs w:val="32"/>
          <w:highlight w:val="none"/>
          <w:u w:val="none"/>
          <w:lang w:val="zh-CN" w:eastAsia="zh-CN"/>
        </w:rPr>
        <w:t>中选择；其中单幢认定补偿安置面积大于</w:t>
      </w:r>
      <w:r>
        <w:rPr>
          <w:rFonts w:hint="eastAsia" w:ascii="仿宋_GB2312" w:eastAsia="仿宋_GB2312"/>
          <w:color w:val="auto"/>
          <w:kern w:val="0"/>
          <w:sz w:val="32"/>
          <w:szCs w:val="32"/>
          <w:highlight w:val="none"/>
          <w:u w:val="none"/>
          <w:lang w:val="en-US" w:eastAsia="zh-CN"/>
        </w:rPr>
        <w:t>150㎡小于600㎡的（不含150㎡和600㎡），</w:t>
      </w:r>
      <w:r>
        <w:rPr>
          <w:rFonts w:hint="eastAsia" w:ascii="仿宋_GB2312" w:eastAsia="仿宋_GB2312"/>
          <w:color w:val="auto"/>
          <w:kern w:val="0"/>
          <w:sz w:val="32"/>
          <w:szCs w:val="32"/>
          <w:highlight w:val="none"/>
          <w:u w:val="none"/>
          <w:lang w:val="zh-CN" w:eastAsia="zh-CN"/>
        </w:rPr>
        <w:t>只允许</w:t>
      </w:r>
      <w:r>
        <w:rPr>
          <w:rFonts w:hint="eastAsia" w:ascii="仿宋_GB2312" w:eastAsia="仿宋_GB2312"/>
          <w:color w:val="auto"/>
          <w:kern w:val="0"/>
          <w:sz w:val="32"/>
          <w:szCs w:val="32"/>
          <w:highlight w:val="none"/>
          <w:u w:val="none"/>
          <w:lang w:val="en-US" w:eastAsia="zh-CN"/>
        </w:rPr>
        <w:t>在</w:t>
      </w:r>
      <w:r>
        <w:rPr>
          <w:rFonts w:hint="eastAsia" w:ascii="仿宋_GB2312" w:eastAsia="仿宋_GB2312"/>
          <w:color w:val="auto"/>
          <w:kern w:val="0"/>
          <w:sz w:val="32"/>
          <w:szCs w:val="32"/>
          <w:highlight w:val="none"/>
          <w:u w:val="none"/>
          <w:lang w:val="zh-CN" w:eastAsia="zh-CN"/>
        </w:rPr>
        <w:t>一般房源中选择最多一套边套140㎡及以上户型,单幢房屋经认定补偿安置面积不小于600㎡的,可享受一般房源两套边套140㎡及以上户型房源；一个产权人拥有两幢或多幢房屋且认定补偿安置总面积大于450㎡,可享受一般房源不超过两套的边套140㎡及以上户型房源（</w:t>
      </w:r>
      <w:r>
        <w:rPr>
          <w:rFonts w:hint="eastAsia" w:ascii="仿宋_GB2312" w:eastAsia="仿宋_GB2312"/>
          <w:color w:val="auto"/>
          <w:kern w:val="0"/>
          <w:sz w:val="32"/>
          <w:szCs w:val="32"/>
          <w:highlight w:val="none"/>
          <w:u w:val="none"/>
          <w:shd w:val="clear" w:fill="FFFFFF"/>
          <w:lang w:val="zh-CN" w:eastAsia="zh-CN"/>
        </w:rPr>
        <w:t>以</w:t>
      </w:r>
      <w:r>
        <w:rPr>
          <w:rFonts w:hint="eastAsia" w:ascii="仿宋_GB2312" w:eastAsia="仿宋_GB2312"/>
          <w:color w:val="auto"/>
          <w:kern w:val="0"/>
          <w:sz w:val="32"/>
          <w:szCs w:val="32"/>
          <w:highlight w:val="none"/>
          <w:u w:val="none"/>
          <w:lang w:val="zh-CN" w:eastAsia="zh-CN"/>
        </w:rPr>
        <w:t>幢单位，从祠堂或祖厅分割出来的不计为一幢)。</w:t>
      </w:r>
    </w:p>
    <w:p w14:paraId="44C7B4B1">
      <w:pPr>
        <w:spacing w:line="600" w:lineRule="exact"/>
        <w:ind w:firstLine="640" w:firstLineChars="200"/>
        <w:rPr>
          <w:rFonts w:hint="eastAsia" w:ascii="仿宋_GB2312" w:eastAsia="仿宋_GB2312"/>
          <w:color w:val="auto"/>
          <w:kern w:val="0"/>
          <w:sz w:val="32"/>
          <w:szCs w:val="32"/>
          <w:highlight w:val="none"/>
          <w:u w:val="none"/>
          <w:lang w:val="zh-CN" w:eastAsia="zh-CN"/>
        </w:rPr>
      </w:pPr>
      <w:r>
        <w:rPr>
          <w:rFonts w:hint="eastAsia" w:ascii="仿宋_GB2312" w:eastAsia="仿宋_GB2312"/>
          <w:color w:val="auto"/>
          <w:kern w:val="0"/>
          <w:sz w:val="32"/>
          <w:szCs w:val="32"/>
          <w:highlight w:val="none"/>
          <w:u w:val="none"/>
          <w:lang w:val="zh-CN" w:eastAsia="zh-CN"/>
        </w:rPr>
        <w:t>被征收人若在协商期第1</w:t>
      </w:r>
      <w:r>
        <w:rPr>
          <w:rFonts w:hint="eastAsia" w:ascii="仿宋_GB2312" w:eastAsia="仿宋_GB2312"/>
          <w:color w:val="auto"/>
          <w:kern w:val="0"/>
          <w:sz w:val="32"/>
          <w:szCs w:val="32"/>
          <w:highlight w:val="none"/>
          <w:u w:val="none"/>
          <w:shd w:val="clear" w:fill="FFFFFF"/>
          <w:lang w:val="zh-CN" w:eastAsia="zh-CN"/>
        </w:rPr>
        <w:t>-</w:t>
      </w:r>
      <w:r>
        <w:rPr>
          <w:rFonts w:hint="eastAsia" w:ascii="仿宋_GB2312" w:eastAsia="仿宋_GB2312"/>
          <w:color w:val="auto"/>
          <w:kern w:val="0"/>
          <w:sz w:val="32"/>
          <w:szCs w:val="32"/>
          <w:highlight w:val="none"/>
          <w:u w:val="none"/>
          <w:lang w:val="zh-CN" w:eastAsia="zh-CN"/>
        </w:rPr>
        <w:t>30天内完成协议签订并封房交拆的,作为奖励,可以在奖励房源</w:t>
      </w:r>
      <w:r>
        <w:rPr>
          <w:rFonts w:hint="eastAsia" w:ascii="仿宋_GB2312" w:eastAsia="仿宋_GB2312"/>
          <w:color w:val="auto"/>
          <w:kern w:val="0"/>
          <w:sz w:val="32"/>
          <w:szCs w:val="32"/>
          <w:highlight w:val="none"/>
          <w:u w:val="none"/>
          <w:lang w:val="en-US" w:eastAsia="zh-CN"/>
        </w:rPr>
        <w:t>龙东区域地块1、政府储备地2015-025B号地块、政府储备地2020-029号地块、政府储备地2020-017号地块安置区</w:t>
      </w:r>
      <w:r>
        <w:rPr>
          <w:rFonts w:hint="eastAsia" w:ascii="仿宋_GB2312" w:eastAsia="仿宋_GB2312"/>
          <w:color w:val="auto"/>
          <w:kern w:val="0"/>
          <w:sz w:val="32"/>
          <w:szCs w:val="32"/>
          <w:highlight w:val="none"/>
          <w:u w:val="none"/>
          <w:lang w:val="zh-CN" w:eastAsia="zh-CN"/>
        </w:rPr>
        <w:t>中选择一套安置房,该奖励以幢为单位,每单位仅享受奖励一套,奖完为止,单元式住宅不享受该奖励;其中一个产权人拥有两幢或多幢房屋(从祠堂或祖厅分割出来的不计为一幢),各幢房屋认定补偿安置总面积大于450㎡,可享受不超过两套的奖励房源(140㎡及以上只能选择一套);一幢房屋有两本及以上产权证,系共有产权的,仅能给予一套奖励房源,系非共有产权的,可给予两套奖励房源(其中140㎡及以上只能选择一套）;一幢房屋经认定补偿安置房屋建筑面积不小于600 ㎡的,可享受两套奖励房源(140㎡及以上只能选择一套)，先到先得，选完为止。</w:t>
      </w:r>
    </w:p>
    <w:p w14:paraId="515BCD1A">
      <w:pPr>
        <w:spacing w:line="600" w:lineRule="exact"/>
        <w:ind w:firstLine="640" w:firstLineChars="200"/>
        <w:rPr>
          <w:rFonts w:hint="default" w:ascii="仿宋_GB2312" w:eastAsia="仿宋_GB2312"/>
          <w:color w:val="auto"/>
          <w:kern w:val="0"/>
          <w:sz w:val="32"/>
          <w:szCs w:val="32"/>
          <w:highlight w:val="none"/>
          <w:u w:val="none"/>
          <w:lang w:val="en-US" w:eastAsia="zh-CN"/>
        </w:rPr>
      </w:pPr>
      <w:r>
        <w:rPr>
          <w:rFonts w:hint="eastAsia" w:ascii="仿宋_GB2312" w:eastAsia="仿宋_GB2312"/>
          <w:color w:val="auto"/>
          <w:kern w:val="0"/>
          <w:sz w:val="32"/>
          <w:szCs w:val="32"/>
          <w:highlight w:val="none"/>
          <w:u w:val="none"/>
          <w:lang w:val="en-US" w:eastAsia="zh-CN"/>
        </w:rPr>
        <w:t>选择</w:t>
      </w:r>
      <w:r>
        <w:rPr>
          <w:rFonts w:hint="eastAsia" w:ascii="仿宋_GB2312" w:eastAsia="仿宋_GB2312"/>
          <w:color w:val="auto"/>
          <w:kern w:val="0"/>
          <w:sz w:val="32"/>
          <w:szCs w:val="32"/>
          <w:highlight w:val="none"/>
          <w:u w:val="none"/>
          <w:lang w:val="zh-CN" w:eastAsia="zh-CN"/>
        </w:rPr>
        <w:t>奖励房源和一般房源的</w:t>
      </w:r>
      <w:r>
        <w:rPr>
          <w:rFonts w:hint="eastAsia" w:ascii="仿宋_GB2312" w:eastAsia="仿宋_GB2312"/>
          <w:color w:val="auto"/>
          <w:kern w:val="0"/>
          <w:sz w:val="32"/>
          <w:szCs w:val="32"/>
          <w:highlight w:val="none"/>
          <w:u w:val="none"/>
          <w:lang w:val="en-US" w:eastAsia="zh-CN"/>
        </w:rPr>
        <w:t>140㎡及以上套型合计不得超过3套。</w:t>
      </w:r>
    </w:p>
    <w:p w14:paraId="65C7CB45">
      <w:pPr>
        <w:spacing w:line="60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kern w:val="0"/>
          <w:sz w:val="32"/>
          <w:szCs w:val="32"/>
          <w:highlight w:val="none"/>
          <w:u w:val="none"/>
          <w:lang w:val="zh-CN"/>
        </w:rPr>
        <w:t>选房时因安置房户型和建筑结构等原因，导致产权调换面积与实际安置面积无法完全相符时的选房规定。</w:t>
      </w:r>
      <w:r>
        <w:rPr>
          <w:rFonts w:hint="eastAsia" w:ascii="仿宋_GB2312" w:eastAsia="仿宋_GB2312"/>
          <w:b w:val="0"/>
          <w:bCs w:val="0"/>
          <w:color w:val="auto"/>
          <w:kern w:val="0"/>
          <w:sz w:val="32"/>
          <w:szCs w:val="32"/>
          <w:highlight w:val="none"/>
          <w:u w:val="none"/>
          <w:lang w:val="zh-CN" w:eastAsia="zh-CN"/>
        </w:rPr>
        <w:t>选择的安置房面积可上靠或下调，选择上靠</w:t>
      </w:r>
      <w:r>
        <w:rPr>
          <w:rFonts w:hint="eastAsia" w:ascii="仿宋_GB2312" w:eastAsia="仿宋_GB2312"/>
          <w:b w:val="0"/>
          <w:bCs w:val="0"/>
          <w:color w:val="auto"/>
          <w:kern w:val="0"/>
          <w:sz w:val="32"/>
          <w:szCs w:val="32"/>
          <w:highlight w:val="none"/>
          <w:u w:val="none"/>
          <w:shd w:val="clear" w:fill="FFFFFF"/>
          <w:lang w:val="zh-CN" w:eastAsia="zh-CN"/>
        </w:rPr>
        <w:t>的</w:t>
      </w:r>
      <w:bookmarkStart w:id="6" w:name="_GoBack"/>
      <w:bookmarkEnd w:id="6"/>
      <w:r>
        <w:rPr>
          <w:rFonts w:hint="eastAsia" w:ascii="仿宋_GB2312" w:eastAsia="仿宋_GB2312"/>
          <w:b w:val="0"/>
          <w:bCs w:val="0"/>
          <w:color w:val="auto"/>
          <w:kern w:val="0"/>
          <w:sz w:val="32"/>
          <w:szCs w:val="32"/>
          <w:highlight w:val="none"/>
          <w:u w:val="none"/>
          <w:lang w:val="zh-CN"/>
        </w:rPr>
        <w:t>安置房面积原则上应按最接近产权调换面积，并应严格按以下规定执行。全部选择产权调换的，</w:t>
      </w:r>
      <w:r>
        <w:rPr>
          <w:rFonts w:hint="eastAsia" w:ascii="仿宋_GB2312" w:eastAsia="仿宋_GB2312"/>
          <w:color w:val="auto"/>
          <w:kern w:val="0"/>
          <w:sz w:val="32"/>
          <w:szCs w:val="32"/>
          <w:highlight w:val="none"/>
          <w:u w:val="none"/>
          <w:lang w:val="zh-CN"/>
        </w:rPr>
        <w:t>被征收人选择安置房的面积上限为：</w:t>
      </w:r>
      <w:r>
        <w:rPr>
          <w:rFonts w:hint="eastAsia" w:ascii="仿宋_GB2312" w:eastAsia="仿宋_GB2312"/>
          <w:color w:val="auto"/>
          <w:sz w:val="32"/>
          <w:szCs w:val="32"/>
          <w:highlight w:val="none"/>
          <w:u w:val="none"/>
          <w:lang w:val="zh-CN"/>
        </w:rPr>
        <w:t>总层数为二层以下（含二层）按认定补偿安置面积的1.25倍+照顾购买面积；总层数为三层及以上按认定补偿安置面积的1.15倍（超出的0.25倍或0.15倍以内面积的价格按上表收取）。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color w:val="auto"/>
          <w:kern w:val="0"/>
          <w:sz w:val="32"/>
          <w:szCs w:val="32"/>
          <w:highlight w:val="none"/>
          <w:u w:val="none"/>
          <w:lang w:val="zh-CN"/>
        </w:rPr>
        <w:t>选择部分产权调换与部分货币补偿相结合的，被征收人选择产权调换面积与选择货币补偿面积的总和不得超过被征收房屋认定补偿安置面积与照顾购买面积的和。</w:t>
      </w:r>
    </w:p>
    <w:p w14:paraId="551323C7">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被征收房屋认定补偿安置</w:t>
      </w:r>
      <w:r>
        <w:rPr>
          <w:rFonts w:hint="eastAsia" w:ascii="仿宋_GB2312" w:eastAsia="仿宋_GB2312"/>
          <w:color w:val="auto"/>
          <w:sz w:val="32"/>
          <w:szCs w:val="32"/>
          <w:highlight w:val="none"/>
          <w:u w:val="none"/>
          <w:lang w:val="zh-CN"/>
        </w:rPr>
        <w:t>面积小于30㎡</w:t>
      </w:r>
      <w:r>
        <w:rPr>
          <w:rFonts w:hint="eastAsia" w:ascii="仿宋_GB2312" w:hAnsi="仿宋_GB2312" w:eastAsia="仿宋_GB2312" w:cs="仿宋_GB2312"/>
          <w:color w:val="auto"/>
          <w:sz w:val="32"/>
          <w:szCs w:val="32"/>
          <w:highlight w:val="none"/>
          <w:u w:val="none"/>
          <w:lang w:val="zh-CN"/>
        </w:rPr>
        <w:t>（含</w:t>
      </w:r>
      <w:r>
        <w:rPr>
          <w:rFonts w:hint="eastAsia" w:ascii="仿宋_GB2312" w:eastAsia="仿宋_GB2312"/>
          <w:color w:val="auto"/>
          <w:sz w:val="32"/>
          <w:szCs w:val="32"/>
          <w:highlight w:val="none"/>
          <w:u w:val="none"/>
          <w:lang w:val="zh-CN"/>
        </w:rPr>
        <w:t>30㎡</w:t>
      </w:r>
      <w:r>
        <w:rPr>
          <w:rFonts w:hint="eastAsia" w:ascii="仿宋_GB2312" w:hAnsi="仿宋_GB2312" w:eastAsia="仿宋_GB2312" w:cs="仿宋_GB2312"/>
          <w:color w:val="auto"/>
          <w:sz w:val="32"/>
          <w:szCs w:val="32"/>
          <w:highlight w:val="none"/>
          <w:u w:val="none"/>
          <w:lang w:val="zh-CN"/>
        </w:rPr>
        <w:t>）的，原则上实行货币补偿；如被征收人在本区域内有</w:t>
      </w:r>
      <w:r>
        <w:rPr>
          <w:rFonts w:hint="eastAsia" w:ascii="仿宋_GB2312" w:hAnsi="仿宋_GB2312" w:eastAsia="仿宋_GB2312" w:cs="仿宋_GB2312"/>
          <w:color w:val="auto"/>
          <w:sz w:val="32"/>
          <w:szCs w:val="32"/>
          <w:highlight w:val="none"/>
          <w:u w:val="none"/>
          <w:shd w:val="clear" w:fill="FFFFFF"/>
          <w:lang w:val="zh-CN"/>
        </w:rPr>
        <w:t>其它被</w:t>
      </w:r>
      <w:r>
        <w:rPr>
          <w:rFonts w:hint="eastAsia" w:ascii="仿宋_GB2312" w:hAnsi="仿宋_GB2312" w:eastAsia="仿宋_GB2312" w:cs="仿宋_GB2312"/>
          <w:color w:val="auto"/>
          <w:sz w:val="32"/>
          <w:szCs w:val="32"/>
          <w:highlight w:val="none"/>
          <w:u w:val="none"/>
          <w:lang w:val="zh-CN"/>
        </w:rPr>
        <w:t>征收房屋的（含共有产权析产所得份额），可合并安置</w:t>
      </w:r>
      <w:r>
        <w:rPr>
          <w:rFonts w:hint="eastAsia" w:ascii="仿宋_GB2312" w:eastAsia="仿宋_GB2312"/>
          <w:color w:val="auto"/>
          <w:sz w:val="32"/>
          <w:szCs w:val="32"/>
          <w:highlight w:val="none"/>
          <w:u w:val="none"/>
          <w:lang w:val="zh-CN"/>
        </w:rPr>
        <w:t>。</w:t>
      </w:r>
    </w:p>
    <w:p w14:paraId="16E28B7B">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二</w:t>
      </w:r>
      <w:r>
        <w:rPr>
          <w:rFonts w:hint="eastAsia" w:ascii="仿宋_GB2312" w:eastAsia="仿宋_GB2312"/>
          <w:b/>
          <w:color w:val="auto"/>
          <w:sz w:val="32"/>
          <w:szCs w:val="32"/>
          <w:highlight w:val="none"/>
          <w:u w:val="none"/>
          <w:lang w:val="zh-CN"/>
        </w:rPr>
        <w:t>、搬迁过渡</w:t>
      </w:r>
    </w:p>
    <w:p w14:paraId="27951B2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（一）搬迁补助</w:t>
      </w:r>
    </w:p>
    <w:p w14:paraId="3ABDC521">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根据经认定补偿安置面积，</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15</w:t>
      </w:r>
      <w:r>
        <w:rPr>
          <w:rFonts w:hint="eastAsia" w:ascii="仿宋_GB2312" w:eastAsia="仿宋_GB2312"/>
          <w:color w:val="auto"/>
          <w:sz w:val="32"/>
          <w:szCs w:val="32"/>
          <w:highlight w:val="none"/>
          <w:u w:val="none"/>
          <w:lang w:val="zh-CN"/>
        </w:rPr>
        <w:t>元/㎡标准计算搬迁费一次；如选择产权调换的，再按产权调换面积（不含照顾购买面积）计算一次</w:t>
      </w:r>
      <w:r>
        <w:rPr>
          <w:rFonts w:hint="eastAsia" w:ascii="仿宋_GB2312" w:eastAsia="仿宋_GB2312"/>
          <w:color w:val="auto"/>
          <w:sz w:val="32"/>
          <w:szCs w:val="32"/>
          <w:highlight w:val="none"/>
          <w:u w:val="none"/>
          <w:lang w:val="zh-CN" w:eastAsia="zh-CN"/>
        </w:rPr>
        <w:t>，不足1000元的按1000元计算。</w:t>
      </w:r>
    </w:p>
    <w:p w14:paraId="0DFF714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（二）临时过渡</w:t>
      </w:r>
    </w:p>
    <w:p w14:paraId="33BD9F68">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过渡期限：自被征收人签订协议并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之日</w:t>
      </w:r>
      <w:r>
        <w:rPr>
          <w:rFonts w:hint="eastAsia" w:ascii="仿宋_GB2312" w:eastAsia="仿宋_GB2312"/>
          <w:color w:val="auto"/>
          <w:sz w:val="32"/>
          <w:szCs w:val="32"/>
          <w:highlight w:val="none"/>
          <w:u w:val="none"/>
          <w:lang w:val="zh-CN" w:eastAsia="zh-CN"/>
        </w:rPr>
        <w:t>算</w:t>
      </w:r>
      <w:r>
        <w:rPr>
          <w:rFonts w:hint="eastAsia" w:ascii="仿宋_GB2312" w:eastAsia="仿宋_GB2312"/>
          <w:color w:val="auto"/>
          <w:sz w:val="32"/>
          <w:szCs w:val="32"/>
          <w:highlight w:val="none"/>
          <w:u w:val="none"/>
          <w:lang w:val="zh-CN"/>
        </w:rPr>
        <w:t>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选择不同安置区的具体过渡期限详见“十一、安置办法”中的表格</w:t>
      </w:r>
      <w:r>
        <w:rPr>
          <w:rFonts w:hint="eastAsia" w:ascii="仿宋_GB2312" w:eastAsia="仿宋_GB2312"/>
          <w:color w:val="auto"/>
          <w:sz w:val="32"/>
          <w:szCs w:val="32"/>
          <w:highlight w:val="none"/>
          <w:u w:val="none"/>
        </w:rPr>
        <w:t>。</w:t>
      </w:r>
    </w:p>
    <w:p w14:paraId="5A9B7282">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过渡方式：鼓励被征收人自行过渡</w:t>
      </w:r>
      <w:r>
        <w:rPr>
          <w:rFonts w:hint="eastAsia" w:ascii="仿宋_GB2312" w:eastAsia="仿宋_GB2312"/>
          <w:color w:val="auto"/>
          <w:sz w:val="32"/>
          <w:szCs w:val="32"/>
          <w:highlight w:val="none"/>
          <w:u w:val="none"/>
          <w:lang w:val="zh-CN" w:eastAsia="zh-CN"/>
        </w:rPr>
        <w:t>并予奖励</w:t>
      </w:r>
      <w:r>
        <w:rPr>
          <w:rFonts w:hint="eastAsia" w:ascii="仿宋_GB2312" w:eastAsia="仿宋_GB2312"/>
          <w:color w:val="auto"/>
          <w:sz w:val="32"/>
          <w:szCs w:val="32"/>
          <w:highlight w:val="none"/>
          <w:u w:val="none"/>
          <w:lang w:val="zh-CN"/>
        </w:rPr>
        <w:t>；自行过渡确有困难的，可申请安排临时周转房过渡，有使用临时周转房的</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不予发放临时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3366F87B">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3</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补助标准：根据产权调换面积（不含照顾购买面积）按</w:t>
      </w:r>
      <w:r>
        <w:rPr>
          <w:rFonts w:hint="eastAsia" w:ascii="仿宋_GB2312" w:eastAsia="仿宋_GB2312"/>
          <w:color w:val="auto"/>
          <w:sz w:val="32"/>
          <w:szCs w:val="32"/>
          <w:highlight w:val="none"/>
          <w:u w:val="none"/>
          <w:lang w:val="zh-CN" w:eastAsia="zh-CN"/>
        </w:rPr>
        <w:t>10</w:t>
      </w:r>
      <w:r>
        <w:rPr>
          <w:rFonts w:hint="eastAsia" w:ascii="仿宋_GB2312" w:eastAsia="仿宋_GB2312"/>
          <w:color w:val="auto"/>
          <w:sz w:val="32"/>
          <w:szCs w:val="32"/>
          <w:highlight w:val="none"/>
          <w:u w:val="none"/>
          <w:lang w:val="zh-CN"/>
        </w:rPr>
        <w:t>元/㎡·月标准计算。</w:t>
      </w:r>
    </w:p>
    <w:p w14:paraId="798967D0">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4</w:t>
      </w:r>
      <w:r>
        <w:rPr>
          <w:rFonts w:hint="eastAsia" w:ascii="仿宋_GB2312" w:eastAsia="仿宋_GB2312"/>
          <w:color w:val="auto"/>
          <w:sz w:val="32"/>
          <w:szCs w:val="32"/>
          <w:highlight w:val="none"/>
          <w:u w:val="none"/>
          <w:lang w:val="zh-CN" w:eastAsia="zh-CN"/>
        </w:rPr>
        <w:t>、选择货币补偿的及现房产权调换的，给予发放6</w:t>
      </w:r>
      <w:r>
        <w:rPr>
          <w:rFonts w:hint="eastAsia" w:ascii="仿宋_GB2312" w:eastAsia="仿宋_GB2312"/>
          <w:color w:val="auto"/>
          <w:sz w:val="32"/>
          <w:szCs w:val="32"/>
          <w:highlight w:val="none"/>
          <w:u w:val="none"/>
          <w:lang w:val="zh-CN"/>
        </w:rPr>
        <w:t>个月临时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3ADE1F45">
      <w:pPr>
        <w:pStyle w:val="2"/>
        <w:shd w:val="clear" w:color="auto" w:fill="auto"/>
        <w:spacing w:after="0" w:line="600" w:lineRule="exact"/>
        <w:ind w:firstLine="800" w:firstLineChars="25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5</w:t>
      </w:r>
      <w:r>
        <w:rPr>
          <w:rFonts w:hint="eastAsia" w:ascii="仿宋_GB2312" w:eastAsia="仿宋_GB2312"/>
          <w:color w:val="auto"/>
          <w:sz w:val="32"/>
          <w:szCs w:val="32"/>
          <w:highlight w:val="none"/>
          <w:u w:val="none"/>
          <w:lang w:val="zh-CN" w:eastAsia="zh-CN"/>
        </w:rPr>
        <w:t>、属</w:t>
      </w:r>
      <w:r>
        <w:rPr>
          <w:rFonts w:hint="eastAsia" w:ascii="仿宋_GB2312" w:eastAsia="仿宋_GB2312"/>
          <w:color w:val="auto"/>
          <w:sz w:val="32"/>
          <w:szCs w:val="32"/>
          <w:highlight w:val="none"/>
          <w:u w:val="none"/>
          <w:lang w:val="zh-CN"/>
        </w:rPr>
        <w:t>非被征收人责任</w:t>
      </w:r>
      <w:r>
        <w:rPr>
          <w:rFonts w:hint="eastAsia" w:ascii="仿宋_GB2312" w:eastAsia="仿宋_GB2312"/>
          <w:color w:val="auto"/>
          <w:sz w:val="32"/>
          <w:szCs w:val="32"/>
          <w:highlight w:val="none"/>
          <w:u w:val="none"/>
          <w:lang w:val="zh-CN" w:eastAsia="zh-CN"/>
        </w:rPr>
        <w:t>造成</w:t>
      </w:r>
      <w:r>
        <w:rPr>
          <w:rFonts w:hint="eastAsia" w:ascii="仿宋_GB2312" w:eastAsia="仿宋_GB2312"/>
          <w:color w:val="auto"/>
          <w:sz w:val="32"/>
          <w:szCs w:val="32"/>
          <w:highlight w:val="none"/>
          <w:u w:val="none"/>
          <w:lang w:val="zh-CN"/>
        </w:rPr>
        <w:t>超出</w:t>
      </w:r>
      <w:r>
        <w:rPr>
          <w:rFonts w:hint="eastAsia" w:ascii="仿宋_GB2312" w:eastAsia="仿宋_GB2312"/>
          <w:color w:val="auto"/>
          <w:sz w:val="32"/>
          <w:szCs w:val="32"/>
          <w:highlight w:val="none"/>
          <w:u w:val="none"/>
          <w:lang w:val="zh-CN" w:eastAsia="zh-CN"/>
        </w:rPr>
        <w:t>过渡期限的</w:t>
      </w:r>
      <w:r>
        <w:rPr>
          <w:rFonts w:hint="eastAsia" w:ascii="仿宋_GB2312" w:eastAsia="仿宋_GB2312"/>
          <w:color w:val="auto"/>
          <w:sz w:val="32"/>
          <w:szCs w:val="32"/>
          <w:highlight w:val="none"/>
          <w:u w:val="none"/>
          <w:lang w:val="zh-CN"/>
        </w:rPr>
        <w:t>，对自行过渡的被征收人，从逾期之日起，按</w:t>
      </w:r>
      <w:r>
        <w:rPr>
          <w:rFonts w:hint="eastAsia" w:ascii="仿宋_GB2312" w:eastAsia="仿宋_GB2312"/>
          <w:color w:val="auto"/>
          <w:sz w:val="32"/>
          <w:szCs w:val="32"/>
          <w:highlight w:val="none"/>
          <w:u w:val="none"/>
          <w:lang w:val="zh-CN" w:eastAsia="zh-CN"/>
        </w:rPr>
        <w:t>双倍给予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r>
        <w:rPr>
          <w:rFonts w:hint="eastAsia" w:ascii="仿宋_GB2312" w:eastAsia="仿宋_GB2312"/>
          <w:color w:val="auto"/>
          <w:sz w:val="32"/>
          <w:szCs w:val="32"/>
          <w:highlight w:val="none"/>
          <w:u w:val="none"/>
          <w:lang w:val="en-US" w:eastAsia="zh-CN"/>
        </w:rPr>
        <w:t>,提前交房的安置区提前时间在3个月内的不扣过渡费，超过3个月的部分扣回过渡费</w:t>
      </w:r>
      <w:r>
        <w:rPr>
          <w:rFonts w:hint="eastAsia" w:ascii="仿宋_GB2312" w:eastAsia="仿宋_GB2312"/>
          <w:color w:val="auto"/>
          <w:sz w:val="32"/>
          <w:szCs w:val="32"/>
          <w:highlight w:val="none"/>
          <w:u w:val="none"/>
          <w:lang w:val="zh-CN"/>
        </w:rPr>
        <w:t>；对使用过渡周转房的，从逾期之日起，按</w:t>
      </w:r>
      <w:r>
        <w:rPr>
          <w:rFonts w:hint="eastAsia" w:ascii="仿宋_GB2312" w:eastAsia="仿宋_GB2312"/>
          <w:color w:val="auto"/>
          <w:sz w:val="32"/>
          <w:szCs w:val="32"/>
          <w:highlight w:val="none"/>
          <w:u w:val="none"/>
          <w:lang w:val="zh-CN" w:eastAsia="zh-CN"/>
        </w:rPr>
        <w:t>正常标准给予</w:t>
      </w:r>
      <w:r>
        <w:rPr>
          <w:rFonts w:hint="eastAsia" w:ascii="仿宋_GB2312" w:eastAsia="仿宋_GB2312"/>
          <w:color w:val="auto"/>
          <w:sz w:val="32"/>
          <w:szCs w:val="32"/>
          <w:highlight w:val="none"/>
          <w:u w:val="none"/>
          <w:lang w:val="zh-CN"/>
        </w:rPr>
        <w:t>发放住宅临时</w:t>
      </w:r>
      <w:r>
        <w:rPr>
          <w:rFonts w:hint="eastAsia" w:ascii="仿宋_GB2312" w:eastAsia="仿宋_GB2312"/>
          <w:color w:val="auto"/>
          <w:sz w:val="32"/>
          <w:szCs w:val="32"/>
          <w:highlight w:val="none"/>
          <w:u w:val="none"/>
          <w:lang w:val="zh-CN" w:eastAsia="zh-CN"/>
        </w:rPr>
        <w:t>过渡</w:t>
      </w:r>
      <w:r>
        <w:rPr>
          <w:rFonts w:hint="eastAsia" w:ascii="仿宋_GB2312" w:eastAsia="仿宋_GB2312"/>
          <w:color w:val="auto"/>
          <w:sz w:val="32"/>
          <w:szCs w:val="32"/>
          <w:highlight w:val="none"/>
          <w:u w:val="none"/>
          <w:lang w:val="zh-CN"/>
        </w:rPr>
        <w:t>费。</w:t>
      </w:r>
    </w:p>
    <w:p w14:paraId="18F73032">
      <w:pPr>
        <w:pStyle w:val="2"/>
        <w:shd w:val="clear" w:color="auto" w:fill="auto"/>
        <w:spacing w:after="0" w:line="600" w:lineRule="exact"/>
        <w:ind w:firstLine="803" w:firstLineChars="25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十三、签约协商期限</w:t>
      </w:r>
    </w:p>
    <w:p w14:paraId="7F73DF8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本项目红线范围内房屋征收签约协商期限规定如下：</w:t>
      </w:r>
    </w:p>
    <w:p w14:paraId="171CA4C4">
      <w:pPr>
        <w:pStyle w:val="2"/>
        <w:shd w:val="clear" w:color="auto" w:fill="auto"/>
        <w:spacing w:after="0" w:line="600" w:lineRule="exact"/>
        <w:ind w:firstLine="480" w:firstLineChars="15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）宣传发动和房屋权属、面积核对阶段：自本方案发布</w:t>
      </w:r>
    </w:p>
    <w:p w14:paraId="5E31F77C">
      <w:pPr>
        <w:pStyle w:val="2"/>
        <w:shd w:val="clear" w:color="auto" w:fill="auto"/>
        <w:spacing w:after="0" w:line="600" w:lineRule="exact"/>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之日起</w:t>
      </w:r>
      <w:r>
        <w:rPr>
          <w:rFonts w:hint="eastAsia" w:ascii="仿宋_GB2312" w:eastAsia="仿宋_GB2312"/>
          <w:color w:val="auto"/>
          <w:sz w:val="32"/>
          <w:szCs w:val="32"/>
          <w:highlight w:val="none"/>
          <w:u w:val="none"/>
          <w:lang w:val="zh-CN" w:eastAsia="zh-CN"/>
        </w:rPr>
        <w:t>至协商签约期限开始日</w:t>
      </w:r>
      <w:r>
        <w:rPr>
          <w:rFonts w:hint="eastAsia" w:ascii="仿宋_GB2312" w:eastAsia="仿宋_GB2312"/>
          <w:color w:val="auto"/>
          <w:sz w:val="32"/>
          <w:szCs w:val="32"/>
          <w:highlight w:val="none"/>
          <w:u w:val="none"/>
          <w:lang w:val="zh-CN"/>
        </w:rPr>
        <w:t>，该阶段达成协议，可提前签约。</w:t>
      </w:r>
    </w:p>
    <w:p w14:paraId="46AB0859">
      <w:pPr>
        <w:pStyle w:val="2"/>
        <w:shd w:val="clear" w:color="auto" w:fill="auto"/>
        <w:spacing w:after="0" w:line="600" w:lineRule="exact"/>
        <w:ind w:left="319" w:leftChars="152" w:firstLine="160" w:firstLineChars="50"/>
        <w:rPr>
          <w:rFonts w:hint="eastAsia" w:ascii="仿宋_GB2312" w:eastAsia="仿宋_GB2312"/>
          <w:b w:val="0"/>
          <w:bCs w:val="0"/>
          <w:color w:val="auto"/>
          <w:sz w:val="32"/>
          <w:szCs w:val="32"/>
          <w:highlight w:val="none"/>
          <w:u w:val="none"/>
          <w:lang w:val="zh-CN" w:eastAsia="zh-CN"/>
        </w:rPr>
      </w:pPr>
      <w:r>
        <w:rPr>
          <w:rFonts w:hint="eastAsia" w:ascii="仿宋_GB2312" w:eastAsia="仿宋_GB2312"/>
          <w:b w:val="0"/>
          <w:bCs w:val="0"/>
          <w:color w:val="auto"/>
          <w:sz w:val="32"/>
          <w:szCs w:val="32"/>
          <w:highlight w:val="none"/>
          <w:u w:val="none"/>
          <w:lang w:val="zh-CN" w:eastAsia="zh-CN"/>
        </w:rPr>
        <w:t>（二）房屋征收协商签约期限：以正式方案公布为准。</w:t>
      </w:r>
    </w:p>
    <w:p w14:paraId="340AC6DA">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rPr>
      </w:pPr>
      <w:r>
        <w:rPr>
          <w:rFonts w:hint="eastAsia" w:ascii="仿宋_GB2312" w:eastAsia="仿宋_GB2312"/>
          <w:b/>
          <w:color w:val="auto"/>
          <w:sz w:val="32"/>
          <w:szCs w:val="32"/>
          <w:highlight w:val="none"/>
          <w:u w:val="none"/>
          <w:lang w:val="zh-CN"/>
        </w:rPr>
        <w:t>十</w:t>
      </w:r>
      <w:r>
        <w:rPr>
          <w:rFonts w:hint="eastAsia" w:ascii="仿宋_GB2312" w:eastAsia="仿宋_GB2312"/>
          <w:b/>
          <w:color w:val="auto"/>
          <w:sz w:val="32"/>
          <w:szCs w:val="32"/>
          <w:highlight w:val="none"/>
          <w:u w:val="none"/>
          <w:lang w:val="zh-CN" w:eastAsia="zh-CN"/>
        </w:rPr>
        <w:t>四</w:t>
      </w:r>
      <w:r>
        <w:rPr>
          <w:rFonts w:hint="eastAsia" w:ascii="仿宋_GB2312" w:eastAsia="仿宋_GB2312"/>
          <w:b/>
          <w:color w:val="auto"/>
          <w:sz w:val="32"/>
          <w:szCs w:val="32"/>
          <w:highlight w:val="none"/>
          <w:u w:val="none"/>
          <w:lang w:val="zh-CN"/>
        </w:rPr>
        <w:t>、奖励措施</w:t>
      </w:r>
    </w:p>
    <w:p w14:paraId="4175ABE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0CCECCA4">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742FD1B0">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39E120CC">
      <w:pPr>
        <w:pStyle w:val="2"/>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2B51D9F4">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0079BBF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3、</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安置的补</w:t>
      </w:r>
      <w:r>
        <w:rPr>
          <w:rFonts w:hint="eastAsia" w:ascii="仿宋_GB2312" w:eastAsia="仿宋_GB2312"/>
          <w:color w:val="auto"/>
          <w:sz w:val="32"/>
          <w:szCs w:val="32"/>
          <w:highlight w:val="none"/>
          <w:u w:val="none"/>
          <w:lang w:val="zh-CN" w:eastAsia="zh-CN"/>
        </w:rPr>
        <w:t>差：选择货币补偿，</w:t>
      </w:r>
      <w:r>
        <w:rPr>
          <w:rFonts w:hint="eastAsia" w:ascii="仿宋_GB2312" w:eastAsia="仿宋_GB2312"/>
          <w:color w:val="auto"/>
          <w:sz w:val="32"/>
          <w:szCs w:val="32"/>
          <w:highlight w:val="none"/>
          <w:u w:val="none"/>
          <w:lang w:val="zh-CN"/>
        </w:rPr>
        <w:t>放弃</w:t>
      </w:r>
      <w:r>
        <w:rPr>
          <w:rFonts w:hint="eastAsia" w:ascii="仿宋_GB2312" w:eastAsia="仿宋_GB2312"/>
          <w:color w:val="auto"/>
          <w:sz w:val="32"/>
          <w:szCs w:val="32"/>
          <w:highlight w:val="none"/>
          <w:u w:val="none"/>
          <w:lang w:val="zh-CN" w:eastAsia="zh-CN"/>
        </w:rPr>
        <w:t>产权调换</w:t>
      </w:r>
      <w:r>
        <w:rPr>
          <w:rFonts w:hint="eastAsia" w:ascii="仿宋_GB2312" w:eastAsia="仿宋_GB2312"/>
          <w:color w:val="auto"/>
          <w:sz w:val="32"/>
          <w:szCs w:val="32"/>
          <w:highlight w:val="none"/>
          <w:u w:val="none"/>
          <w:lang w:val="zh-CN"/>
        </w:rPr>
        <w:t>安置的，按经认定</w:t>
      </w:r>
      <w:r>
        <w:rPr>
          <w:rFonts w:hint="eastAsia" w:ascii="仿宋_GB2312" w:eastAsia="仿宋_GB2312"/>
          <w:color w:val="auto"/>
          <w:sz w:val="32"/>
          <w:szCs w:val="32"/>
          <w:highlight w:val="none"/>
          <w:u w:val="none"/>
          <w:lang w:val="zh-CN" w:eastAsia="zh-CN"/>
        </w:rPr>
        <w:t>补偿安置面积总四层及以下的给予</w:t>
      </w:r>
      <w:r>
        <w:rPr>
          <w:rFonts w:hint="eastAsia" w:ascii="仿宋_GB2312" w:eastAsia="仿宋_GB2312"/>
          <w:color w:val="auto"/>
          <w:w w:val="100"/>
          <w:sz w:val="32"/>
          <w:szCs w:val="32"/>
          <w:highlight w:val="none"/>
          <w:u w:val="none"/>
          <w:lang w:val="en-US" w:eastAsia="zh-CN"/>
        </w:rPr>
        <w:t>3300</w:t>
      </w:r>
      <w:r>
        <w:rPr>
          <w:rFonts w:hint="eastAsia" w:ascii="仿宋_GB2312" w:eastAsia="仿宋_GB2312"/>
          <w:color w:val="auto"/>
          <w:sz w:val="32"/>
          <w:szCs w:val="32"/>
          <w:highlight w:val="none"/>
          <w:u w:val="none"/>
          <w:lang w:val="zh-CN" w:eastAsia="zh-CN"/>
        </w:rPr>
        <w:t>元/㎡补差款；超过四层的房屋，四层及以下给予</w:t>
      </w:r>
      <w:r>
        <w:rPr>
          <w:rFonts w:hint="eastAsia" w:ascii="仿宋_GB2312" w:eastAsia="仿宋_GB2312"/>
          <w:color w:val="auto"/>
          <w:w w:val="100"/>
          <w:sz w:val="32"/>
          <w:szCs w:val="32"/>
          <w:highlight w:val="none"/>
          <w:u w:val="none"/>
          <w:lang w:val="en-US" w:eastAsia="zh-CN"/>
        </w:rPr>
        <w:t>3300</w:t>
      </w:r>
      <w:r>
        <w:rPr>
          <w:rFonts w:hint="eastAsia" w:ascii="仿宋_GB2312" w:eastAsia="仿宋_GB2312"/>
          <w:color w:val="auto"/>
          <w:sz w:val="32"/>
          <w:szCs w:val="32"/>
          <w:highlight w:val="none"/>
          <w:u w:val="none"/>
          <w:lang w:val="zh-CN" w:eastAsia="zh-CN"/>
        </w:rPr>
        <w:t>元/㎡补差款，五层部分给予</w:t>
      </w:r>
      <w:r>
        <w:rPr>
          <w:rFonts w:hint="eastAsia" w:ascii="仿宋_GB2312" w:eastAsia="仿宋_GB2312"/>
          <w:color w:val="auto"/>
          <w:w w:val="100"/>
          <w:sz w:val="32"/>
          <w:szCs w:val="32"/>
          <w:highlight w:val="none"/>
          <w:u w:val="none"/>
          <w:lang w:val="en-US" w:eastAsia="zh-CN"/>
        </w:rPr>
        <w:t>2500</w:t>
      </w:r>
      <w:r>
        <w:rPr>
          <w:rFonts w:hint="eastAsia" w:ascii="仿宋_GB2312" w:eastAsia="仿宋_GB2312"/>
          <w:color w:val="auto"/>
          <w:sz w:val="32"/>
          <w:szCs w:val="32"/>
          <w:highlight w:val="none"/>
          <w:u w:val="none"/>
          <w:lang w:val="zh-CN" w:eastAsia="zh-CN"/>
        </w:rPr>
        <w:t>元/㎡补差款，六层部分给予</w:t>
      </w:r>
      <w:r>
        <w:rPr>
          <w:rFonts w:hint="eastAsia" w:ascii="仿宋_GB2312" w:eastAsia="仿宋_GB2312"/>
          <w:color w:val="auto"/>
          <w:w w:val="100"/>
          <w:sz w:val="32"/>
          <w:szCs w:val="32"/>
          <w:highlight w:val="none"/>
          <w:u w:val="none"/>
          <w:lang w:val="en-US" w:eastAsia="zh-CN"/>
        </w:rPr>
        <w:t>1500</w:t>
      </w:r>
      <w:r>
        <w:rPr>
          <w:rFonts w:hint="eastAsia" w:ascii="仿宋_GB2312" w:eastAsia="仿宋_GB2312"/>
          <w:color w:val="auto"/>
          <w:sz w:val="32"/>
          <w:szCs w:val="32"/>
          <w:highlight w:val="none"/>
          <w:u w:val="none"/>
          <w:lang w:val="zh-CN" w:eastAsia="zh-CN"/>
        </w:rPr>
        <w:t>元/㎡补差款，七层及以上部分不再补差。放弃产权调换安置的，其照顾购买面积不予补差。</w:t>
      </w:r>
    </w:p>
    <w:p w14:paraId="25CBFBB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eastAsia="zh-CN"/>
        </w:rPr>
        <w:t>埕地、空地奖励：征收未经审批和</w:t>
      </w:r>
      <w:r>
        <w:rPr>
          <w:rFonts w:hint="eastAsia" w:ascii="仿宋_GB2312" w:eastAsia="仿宋_GB2312"/>
          <w:color w:val="auto"/>
          <w:sz w:val="32"/>
          <w:szCs w:val="32"/>
          <w:highlight w:val="none"/>
          <w:u w:val="none"/>
          <w:lang w:val="zh-CN"/>
        </w:rPr>
        <w:t>镇街清理的</w:t>
      </w:r>
      <w:r>
        <w:rPr>
          <w:rFonts w:hint="eastAsia" w:ascii="仿宋_GB2312" w:eastAsia="仿宋_GB2312"/>
          <w:color w:val="auto"/>
          <w:sz w:val="32"/>
          <w:szCs w:val="32"/>
          <w:highlight w:val="none"/>
          <w:u w:val="none"/>
          <w:lang w:val="zh-CN" w:eastAsia="zh-CN"/>
        </w:rPr>
        <w:t>埕地、空地，给予</w:t>
      </w:r>
      <w:r>
        <w:rPr>
          <w:rFonts w:hint="eastAsia" w:ascii="仿宋_GB2312" w:eastAsia="仿宋_GB2312"/>
          <w:color w:val="auto"/>
          <w:w w:val="100"/>
          <w:sz w:val="32"/>
          <w:szCs w:val="32"/>
          <w:highlight w:val="none"/>
          <w:u w:val="none"/>
          <w:lang w:val="en-US" w:eastAsia="zh-CN"/>
        </w:rPr>
        <w:t>14</w:t>
      </w:r>
      <w:r>
        <w:rPr>
          <w:rFonts w:hint="eastAsia" w:ascii="仿宋_GB2312" w:eastAsia="仿宋_GB2312"/>
          <w:color w:val="auto"/>
          <w:sz w:val="32"/>
          <w:szCs w:val="32"/>
          <w:highlight w:val="none"/>
          <w:u w:val="none"/>
          <w:lang w:val="zh-CN" w:eastAsia="zh-CN"/>
        </w:rPr>
        <w:t>万元/亩的奖励，被认定不予补偿安置的建筑占地面积参照此项奖励。已享受该补助的埕地、空地在征地面积中不再享受预留地政策。</w:t>
      </w:r>
    </w:p>
    <w:p w14:paraId="3E7CB6ED">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eastAsia="zh-CN"/>
        </w:rPr>
        <w:t>公摊面积奖励：经审批和镇街清理的埕地、空地按审批或清理的价格补偿，同时也不享受该补助。</w:t>
      </w:r>
      <w:r>
        <w:rPr>
          <w:rFonts w:hint="eastAsia" w:ascii="仿宋_GB2312" w:eastAsia="仿宋_GB2312"/>
          <w:color w:val="auto"/>
          <w:sz w:val="32"/>
          <w:szCs w:val="32"/>
          <w:highlight w:val="none"/>
          <w:u w:val="none"/>
          <w:lang w:val="zh-CN"/>
        </w:rPr>
        <w:t>以被征收房屋整栋为单位，按原房屋认定补偿安置面积的</w:t>
      </w:r>
      <w:r>
        <w:rPr>
          <w:rFonts w:ascii="仿宋_GB2312" w:eastAsia="仿宋_GB2312"/>
          <w:color w:val="auto"/>
          <w:sz w:val="32"/>
          <w:szCs w:val="32"/>
          <w:highlight w:val="none"/>
          <w:u w:val="none"/>
          <w:lang w:val="zh-CN"/>
        </w:rPr>
        <w:t>10%</w:t>
      </w:r>
      <w:r>
        <w:rPr>
          <w:rFonts w:hint="eastAsia" w:ascii="仿宋_GB2312" w:eastAsia="仿宋_GB2312"/>
          <w:color w:val="auto"/>
          <w:sz w:val="32"/>
          <w:szCs w:val="32"/>
          <w:highlight w:val="none"/>
          <w:u w:val="none"/>
          <w:lang w:val="zh-CN"/>
        </w:rPr>
        <w:t>给予公摊面积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w w:val="100"/>
          <w:sz w:val="32"/>
          <w:szCs w:val="32"/>
          <w:highlight w:val="none"/>
          <w:u w:val="none"/>
          <w:lang w:val="en-US" w:eastAsia="zh-CN"/>
        </w:rPr>
        <w:t>6000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7CD59BFF">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69C7B902">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70723E1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3C8C66D6">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十五、</w:t>
      </w:r>
      <w:r>
        <w:rPr>
          <w:rFonts w:hint="eastAsia" w:ascii="仿宋_GB2312" w:eastAsia="仿宋_GB2312"/>
          <w:b/>
          <w:bCs/>
          <w:color w:val="auto"/>
          <w:sz w:val="32"/>
          <w:szCs w:val="32"/>
          <w:highlight w:val="none"/>
          <w:u w:val="none"/>
          <w:lang w:val="zh-CN" w:eastAsia="zh-CN"/>
        </w:rPr>
        <w:t>住宅改为经营性用房按时搬迁补助</w:t>
      </w:r>
    </w:p>
    <w:p w14:paraId="0F2C82F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w:t>
      </w:r>
      <w:r>
        <w:rPr>
          <w:rFonts w:hint="eastAsia" w:ascii="仿宋_GB2312" w:eastAsia="仿宋_GB2312"/>
          <w:color w:val="auto"/>
          <w:sz w:val="32"/>
          <w:szCs w:val="32"/>
          <w:highlight w:val="none"/>
          <w:u w:val="none"/>
          <w:shd w:val="clear" w:fill="FFFFFF"/>
          <w:lang w:val="zh-CN"/>
        </w:rPr>
        <w:t>改做</w:t>
      </w:r>
      <w:r>
        <w:rPr>
          <w:rFonts w:hint="eastAsia" w:ascii="仿宋_GB2312" w:eastAsia="仿宋_GB2312"/>
          <w:color w:val="auto"/>
          <w:sz w:val="32"/>
          <w:szCs w:val="32"/>
          <w:highlight w:val="none"/>
          <w:u w:val="none"/>
          <w:lang w:val="zh-CN"/>
        </w:rPr>
        <w:t>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25CD333A">
      <w:pPr>
        <w:pStyle w:val="2"/>
        <w:numPr>
          <w:ilvl w:val="0"/>
          <w:numId w:val="0"/>
        </w:numPr>
        <w:shd w:val="clear" w:color="auto" w:fill="auto"/>
        <w:spacing w:after="0" w:line="600" w:lineRule="exact"/>
        <w:ind w:firstLine="640" w:firstLineChars="200"/>
        <w:jc w:val="both"/>
        <w:rPr>
          <w:rFonts w:ascii="仿宋_GB2312" w:eastAsia="仿宋_GB2312"/>
          <w:color w:val="auto"/>
          <w:sz w:val="32"/>
          <w:szCs w:val="32"/>
          <w:highlight w:val="none"/>
          <w:u w:val="single"/>
          <w:lang w:val="zh-CN"/>
        </w:rPr>
      </w:pPr>
      <w:r>
        <w:rPr>
          <w:rFonts w:hint="eastAsia" w:ascii="仿宋_GB2312" w:eastAsia="仿宋_GB2312"/>
          <w:color w:val="auto"/>
          <w:sz w:val="32"/>
          <w:szCs w:val="32"/>
          <w:highlight w:val="none"/>
          <w:u w:val="none"/>
          <w:lang w:val="zh-CN"/>
        </w:rPr>
        <w:t>（一）在</w:t>
      </w:r>
      <w:r>
        <w:rPr>
          <w:rFonts w:ascii="仿宋_GB2312" w:eastAsia="仿宋_GB2312"/>
          <w:color w:val="auto"/>
          <w:sz w:val="32"/>
          <w:szCs w:val="32"/>
          <w:highlight w:val="none"/>
          <w:lang w:val="zh-CN"/>
        </w:rPr>
        <w:t>2011年6月30日前，住宅底层已改为</w:t>
      </w:r>
      <w:r>
        <w:rPr>
          <w:rFonts w:hint="eastAsia" w:ascii="仿宋_GB2312" w:eastAsia="仿宋_GB2312"/>
          <w:color w:val="auto"/>
          <w:sz w:val="32"/>
          <w:szCs w:val="32"/>
          <w:highlight w:val="none"/>
          <w:lang w:val="zh-CN"/>
        </w:rPr>
        <w:t>经营性用</w:t>
      </w:r>
      <w:r>
        <w:rPr>
          <w:rFonts w:ascii="仿宋_GB2312" w:eastAsia="仿宋_GB2312"/>
          <w:color w:val="auto"/>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color w:val="auto"/>
          <w:sz w:val="32"/>
          <w:szCs w:val="32"/>
          <w:highlight w:val="none"/>
          <w:lang w:val="zh-CN" w:eastAsia="zh-CN"/>
        </w:rPr>
        <w:t>补助的标准为：临12m及以上道路的，按补助面积给予3000元/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的一次性补助；临12m以下6m以上道路的，按补助面积给予1500元/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的一次性补助；临6m以下3m以上道路的，按补助面积给予500元/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w:t>
      </w:r>
    </w:p>
    <w:p w14:paraId="55B021AF">
      <w:pPr>
        <w:pStyle w:val="2"/>
        <w:numPr>
          <w:ilvl w:val="0"/>
          <w:numId w:val="0"/>
        </w:numPr>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color w:val="auto"/>
          <w:sz w:val="32"/>
          <w:szCs w:val="32"/>
          <w:highlight w:val="none"/>
          <w:lang w:val="zh-CN"/>
        </w:rPr>
        <w:t>2011年6月30日前，住宅底层改为</w:t>
      </w:r>
      <w:r>
        <w:rPr>
          <w:rFonts w:hint="eastAsia" w:ascii="仿宋_GB2312" w:eastAsia="仿宋_GB2312"/>
          <w:color w:val="auto"/>
          <w:sz w:val="32"/>
          <w:szCs w:val="32"/>
          <w:highlight w:val="none"/>
          <w:lang w:val="zh-CN"/>
        </w:rPr>
        <w:t>经营</w:t>
      </w:r>
      <w:r>
        <w:rPr>
          <w:rFonts w:ascii="仿宋_GB2312" w:eastAsia="仿宋_GB2312"/>
          <w:color w:val="auto"/>
          <w:sz w:val="32"/>
          <w:szCs w:val="32"/>
          <w:highlight w:val="none"/>
          <w:lang w:val="zh-CN"/>
        </w:rPr>
        <w:t>性用房，未持有工商营业执照和税务登记证明的，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color w:val="auto"/>
          <w:sz w:val="32"/>
          <w:szCs w:val="32"/>
          <w:highlight w:val="none"/>
          <w:lang w:val="zh-CN" w:eastAsia="zh-CN"/>
        </w:rPr>
        <w:t>补助的标准为：临12m及以上道路的，按补助面积给予1000元/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的一次性补助；临12m以下6m以上道路的，按补助面积给予500元/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的一次性补助；临6m以下3m以上道路的，按补助面积给予300元/</w:t>
      </w: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zh-CN" w:eastAsia="zh-CN"/>
        </w:rPr>
        <w:t>的一次性补助。</w:t>
      </w:r>
    </w:p>
    <w:p w14:paraId="47321CE4">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w:t>
      </w:r>
      <w:r>
        <w:rPr>
          <w:rFonts w:ascii="仿宋_GB2312" w:eastAsia="仿宋_GB2312"/>
          <w:color w:val="auto"/>
          <w:sz w:val="32"/>
          <w:szCs w:val="32"/>
          <w:highlight w:val="none"/>
          <w:u w:val="none"/>
          <w:lang w:val="zh-CN"/>
        </w:rPr>
        <w:t>在2011年6月30日后，住宅底层改为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性用房的，按原房屋</w:t>
      </w:r>
      <w:r>
        <w:rPr>
          <w:rFonts w:hint="eastAsia" w:ascii="仿宋_GB2312" w:eastAsia="仿宋_GB2312"/>
          <w:color w:val="auto"/>
          <w:sz w:val="32"/>
          <w:szCs w:val="32"/>
          <w:highlight w:val="none"/>
          <w:u w:val="none"/>
          <w:lang w:val="zh-CN" w:eastAsia="zh-CN"/>
        </w:rPr>
        <w:t>审批</w:t>
      </w:r>
      <w:r>
        <w:rPr>
          <w:rFonts w:ascii="仿宋_GB2312" w:eastAsia="仿宋_GB2312"/>
          <w:color w:val="auto"/>
          <w:sz w:val="32"/>
          <w:szCs w:val="32"/>
          <w:highlight w:val="none"/>
          <w:u w:val="none"/>
          <w:lang w:val="zh-CN"/>
        </w:rPr>
        <w:t>用途予以认定</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p>
    <w:p w14:paraId="3E0AB695">
      <w:pPr>
        <w:pStyle w:val="2"/>
        <w:shd w:val="clear" w:color="auto" w:fill="auto"/>
        <w:spacing w:after="0" w:line="600" w:lineRule="exact"/>
        <w:ind w:firstLine="640" w:firstLineChars="200"/>
        <w:jc w:val="both"/>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zh-CN"/>
        </w:rPr>
        <w:t>（四）考虑部分年代久远，无法提供有效工商营业执照和税务证明，但的确系处于经营状态的</w:t>
      </w:r>
      <w:r>
        <w:rPr>
          <w:rFonts w:hint="eastAsia" w:ascii="仿宋_GB2312" w:eastAsia="仿宋_GB2312"/>
          <w:b w:val="0"/>
          <w:bCs w:val="0"/>
          <w:color w:val="auto"/>
          <w:sz w:val="32"/>
          <w:szCs w:val="32"/>
          <w:highlight w:val="none"/>
          <w:u w:val="none"/>
          <w:lang w:val="zh-CN"/>
        </w:rPr>
        <w:t>，</w:t>
      </w:r>
      <w:r>
        <w:rPr>
          <w:rFonts w:hint="eastAsia" w:ascii="仿宋_GB2312" w:hAnsi="仿宋_GB2312" w:eastAsia="仿宋_GB2312" w:cs="仿宋_GB2312"/>
          <w:b w:val="0"/>
          <w:bCs w:val="0"/>
          <w:color w:val="auto"/>
          <w:sz w:val="32"/>
          <w:szCs w:val="32"/>
          <w:u w:val="none"/>
          <w:lang w:val="en-US" w:eastAsia="zh-CN"/>
        </w:rPr>
        <w:t>指挥部应到市场监督部门查询档案,如确无档可查,应结合相邻房屋经营状态及时间，</w:t>
      </w:r>
      <w:r>
        <w:rPr>
          <w:rFonts w:hint="eastAsia" w:ascii="仿宋_GB2312" w:eastAsia="仿宋_GB2312"/>
          <w:b w:val="0"/>
          <w:bCs w:val="0"/>
          <w:color w:val="auto"/>
          <w:sz w:val="32"/>
          <w:szCs w:val="32"/>
          <w:highlight w:val="none"/>
          <w:u w:val="none"/>
          <w:lang w:val="zh-CN"/>
        </w:rPr>
        <w:t>由村（居）审核、征迁工作组调查认定公示无异议后，予以认定补助。</w:t>
      </w:r>
    </w:p>
    <w:p w14:paraId="41468370">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（五）</w:t>
      </w:r>
      <w:r>
        <w:rPr>
          <w:rFonts w:ascii="仿宋_GB2312" w:eastAsia="仿宋_GB2312"/>
          <w:b w:val="0"/>
          <w:bCs w:val="0"/>
          <w:color w:val="auto"/>
          <w:sz w:val="32"/>
          <w:szCs w:val="32"/>
          <w:highlight w:val="none"/>
          <w:u w:val="none"/>
          <w:lang w:val="zh-CN"/>
        </w:rPr>
        <w:t>沿路的</w:t>
      </w:r>
      <w:r>
        <w:rPr>
          <w:rFonts w:hint="eastAsia" w:ascii="仿宋_GB2312" w:eastAsia="仿宋_GB2312"/>
          <w:b w:val="0"/>
          <w:bCs w:val="0"/>
          <w:color w:val="auto"/>
          <w:sz w:val="32"/>
          <w:szCs w:val="32"/>
          <w:highlight w:val="none"/>
          <w:u w:val="none"/>
          <w:lang w:val="zh-CN"/>
        </w:rPr>
        <w:t>工业用房、</w:t>
      </w:r>
      <w:r>
        <w:rPr>
          <w:rFonts w:ascii="仿宋_GB2312" w:eastAsia="仿宋_GB2312"/>
          <w:b w:val="0"/>
          <w:bCs w:val="0"/>
          <w:color w:val="auto"/>
          <w:sz w:val="32"/>
          <w:szCs w:val="32"/>
          <w:highlight w:val="none"/>
          <w:u w:val="none"/>
          <w:lang w:val="zh-CN"/>
        </w:rPr>
        <w:t>办公用房、</w:t>
      </w:r>
      <w:r>
        <w:rPr>
          <w:rFonts w:hint="eastAsia" w:ascii="仿宋_GB2312" w:eastAsia="仿宋_GB2312"/>
          <w:b w:val="0"/>
          <w:bCs w:val="0"/>
          <w:color w:val="auto"/>
          <w:sz w:val="32"/>
          <w:szCs w:val="32"/>
          <w:highlight w:val="none"/>
          <w:u w:val="none"/>
          <w:lang w:val="zh-CN" w:eastAsia="zh-CN"/>
        </w:rPr>
        <w:t>临时</w:t>
      </w:r>
      <w:r>
        <w:rPr>
          <w:rFonts w:ascii="仿宋_GB2312" w:eastAsia="仿宋_GB2312"/>
          <w:b w:val="0"/>
          <w:bCs w:val="0"/>
          <w:color w:val="auto"/>
          <w:sz w:val="32"/>
          <w:szCs w:val="32"/>
          <w:highlight w:val="none"/>
          <w:u w:val="none"/>
          <w:lang w:val="zh-CN"/>
        </w:rPr>
        <w:t>搭盖及不具</w:t>
      </w:r>
      <w:r>
        <w:rPr>
          <w:rFonts w:ascii="仿宋_GB2312" w:eastAsia="仿宋_GB2312"/>
          <w:color w:val="auto"/>
          <w:sz w:val="32"/>
          <w:szCs w:val="32"/>
          <w:highlight w:val="none"/>
          <w:u w:val="none"/>
          <w:lang w:val="zh-CN"/>
        </w:rPr>
        <w:t>备</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性用房门面结构的住宅，底层改为</w:t>
      </w:r>
      <w:r>
        <w:rPr>
          <w:rFonts w:hint="eastAsia" w:ascii="仿宋_GB2312" w:eastAsia="仿宋_GB2312"/>
          <w:color w:val="auto"/>
          <w:sz w:val="32"/>
          <w:szCs w:val="32"/>
          <w:highlight w:val="none"/>
          <w:u w:val="none"/>
          <w:lang w:val="zh-CN"/>
        </w:rPr>
        <w:t>经营</w:t>
      </w:r>
      <w:r>
        <w:rPr>
          <w:rFonts w:ascii="仿宋_GB2312" w:eastAsia="仿宋_GB2312"/>
          <w:color w:val="auto"/>
          <w:sz w:val="32"/>
          <w:szCs w:val="32"/>
          <w:highlight w:val="none"/>
          <w:u w:val="none"/>
          <w:lang w:val="zh-CN"/>
        </w:rPr>
        <w:t>性用房的，按</w:t>
      </w:r>
      <w:r>
        <w:rPr>
          <w:rFonts w:hint="eastAsia" w:ascii="仿宋_GB2312" w:eastAsia="仿宋_GB2312"/>
          <w:color w:val="auto"/>
          <w:sz w:val="32"/>
          <w:szCs w:val="32"/>
          <w:highlight w:val="none"/>
          <w:u w:val="none"/>
          <w:lang w:val="zh-CN" w:eastAsia="zh-CN"/>
        </w:rPr>
        <w:t>原建筑审批</w:t>
      </w:r>
      <w:r>
        <w:rPr>
          <w:rFonts w:ascii="仿宋_GB2312" w:eastAsia="仿宋_GB2312"/>
          <w:color w:val="auto"/>
          <w:sz w:val="32"/>
          <w:szCs w:val="32"/>
          <w:highlight w:val="none"/>
          <w:u w:val="none"/>
          <w:lang w:val="zh-CN"/>
        </w:rPr>
        <w:t>用途予以补偿</w:t>
      </w:r>
      <w:r>
        <w:rPr>
          <w:rFonts w:hint="eastAsia" w:ascii="仿宋_GB2312" w:eastAsia="仿宋_GB2312"/>
          <w:color w:val="auto"/>
          <w:sz w:val="32"/>
          <w:szCs w:val="32"/>
          <w:highlight w:val="none"/>
          <w:u w:val="none"/>
          <w:lang w:val="zh-CN" w:eastAsia="zh-CN"/>
        </w:rPr>
        <w:t>，</w:t>
      </w:r>
      <w:r>
        <w:rPr>
          <w:rFonts w:ascii="仿宋_GB2312" w:eastAsia="仿宋_GB2312"/>
          <w:color w:val="auto"/>
          <w:sz w:val="32"/>
          <w:szCs w:val="32"/>
          <w:highlight w:val="none"/>
          <w:u w:val="none"/>
          <w:lang w:val="zh-CN"/>
        </w:rPr>
        <w:t>一律</w:t>
      </w:r>
      <w:r>
        <w:rPr>
          <w:rFonts w:hint="eastAsia" w:ascii="仿宋_GB2312" w:eastAsia="仿宋_GB2312"/>
          <w:color w:val="auto"/>
          <w:sz w:val="32"/>
          <w:szCs w:val="32"/>
          <w:highlight w:val="none"/>
          <w:u w:val="none"/>
          <w:lang w:val="zh-CN" w:eastAsia="zh-CN"/>
        </w:rPr>
        <w:t>不再另外补助。</w:t>
      </w:r>
      <w:r>
        <w:rPr>
          <w:rFonts w:ascii="仿宋_GB2312" w:eastAsia="仿宋_GB2312"/>
          <w:color w:val="auto"/>
          <w:sz w:val="32"/>
          <w:szCs w:val="32"/>
          <w:highlight w:val="none"/>
          <w:u w:val="none"/>
          <w:lang w:val="zh-CN"/>
        </w:rPr>
        <w:t xml:space="preserve">  </w:t>
      </w:r>
    </w:p>
    <w:p w14:paraId="4AC975F8">
      <w:pPr>
        <w:pStyle w:val="13"/>
        <w:shd w:val="clear" w:color="auto" w:fill="auto"/>
        <w:spacing w:line="600" w:lineRule="exact"/>
        <w:ind w:right="3101" w:firstLine="157" w:firstLineChars="49"/>
        <w:jc w:val="both"/>
        <w:rPr>
          <w:rFonts w:hint="eastAsia" w:ascii="仿宋_GB2312" w:eastAsia="仿宋_GB2312"/>
          <w:b w:val="0"/>
          <w:bCs w:val="0"/>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 xml:space="preserve">   十六、</w:t>
      </w:r>
      <w:r>
        <w:rPr>
          <w:rFonts w:hint="eastAsia" w:ascii="仿宋_GB2312" w:eastAsia="仿宋_GB2312"/>
          <w:color w:val="auto"/>
          <w:sz w:val="32"/>
          <w:szCs w:val="32"/>
          <w:highlight w:val="none"/>
          <w:u w:val="none"/>
          <w:shd w:val="clear" w:fill="FFFFFF"/>
          <w:lang w:val="zh-CN" w:eastAsia="zh-CN"/>
        </w:rPr>
        <w:t>其它</w:t>
      </w:r>
      <w:r>
        <w:rPr>
          <w:rFonts w:hint="eastAsia" w:ascii="仿宋_GB2312" w:eastAsia="仿宋_GB2312"/>
          <w:color w:val="auto"/>
          <w:sz w:val="32"/>
          <w:szCs w:val="32"/>
          <w:highlight w:val="none"/>
          <w:u w:val="none"/>
          <w:lang w:val="zh-CN" w:eastAsia="zh-CN"/>
        </w:rPr>
        <w:t>补偿</w:t>
      </w:r>
      <w:r>
        <w:rPr>
          <w:rFonts w:hint="eastAsia" w:ascii="仿宋_GB2312" w:eastAsia="仿宋_GB2312"/>
          <w:b w:val="0"/>
          <w:bCs w:val="0"/>
          <w:color w:val="auto"/>
          <w:sz w:val="32"/>
          <w:szCs w:val="32"/>
          <w:highlight w:val="none"/>
          <w:u w:val="none"/>
          <w:lang w:val="zh-CN" w:eastAsia="zh-CN"/>
        </w:rPr>
        <w:t xml:space="preserve">  </w:t>
      </w:r>
    </w:p>
    <w:p w14:paraId="0FD7B421">
      <w:pPr>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房屋的附属物补偿按附表六标准给予货币补偿。征收红线范围苗木及地上附着物征收的方案参照《福清市人民政府关于印发福清市征收青苗及地上附着物补偿标准暂行办法》（融政综</w:t>
      </w:r>
      <w:r>
        <w:rPr>
          <w:rFonts w:hint="eastAsia" w:ascii="仿宋_GB2312" w:eastAsia="仿宋_GB2312"/>
          <w:color w:val="auto"/>
          <w:sz w:val="32"/>
          <w:szCs w:val="32"/>
          <w:highlight w:val="none"/>
          <w:u w:val="none"/>
          <w:shd w:val="clear" w:fill="FFFFFF"/>
          <w:lang w:val="zh-CN" w:eastAsia="zh-CN"/>
        </w:rPr>
        <w:t>〔2015〕186号</w:t>
      </w:r>
      <w:r>
        <w:rPr>
          <w:rFonts w:hint="eastAsia" w:ascii="仿宋_GB2312" w:eastAsia="仿宋_GB2312"/>
          <w:color w:val="auto"/>
          <w:sz w:val="32"/>
          <w:szCs w:val="32"/>
          <w:highlight w:val="none"/>
          <w:u w:val="none"/>
          <w:lang w:val="zh-CN"/>
        </w:rPr>
        <w:t>）执行。</w:t>
      </w:r>
    </w:p>
    <w:p w14:paraId="4D848BB5">
      <w:pPr>
        <w:ind w:firstLine="640" w:firstLineChars="200"/>
        <w:rPr>
          <w:rFonts w:hint="eastAsia" w:ascii="仿宋_GB2312" w:eastAsia="仿宋_GB2312"/>
          <w:color w:val="auto"/>
          <w:sz w:val="32"/>
          <w:szCs w:val="32"/>
          <w:highlight w:val="none"/>
          <w:u w:val="none"/>
          <w:lang w:val="zh-CN"/>
        </w:rPr>
      </w:pPr>
    </w:p>
    <w:p w14:paraId="01EF14E3">
      <w:pPr>
        <w:pStyle w:val="13"/>
        <w:shd w:val="clear" w:color="auto" w:fill="auto"/>
        <w:spacing w:line="600" w:lineRule="exact"/>
        <w:ind w:right="3101" w:firstLine="640"/>
        <w:jc w:val="right"/>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第</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部分</w:t>
      </w:r>
      <w:r>
        <w:rPr>
          <w:rFonts w:ascii="仿宋_GB2312" w:eastAsia="仿宋_GB2312"/>
          <w:color w:val="auto"/>
          <w:sz w:val="32"/>
          <w:szCs w:val="32"/>
          <w:highlight w:val="none"/>
          <w:u w:val="none"/>
          <w:lang w:val="zh-CN"/>
        </w:rPr>
        <w:t xml:space="preserve">  </w:t>
      </w:r>
      <w:r>
        <w:rPr>
          <w:rFonts w:hint="eastAsia" w:ascii="仿宋_GB2312" w:eastAsia="仿宋_GB2312"/>
          <w:color w:val="auto"/>
          <w:sz w:val="32"/>
          <w:szCs w:val="32"/>
          <w:highlight w:val="none"/>
          <w:u w:val="none"/>
          <w:lang w:val="zh-CN"/>
        </w:rPr>
        <w:t>保障</w:t>
      </w:r>
      <w:r>
        <w:rPr>
          <w:rFonts w:hint="eastAsia" w:ascii="仿宋_GB2312" w:eastAsia="仿宋_GB2312"/>
          <w:color w:val="auto"/>
          <w:sz w:val="32"/>
          <w:szCs w:val="32"/>
          <w:highlight w:val="none"/>
          <w:u w:val="none"/>
          <w:lang w:val="zh-CN" w:eastAsia="zh-CN"/>
        </w:rPr>
        <w:t>措</w:t>
      </w:r>
      <w:r>
        <w:rPr>
          <w:rFonts w:hint="eastAsia" w:ascii="仿宋_GB2312" w:eastAsia="仿宋_GB2312"/>
          <w:color w:val="auto"/>
          <w:sz w:val="32"/>
          <w:szCs w:val="32"/>
          <w:highlight w:val="none"/>
          <w:u w:val="none"/>
          <w:lang w:val="zh-CN"/>
        </w:rPr>
        <w:t>施</w:t>
      </w:r>
    </w:p>
    <w:p w14:paraId="1D392E81">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p>
    <w:p w14:paraId="5E32B72C">
      <w:pPr>
        <w:pStyle w:val="13"/>
        <w:shd w:val="clear" w:color="auto" w:fill="auto"/>
        <w:spacing w:line="600" w:lineRule="exact"/>
        <w:ind w:right="3101" w:firstLine="630" w:firstLineChars="196"/>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十七、</w:t>
      </w:r>
      <w:r>
        <w:rPr>
          <w:rFonts w:hint="eastAsia" w:ascii="仿宋_GB2312" w:eastAsia="仿宋_GB2312"/>
          <w:color w:val="auto"/>
          <w:sz w:val="32"/>
          <w:szCs w:val="32"/>
          <w:highlight w:val="none"/>
          <w:u w:val="none"/>
          <w:lang w:val="zh-CN"/>
        </w:rPr>
        <w:t>过渡租金保障</w:t>
      </w:r>
    </w:p>
    <w:p w14:paraId="2B8D3E93">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被征收人现居住在本区域内，</w:t>
      </w:r>
      <w:r>
        <w:rPr>
          <w:rFonts w:hint="eastAsia" w:ascii="仿宋_GB2312" w:eastAsia="仿宋_GB2312"/>
          <w:color w:val="auto"/>
          <w:sz w:val="32"/>
          <w:szCs w:val="32"/>
          <w:highlight w:val="none"/>
          <w:u w:val="none"/>
          <w:lang w:val="zh-CN" w:eastAsia="zh-CN"/>
        </w:rPr>
        <w:t>在规定签约期限内签订协议并封房且</w:t>
      </w:r>
      <w:r>
        <w:rPr>
          <w:rFonts w:hint="eastAsia" w:ascii="仿宋_GB2312" w:eastAsia="仿宋_GB2312"/>
          <w:color w:val="auto"/>
          <w:sz w:val="32"/>
          <w:szCs w:val="32"/>
          <w:highlight w:val="none"/>
          <w:u w:val="none"/>
          <w:lang w:val="zh-CN"/>
        </w:rPr>
        <w:t>选择产权调换的，因住宅临时过渡费较低导致自行过渡确实困难的，可申请增加过渡租金保障，由所在</w:t>
      </w:r>
      <w:r>
        <w:rPr>
          <w:rFonts w:hint="eastAsia" w:ascii="仿宋_GB2312" w:eastAsia="仿宋_GB2312"/>
          <w:color w:val="auto"/>
          <w:sz w:val="32"/>
          <w:szCs w:val="32"/>
          <w:highlight w:val="none"/>
          <w:u w:val="none"/>
          <w:lang w:val="zh-CN" w:eastAsia="zh-CN"/>
        </w:rPr>
        <w:t>镇街根</w:t>
      </w:r>
      <w:r>
        <w:rPr>
          <w:rFonts w:hint="eastAsia" w:ascii="仿宋_GB2312" w:eastAsia="仿宋_GB2312"/>
          <w:color w:val="auto"/>
          <w:sz w:val="32"/>
          <w:szCs w:val="32"/>
          <w:highlight w:val="none"/>
          <w:u w:val="none"/>
          <w:lang w:val="zh-CN"/>
        </w:rPr>
        <w:t>据实际过渡人口困难情况</w:t>
      </w:r>
      <w:r>
        <w:rPr>
          <w:rFonts w:hint="eastAsia" w:ascii="仿宋_GB2312" w:eastAsia="仿宋_GB2312"/>
          <w:color w:val="auto"/>
          <w:sz w:val="32"/>
          <w:szCs w:val="32"/>
          <w:highlight w:val="none"/>
          <w:u w:val="none"/>
          <w:lang w:val="zh-CN" w:eastAsia="zh-CN"/>
        </w:rPr>
        <w:t>给予适当保障</w:t>
      </w:r>
      <w:r>
        <w:rPr>
          <w:rFonts w:hint="eastAsia" w:ascii="仿宋_GB2312" w:eastAsia="仿宋_GB2312"/>
          <w:color w:val="auto"/>
          <w:sz w:val="32"/>
          <w:szCs w:val="32"/>
          <w:highlight w:val="none"/>
          <w:u w:val="none"/>
          <w:lang w:val="zh-CN"/>
        </w:rPr>
        <w:t>。</w:t>
      </w:r>
    </w:p>
    <w:p w14:paraId="0B8B1EEA">
      <w:pPr>
        <w:pStyle w:val="2"/>
        <w:shd w:val="clear" w:color="auto" w:fill="auto"/>
        <w:spacing w:after="0" w:line="600" w:lineRule="exact"/>
        <w:ind w:firstLine="643" w:firstLineChars="200"/>
        <w:rPr>
          <w:rFonts w:hint="eastAsia"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十八、</w:t>
      </w:r>
      <w:r>
        <w:rPr>
          <w:rFonts w:hint="eastAsia" w:ascii="仿宋_GB2312" w:eastAsia="仿宋_GB2312"/>
          <w:b/>
          <w:bCs/>
          <w:color w:val="auto"/>
          <w:sz w:val="32"/>
          <w:szCs w:val="32"/>
          <w:highlight w:val="none"/>
          <w:u w:val="none"/>
          <w:lang w:val="zh-CN"/>
        </w:rPr>
        <w:t>失地农民养老保障</w:t>
      </w:r>
    </w:p>
    <w:p w14:paraId="7B363BDC">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符合条件的被征地农民给予办理养老保险，由</w:t>
      </w:r>
      <w:r>
        <w:rPr>
          <w:rFonts w:hint="eastAsia" w:ascii="仿宋_GB2312" w:eastAsia="仿宋_GB2312"/>
          <w:color w:val="auto"/>
          <w:sz w:val="32"/>
          <w:szCs w:val="32"/>
          <w:highlight w:val="none"/>
          <w:u w:val="none"/>
          <w:shd w:val="clear" w:fill="FFFFFF"/>
          <w:lang w:val="zh-CN"/>
        </w:rPr>
        <w:t>人力资源和社会保障</w:t>
      </w:r>
      <w:r>
        <w:rPr>
          <w:rFonts w:hint="eastAsia" w:ascii="仿宋_GB2312" w:eastAsia="仿宋_GB2312"/>
          <w:color w:val="auto"/>
          <w:sz w:val="32"/>
          <w:szCs w:val="32"/>
          <w:highlight w:val="none"/>
          <w:u w:val="none"/>
          <w:lang w:val="zh-CN"/>
        </w:rPr>
        <w:t>部门依据《福建省征地补偿和被征地农民社会保障办法》（福建省人民政府</w:t>
      </w:r>
      <w:r>
        <w:rPr>
          <w:rFonts w:hint="eastAsia" w:ascii="仿宋_GB2312" w:eastAsia="仿宋_GB2312"/>
          <w:color w:val="auto"/>
          <w:sz w:val="32"/>
          <w:szCs w:val="32"/>
          <w:highlight w:val="none"/>
          <w:u w:val="none"/>
          <w:lang w:val="zh-CN" w:eastAsia="zh-CN"/>
        </w:rPr>
        <w:t>第177号令）、《福清市被征地农民养老保障试行办法》（融政综</w:t>
      </w:r>
      <w:r>
        <w:rPr>
          <w:rFonts w:hint="eastAsia" w:ascii="仿宋_GB2312" w:eastAsia="仿宋_GB2312"/>
          <w:color w:val="auto"/>
          <w:sz w:val="32"/>
          <w:szCs w:val="32"/>
          <w:highlight w:val="none"/>
          <w:u w:val="none"/>
          <w:shd w:val="clear" w:fill="FFFFFF"/>
          <w:lang w:val="zh-CN" w:eastAsia="zh-CN"/>
        </w:rPr>
        <w:t>〔2009〕179号</w:t>
      </w:r>
      <w:r>
        <w:rPr>
          <w:rFonts w:hint="eastAsia" w:ascii="仿宋_GB2312" w:eastAsia="仿宋_GB2312"/>
          <w:color w:val="auto"/>
          <w:sz w:val="32"/>
          <w:szCs w:val="32"/>
          <w:highlight w:val="none"/>
          <w:u w:val="none"/>
          <w:lang w:val="zh-CN"/>
        </w:rPr>
        <w:t>）、《福清市被征地农民养老保障实施细则》（融政办</w:t>
      </w:r>
      <w:r>
        <w:rPr>
          <w:rFonts w:hint="eastAsia" w:ascii="仿宋_GB2312" w:eastAsia="仿宋_GB2312"/>
          <w:color w:val="auto"/>
          <w:sz w:val="32"/>
          <w:szCs w:val="32"/>
          <w:highlight w:val="none"/>
          <w:u w:val="none"/>
          <w:shd w:val="clear" w:fill="FFFFFF"/>
          <w:lang w:val="zh-CN"/>
        </w:rPr>
        <w:t>〔2009〕164号</w:t>
      </w:r>
      <w:r>
        <w:rPr>
          <w:rFonts w:hint="eastAsia" w:ascii="仿宋_GB2312" w:eastAsia="仿宋_GB2312"/>
          <w:color w:val="auto"/>
          <w:sz w:val="32"/>
          <w:szCs w:val="32"/>
          <w:highlight w:val="none"/>
          <w:u w:val="none"/>
          <w:lang w:val="zh-CN"/>
        </w:rPr>
        <w:t>）等有关规定执行。</w:t>
      </w:r>
    </w:p>
    <w:p w14:paraId="13522E07">
      <w:pPr>
        <w:pStyle w:val="13"/>
        <w:shd w:val="clear" w:color="auto" w:fill="auto"/>
        <w:spacing w:line="600" w:lineRule="exact"/>
        <w:ind w:right="3101" w:firstLine="630" w:firstLineChars="196"/>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十九、</w:t>
      </w:r>
      <w:r>
        <w:rPr>
          <w:rFonts w:hint="eastAsia" w:ascii="仿宋_GB2312" w:eastAsia="仿宋_GB2312"/>
          <w:color w:val="auto"/>
          <w:sz w:val="32"/>
          <w:szCs w:val="32"/>
          <w:highlight w:val="none"/>
          <w:u w:val="none"/>
          <w:lang w:val="zh-CN"/>
        </w:rPr>
        <w:t>申请</w:t>
      </w:r>
      <w:r>
        <w:rPr>
          <w:rFonts w:hint="eastAsia" w:ascii="仿宋_GB2312" w:eastAsia="仿宋_GB2312"/>
          <w:color w:val="auto"/>
          <w:sz w:val="32"/>
          <w:szCs w:val="32"/>
          <w:highlight w:val="none"/>
          <w:u w:val="none"/>
          <w:lang w:val="zh-CN" w:eastAsia="zh-CN"/>
        </w:rPr>
        <w:t>公租房</w:t>
      </w:r>
      <w:r>
        <w:rPr>
          <w:rFonts w:hint="eastAsia" w:ascii="仿宋_GB2312" w:eastAsia="仿宋_GB2312"/>
          <w:color w:val="auto"/>
          <w:sz w:val="32"/>
          <w:szCs w:val="32"/>
          <w:highlight w:val="none"/>
          <w:u w:val="none"/>
          <w:lang w:val="zh-CN"/>
        </w:rPr>
        <w:t>保障</w:t>
      </w:r>
    </w:p>
    <w:p w14:paraId="66EC1290">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被征收人</w:t>
      </w:r>
      <w:r>
        <w:rPr>
          <w:rFonts w:hint="eastAsia" w:ascii="仿宋_GB2312" w:eastAsia="仿宋_GB2312"/>
          <w:color w:val="auto"/>
          <w:sz w:val="32"/>
          <w:szCs w:val="32"/>
          <w:highlight w:val="none"/>
          <w:u w:val="none"/>
          <w:lang w:val="zh-CN" w:eastAsia="zh-CN"/>
        </w:rPr>
        <w:t>在规定签约期限内签订协议并封房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且</w:t>
      </w:r>
      <w:r>
        <w:rPr>
          <w:rFonts w:hint="eastAsia" w:ascii="仿宋_GB2312" w:eastAsia="仿宋_GB2312"/>
          <w:color w:val="auto"/>
          <w:sz w:val="32"/>
          <w:szCs w:val="32"/>
          <w:highlight w:val="none"/>
          <w:u w:val="none"/>
          <w:lang w:val="zh-CN"/>
        </w:rPr>
        <w:t>符合</w:t>
      </w:r>
      <w:r>
        <w:rPr>
          <w:rFonts w:hint="eastAsia" w:ascii="仿宋_GB2312" w:eastAsia="仿宋_GB2312"/>
          <w:color w:val="auto"/>
          <w:sz w:val="32"/>
          <w:szCs w:val="32"/>
          <w:highlight w:val="none"/>
          <w:u w:val="none"/>
          <w:lang w:val="zh-CN" w:eastAsia="zh-CN"/>
        </w:rPr>
        <w:t>申请</w:t>
      </w:r>
      <w:r>
        <w:rPr>
          <w:rFonts w:hint="eastAsia" w:ascii="仿宋_GB2312" w:eastAsia="仿宋_GB2312"/>
          <w:color w:val="auto"/>
          <w:sz w:val="32"/>
          <w:szCs w:val="32"/>
          <w:highlight w:val="none"/>
          <w:u w:val="none"/>
          <w:lang w:val="zh-CN"/>
        </w:rPr>
        <w:t>公共租赁房条件的，被征收人可按照住房保障有关政策规定，携带相关证明材料到街道申请，再由房屋征收实施单位汇总后报市政府优先给予配租，被征收人可以不轮候。</w:t>
      </w:r>
    </w:p>
    <w:p w14:paraId="42873CE2">
      <w:pPr>
        <w:pStyle w:val="13"/>
        <w:shd w:val="clear" w:color="auto" w:fill="auto"/>
        <w:spacing w:line="638" w:lineRule="exact"/>
        <w:ind w:firstLine="643" w:firstLineChars="200"/>
        <w:jc w:val="both"/>
        <w:rPr>
          <w:rFonts w:ascii="仿宋_GB2312" w:eastAsia="仿宋_GB2312"/>
          <w:b/>
          <w:bCs/>
          <w:color w:val="auto"/>
          <w:kern w:val="0"/>
          <w:sz w:val="32"/>
          <w:szCs w:val="32"/>
          <w:highlight w:val="none"/>
          <w:u w:val="none"/>
          <w:lang w:val="zh-CN" w:bidi="ar-SA"/>
        </w:rPr>
      </w:pPr>
      <w:r>
        <w:rPr>
          <w:rFonts w:hint="eastAsia" w:ascii="仿宋_GB2312" w:eastAsia="仿宋_GB2312"/>
          <w:b/>
          <w:bCs/>
          <w:color w:val="auto"/>
          <w:kern w:val="0"/>
          <w:sz w:val="32"/>
          <w:szCs w:val="32"/>
          <w:highlight w:val="none"/>
          <w:u w:val="none"/>
          <w:lang w:val="zh-CN" w:eastAsia="zh-CN" w:bidi="ar-SA"/>
        </w:rPr>
        <w:t>二十、困难保障</w:t>
      </w:r>
    </w:p>
    <w:p w14:paraId="7805019B">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rPr>
      </w:pPr>
      <w:r>
        <w:rPr>
          <w:rFonts w:hint="eastAsia" w:eastAsia="仿宋_GB2312"/>
          <w:color w:val="auto"/>
          <w:sz w:val="32"/>
          <w:szCs w:val="32"/>
          <w:highlight w:val="none"/>
          <w:u w:val="none"/>
        </w:rPr>
        <w:t>在规定</w:t>
      </w:r>
      <w:r>
        <w:rPr>
          <w:rFonts w:hint="eastAsia" w:eastAsia="仿宋_GB2312"/>
          <w:color w:val="auto"/>
          <w:sz w:val="32"/>
          <w:szCs w:val="32"/>
          <w:highlight w:val="none"/>
          <w:u w:val="none"/>
          <w:lang w:eastAsia="zh-CN"/>
        </w:rPr>
        <w:t>签约</w:t>
      </w:r>
      <w:r>
        <w:rPr>
          <w:rFonts w:hint="eastAsia" w:eastAsia="仿宋_GB2312"/>
          <w:color w:val="auto"/>
          <w:sz w:val="32"/>
          <w:szCs w:val="32"/>
          <w:highlight w:val="none"/>
          <w:u w:val="none"/>
        </w:rPr>
        <w:t>期限内签订协议并封房</w:t>
      </w:r>
      <w:r>
        <w:rPr>
          <w:rFonts w:hint="eastAsia" w:eastAsia="仿宋_GB2312"/>
          <w:color w:val="auto"/>
          <w:sz w:val="32"/>
          <w:szCs w:val="32"/>
          <w:highlight w:val="none"/>
          <w:u w:val="none"/>
          <w:lang w:eastAsia="zh-CN"/>
        </w:rPr>
        <w:t>交拆</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低保户、五保户、孤寡老人一次性给予30000元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户的补助。</w:t>
      </w:r>
    </w:p>
    <w:p w14:paraId="4A75B621">
      <w:pPr>
        <w:pStyle w:val="13"/>
        <w:shd w:val="clear" w:color="auto" w:fill="auto"/>
        <w:spacing w:line="638" w:lineRule="exact"/>
        <w:ind w:left="20" w:firstLine="60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二十一、居住条件保障</w:t>
      </w:r>
    </w:p>
    <w:p w14:paraId="41DD9FC6">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在规定签约期限内签订协议并封房的低保户、五保户、孤寡老人及经集体研究公示无异议的困难户，可享受下列居住条件保障奖励措施。</w:t>
      </w:r>
    </w:p>
    <w:p w14:paraId="4871921E">
      <w:pPr>
        <w:spacing w:line="560" w:lineRule="exact"/>
        <w:ind w:firstLine="640" w:firstLineChars="200"/>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住宅可补偿安置面积全部选择产权调换（包括照顾购买面积）后，人均面积仍不足20㎡的，且被征收房屋系被征收人及其户口本上直系亲属三代内人员福清境内唯一住宅，可照顾至人均20㎡保障居住，照顾购买部分面积以照顾价计价，以上拆迁户家庭成员人数认定，以被征收人户口本中所登记的直系亲属人员为准（含就学、服刑外迁的）。</w:t>
      </w:r>
    </w:p>
    <w:p w14:paraId="4653DE1A">
      <w:pPr>
        <w:pStyle w:val="2"/>
        <w:shd w:val="clear" w:color="auto" w:fill="auto"/>
        <w:spacing w:after="0" w:line="600" w:lineRule="exact"/>
        <w:ind w:firstLine="643" w:firstLineChars="200"/>
        <w:rPr>
          <w:rFonts w:hint="eastAsia" w:eastAsia="仿宋_GB2312"/>
          <w:b/>
          <w:bCs/>
          <w:color w:val="auto"/>
          <w:sz w:val="32"/>
          <w:szCs w:val="32"/>
          <w:highlight w:val="none"/>
          <w:u w:val="none"/>
          <w:lang w:val="zh-CN"/>
        </w:rPr>
      </w:pPr>
      <w:r>
        <w:rPr>
          <w:rFonts w:hint="eastAsia" w:eastAsia="仿宋_GB2312"/>
          <w:b/>
          <w:bCs/>
          <w:color w:val="auto"/>
          <w:sz w:val="32"/>
          <w:szCs w:val="32"/>
          <w:highlight w:val="none"/>
          <w:u w:val="none"/>
          <w:lang w:val="zh-CN"/>
        </w:rPr>
        <w:t>二十二、老人生活费补助</w:t>
      </w:r>
    </w:p>
    <w:p w14:paraId="4A0A7C21">
      <w:pPr>
        <w:pStyle w:val="2"/>
        <w:numPr>
          <w:ilvl w:val="0"/>
          <w:numId w:val="0"/>
        </w:numPr>
        <w:shd w:val="clear" w:color="auto" w:fill="auto"/>
        <w:spacing w:after="0" w:line="600" w:lineRule="exact"/>
        <w:ind w:firstLine="640" w:firstLineChars="200"/>
        <w:rPr>
          <w:rFonts w:hint="eastAsia" w:ascii="仿宋_GB2312" w:eastAsia="仿宋_GB2312"/>
          <w:b w:val="0"/>
          <w:bCs w:val="0"/>
          <w:color w:val="auto"/>
          <w:sz w:val="32"/>
          <w:szCs w:val="32"/>
          <w:highlight w:val="none"/>
          <w:u w:val="none"/>
          <w:lang w:val="zh-CN"/>
        </w:rPr>
      </w:pPr>
      <w:r>
        <w:rPr>
          <w:rFonts w:hint="eastAsia" w:ascii="仿宋_GB2312" w:eastAsia="仿宋_GB2312"/>
          <w:color w:val="auto"/>
          <w:sz w:val="32"/>
          <w:szCs w:val="32"/>
          <w:highlight w:val="none"/>
          <w:u w:val="none"/>
          <w:lang w:val="en-US" w:eastAsia="zh-CN"/>
        </w:rPr>
        <w:t>1、</w:t>
      </w:r>
      <w:r>
        <w:rPr>
          <w:rFonts w:hint="eastAsia" w:ascii="仿宋_GB2312" w:eastAsia="仿宋_GB2312"/>
          <w:b w:val="0"/>
          <w:bCs w:val="0"/>
          <w:color w:val="auto"/>
          <w:sz w:val="32"/>
          <w:szCs w:val="32"/>
          <w:highlight w:val="none"/>
          <w:u w:val="none"/>
          <w:lang w:val="zh-CN"/>
        </w:rPr>
        <w:t>自</w:t>
      </w:r>
      <w:r>
        <w:rPr>
          <w:rFonts w:hint="eastAsia" w:ascii="仿宋_GB2312" w:eastAsia="仿宋_GB2312"/>
          <w:b w:val="0"/>
          <w:bCs w:val="0"/>
          <w:color w:val="auto"/>
          <w:sz w:val="32"/>
          <w:szCs w:val="32"/>
          <w:highlight w:val="none"/>
          <w:u w:val="none"/>
          <w:lang w:val="zh-CN" w:eastAsia="zh-CN"/>
        </w:rPr>
        <w:t>签订征收补偿协议</w:t>
      </w:r>
      <w:r>
        <w:rPr>
          <w:rFonts w:hint="eastAsia" w:ascii="仿宋_GB2312" w:eastAsia="仿宋_GB2312"/>
          <w:b w:val="0"/>
          <w:bCs w:val="0"/>
          <w:color w:val="auto"/>
          <w:sz w:val="32"/>
          <w:szCs w:val="32"/>
          <w:highlight w:val="none"/>
          <w:u w:val="none"/>
          <w:lang w:val="zh-CN"/>
        </w:rPr>
        <w:t>之日起至通知回迁安置之日</w:t>
      </w:r>
      <w:r>
        <w:rPr>
          <w:rFonts w:hint="eastAsia" w:ascii="仿宋_GB2312" w:eastAsia="仿宋_GB2312"/>
          <w:b w:val="0"/>
          <w:bCs w:val="0"/>
          <w:color w:val="auto"/>
          <w:sz w:val="32"/>
          <w:szCs w:val="32"/>
          <w:highlight w:val="none"/>
          <w:u w:val="none"/>
          <w:lang w:val="zh-CN" w:eastAsia="zh-CN"/>
        </w:rPr>
        <w:t>的过渡</w:t>
      </w:r>
      <w:r>
        <w:rPr>
          <w:rFonts w:hint="eastAsia" w:ascii="仿宋_GB2312" w:eastAsia="仿宋_GB2312"/>
          <w:b w:val="0"/>
          <w:bCs w:val="0"/>
          <w:color w:val="auto"/>
          <w:sz w:val="32"/>
          <w:szCs w:val="32"/>
          <w:highlight w:val="none"/>
          <w:u w:val="none"/>
          <w:lang w:val="zh-CN"/>
        </w:rPr>
        <w:t>期间内，户籍在</w:t>
      </w:r>
      <w:r>
        <w:rPr>
          <w:rFonts w:hint="eastAsia" w:ascii="仿宋_GB2312" w:eastAsia="仿宋_GB2312"/>
          <w:b w:val="0"/>
          <w:bCs w:val="0"/>
          <w:color w:val="auto"/>
          <w:sz w:val="32"/>
          <w:szCs w:val="32"/>
          <w:highlight w:val="none"/>
          <w:u w:val="none"/>
          <w:lang w:val="zh-CN" w:eastAsia="zh-CN"/>
        </w:rPr>
        <w:t>项目区域</w:t>
      </w:r>
      <w:r>
        <w:rPr>
          <w:rFonts w:hint="eastAsia" w:ascii="仿宋_GB2312" w:eastAsia="仿宋_GB2312"/>
          <w:b w:val="0"/>
          <w:bCs w:val="0"/>
          <w:color w:val="auto"/>
          <w:sz w:val="32"/>
          <w:szCs w:val="32"/>
          <w:highlight w:val="none"/>
          <w:u w:val="none"/>
          <w:lang w:val="zh-CN"/>
        </w:rPr>
        <w:t>内的被征收人（含户籍</w:t>
      </w:r>
      <w:r>
        <w:rPr>
          <w:rFonts w:hint="eastAsia" w:ascii="仿宋_GB2312" w:eastAsia="仿宋_GB2312"/>
          <w:b w:val="0"/>
          <w:bCs w:val="0"/>
          <w:color w:val="auto"/>
          <w:sz w:val="32"/>
          <w:szCs w:val="32"/>
          <w:highlight w:val="none"/>
          <w:u w:val="none"/>
          <w:lang w:val="zh-CN" w:eastAsia="zh-CN"/>
        </w:rPr>
        <w:t>在</w:t>
      </w:r>
      <w:r>
        <w:rPr>
          <w:rFonts w:hint="eastAsia" w:ascii="仿宋_GB2312" w:eastAsia="仿宋_GB2312"/>
          <w:b w:val="0"/>
          <w:bCs w:val="0"/>
          <w:color w:val="auto"/>
          <w:sz w:val="32"/>
          <w:szCs w:val="32"/>
          <w:highlight w:val="none"/>
          <w:u w:val="none"/>
          <w:lang w:val="zh-CN"/>
        </w:rPr>
        <w:t>一起的其直系亲属）</w:t>
      </w:r>
      <w:r>
        <w:rPr>
          <w:rFonts w:hint="eastAsia" w:ascii="仿宋_GB2312" w:eastAsia="仿宋_GB2312"/>
          <w:b w:val="0"/>
          <w:bCs w:val="0"/>
          <w:color w:val="auto"/>
          <w:sz w:val="32"/>
          <w:szCs w:val="32"/>
          <w:highlight w:val="none"/>
          <w:u w:val="none"/>
          <w:lang w:val="zh-CN" w:eastAsia="zh-CN"/>
        </w:rPr>
        <w:t>或在项目区域有确权登记在本人或配偶名下房屋的被征收人</w:t>
      </w:r>
      <w:r>
        <w:rPr>
          <w:rFonts w:hint="eastAsia" w:ascii="仿宋_GB2312" w:eastAsia="仿宋_GB2312"/>
          <w:b w:val="0"/>
          <w:bCs w:val="0"/>
          <w:color w:val="auto"/>
          <w:sz w:val="32"/>
          <w:szCs w:val="32"/>
          <w:highlight w:val="none"/>
          <w:u w:val="none"/>
          <w:lang w:val="zh-CN"/>
        </w:rPr>
        <w:t>，按时签</w:t>
      </w:r>
      <w:r>
        <w:rPr>
          <w:rFonts w:hint="eastAsia" w:ascii="仿宋_GB2312" w:eastAsia="仿宋_GB2312"/>
          <w:b w:val="0"/>
          <w:bCs w:val="0"/>
          <w:color w:val="auto"/>
          <w:sz w:val="32"/>
          <w:szCs w:val="32"/>
          <w:highlight w:val="none"/>
          <w:u w:val="none"/>
          <w:lang w:val="zh-CN" w:eastAsia="zh-CN"/>
        </w:rPr>
        <w:t>订协议</w:t>
      </w:r>
      <w:r>
        <w:rPr>
          <w:rFonts w:hint="eastAsia" w:ascii="仿宋_GB2312" w:eastAsia="仿宋_GB2312"/>
          <w:b w:val="0"/>
          <w:bCs w:val="0"/>
          <w:color w:val="auto"/>
          <w:sz w:val="32"/>
          <w:szCs w:val="32"/>
          <w:highlight w:val="none"/>
          <w:u w:val="none"/>
          <w:lang w:val="zh-CN"/>
        </w:rPr>
        <w:t>并</w:t>
      </w:r>
      <w:r>
        <w:rPr>
          <w:rFonts w:hint="eastAsia" w:ascii="仿宋_GB2312" w:eastAsia="仿宋_GB2312"/>
          <w:b w:val="0"/>
          <w:bCs w:val="0"/>
          <w:color w:val="auto"/>
          <w:sz w:val="32"/>
          <w:szCs w:val="32"/>
          <w:highlight w:val="none"/>
          <w:u w:val="none"/>
          <w:lang w:val="zh-CN" w:eastAsia="zh-CN"/>
        </w:rPr>
        <w:t>封房</w:t>
      </w:r>
      <w:r>
        <w:rPr>
          <w:rFonts w:hint="eastAsia" w:ascii="仿宋_GB2312" w:eastAsia="仿宋_GB2312"/>
          <w:b w:val="0"/>
          <w:bCs w:val="0"/>
          <w:color w:val="auto"/>
          <w:sz w:val="32"/>
          <w:szCs w:val="32"/>
          <w:highlight w:val="none"/>
          <w:u w:val="none"/>
          <w:lang w:val="zh-CN"/>
        </w:rPr>
        <w:t>的，自男满60周岁、女满55周岁当月起，每人每月给予</w:t>
      </w:r>
      <w:r>
        <w:rPr>
          <w:rFonts w:hint="eastAsia" w:ascii="仿宋_GB2312" w:eastAsia="仿宋_GB2312"/>
          <w:b w:val="0"/>
          <w:bCs w:val="0"/>
          <w:color w:val="auto"/>
          <w:sz w:val="32"/>
          <w:szCs w:val="32"/>
          <w:highlight w:val="none"/>
          <w:u w:val="none"/>
          <w:lang w:val="zh-CN" w:eastAsia="zh-CN"/>
        </w:rPr>
        <w:t>3</w:t>
      </w:r>
      <w:r>
        <w:rPr>
          <w:rFonts w:hint="eastAsia" w:ascii="仿宋_GB2312" w:eastAsia="仿宋_GB2312"/>
          <w:b w:val="0"/>
          <w:bCs w:val="0"/>
          <w:color w:val="auto"/>
          <w:sz w:val="32"/>
          <w:szCs w:val="32"/>
          <w:highlight w:val="none"/>
          <w:u w:val="none"/>
          <w:lang w:val="zh-CN"/>
        </w:rPr>
        <w:t>00元生活费补助，</w:t>
      </w:r>
      <w:r>
        <w:rPr>
          <w:rFonts w:hint="eastAsia" w:ascii="仿宋_GB2312" w:eastAsia="仿宋_GB2312"/>
          <w:b w:val="0"/>
          <w:bCs w:val="0"/>
          <w:color w:val="auto"/>
          <w:sz w:val="32"/>
          <w:szCs w:val="32"/>
          <w:highlight w:val="none"/>
          <w:u w:val="none"/>
          <w:lang w:val="zh-CN" w:eastAsia="zh-CN"/>
        </w:rPr>
        <w:t>期限不超过36个</w:t>
      </w:r>
      <w:r>
        <w:rPr>
          <w:rFonts w:hint="eastAsia" w:ascii="仿宋_GB2312" w:eastAsia="仿宋_GB2312"/>
          <w:b w:val="0"/>
          <w:bCs w:val="0"/>
          <w:color w:val="auto"/>
          <w:sz w:val="32"/>
          <w:szCs w:val="32"/>
          <w:highlight w:val="none"/>
          <w:u w:val="none"/>
          <w:lang w:val="zh-CN"/>
        </w:rPr>
        <w:t>月，</w:t>
      </w:r>
      <w:r>
        <w:rPr>
          <w:rFonts w:hint="eastAsia" w:ascii="仿宋_GB2312" w:hAnsi="仿宋_GB2312" w:eastAsia="仿宋_GB2312" w:cs="仿宋_GB2312"/>
          <w:b w:val="0"/>
          <w:bCs w:val="0"/>
          <w:color w:val="auto"/>
          <w:sz w:val="32"/>
          <w:szCs w:val="32"/>
          <w:u w:val="none"/>
          <w:lang w:val="en-US" w:eastAsia="zh-CN"/>
        </w:rPr>
        <w:t>选择</w:t>
      </w:r>
      <w:r>
        <w:rPr>
          <w:rFonts w:hint="eastAsia" w:ascii="仿宋_GB2312" w:hAnsi="仿宋_GB2312" w:eastAsia="仿宋_GB2312" w:cs="仿宋_GB2312"/>
          <w:b w:val="0"/>
          <w:bCs w:val="0"/>
          <w:color w:val="auto"/>
          <w:sz w:val="32"/>
          <w:szCs w:val="32"/>
          <w:u w:val="none"/>
          <w:shd w:val="clear" w:fill="FFFFFF"/>
          <w:lang w:val="en-US" w:eastAsia="zh-CN"/>
        </w:rPr>
        <w:t>产权</w:t>
      </w:r>
      <w:r>
        <w:rPr>
          <w:rFonts w:hint="eastAsia" w:ascii="仿宋_GB2312" w:hAnsi="仿宋_GB2312" w:eastAsia="仿宋_GB2312" w:cs="仿宋_GB2312"/>
          <w:b w:val="0"/>
          <w:bCs w:val="0"/>
          <w:color w:val="auto"/>
          <w:sz w:val="32"/>
          <w:szCs w:val="32"/>
          <w:u w:val="none"/>
          <w:lang w:val="en-US" w:eastAsia="zh-CN"/>
        </w:rPr>
        <w:t>调换的,根据选择的安置房源,根据到龄当月(男需满60周岁、女需满55周岁)至回迁安置当月之间时间计算补助,期限上限不超过36个月。</w:t>
      </w:r>
    </w:p>
    <w:p w14:paraId="63142A8E">
      <w:pPr>
        <w:ind w:firstLine="640" w:firstLineChars="200"/>
        <w:jc w:val="left"/>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2、选择货币补偿的,享受老人</w:t>
      </w:r>
      <w:r>
        <w:rPr>
          <w:rFonts w:hint="eastAsia" w:ascii="仿宋_GB2312" w:eastAsia="仿宋_GB2312"/>
          <w:b w:val="0"/>
          <w:bCs w:val="0"/>
          <w:color w:val="auto"/>
          <w:sz w:val="32"/>
          <w:szCs w:val="32"/>
          <w:highlight w:val="none"/>
          <w:u w:val="none"/>
          <w:shd w:val="clear" w:fill="FFFFFF"/>
          <w:lang w:val="en-US" w:eastAsia="zh-CN"/>
        </w:rPr>
        <w:t>生活费</w:t>
      </w:r>
      <w:r>
        <w:rPr>
          <w:rFonts w:hint="eastAsia" w:ascii="仿宋_GB2312" w:eastAsia="仿宋_GB2312"/>
          <w:b w:val="0"/>
          <w:bCs w:val="0"/>
          <w:color w:val="auto"/>
          <w:sz w:val="32"/>
          <w:szCs w:val="32"/>
          <w:highlight w:val="none"/>
          <w:u w:val="none"/>
          <w:lang w:val="en-US" w:eastAsia="zh-CN"/>
        </w:rPr>
        <w:t>补助期限上限为36个月。签订协议并封房后36个月内,被征收人根据到龄当月(男需满60周岁、女需满55周岁)至36个月之间的时间计算补助。</w:t>
      </w:r>
    </w:p>
    <w:p w14:paraId="728EC5FD">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u w:val="none"/>
          <w:lang w:val="en-US" w:eastAsia="zh-CN"/>
        </w:rPr>
        <w:t>3、选择现房安置的,按6个月计算老人生活费补助。</w:t>
      </w:r>
    </w:p>
    <w:p w14:paraId="013729B1">
      <w:pPr>
        <w:numPr>
          <w:ilvl w:val="0"/>
          <w:numId w:val="0"/>
        </w:numPr>
        <w:ind w:firstLine="640" w:firstLineChars="200"/>
        <w:jc w:val="left"/>
        <w:rPr>
          <w:rFonts w:hint="eastAsia" w:ascii="仿宋_GB2312" w:eastAsia="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u w:val="none"/>
          <w:lang w:val="en-US" w:eastAsia="zh-CN"/>
        </w:rPr>
        <w:t>4、</w:t>
      </w:r>
      <w:r>
        <w:rPr>
          <w:rFonts w:hint="eastAsia" w:ascii="仿宋_GB2312" w:eastAsia="仿宋_GB2312"/>
          <w:b w:val="0"/>
          <w:bCs w:val="0"/>
          <w:color w:val="auto"/>
          <w:sz w:val="32"/>
          <w:szCs w:val="32"/>
          <w:highlight w:val="none"/>
          <w:u w:val="none"/>
          <w:lang w:val="zh-CN" w:eastAsia="zh-CN"/>
        </w:rPr>
        <w:t>征收围墙内埕地、空地、临时搭盖房屋、</w:t>
      </w:r>
      <w:r>
        <w:rPr>
          <w:rFonts w:hint="eastAsia" w:ascii="仿宋_GB2312" w:hAnsi="仿宋_GB2312" w:eastAsia="仿宋_GB2312" w:cs="仿宋_GB2312"/>
          <w:b w:val="0"/>
          <w:bCs w:val="0"/>
          <w:color w:val="auto"/>
          <w:sz w:val="32"/>
          <w:szCs w:val="32"/>
          <w:u w:val="none"/>
          <w:lang w:val="en-US" w:eastAsia="zh-CN"/>
        </w:rPr>
        <w:t>商业用房、办公用房和工业用房的被征收人均不享受老人生活补助。</w:t>
      </w:r>
    </w:p>
    <w:p w14:paraId="5555CC1F">
      <w:pPr>
        <w:pStyle w:val="2"/>
        <w:numPr>
          <w:ilvl w:val="0"/>
          <w:numId w:val="0"/>
        </w:numPr>
        <w:shd w:val="clear" w:color="auto" w:fill="auto"/>
        <w:spacing w:after="0" w:line="600" w:lineRule="exact"/>
        <w:ind w:firstLine="640" w:firstLineChars="200"/>
        <w:rPr>
          <w:rFonts w:hint="eastAsia" w:ascii="仿宋_GB2312" w:eastAsia="仿宋_GB2312"/>
          <w:b/>
          <w:bCs/>
          <w:color w:val="auto"/>
          <w:kern w:val="0"/>
          <w:sz w:val="32"/>
          <w:szCs w:val="32"/>
          <w:highlight w:val="none"/>
          <w:u w:val="single"/>
          <w:lang w:val="zh-CN"/>
        </w:rPr>
      </w:pPr>
      <w:r>
        <w:rPr>
          <w:rFonts w:hint="eastAsia" w:ascii="仿宋_GB2312" w:eastAsia="仿宋_GB2312"/>
          <w:b w:val="0"/>
          <w:bCs w:val="0"/>
          <w:color w:val="auto"/>
          <w:sz w:val="32"/>
          <w:szCs w:val="32"/>
          <w:highlight w:val="none"/>
          <w:u w:val="none"/>
          <w:lang w:val="en-US" w:eastAsia="zh-CN"/>
        </w:rPr>
        <w:t>5、</w:t>
      </w:r>
      <w:r>
        <w:rPr>
          <w:rFonts w:hint="eastAsia" w:ascii="仿宋_GB2312" w:eastAsia="仿宋_GB2312"/>
          <w:b w:val="0"/>
          <w:bCs w:val="0"/>
          <w:color w:val="auto"/>
          <w:sz w:val="32"/>
          <w:szCs w:val="32"/>
          <w:highlight w:val="none"/>
          <w:u w:val="none"/>
          <w:lang w:val="zh-CN"/>
        </w:rPr>
        <w:t>老人生活补助由</w:t>
      </w:r>
      <w:r>
        <w:rPr>
          <w:rFonts w:hint="eastAsia" w:ascii="仿宋_GB2312" w:eastAsia="仿宋_GB2312"/>
          <w:b w:val="0"/>
          <w:bCs w:val="0"/>
          <w:color w:val="auto"/>
          <w:sz w:val="32"/>
          <w:szCs w:val="32"/>
          <w:highlight w:val="none"/>
          <w:u w:val="none"/>
          <w:lang w:val="zh-CN" w:eastAsia="zh-CN"/>
        </w:rPr>
        <w:t>属地街道另外制表向财务审核组申报，</w:t>
      </w:r>
      <w:r>
        <w:rPr>
          <w:rFonts w:hint="eastAsia" w:ascii="仿宋_GB2312" w:eastAsia="仿宋_GB2312"/>
          <w:color w:val="auto"/>
          <w:sz w:val="32"/>
          <w:szCs w:val="32"/>
          <w:highlight w:val="none"/>
          <w:u w:val="none"/>
          <w:lang w:val="zh-CN" w:eastAsia="zh-CN"/>
        </w:rPr>
        <w:t>经审核后一次性拨付。</w:t>
      </w:r>
    </w:p>
    <w:p w14:paraId="59DDDE1D">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二十三、</w:t>
      </w:r>
      <w:r>
        <w:rPr>
          <w:rFonts w:hint="eastAsia" w:ascii="仿宋_GB2312" w:eastAsia="仿宋_GB2312"/>
          <w:b/>
          <w:color w:val="auto"/>
          <w:sz w:val="32"/>
          <w:szCs w:val="32"/>
          <w:highlight w:val="none"/>
          <w:u w:val="none"/>
          <w:shd w:val="clear" w:fill="FFFFFF"/>
          <w:lang w:val="zh-CN" w:eastAsia="zh-CN"/>
        </w:rPr>
        <w:t>其它类别</w:t>
      </w:r>
      <w:r>
        <w:rPr>
          <w:rFonts w:hint="eastAsia" w:ascii="仿宋_GB2312" w:eastAsia="仿宋_GB2312"/>
          <w:b/>
          <w:color w:val="auto"/>
          <w:sz w:val="32"/>
          <w:szCs w:val="32"/>
          <w:highlight w:val="none"/>
          <w:u w:val="none"/>
          <w:lang w:val="zh-CN" w:eastAsia="zh-CN"/>
        </w:rPr>
        <w:t>房屋补偿安置</w:t>
      </w:r>
    </w:p>
    <w:p w14:paraId="24BC54B6">
      <w:pPr>
        <w:ind w:firstLine="640" w:firstLineChars="200"/>
        <w:jc w:val="left"/>
        <w:rPr>
          <w:rFonts w:hint="eastAsia" w:ascii="仿宋_GB2312" w:hAnsi="仿宋_GB2312" w:eastAsia="仿宋_GB2312" w:cs="仿宋_GB2312"/>
          <w:b w:val="0"/>
          <w:bCs w:val="0"/>
          <w:color w:val="auto"/>
          <w:sz w:val="32"/>
          <w:szCs w:val="32"/>
          <w:u w:val="none"/>
          <w:lang w:val="en-US" w:eastAsia="zh-CN"/>
        </w:rPr>
      </w:pPr>
      <w:r>
        <w:rPr>
          <w:rFonts w:hint="eastAsia" w:ascii="仿宋_GB2312" w:eastAsia="仿宋_GB2312"/>
          <w:color w:val="auto"/>
          <w:sz w:val="32"/>
          <w:szCs w:val="32"/>
          <w:highlight w:val="none"/>
          <w:u w:val="none"/>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r>
        <w:rPr>
          <w:rFonts w:hint="eastAsia" w:ascii="仿宋_GB2312" w:eastAsia="仿宋_GB2312"/>
          <w:b w:val="0"/>
          <w:bCs w:val="0"/>
          <w:color w:val="auto"/>
          <w:sz w:val="32"/>
          <w:szCs w:val="32"/>
          <w:highlight w:val="none"/>
          <w:u w:val="none"/>
          <w:lang w:val="zh-CN"/>
        </w:rPr>
        <w:t>。</w:t>
      </w:r>
    </w:p>
    <w:p w14:paraId="6040FE36">
      <w:pPr>
        <w:pStyle w:val="2"/>
        <w:shd w:val="clear" w:color="auto" w:fill="auto"/>
        <w:spacing w:after="0" w:line="600" w:lineRule="exact"/>
        <w:jc w:val="both"/>
        <w:rPr>
          <w:rFonts w:hint="eastAsia" w:ascii="仿宋_GB2312" w:eastAsia="仿宋_GB2312"/>
          <w:b w:val="0"/>
          <w:bCs w:val="0"/>
          <w:color w:val="auto"/>
          <w:sz w:val="32"/>
          <w:szCs w:val="32"/>
          <w:highlight w:val="none"/>
          <w:u w:val="none"/>
          <w:lang w:val="zh-CN"/>
        </w:rPr>
      </w:pPr>
    </w:p>
    <w:p w14:paraId="0D3AB2B9">
      <w:pPr>
        <w:pStyle w:val="2"/>
        <w:shd w:val="clear" w:color="auto" w:fill="auto"/>
        <w:spacing w:after="0" w:line="600" w:lineRule="exact"/>
        <w:jc w:val="center"/>
        <w:rPr>
          <w:rFonts w:hint="eastAsia" w:ascii="仿宋_GB2312" w:eastAsia="仿宋_GB2312"/>
          <w:b/>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五</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其他规定</w:t>
      </w:r>
    </w:p>
    <w:p w14:paraId="325707DB">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p>
    <w:p w14:paraId="642BA053">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二十四、房屋权属不清的处理</w:t>
      </w:r>
    </w:p>
    <w:p w14:paraId="7EA43E99">
      <w:pPr>
        <w:pStyle w:val="2"/>
        <w:shd w:val="clear" w:color="auto" w:fill="auto"/>
        <w:spacing w:after="0" w:line="600" w:lineRule="exact"/>
        <w:ind w:firstLine="640" w:firstLineChars="2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被征收房屋产权人下落不明、暂时无法确认产权和其他产权不清的房屋，由征收人就被征收房屋的有关事项办理证据保全后予以拆除。</w:t>
      </w:r>
    </w:p>
    <w:p w14:paraId="56A48553">
      <w:pPr>
        <w:pStyle w:val="2"/>
        <w:shd w:val="clear" w:color="auto" w:fill="auto"/>
        <w:spacing w:after="0" w:line="600" w:lineRule="exact"/>
        <w:ind w:firstLine="643" w:firstLineChars="200"/>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lang w:val="zh-CN" w:eastAsia="zh-CN"/>
        </w:rPr>
        <w:t>二十五、设定他项权利的处理</w:t>
      </w:r>
    </w:p>
    <w:p w14:paraId="506AF4FC">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被征收房屋设定抵押的，相关当事人应自行协商解除抵押关系，并在签订协议前向登记部门注销抵押关系。</w:t>
      </w:r>
    </w:p>
    <w:p w14:paraId="698F0EEA">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二十六、</w:t>
      </w:r>
      <w:r>
        <w:rPr>
          <w:rFonts w:hint="eastAsia" w:ascii="仿宋_GB2312" w:eastAsia="仿宋_GB2312"/>
          <w:b/>
          <w:bCs/>
          <w:color w:val="auto"/>
          <w:sz w:val="32"/>
          <w:szCs w:val="32"/>
          <w:highlight w:val="none"/>
          <w:u w:val="none"/>
          <w:lang w:val="zh-CN"/>
        </w:rPr>
        <w:t>超出签约期限内搬迁的处理办法</w:t>
      </w:r>
    </w:p>
    <w:p w14:paraId="386497A2">
      <w:pPr>
        <w:spacing w:line="600" w:lineRule="exact"/>
        <w:ind w:firstLine="480" w:firstLineChars="150"/>
        <w:rPr>
          <w:rFonts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（一）被征收人超过规定签约期限仍未签订协议并封房的，不享受本实施方案有关的补助、奖励、照顾、保</w:t>
      </w:r>
      <w:r>
        <w:rPr>
          <w:rFonts w:hint="eastAsia" w:ascii="仿宋_GB2312" w:eastAsia="仿宋_GB2312"/>
          <w:color w:val="auto"/>
          <w:kern w:val="0"/>
          <w:sz w:val="32"/>
          <w:szCs w:val="32"/>
          <w:highlight w:val="none"/>
          <w:u w:val="none"/>
          <w:shd w:val="clear" w:fill="FFFFFF"/>
          <w:lang w:val="zh-CN"/>
        </w:rPr>
        <w:t>障</w:t>
      </w:r>
      <w:r>
        <w:rPr>
          <w:rFonts w:hint="eastAsia" w:ascii="仿宋_GB2312" w:eastAsia="仿宋_GB2312"/>
          <w:color w:val="auto"/>
          <w:kern w:val="0"/>
          <w:sz w:val="32"/>
          <w:szCs w:val="32"/>
          <w:highlight w:val="none"/>
          <w:u w:val="none"/>
          <w:lang w:val="zh-CN"/>
        </w:rPr>
        <w:t>奖励措施。坚决杜绝超期限搬迁反而多得利的现象发生。</w:t>
      </w:r>
    </w:p>
    <w:p w14:paraId="7AA37434">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（二）房屋征收部门与被征收人在征收补偿方案确定的签约期限内达不成补偿协议，按程序转入强制征收流程。</w:t>
      </w:r>
    </w:p>
    <w:p w14:paraId="511CE4FC">
      <w:pPr>
        <w:pStyle w:val="2"/>
        <w:shd w:val="clear" w:color="auto" w:fill="auto"/>
        <w:spacing w:after="0" w:line="600" w:lineRule="exact"/>
        <w:ind w:firstLine="480" w:firstLineChars="15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（三）被征收人在法定期限内不申请行政复议或者不提起行政诉讼，在补偿决定规定的期限内又不搬迁的，由相关部门依法申请人民法院强制执行。</w:t>
      </w:r>
    </w:p>
    <w:p w14:paraId="52C7A6D1">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eastAsia="zh-CN"/>
        </w:rPr>
      </w:pP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四）故意扰乱征收工作程序、煽动闹事、妨碍征收工作人员正常工作的，由公安机关按照《</w:t>
      </w:r>
      <w:r>
        <w:rPr>
          <w:rFonts w:hint="eastAsia" w:ascii="仿宋_GB2312" w:eastAsia="仿宋_GB2312"/>
          <w:color w:val="auto"/>
          <w:sz w:val="32"/>
          <w:szCs w:val="32"/>
          <w:highlight w:val="none"/>
          <w:u w:val="none"/>
          <w:lang w:val="zh-CN" w:eastAsia="zh-CN"/>
        </w:rPr>
        <w:t>中华人民共和国</w:t>
      </w:r>
      <w:r>
        <w:rPr>
          <w:rFonts w:hint="eastAsia" w:ascii="仿宋_GB2312" w:eastAsia="仿宋_GB2312"/>
          <w:color w:val="auto"/>
          <w:sz w:val="32"/>
          <w:szCs w:val="32"/>
          <w:highlight w:val="none"/>
          <w:u w:val="none"/>
          <w:lang w:val="zh-CN"/>
        </w:rPr>
        <w:t>治安管理处罚法》规定处罚，构成犯罪的由司法机关追究刑事责任。</w:t>
      </w:r>
    </w:p>
    <w:p w14:paraId="58076AFE">
      <w:pPr>
        <w:pStyle w:val="15"/>
        <w:shd w:val="clear" w:color="auto" w:fill="auto"/>
        <w:spacing w:after="0" w:line="600" w:lineRule="exact"/>
        <w:ind w:firstLine="643" w:firstLineChars="200"/>
        <w:jc w:val="both"/>
        <w:rPr>
          <w:rFonts w:ascii="仿宋_GB2312" w:eastAsia="仿宋_GB2312"/>
          <w:b/>
          <w:bCs/>
          <w:color w:val="auto"/>
          <w:sz w:val="32"/>
          <w:szCs w:val="32"/>
          <w:highlight w:val="none"/>
          <w:u w:val="none"/>
          <w:lang w:val="zh-CN"/>
        </w:rPr>
      </w:pPr>
      <w:r>
        <w:rPr>
          <w:rFonts w:hint="eastAsia" w:ascii="仿宋_GB2312" w:eastAsia="仿宋_GB2312"/>
          <w:b/>
          <w:bCs/>
          <w:color w:val="auto"/>
          <w:sz w:val="32"/>
          <w:szCs w:val="32"/>
          <w:highlight w:val="none"/>
          <w:u w:val="none"/>
          <w:lang w:val="zh-CN" w:eastAsia="zh-CN"/>
        </w:rPr>
        <w:t>二十七、</w:t>
      </w:r>
      <w:r>
        <w:rPr>
          <w:rFonts w:hint="eastAsia" w:ascii="仿宋_GB2312" w:eastAsia="仿宋_GB2312"/>
          <w:b/>
          <w:bCs/>
          <w:color w:val="auto"/>
          <w:sz w:val="32"/>
          <w:szCs w:val="32"/>
          <w:highlight w:val="none"/>
          <w:u w:val="none"/>
          <w:lang w:val="zh-CN"/>
        </w:rPr>
        <w:t>房屋搬迁程序</w:t>
      </w:r>
    </w:p>
    <w:p w14:paraId="2D90A330">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（一）由征收人将实地测量的房屋面积、房屋结构、房屋成新率等交由被征收人核对，在核对无误情况下按规定时间及时回执。</w:t>
      </w:r>
    </w:p>
    <w:p w14:paraId="7483994E">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（二）被征收人在搬迁时应向水电部门交清费用，属相关部门安装总表，不得私自拆除、更换，应由相关部门统一拆除，否则将追究当事人责任。</w:t>
      </w:r>
    </w:p>
    <w:p w14:paraId="7A444C5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（三）被征收人应当按规定的</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期限签订协议且搬迁完毕，并办好封房移交手续。</w:t>
      </w:r>
    </w:p>
    <w:p w14:paraId="47C57155">
      <w:pPr>
        <w:pStyle w:val="2"/>
        <w:shd w:val="clear" w:color="auto" w:fill="auto"/>
        <w:spacing w:after="0" w:line="600" w:lineRule="exact"/>
        <w:ind w:firstLine="640" w:firstLineChars="2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四</w:t>
      </w:r>
      <w:r>
        <w:rPr>
          <w:rFonts w:hint="eastAsia" w:ascii="仿宋_GB2312" w:eastAsia="仿宋_GB2312"/>
          <w:color w:val="auto"/>
          <w:sz w:val="32"/>
          <w:szCs w:val="32"/>
          <w:highlight w:val="none"/>
          <w:u w:val="none"/>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color w:val="auto"/>
          <w:sz w:val="32"/>
          <w:szCs w:val="32"/>
          <w:highlight w:val="none"/>
          <w:u w:val="none"/>
          <w:lang w:val="zh-CN"/>
        </w:rPr>
        <w:t>2</w:t>
      </w:r>
      <w:r>
        <w:rPr>
          <w:rFonts w:hint="eastAsia" w:ascii="仿宋_GB2312" w:eastAsia="仿宋_GB2312"/>
          <w:color w:val="auto"/>
          <w:sz w:val="32"/>
          <w:szCs w:val="32"/>
          <w:highlight w:val="none"/>
          <w:u w:val="none"/>
          <w:lang w:val="zh-CN"/>
        </w:rPr>
        <w:t>份。</w:t>
      </w:r>
    </w:p>
    <w:p w14:paraId="480B0324">
      <w:pPr>
        <w:pStyle w:val="2"/>
        <w:shd w:val="clear" w:color="auto" w:fill="auto"/>
        <w:spacing w:after="0" w:line="600" w:lineRule="exact"/>
        <w:ind w:firstLine="643" w:firstLineChars="200"/>
        <w:jc w:val="center"/>
        <w:rPr>
          <w:rFonts w:hint="eastAsia" w:ascii="仿宋_GB2312" w:eastAsia="仿宋_GB2312"/>
          <w:b/>
          <w:bCs/>
          <w:color w:val="auto"/>
          <w:sz w:val="32"/>
          <w:szCs w:val="32"/>
          <w:highlight w:val="none"/>
          <w:u w:val="none"/>
          <w:lang w:val="zh-CN"/>
        </w:rPr>
      </w:pPr>
    </w:p>
    <w:p w14:paraId="569EF316">
      <w:pPr>
        <w:pStyle w:val="2"/>
        <w:shd w:val="clear" w:color="auto" w:fill="auto"/>
        <w:spacing w:after="0" w:line="600" w:lineRule="exact"/>
        <w:ind w:firstLine="643" w:firstLineChars="200"/>
        <w:jc w:val="center"/>
        <w:rPr>
          <w:rFonts w:ascii="仿宋_GB2312" w:eastAsia="仿宋_GB2312"/>
          <w:b/>
          <w:bCs/>
          <w:color w:val="auto"/>
          <w:sz w:val="32"/>
          <w:szCs w:val="32"/>
          <w:highlight w:val="none"/>
          <w:u w:val="none"/>
          <w:lang w:val="zh-CN" w:eastAsia="zh-CN"/>
        </w:rPr>
      </w:pPr>
      <w:r>
        <w:rPr>
          <w:rFonts w:hint="eastAsia" w:ascii="仿宋_GB2312" w:eastAsia="仿宋_GB2312"/>
          <w:b/>
          <w:bCs/>
          <w:color w:val="auto"/>
          <w:sz w:val="32"/>
          <w:szCs w:val="32"/>
          <w:highlight w:val="none"/>
          <w:u w:val="none"/>
          <w:lang w:val="zh-CN"/>
        </w:rPr>
        <w:t>第</w:t>
      </w:r>
      <w:r>
        <w:rPr>
          <w:rFonts w:hint="eastAsia" w:ascii="仿宋_GB2312" w:eastAsia="仿宋_GB2312"/>
          <w:b/>
          <w:bCs/>
          <w:color w:val="auto"/>
          <w:sz w:val="32"/>
          <w:szCs w:val="32"/>
          <w:highlight w:val="none"/>
          <w:u w:val="none"/>
          <w:lang w:val="zh-CN" w:eastAsia="zh-CN"/>
        </w:rPr>
        <w:t>六</w:t>
      </w:r>
      <w:r>
        <w:rPr>
          <w:rFonts w:hint="eastAsia" w:ascii="仿宋_GB2312" w:eastAsia="仿宋_GB2312"/>
          <w:b/>
          <w:bCs/>
          <w:color w:val="auto"/>
          <w:sz w:val="32"/>
          <w:szCs w:val="32"/>
          <w:highlight w:val="none"/>
          <w:u w:val="none"/>
          <w:lang w:val="zh-CN"/>
        </w:rPr>
        <w:t>部分</w:t>
      </w:r>
      <w:r>
        <w:rPr>
          <w:rFonts w:ascii="仿宋_GB2312" w:eastAsia="仿宋_GB2312"/>
          <w:b/>
          <w:bCs/>
          <w:color w:val="auto"/>
          <w:sz w:val="32"/>
          <w:szCs w:val="32"/>
          <w:highlight w:val="none"/>
          <w:u w:val="none"/>
          <w:lang w:val="zh-CN"/>
        </w:rPr>
        <w:t xml:space="preserve">    </w:t>
      </w:r>
      <w:r>
        <w:rPr>
          <w:rFonts w:hint="eastAsia" w:ascii="仿宋_GB2312" w:eastAsia="仿宋_GB2312"/>
          <w:b/>
          <w:bCs/>
          <w:color w:val="auto"/>
          <w:sz w:val="32"/>
          <w:szCs w:val="32"/>
          <w:highlight w:val="none"/>
          <w:u w:val="none"/>
          <w:lang w:val="zh-CN"/>
        </w:rPr>
        <w:t>附则</w:t>
      </w:r>
    </w:p>
    <w:p w14:paraId="21EEAAF1">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p>
    <w:p w14:paraId="07B8D258">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二十八、</w:t>
      </w:r>
      <w:r>
        <w:rPr>
          <w:rFonts w:hint="eastAsia" w:ascii="仿宋_GB2312" w:eastAsia="仿宋_GB2312"/>
          <w:color w:val="auto"/>
          <w:sz w:val="32"/>
          <w:szCs w:val="32"/>
          <w:highlight w:val="none"/>
          <w:u w:val="none"/>
          <w:lang w:val="zh-CN"/>
        </w:rPr>
        <w:t>适用范围</w:t>
      </w:r>
    </w:p>
    <w:p w14:paraId="338C4B9B">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本方案适</w:t>
      </w:r>
      <w:r>
        <w:rPr>
          <w:rFonts w:hint="eastAsia" w:ascii="仿宋_GB2312" w:eastAsia="仿宋_GB2312"/>
          <w:color w:val="auto"/>
          <w:sz w:val="32"/>
          <w:szCs w:val="32"/>
          <w:highlight w:val="none"/>
          <w:u w:val="none"/>
          <w:lang w:eastAsia="zh-CN"/>
        </w:rPr>
        <w:t>用于龙东</w:t>
      </w:r>
      <w:r>
        <w:rPr>
          <w:rFonts w:hint="eastAsia" w:ascii="仿宋_GB2312" w:eastAsia="仿宋_GB2312"/>
          <w:color w:val="auto"/>
          <w:w w:val="100"/>
          <w:sz w:val="32"/>
          <w:szCs w:val="32"/>
          <w:highlight w:val="none"/>
          <w:u w:val="none"/>
          <w:lang w:val="en-US" w:eastAsia="zh-CN"/>
        </w:rPr>
        <w:t>片区改造</w:t>
      </w:r>
      <w:r>
        <w:rPr>
          <w:rFonts w:hint="eastAsia" w:ascii="仿宋_GB2312" w:eastAsia="仿宋_GB2312"/>
          <w:color w:val="auto"/>
          <w:sz w:val="32"/>
          <w:szCs w:val="32"/>
          <w:highlight w:val="none"/>
          <w:u w:val="none"/>
          <w:lang w:eastAsia="zh-CN"/>
        </w:rPr>
        <w:t>项目</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征收</w:t>
      </w:r>
      <w:r>
        <w:rPr>
          <w:rFonts w:hint="eastAsia" w:ascii="仿宋_GB2312" w:eastAsia="仿宋_GB2312"/>
          <w:color w:val="auto"/>
          <w:sz w:val="32"/>
          <w:szCs w:val="32"/>
          <w:highlight w:val="none"/>
          <w:u w:val="none"/>
          <w:lang w:val="zh-CN"/>
        </w:rPr>
        <w:t>补偿安置。</w:t>
      </w:r>
      <w:r>
        <w:rPr>
          <w:rFonts w:hint="eastAsia" w:ascii="仿宋_GB2312" w:eastAsia="仿宋_GB2312"/>
          <w:color w:val="auto"/>
          <w:sz w:val="32"/>
          <w:szCs w:val="32"/>
          <w:highlight w:val="none"/>
          <w:u w:val="none"/>
          <w:lang w:val="zh-CN" w:eastAsia="zh-CN"/>
        </w:rPr>
        <w:t>涉及套房和集资房征收补偿方案另行制定。</w:t>
      </w:r>
    </w:p>
    <w:p w14:paraId="48444C07">
      <w:pPr>
        <w:pStyle w:val="13"/>
        <w:shd w:val="clear" w:color="auto" w:fill="auto"/>
        <w:spacing w:line="629" w:lineRule="exact"/>
        <w:ind w:left="20" w:firstLine="620"/>
        <w:jc w:val="both"/>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eastAsia="zh-CN"/>
        </w:rPr>
        <w:t>二十九、</w:t>
      </w:r>
      <w:r>
        <w:rPr>
          <w:rFonts w:hint="eastAsia" w:ascii="仿宋_GB2312" w:eastAsia="仿宋_GB2312"/>
          <w:color w:val="auto"/>
          <w:sz w:val="32"/>
          <w:szCs w:val="32"/>
          <w:highlight w:val="none"/>
          <w:u w:val="none"/>
          <w:lang w:val="zh-CN"/>
        </w:rPr>
        <w:t>未尽事宜</w:t>
      </w:r>
    </w:p>
    <w:p w14:paraId="355EE7A0">
      <w:pPr>
        <w:pStyle w:val="2"/>
        <w:shd w:val="clear" w:color="auto" w:fill="auto"/>
        <w:spacing w:after="0" w:line="600" w:lineRule="exact"/>
        <w:ind w:firstLine="640" w:firstLineChars="200"/>
        <w:jc w:val="both"/>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该补偿方案未提及事项按国务院及</w:t>
      </w:r>
      <w:r>
        <w:rPr>
          <w:rFonts w:hint="eastAsia" w:ascii="仿宋_GB2312" w:eastAsia="仿宋_GB2312"/>
          <w:color w:val="auto"/>
          <w:sz w:val="32"/>
          <w:szCs w:val="32"/>
          <w:highlight w:val="none"/>
          <w:u w:val="none"/>
          <w:shd w:val="clear" w:fill="FFFFFF"/>
          <w:lang w:val="zh-CN"/>
        </w:rPr>
        <w:t>福建省、福州市</w:t>
      </w:r>
      <w:r>
        <w:rPr>
          <w:rFonts w:hint="eastAsia" w:ascii="仿宋_GB2312" w:eastAsia="仿宋_GB2312"/>
          <w:color w:val="auto"/>
          <w:sz w:val="32"/>
          <w:szCs w:val="32"/>
          <w:highlight w:val="none"/>
          <w:u w:val="none"/>
          <w:lang w:val="zh-CN"/>
        </w:rPr>
        <w:t>、福清市的有关规定实施。</w:t>
      </w:r>
    </w:p>
    <w:p w14:paraId="081667A1">
      <w:pPr>
        <w:pStyle w:val="13"/>
        <w:shd w:val="clear" w:color="auto" w:fill="auto"/>
        <w:spacing w:line="629" w:lineRule="exact"/>
        <w:ind w:left="20" w:firstLine="620"/>
        <w:jc w:val="both"/>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三十、投诉监督</w:t>
      </w:r>
    </w:p>
    <w:p w14:paraId="482AFE73">
      <w:pPr>
        <w:pStyle w:val="2"/>
        <w:shd w:val="clear" w:color="auto" w:fill="auto"/>
        <w:spacing w:after="0" w:line="600" w:lineRule="exact"/>
        <w:ind w:firstLine="640" w:firstLineChars="200"/>
        <w:jc w:val="both"/>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整个征收补偿工作将做到公正、公平、公开，欢迎被征收人监督。</w:t>
      </w:r>
    </w:p>
    <w:p w14:paraId="5C5E6678">
      <w:pPr>
        <w:pStyle w:val="2"/>
        <w:shd w:val="clear" w:color="auto" w:fill="auto"/>
        <w:spacing w:after="0" w:line="600" w:lineRule="exact"/>
        <w:ind w:firstLine="640" w:firstLineChars="200"/>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附件：</w:t>
      </w: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、被征收房屋重置价标准</w:t>
      </w:r>
    </w:p>
    <w:p w14:paraId="54F06580">
      <w:pPr>
        <w:pStyle w:val="2"/>
        <w:shd w:val="clear" w:color="auto" w:fill="auto"/>
        <w:spacing w:after="0" w:line="600" w:lineRule="exact"/>
        <w:ind w:firstLine="1600" w:firstLineChars="500"/>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、被征收房屋成新率评定标准</w:t>
      </w:r>
    </w:p>
    <w:p w14:paraId="099ED4BD">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、房屋二次装修重置价标准</w:t>
      </w:r>
    </w:p>
    <w:p w14:paraId="51FE4739">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四、房屋二次装修成新率评定标准</w:t>
      </w:r>
    </w:p>
    <w:p w14:paraId="7A125D2C">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五、私人自建住宅等面积应补缴价格控制表</w:t>
      </w:r>
    </w:p>
    <w:p w14:paraId="72B12728">
      <w:pPr>
        <w:pStyle w:val="2"/>
        <w:shd w:val="clear" w:color="auto" w:fill="auto"/>
        <w:spacing w:after="0" w:line="600" w:lineRule="exact"/>
        <w:ind w:firstLine="1600" w:firstLineChars="500"/>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eastAsia="zh-CN"/>
        </w:rPr>
        <w:t>六、房屋的附属物补偿标准</w:t>
      </w:r>
    </w:p>
    <w:p w14:paraId="5181A999">
      <w:pPr>
        <w:pStyle w:val="2"/>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04223319">
      <w:pPr>
        <w:numPr>
          <w:ilvl w:val="0"/>
          <w:numId w:val="0"/>
        </w:numPr>
        <w:jc w:val="left"/>
        <w:rPr>
          <w:rFonts w:hint="eastAsia" w:ascii="仿宋_GB2312" w:eastAsia="仿宋_GB2312"/>
          <w:b/>
          <w:color w:val="auto"/>
          <w:kern w:val="0"/>
          <w:sz w:val="32"/>
          <w:szCs w:val="32"/>
          <w:highlight w:val="none"/>
          <w:u w:val="none"/>
        </w:rPr>
      </w:pPr>
    </w:p>
    <w:p w14:paraId="34722518">
      <w:pPr>
        <w:numPr>
          <w:ilvl w:val="0"/>
          <w:numId w:val="0"/>
        </w:numPr>
        <w:jc w:val="left"/>
        <w:rPr>
          <w:rFonts w:hint="eastAsia" w:ascii="仿宋_GB2312" w:eastAsia="仿宋_GB2312"/>
          <w:b/>
          <w:color w:val="auto"/>
          <w:kern w:val="0"/>
          <w:sz w:val="32"/>
          <w:szCs w:val="32"/>
          <w:highlight w:val="none"/>
          <w:u w:val="none"/>
        </w:rPr>
      </w:pPr>
    </w:p>
    <w:p w14:paraId="7BFB2CE1">
      <w:pPr>
        <w:numPr>
          <w:ilvl w:val="0"/>
          <w:numId w:val="0"/>
        </w:numPr>
        <w:jc w:val="left"/>
        <w:rPr>
          <w:rFonts w:hint="eastAsia" w:ascii="仿宋_GB2312" w:eastAsia="仿宋_GB2312"/>
          <w:b/>
          <w:color w:val="auto"/>
          <w:kern w:val="0"/>
          <w:sz w:val="32"/>
          <w:szCs w:val="32"/>
          <w:highlight w:val="none"/>
          <w:u w:val="none"/>
        </w:rPr>
      </w:pPr>
    </w:p>
    <w:p w14:paraId="5868C6B7">
      <w:pPr>
        <w:numPr>
          <w:ilvl w:val="0"/>
          <w:numId w:val="0"/>
        </w:numPr>
        <w:jc w:val="left"/>
        <w:rPr>
          <w:rFonts w:hint="eastAsia" w:ascii="仿宋_GB2312" w:eastAsia="仿宋_GB2312"/>
          <w:b/>
          <w:color w:val="auto"/>
          <w:kern w:val="0"/>
          <w:sz w:val="32"/>
          <w:szCs w:val="32"/>
          <w:highlight w:val="none"/>
          <w:u w:val="none"/>
        </w:rPr>
      </w:pPr>
    </w:p>
    <w:p w14:paraId="5D85763B">
      <w:pPr>
        <w:numPr>
          <w:ilvl w:val="0"/>
          <w:numId w:val="0"/>
        </w:numPr>
        <w:jc w:val="left"/>
        <w:rPr>
          <w:rFonts w:hint="eastAsia" w:ascii="仿宋_GB2312" w:eastAsia="仿宋_GB2312"/>
          <w:b/>
          <w:color w:val="auto"/>
          <w:kern w:val="0"/>
          <w:sz w:val="32"/>
          <w:szCs w:val="32"/>
          <w:highlight w:val="none"/>
          <w:u w:val="none"/>
        </w:rPr>
      </w:pPr>
    </w:p>
    <w:p w14:paraId="29587558">
      <w:pPr>
        <w:numPr>
          <w:ilvl w:val="0"/>
          <w:numId w:val="0"/>
        </w:numPr>
        <w:jc w:val="left"/>
        <w:rPr>
          <w:rFonts w:hint="eastAsia" w:ascii="仿宋_GB2312" w:eastAsia="仿宋_GB2312"/>
          <w:b/>
          <w:color w:val="auto"/>
          <w:kern w:val="0"/>
          <w:sz w:val="32"/>
          <w:szCs w:val="32"/>
          <w:highlight w:val="none"/>
          <w:u w:val="none"/>
        </w:rPr>
      </w:pPr>
    </w:p>
    <w:p w14:paraId="45B10146">
      <w:pPr>
        <w:numPr>
          <w:ilvl w:val="0"/>
          <w:numId w:val="0"/>
        </w:numPr>
        <w:jc w:val="left"/>
        <w:rPr>
          <w:rFonts w:hint="eastAsia" w:ascii="仿宋_GB2312" w:eastAsia="仿宋_GB2312"/>
          <w:b/>
          <w:color w:val="auto"/>
          <w:kern w:val="0"/>
          <w:sz w:val="32"/>
          <w:szCs w:val="32"/>
          <w:highlight w:val="none"/>
          <w:u w:val="none"/>
        </w:rPr>
      </w:pPr>
    </w:p>
    <w:p w14:paraId="62A7DA30">
      <w:pPr>
        <w:numPr>
          <w:ilvl w:val="0"/>
          <w:numId w:val="0"/>
        </w:numPr>
        <w:jc w:val="left"/>
        <w:rPr>
          <w:rFonts w:hint="eastAsia" w:ascii="仿宋_GB2312" w:eastAsia="仿宋_GB2312"/>
          <w:b/>
          <w:color w:val="auto"/>
          <w:kern w:val="0"/>
          <w:sz w:val="32"/>
          <w:szCs w:val="32"/>
          <w:highlight w:val="none"/>
          <w:u w:val="none"/>
        </w:rPr>
      </w:pPr>
    </w:p>
    <w:p w14:paraId="1D5BB349">
      <w:pPr>
        <w:numPr>
          <w:ilvl w:val="0"/>
          <w:numId w:val="0"/>
        </w:numPr>
        <w:jc w:val="left"/>
        <w:rPr>
          <w:rFonts w:hint="eastAsia" w:ascii="仿宋_GB2312" w:eastAsia="仿宋_GB2312"/>
          <w:b/>
          <w:color w:val="auto"/>
          <w:kern w:val="0"/>
          <w:sz w:val="32"/>
          <w:szCs w:val="32"/>
          <w:highlight w:val="none"/>
          <w:u w:val="none"/>
        </w:rPr>
      </w:pPr>
    </w:p>
    <w:p w14:paraId="3C8432C2">
      <w:pPr>
        <w:numPr>
          <w:ilvl w:val="0"/>
          <w:numId w:val="0"/>
        </w:numPr>
        <w:jc w:val="left"/>
        <w:rPr>
          <w:rFonts w:hint="eastAsia" w:ascii="仿宋_GB2312" w:eastAsia="仿宋_GB2312"/>
          <w:b/>
          <w:color w:val="auto"/>
          <w:kern w:val="0"/>
          <w:sz w:val="32"/>
          <w:szCs w:val="32"/>
          <w:highlight w:val="none"/>
          <w:u w:val="none"/>
        </w:rPr>
      </w:pPr>
    </w:p>
    <w:p w14:paraId="259BA41F">
      <w:pPr>
        <w:numPr>
          <w:ilvl w:val="0"/>
          <w:numId w:val="0"/>
        </w:numPr>
        <w:jc w:val="left"/>
        <w:rPr>
          <w:rFonts w:hint="eastAsia" w:ascii="仿宋_GB2312" w:eastAsia="仿宋_GB2312"/>
          <w:b/>
          <w:color w:val="auto"/>
          <w:kern w:val="0"/>
          <w:sz w:val="32"/>
          <w:szCs w:val="32"/>
          <w:highlight w:val="none"/>
          <w:u w:val="none"/>
        </w:rPr>
      </w:pPr>
    </w:p>
    <w:p w14:paraId="3046BA1C">
      <w:pPr>
        <w:numPr>
          <w:ilvl w:val="0"/>
          <w:numId w:val="0"/>
        </w:numPr>
        <w:jc w:val="left"/>
        <w:rPr>
          <w:rFonts w:hint="eastAsia" w:ascii="仿宋_GB2312" w:eastAsia="仿宋_GB2312"/>
          <w:b/>
          <w:color w:val="auto"/>
          <w:kern w:val="0"/>
          <w:sz w:val="32"/>
          <w:szCs w:val="32"/>
          <w:highlight w:val="none"/>
          <w:u w:val="none"/>
        </w:rPr>
      </w:pPr>
    </w:p>
    <w:p w14:paraId="3A22F29E">
      <w:pPr>
        <w:numPr>
          <w:ilvl w:val="0"/>
          <w:numId w:val="0"/>
        </w:numPr>
        <w:jc w:val="left"/>
        <w:rPr>
          <w:rFonts w:hint="eastAsia" w:ascii="仿宋_GB2312" w:eastAsia="仿宋_GB2312"/>
          <w:b/>
          <w:color w:val="auto"/>
          <w:kern w:val="0"/>
          <w:sz w:val="32"/>
          <w:szCs w:val="32"/>
          <w:highlight w:val="none"/>
          <w:u w:val="none"/>
        </w:rPr>
      </w:pPr>
    </w:p>
    <w:p w14:paraId="7F8B7F79">
      <w:pPr>
        <w:numPr>
          <w:ilvl w:val="0"/>
          <w:numId w:val="0"/>
        </w:numPr>
        <w:jc w:val="left"/>
        <w:rPr>
          <w:rFonts w:hint="eastAsia" w:ascii="仿宋_GB2312" w:eastAsia="仿宋_GB2312"/>
          <w:b/>
          <w:color w:val="auto"/>
          <w:kern w:val="0"/>
          <w:sz w:val="32"/>
          <w:szCs w:val="32"/>
          <w:highlight w:val="none"/>
          <w:u w:val="none"/>
        </w:rPr>
      </w:pPr>
    </w:p>
    <w:p w14:paraId="64F29480">
      <w:pPr>
        <w:numPr>
          <w:ilvl w:val="0"/>
          <w:numId w:val="0"/>
        </w:numPr>
        <w:jc w:val="left"/>
        <w:rPr>
          <w:rFonts w:hint="eastAsia" w:ascii="仿宋_GB2312" w:eastAsia="仿宋_GB2312"/>
          <w:b/>
          <w:color w:val="auto"/>
          <w:kern w:val="0"/>
          <w:sz w:val="32"/>
          <w:szCs w:val="32"/>
          <w:highlight w:val="none"/>
          <w:u w:val="none"/>
        </w:rPr>
      </w:pPr>
    </w:p>
    <w:p w14:paraId="0D593E84">
      <w:pPr>
        <w:numPr>
          <w:ilvl w:val="0"/>
          <w:numId w:val="0"/>
        </w:numPr>
        <w:jc w:val="left"/>
        <w:rPr>
          <w:rFonts w:hint="eastAsia" w:ascii="仿宋_GB2312" w:eastAsia="仿宋_GB2312"/>
          <w:b/>
          <w:color w:val="auto"/>
          <w:kern w:val="0"/>
          <w:sz w:val="32"/>
          <w:szCs w:val="32"/>
          <w:highlight w:val="none"/>
          <w:u w:val="none"/>
        </w:rPr>
      </w:pPr>
    </w:p>
    <w:p w14:paraId="5D94F49A">
      <w:pPr>
        <w:numPr>
          <w:ilvl w:val="0"/>
          <w:numId w:val="0"/>
        </w:numPr>
        <w:jc w:val="left"/>
        <w:rPr>
          <w:rFonts w:hint="eastAsia" w:ascii="仿宋_GB2312" w:eastAsia="仿宋_GB2312"/>
          <w:b/>
          <w:color w:val="auto"/>
          <w:kern w:val="0"/>
          <w:sz w:val="32"/>
          <w:szCs w:val="32"/>
          <w:highlight w:val="none"/>
          <w:u w:val="none"/>
        </w:rPr>
      </w:pPr>
    </w:p>
    <w:p w14:paraId="4BD04D0A">
      <w:pPr>
        <w:numPr>
          <w:ilvl w:val="0"/>
          <w:numId w:val="0"/>
        </w:numPr>
        <w:jc w:val="left"/>
        <w:rPr>
          <w:rFonts w:hint="eastAsia" w:ascii="仿宋_GB2312" w:eastAsia="仿宋_GB2312"/>
          <w:b/>
          <w:color w:val="auto"/>
          <w:kern w:val="0"/>
          <w:sz w:val="32"/>
          <w:szCs w:val="32"/>
          <w:highlight w:val="none"/>
          <w:u w:val="none"/>
        </w:rPr>
      </w:pPr>
    </w:p>
    <w:p w14:paraId="101B1548">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5"/>
        <w:tblW w:w="10770" w:type="dxa"/>
        <w:tblInd w:w="-553" w:type="dxa"/>
        <w:tblLayout w:type="fixed"/>
        <w:tblCellMar>
          <w:top w:w="0" w:type="dxa"/>
          <w:left w:w="108" w:type="dxa"/>
          <w:bottom w:w="0" w:type="dxa"/>
          <w:right w:w="108" w:type="dxa"/>
        </w:tblCellMar>
      </w:tblPr>
      <w:tblGrid>
        <w:gridCol w:w="870"/>
        <w:gridCol w:w="916"/>
        <w:gridCol w:w="900"/>
        <w:gridCol w:w="6023"/>
        <w:gridCol w:w="2061"/>
      </w:tblGrid>
      <w:tr w14:paraId="5C5573B5">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vAlign w:val="center"/>
          </w:tcPr>
          <w:p w14:paraId="4A23558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vAlign w:val="center"/>
          </w:tcPr>
          <w:p w14:paraId="243C7531">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vAlign w:val="center"/>
          </w:tcPr>
          <w:p w14:paraId="46B9D549">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05B9CF33">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vAlign w:val="center"/>
          </w:tcPr>
          <w:p w14:paraId="1DD7D38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vAlign w:val="center"/>
          </w:tcPr>
          <w:p w14:paraId="45CBC14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1C9D7D05">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5718B55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66FD7D6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33F838C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13B6AD4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72F0219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310E38C0">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vAlign w:val="center"/>
          </w:tcPr>
          <w:p w14:paraId="1C1BD17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vAlign w:val="center"/>
          </w:tcPr>
          <w:p w14:paraId="44759F9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vAlign w:val="center"/>
          </w:tcPr>
          <w:p w14:paraId="448FB444">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vAlign w:val="center"/>
          </w:tcPr>
          <w:p w14:paraId="46C5AC95">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vAlign w:val="center"/>
          </w:tcPr>
          <w:p w14:paraId="1579C20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3F7BA175">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5C00EBAA">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407EA82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2F0922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4A59BF6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vAlign w:val="center"/>
          </w:tcPr>
          <w:p w14:paraId="4EB9B9F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vAlign w:val="center"/>
          </w:tcPr>
          <w:p w14:paraId="19B597FE">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784AD70F">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43C73289">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w:t>
            </w:r>
            <w:r>
              <w:rPr>
                <w:rFonts w:hint="eastAsia" w:ascii="仿宋_GB2312" w:hAnsi="宋体" w:eastAsia="仿宋_GB2312" w:cs="宋体"/>
                <w:color w:val="auto"/>
                <w:kern w:val="0"/>
                <w:sz w:val="18"/>
                <w:szCs w:val="18"/>
                <w:highlight w:val="none"/>
                <w:u w:val="none"/>
                <w:shd w:val="clear" w:fill="FFFFFF"/>
                <w:lang w:val="en-US" w:eastAsia="zh-CN"/>
              </w:rPr>
              <w:t>(</w:t>
            </w:r>
            <w:r>
              <w:rPr>
                <w:rFonts w:hint="eastAsia" w:ascii="仿宋_GB2312" w:hAnsi="宋体" w:eastAsia="仿宋_GB2312" w:cs="宋体"/>
                <w:color w:val="auto"/>
                <w:kern w:val="0"/>
                <w:sz w:val="18"/>
                <w:szCs w:val="18"/>
                <w:highlight w:val="none"/>
                <w:u w:val="none"/>
                <w:lang w:val="en-US" w:eastAsia="zh-CN"/>
              </w:rPr>
              <w:t>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w:t>
            </w:r>
            <w:r>
              <w:rPr>
                <w:rFonts w:hint="eastAsia" w:ascii="仿宋_GB2312" w:hAnsi="宋体" w:eastAsia="仿宋_GB2312" w:cs="宋体"/>
                <w:color w:val="auto"/>
                <w:kern w:val="0"/>
                <w:sz w:val="18"/>
                <w:szCs w:val="18"/>
                <w:highlight w:val="none"/>
                <w:u w:val="none"/>
                <w:shd w:val="clear" w:fill="FFFFFF"/>
                <w:lang w:eastAsia="zh-CN"/>
              </w:rPr>
              <w:t>挂高档</w:t>
            </w:r>
            <w:r>
              <w:rPr>
                <w:rFonts w:hint="eastAsia" w:ascii="仿宋_GB2312" w:hAnsi="宋体" w:eastAsia="仿宋_GB2312" w:cs="宋体"/>
                <w:color w:val="auto"/>
                <w:kern w:val="0"/>
                <w:sz w:val="18"/>
                <w:szCs w:val="18"/>
                <w:highlight w:val="none"/>
                <w:u w:val="none"/>
                <w:lang w:eastAsia="zh-CN"/>
              </w:rPr>
              <w:t>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3329052A">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24C0EC69">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60B67577">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1AA890D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3CE3B93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2B55B443">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72FEE469">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7D0CAB8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4B5A8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53D1A1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vAlign w:val="center"/>
          </w:tcPr>
          <w:p w14:paraId="7CBC984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vAlign w:val="center"/>
          </w:tcPr>
          <w:p w14:paraId="353044A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0C07942">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491E044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8E023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196037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vAlign w:val="center"/>
          </w:tcPr>
          <w:p w14:paraId="4A0E9BA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0F70A2D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A0CC209">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0BE881B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7911CB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07F46EB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vAlign w:val="center"/>
          </w:tcPr>
          <w:p w14:paraId="123F903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vAlign w:val="center"/>
          </w:tcPr>
          <w:p w14:paraId="3047C7A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D937C34">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57E1294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74CE4D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5F204E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55DA431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vAlign w:val="center"/>
          </w:tcPr>
          <w:p w14:paraId="7E57EF5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D2799CB">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1C0E4EAB">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5840F7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1BA358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226CE5E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vAlign w:val="center"/>
          </w:tcPr>
          <w:p w14:paraId="6E20C63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60DBA81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3D9EBA8">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39E608E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7C04BC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4279AF8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vAlign w:val="center"/>
          </w:tcPr>
          <w:p w14:paraId="6A29837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vAlign w:val="center"/>
          </w:tcPr>
          <w:p w14:paraId="3D0CAFD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0137BBA">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3B9213F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548241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4FAEE65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vAlign w:val="center"/>
          </w:tcPr>
          <w:p w14:paraId="0712707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vAlign w:val="center"/>
          </w:tcPr>
          <w:p w14:paraId="53E879E7">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A62D273">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46EA9DF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1EFE42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vAlign w:val="center"/>
          </w:tcPr>
          <w:p w14:paraId="09E377F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7E7FB26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vAlign w:val="center"/>
          </w:tcPr>
          <w:p w14:paraId="7598B89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49AA8DB">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1C19506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F0B24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vAlign w:val="center"/>
          </w:tcPr>
          <w:p w14:paraId="4574BA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vAlign w:val="center"/>
          </w:tcPr>
          <w:p w14:paraId="1C6A3E4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vAlign w:val="center"/>
          </w:tcPr>
          <w:p w14:paraId="6D8FE50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F3EADEA">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23203196">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1C72855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vAlign w:val="center"/>
          </w:tcPr>
          <w:p w14:paraId="4DEBC2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67CFD6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vAlign w:val="center"/>
          </w:tcPr>
          <w:p w14:paraId="12AFDCE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vAlign w:val="center"/>
          </w:tcPr>
          <w:p w14:paraId="07CC066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734F262">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603AB46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29F9BC3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5DEC129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vAlign w:val="center"/>
          </w:tcPr>
          <w:p w14:paraId="10CEB33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vAlign w:val="center"/>
          </w:tcPr>
          <w:p w14:paraId="421F5B8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1059935">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vAlign w:val="center"/>
          </w:tcPr>
          <w:p w14:paraId="0F314E5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4F0BBF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674F21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vAlign w:val="center"/>
          </w:tcPr>
          <w:p w14:paraId="32F6CBA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w:t>
            </w:r>
            <w:r>
              <w:rPr>
                <w:rFonts w:hint="eastAsia" w:ascii="仿宋_GB2312" w:hAnsi="宋体" w:eastAsia="仿宋_GB2312" w:cs="宋体"/>
                <w:color w:val="auto"/>
                <w:kern w:val="0"/>
                <w:sz w:val="24"/>
                <w:highlight w:val="none"/>
                <w:u w:val="none"/>
                <w:shd w:val="clear" w:fill="FFFFFF"/>
              </w:rPr>
              <w:t>乱毛</w:t>
            </w:r>
            <w:r>
              <w:rPr>
                <w:rFonts w:hint="eastAsia" w:ascii="仿宋_GB2312" w:hAnsi="宋体" w:eastAsia="仿宋_GB2312" w:cs="宋体"/>
                <w:color w:val="auto"/>
                <w:kern w:val="0"/>
                <w:sz w:val="24"/>
                <w:highlight w:val="none"/>
                <w:u w:val="none"/>
              </w:rPr>
              <w:t>石基础，钢筋砼楼、屋盖。</w:t>
            </w:r>
          </w:p>
        </w:tc>
        <w:tc>
          <w:tcPr>
            <w:tcW w:w="2061" w:type="dxa"/>
            <w:vMerge w:val="continue"/>
            <w:tcBorders>
              <w:left w:val="single" w:color="auto" w:sz="8" w:space="0"/>
              <w:right w:val="single" w:color="auto" w:sz="8" w:space="0"/>
            </w:tcBorders>
            <w:vAlign w:val="center"/>
          </w:tcPr>
          <w:p w14:paraId="1005475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0E25418">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vAlign w:val="center"/>
          </w:tcPr>
          <w:p w14:paraId="245D19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vAlign w:val="center"/>
          </w:tcPr>
          <w:p w14:paraId="1887D11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38615E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vAlign w:val="center"/>
          </w:tcPr>
          <w:p w14:paraId="7B22747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vAlign w:val="center"/>
          </w:tcPr>
          <w:p w14:paraId="0ED9A420">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AC9D29B">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46337E1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7AF92EE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31FED7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vAlign w:val="center"/>
          </w:tcPr>
          <w:p w14:paraId="7718511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vAlign w:val="center"/>
          </w:tcPr>
          <w:p w14:paraId="2C2ADA6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E6246E6">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2D82725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vAlign w:val="center"/>
          </w:tcPr>
          <w:p w14:paraId="244A1B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vAlign w:val="center"/>
          </w:tcPr>
          <w:p w14:paraId="6DD8ED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vAlign w:val="center"/>
          </w:tcPr>
          <w:p w14:paraId="1310B62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vAlign w:val="center"/>
          </w:tcPr>
          <w:p w14:paraId="64C4546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4F8095F">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3EF7DD8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4C9A4F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28EFDE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vAlign w:val="center"/>
          </w:tcPr>
          <w:p w14:paraId="7CD82B6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 磉石柱基,木瓦屋面,木基层,板壁,部分抹灰假墙。 </w:t>
            </w:r>
          </w:p>
        </w:tc>
        <w:tc>
          <w:tcPr>
            <w:tcW w:w="2061" w:type="dxa"/>
            <w:vMerge w:val="continue"/>
            <w:tcBorders>
              <w:left w:val="single" w:color="auto" w:sz="8" w:space="0"/>
              <w:right w:val="single" w:color="auto" w:sz="8" w:space="0"/>
            </w:tcBorders>
            <w:vAlign w:val="center"/>
          </w:tcPr>
          <w:p w14:paraId="4E88FD3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2212B75">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339BAB5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339DF9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vAlign w:val="center"/>
          </w:tcPr>
          <w:p w14:paraId="146E85B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40D81D6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旧式单披排架扇(或</w:t>
            </w:r>
            <w:r>
              <w:rPr>
                <w:rFonts w:hint="eastAsia" w:ascii="仿宋_GB2312" w:hAnsi="宋体" w:eastAsia="仿宋_GB2312" w:cs="宋体"/>
                <w:color w:val="auto"/>
                <w:kern w:val="0"/>
                <w:sz w:val="24"/>
                <w:highlight w:val="none"/>
                <w:u w:val="none"/>
                <w:shd w:val="clear" w:fill="FFFFFF"/>
              </w:rPr>
              <w:t>八子</w:t>
            </w:r>
            <w:r>
              <w:rPr>
                <w:rFonts w:hint="eastAsia" w:ascii="仿宋_GB2312" w:hAnsi="宋体" w:eastAsia="仿宋_GB2312" w:cs="宋体"/>
                <w:color w:val="auto"/>
                <w:kern w:val="0"/>
                <w:sz w:val="24"/>
                <w:highlight w:val="none"/>
                <w:u w:val="none"/>
              </w:rPr>
              <w:t xml:space="preserve">落柱), 磉石柱基,木瓦屋面,木基层,板壁,部分夯土墙围护。 </w:t>
            </w:r>
          </w:p>
        </w:tc>
        <w:tc>
          <w:tcPr>
            <w:tcW w:w="2061" w:type="dxa"/>
            <w:vMerge w:val="continue"/>
            <w:tcBorders>
              <w:left w:val="single" w:color="auto" w:sz="8" w:space="0"/>
              <w:right w:val="single" w:color="auto" w:sz="8" w:space="0"/>
            </w:tcBorders>
            <w:vAlign w:val="center"/>
          </w:tcPr>
          <w:p w14:paraId="317A62C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5799AB3">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vAlign w:val="center"/>
          </w:tcPr>
          <w:p w14:paraId="44A16A8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vAlign w:val="center"/>
          </w:tcPr>
          <w:p w14:paraId="4119F9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vAlign w:val="center"/>
          </w:tcPr>
          <w:p w14:paraId="589E674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vAlign w:val="center"/>
          </w:tcPr>
          <w:p w14:paraId="74696D4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 cm 墙承重,毛条石基础,普通人字形屋架,木瓦屋面,木基层,木楼盖。</w:t>
            </w:r>
          </w:p>
        </w:tc>
        <w:tc>
          <w:tcPr>
            <w:tcW w:w="2061" w:type="dxa"/>
            <w:vMerge w:val="continue"/>
            <w:tcBorders>
              <w:left w:val="single" w:color="auto" w:sz="8" w:space="0"/>
              <w:right w:val="single" w:color="auto" w:sz="8" w:space="0"/>
            </w:tcBorders>
            <w:vAlign w:val="center"/>
          </w:tcPr>
          <w:p w14:paraId="381D249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BF4AA8B">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vAlign w:val="center"/>
          </w:tcPr>
          <w:p w14:paraId="5B3EFBD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vAlign w:val="center"/>
          </w:tcPr>
          <w:p w14:paraId="62FDD98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vAlign w:val="center"/>
          </w:tcPr>
          <w:p w14:paraId="509533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vAlign w:val="center"/>
          </w:tcPr>
          <w:p w14:paraId="3954D3A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 cm 或18 cm 以下,山墙搁檩,毛条石基础,木瓦屋面,木基层。 </w:t>
            </w:r>
          </w:p>
        </w:tc>
        <w:tc>
          <w:tcPr>
            <w:tcW w:w="2061" w:type="dxa"/>
            <w:vMerge w:val="continue"/>
            <w:tcBorders>
              <w:left w:val="single" w:color="auto" w:sz="8" w:space="0"/>
              <w:right w:val="single" w:color="auto" w:sz="8" w:space="0"/>
            </w:tcBorders>
            <w:vAlign w:val="center"/>
          </w:tcPr>
          <w:p w14:paraId="69C1A7C3">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E7E72B0">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4C9CD5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vAlign w:val="center"/>
          </w:tcPr>
          <w:p w14:paraId="00E4EC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vAlign w:val="center"/>
          </w:tcPr>
          <w:p w14:paraId="23D17E2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vAlign w:val="center"/>
          </w:tcPr>
          <w:p w14:paraId="6683C7A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DCED41E">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vAlign w:val="center"/>
          </w:tcPr>
          <w:p w14:paraId="4B3524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vAlign w:val="center"/>
          </w:tcPr>
          <w:p w14:paraId="1D8862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vAlign w:val="center"/>
          </w:tcPr>
          <w:p w14:paraId="34DD7E5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vAlign w:val="center"/>
          </w:tcPr>
          <w:p w14:paraId="0C09F7F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474E7AC3">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5"/>
        <w:tblW w:w="9209" w:type="dxa"/>
        <w:tblInd w:w="93" w:type="dxa"/>
        <w:tblLayout w:type="fixed"/>
        <w:tblCellMar>
          <w:top w:w="0" w:type="dxa"/>
          <w:left w:w="108" w:type="dxa"/>
          <w:bottom w:w="0" w:type="dxa"/>
          <w:right w:w="108" w:type="dxa"/>
        </w:tblCellMar>
      </w:tblPr>
      <w:tblGrid>
        <w:gridCol w:w="932"/>
        <w:gridCol w:w="932"/>
        <w:gridCol w:w="7345"/>
      </w:tblGrid>
      <w:tr w14:paraId="5C71A841">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vAlign w:val="center"/>
          </w:tcPr>
          <w:p w14:paraId="28ED105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vAlign w:val="center"/>
          </w:tcPr>
          <w:p w14:paraId="7BF59EEC">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vAlign w:val="center"/>
          </w:tcPr>
          <w:p w14:paraId="45F08FA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4A38A84D">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vAlign w:val="center"/>
          </w:tcPr>
          <w:p w14:paraId="6DAE76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vAlign w:val="center"/>
          </w:tcPr>
          <w:p w14:paraId="3A6131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vAlign w:val="center"/>
          </w:tcPr>
          <w:p w14:paraId="5DF4164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5</w:t>
            </w:r>
            <w:r>
              <w:rPr>
                <w:rFonts w:hint="eastAsia" w:ascii="仿宋_GB2312" w:hAnsi="宋体" w:eastAsia="仿宋_GB2312" w:cs="宋体"/>
                <w:color w:val="auto"/>
                <w:kern w:val="0"/>
                <w:sz w:val="24"/>
                <w:highlight w:val="none"/>
                <w:u w:val="none"/>
              </w:rPr>
              <w:t>年。</w:t>
            </w:r>
          </w:p>
        </w:tc>
      </w:tr>
      <w:tr w14:paraId="4E4E0E71">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vAlign w:val="center"/>
          </w:tcPr>
          <w:p w14:paraId="48287A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vAlign w:val="center"/>
          </w:tcPr>
          <w:p w14:paraId="759B52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vAlign w:val="center"/>
          </w:tcPr>
          <w:p w14:paraId="35BCE65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10</w:t>
            </w:r>
            <w:r>
              <w:rPr>
                <w:rFonts w:hint="eastAsia" w:ascii="仿宋_GB2312" w:hAnsi="宋体" w:eastAsia="仿宋_GB2312" w:cs="宋体"/>
                <w:color w:val="auto"/>
                <w:kern w:val="0"/>
                <w:sz w:val="24"/>
                <w:highlight w:val="none"/>
                <w:u w:val="none"/>
              </w:rPr>
              <w:t>年。</w:t>
            </w:r>
          </w:p>
        </w:tc>
      </w:tr>
      <w:tr w14:paraId="246E4912">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vAlign w:val="center"/>
          </w:tcPr>
          <w:p w14:paraId="0C4FCD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vAlign w:val="center"/>
          </w:tcPr>
          <w:p w14:paraId="2F2EE14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vAlign w:val="center"/>
          </w:tcPr>
          <w:p w14:paraId="570B04C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20</w:t>
            </w:r>
            <w:r>
              <w:rPr>
                <w:rFonts w:hint="eastAsia" w:ascii="仿宋_GB2312" w:hAnsi="宋体" w:eastAsia="仿宋_GB2312" w:cs="宋体"/>
                <w:color w:val="auto"/>
                <w:kern w:val="0"/>
                <w:sz w:val="24"/>
                <w:highlight w:val="none"/>
                <w:u w:val="none"/>
              </w:rPr>
              <w:t>年。</w:t>
            </w:r>
          </w:p>
        </w:tc>
      </w:tr>
      <w:tr w14:paraId="213706C5">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vAlign w:val="center"/>
          </w:tcPr>
          <w:p w14:paraId="3858478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vAlign w:val="center"/>
          </w:tcPr>
          <w:p w14:paraId="79712B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vAlign w:val="center"/>
          </w:tcPr>
          <w:p w14:paraId="47224D2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w:t>
            </w:r>
            <w:r>
              <w:rPr>
                <w:rFonts w:hint="default" w:eastAsia="仿宋_GB2312"/>
                <w:color w:val="auto"/>
                <w:kern w:val="0"/>
                <w:sz w:val="24"/>
                <w:highlight w:val="none"/>
                <w:u w:val="none"/>
                <w:shd w:val="clear" w:fill="FFFFFF"/>
              </w:rPr>
              <w:t>-</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w:t>
            </w:r>
          </w:p>
        </w:tc>
      </w:tr>
      <w:tr w14:paraId="4B9EB35B">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vAlign w:val="center"/>
          </w:tcPr>
          <w:p w14:paraId="3AB79E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vAlign w:val="center"/>
          </w:tcPr>
          <w:p w14:paraId="7F27C7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vAlign w:val="center"/>
          </w:tcPr>
          <w:p w14:paraId="6EC7EA0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3E884C0F">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vAlign w:val="center"/>
          </w:tcPr>
          <w:p w14:paraId="15D63E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vAlign w:val="center"/>
          </w:tcPr>
          <w:p w14:paraId="5EAC43F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vAlign w:val="center"/>
          </w:tcPr>
          <w:p w14:paraId="2370F17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w:t>
            </w:r>
            <w:r>
              <w:rPr>
                <w:rFonts w:hint="eastAsia" w:ascii="仿宋_GB2312" w:hAnsi="宋体" w:eastAsia="仿宋_GB2312" w:cs="宋体"/>
                <w:color w:val="auto"/>
                <w:kern w:val="0"/>
                <w:sz w:val="24"/>
                <w:highlight w:val="none"/>
                <w:u w:val="none"/>
                <w:shd w:val="clear" w:fill="FFFFFF"/>
              </w:rPr>
              <w:t>电照</w:t>
            </w:r>
            <w:r>
              <w:rPr>
                <w:rFonts w:hint="eastAsia" w:ascii="仿宋_GB2312" w:hAnsi="宋体" w:eastAsia="仿宋_GB2312" w:cs="宋体"/>
                <w:color w:val="auto"/>
                <w:kern w:val="0"/>
                <w:sz w:val="24"/>
                <w:highlight w:val="none"/>
                <w:u w:val="none"/>
              </w:rPr>
              <w:t>管线有部分老化、损坏残缺，需要中修或局部大修更换部分部件才能使用。</w:t>
            </w:r>
          </w:p>
        </w:tc>
      </w:tr>
      <w:tr w14:paraId="3842CB59">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vAlign w:val="center"/>
          </w:tcPr>
          <w:p w14:paraId="25B2F0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vAlign w:val="center"/>
          </w:tcPr>
          <w:p w14:paraId="02C0AE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vAlign w:val="center"/>
          </w:tcPr>
          <w:p w14:paraId="13BD153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w:t>
            </w:r>
            <w:r>
              <w:rPr>
                <w:rFonts w:hint="default" w:eastAsia="仿宋_GB2312"/>
                <w:color w:val="auto"/>
                <w:kern w:val="0"/>
                <w:sz w:val="24"/>
                <w:highlight w:val="none"/>
                <w:u w:val="none"/>
              </w:rPr>
              <w:t xml:space="preserve"> </w:t>
            </w:r>
            <w:r>
              <w:rPr>
                <w:rFonts w:hint="eastAsia" w:ascii="仿宋_GB2312" w:hAnsi="宋体" w:eastAsia="仿宋_GB2312" w:cs="宋体"/>
                <w:color w:val="auto"/>
                <w:kern w:val="0"/>
                <w:sz w:val="24"/>
                <w:highlight w:val="none"/>
                <w:u w:val="none"/>
              </w:rPr>
              <w:t>，外装修严重变形、破损，老化见底，设备陈旧不齐全，管道严重堵塞，水卫、电照管线，需进行大修或翻修、改建。（严重损坏房）</w:t>
            </w:r>
          </w:p>
        </w:tc>
      </w:tr>
      <w:tr w14:paraId="6ED2277F">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vAlign w:val="center"/>
          </w:tcPr>
          <w:p w14:paraId="28495E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vAlign w:val="center"/>
          </w:tcPr>
          <w:p w14:paraId="372ED5E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vAlign w:val="center"/>
          </w:tcPr>
          <w:p w14:paraId="3FA61BB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w:t>
            </w:r>
            <w:r>
              <w:rPr>
                <w:rFonts w:hint="eastAsia" w:ascii="仿宋_GB2312" w:hAnsi="宋体" w:eastAsia="仿宋_GB2312" w:cs="宋体"/>
                <w:color w:val="auto"/>
                <w:kern w:val="0"/>
                <w:sz w:val="24"/>
                <w:highlight w:val="none"/>
                <w:u w:val="none"/>
                <w:shd w:val="clear" w:fill="FFFFFF"/>
              </w:rPr>
              <w:t>住用</w:t>
            </w:r>
            <w:r>
              <w:rPr>
                <w:rFonts w:hint="eastAsia" w:ascii="仿宋_GB2312" w:hAnsi="宋体" w:eastAsia="仿宋_GB2312" w:cs="宋体"/>
                <w:color w:val="auto"/>
                <w:kern w:val="0"/>
                <w:sz w:val="24"/>
                <w:highlight w:val="none"/>
                <w:u w:val="none"/>
              </w:rPr>
              <w:t>安全。（危险房）</w:t>
            </w:r>
          </w:p>
        </w:tc>
      </w:tr>
    </w:tbl>
    <w:p w14:paraId="35214E9C">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43E180D9">
      <w:pPr>
        <w:pStyle w:val="2"/>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5"/>
        <w:tblW w:w="9201" w:type="dxa"/>
        <w:tblInd w:w="93" w:type="dxa"/>
        <w:tblLayout w:type="fixed"/>
        <w:tblCellMar>
          <w:top w:w="0" w:type="dxa"/>
          <w:left w:w="108" w:type="dxa"/>
          <w:bottom w:w="0" w:type="dxa"/>
          <w:right w:w="108" w:type="dxa"/>
        </w:tblCellMar>
      </w:tblPr>
      <w:tblGrid>
        <w:gridCol w:w="564"/>
        <w:gridCol w:w="985"/>
        <w:gridCol w:w="7652"/>
      </w:tblGrid>
      <w:tr w14:paraId="6DF126B2">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vAlign w:val="center"/>
          </w:tcPr>
          <w:p w14:paraId="469BEAA2">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vAlign w:val="center"/>
          </w:tcPr>
          <w:p w14:paraId="1B6309C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7C887159">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vAlign w:val="center"/>
          </w:tcPr>
          <w:p w14:paraId="5D0CD24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3E49CA68">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vAlign w:val="center"/>
          </w:tcPr>
          <w:p w14:paraId="714E2A9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vAlign w:val="center"/>
          </w:tcPr>
          <w:p w14:paraId="68AAA3C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vAlign w:val="center"/>
          </w:tcPr>
          <w:p w14:paraId="052BC73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7CE59F6B">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vAlign w:val="center"/>
          </w:tcPr>
          <w:p w14:paraId="7A325E6E">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vAlign w:val="center"/>
          </w:tcPr>
          <w:p w14:paraId="53D5840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vAlign w:val="center"/>
          </w:tcPr>
          <w:p w14:paraId="29EDD877">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厨房设置集成橱柜、电视背景墙挂石或镶木、楼梯踏步铺设实木地板、卫生间设置名牌浴缸，按实际装修对应的层</w:t>
            </w:r>
            <w:r>
              <w:rPr>
                <w:rFonts w:hint="eastAsia" w:ascii="仿宋_GB2312" w:hAnsi="宋体" w:eastAsia="仿宋_GB2312" w:cs="宋体"/>
                <w:b w:val="0"/>
                <w:bCs w:val="0"/>
                <w:color w:val="auto"/>
                <w:kern w:val="0"/>
                <w:sz w:val="24"/>
                <w:highlight w:val="none"/>
                <w:u w:val="none"/>
                <w:shd w:val="clear" w:fill="FFFFFF"/>
                <w:lang w:eastAsia="zh-CN"/>
              </w:rPr>
              <w:t>数</w:t>
            </w:r>
            <w:r>
              <w:rPr>
                <w:rFonts w:hint="eastAsia" w:ascii="仿宋_GB2312" w:hAnsi="宋体" w:eastAsia="仿宋_GB2312" w:cs="宋体"/>
                <w:b w:val="0"/>
                <w:bCs w:val="0"/>
                <w:color w:val="auto"/>
                <w:kern w:val="0"/>
                <w:sz w:val="24"/>
                <w:highlight w:val="none"/>
                <w:u w:val="none"/>
                <w:lang w:eastAsia="zh-CN"/>
              </w:rPr>
              <w:t>相应的建筑面积计算，该项补价须由指挥长会议研究通过。</w:t>
            </w:r>
          </w:p>
        </w:tc>
      </w:tr>
      <w:tr w14:paraId="7C34F403">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vAlign w:val="center"/>
          </w:tcPr>
          <w:p w14:paraId="0543CC2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vAlign w:val="center"/>
          </w:tcPr>
          <w:p w14:paraId="75C60223">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vAlign w:val="center"/>
          </w:tcPr>
          <w:p w14:paraId="79F19B07">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w:t>
            </w:r>
            <w:r>
              <w:rPr>
                <w:rFonts w:hint="eastAsia" w:ascii="仿宋_GB2312" w:hAnsi="宋体" w:eastAsia="仿宋_GB2312" w:cs="宋体"/>
                <w:color w:val="auto"/>
                <w:kern w:val="0"/>
                <w:sz w:val="24"/>
                <w:highlight w:val="none"/>
                <w:u w:val="none"/>
                <w:shd w:val="clear" w:fill="FFFFFF"/>
              </w:rPr>
              <w:t>缸砖</w:t>
            </w:r>
            <w:r>
              <w:rPr>
                <w:rFonts w:hint="eastAsia" w:ascii="仿宋_GB2312" w:hAnsi="宋体" w:eastAsia="仿宋_GB2312" w:cs="宋体"/>
                <w:color w:val="auto"/>
                <w:kern w:val="0"/>
                <w:sz w:val="24"/>
                <w:highlight w:val="none"/>
                <w:u w:val="none"/>
              </w:rPr>
              <w:t>踏步。</w:t>
            </w:r>
          </w:p>
        </w:tc>
      </w:tr>
      <w:tr w14:paraId="6C52FFF6">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vAlign w:val="center"/>
          </w:tcPr>
          <w:p w14:paraId="70DFF4F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vAlign w:val="center"/>
          </w:tcPr>
          <w:p w14:paraId="725EF6B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vAlign w:val="center"/>
          </w:tcPr>
          <w:p w14:paraId="67DF357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地板，</w:t>
            </w:r>
            <w:r>
              <w:rPr>
                <w:rFonts w:hint="eastAsia" w:ascii="仿宋_GB2312" w:hAnsi="宋体" w:eastAsia="仿宋_GB2312" w:cs="宋体"/>
                <w:color w:val="auto"/>
                <w:kern w:val="0"/>
                <w:sz w:val="24"/>
                <w:highlight w:val="none"/>
                <w:u w:val="none"/>
                <w:shd w:val="clear" w:fill="FFFFFF"/>
              </w:rPr>
              <w:t>磁砖</w:t>
            </w:r>
            <w:r>
              <w:rPr>
                <w:rFonts w:hint="eastAsia" w:ascii="仿宋_GB2312" w:hAnsi="宋体" w:eastAsia="仿宋_GB2312" w:cs="宋体"/>
                <w:color w:val="auto"/>
                <w:kern w:val="0"/>
                <w:sz w:val="24"/>
                <w:highlight w:val="none"/>
                <w:u w:val="none"/>
              </w:rPr>
              <w:t>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4004A7C2">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vAlign w:val="center"/>
          </w:tcPr>
          <w:p w14:paraId="56006CC1">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vAlign w:val="center"/>
          </w:tcPr>
          <w:p w14:paraId="7CCC50CE">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vAlign w:val="center"/>
          </w:tcPr>
          <w:p w14:paraId="370BC1E9">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6DBB506C">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vAlign w:val="center"/>
          </w:tcPr>
          <w:p w14:paraId="5B5F0355">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vAlign w:val="center"/>
          </w:tcPr>
          <w:p w14:paraId="70FCF11C">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vAlign w:val="center"/>
          </w:tcPr>
          <w:p w14:paraId="30D5792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3CAD7E71">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vAlign w:val="center"/>
          </w:tcPr>
          <w:p w14:paraId="2E71E129">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vAlign w:val="center"/>
          </w:tcPr>
          <w:p w14:paraId="6A59D3ED">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vAlign w:val="center"/>
          </w:tcPr>
          <w:p w14:paraId="63D78778">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6D46928A">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vAlign w:val="center"/>
          </w:tcPr>
          <w:p w14:paraId="17CEF6B0">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vAlign w:val="center"/>
          </w:tcPr>
          <w:p w14:paraId="3CF0E69A">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vAlign w:val="center"/>
          </w:tcPr>
          <w:p w14:paraId="1000369E">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587DF562">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vAlign w:val="center"/>
          </w:tcPr>
          <w:p w14:paraId="0CAACD0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vAlign w:val="center"/>
          </w:tcPr>
          <w:p w14:paraId="3A01424A">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vAlign w:val="center"/>
          </w:tcPr>
          <w:p w14:paraId="7EAC9AC4">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710EE27B">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vAlign w:val="center"/>
          </w:tcPr>
          <w:p w14:paraId="5697AFEF">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vAlign w:val="center"/>
          </w:tcPr>
          <w:p w14:paraId="46FF896F">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vAlign w:val="center"/>
          </w:tcPr>
          <w:p w14:paraId="4A618E1D">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w:t>
            </w:r>
            <w:r>
              <w:rPr>
                <w:rFonts w:hint="eastAsia" w:ascii="仿宋_GB2312" w:hAnsi="宋体" w:eastAsia="仿宋_GB2312" w:cs="宋体"/>
                <w:color w:val="auto"/>
                <w:kern w:val="0"/>
                <w:sz w:val="24"/>
                <w:highlight w:val="none"/>
                <w:u w:val="none"/>
                <w:shd w:val="clear" w:fill="FFFFFF"/>
              </w:rPr>
              <w:t>卫电</w:t>
            </w:r>
            <w:r>
              <w:rPr>
                <w:rFonts w:hint="eastAsia" w:ascii="仿宋_GB2312" w:hAnsi="宋体" w:eastAsia="仿宋_GB2312" w:cs="宋体"/>
                <w:color w:val="auto"/>
                <w:kern w:val="0"/>
                <w:sz w:val="24"/>
                <w:highlight w:val="none"/>
                <w:u w:val="none"/>
              </w:rPr>
              <w:t>照。</w:t>
            </w:r>
          </w:p>
        </w:tc>
      </w:tr>
      <w:tr w14:paraId="2E054EBD">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vAlign w:val="center"/>
          </w:tcPr>
          <w:p w14:paraId="629A6F52">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0632DE47">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1CA18B4D">
      <w:pPr>
        <w:pStyle w:val="2"/>
        <w:shd w:val="clear" w:color="auto" w:fill="auto"/>
        <w:spacing w:after="0" w:line="600" w:lineRule="exact"/>
        <w:rPr>
          <w:rFonts w:hint="eastAsia" w:ascii="仿宋_GB2312" w:eastAsia="仿宋_GB2312"/>
          <w:b/>
          <w:color w:val="auto"/>
          <w:sz w:val="32"/>
          <w:szCs w:val="32"/>
          <w:highlight w:val="none"/>
          <w:u w:val="none"/>
          <w:lang w:eastAsia="zh-CN"/>
        </w:rPr>
      </w:pPr>
    </w:p>
    <w:p w14:paraId="13E46F75">
      <w:pPr>
        <w:pStyle w:val="2"/>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5"/>
        <w:tblW w:w="9216"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18127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93" w:hRule="atLeast"/>
        </w:trPr>
        <w:tc>
          <w:tcPr>
            <w:tcW w:w="686" w:type="dxa"/>
            <w:vAlign w:val="center"/>
          </w:tcPr>
          <w:p w14:paraId="3D33AC7B">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vAlign w:val="center"/>
          </w:tcPr>
          <w:p w14:paraId="76D12459">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vAlign w:val="center"/>
          </w:tcPr>
          <w:p w14:paraId="71C5E57F">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vAlign w:val="center"/>
          </w:tcPr>
          <w:p w14:paraId="10604A84">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0BC7AF29">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64FB06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vAlign w:val="center"/>
          </w:tcPr>
          <w:p w14:paraId="510D5BA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vAlign w:val="center"/>
          </w:tcPr>
          <w:p w14:paraId="276FC7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vAlign w:val="center"/>
          </w:tcPr>
          <w:p w14:paraId="7A32E7F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vAlign w:val="center"/>
          </w:tcPr>
          <w:p w14:paraId="430B603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7406AC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vAlign w:val="center"/>
          </w:tcPr>
          <w:p w14:paraId="467BE05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vAlign w:val="center"/>
          </w:tcPr>
          <w:p w14:paraId="457915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vAlign w:val="top"/>
          </w:tcPr>
          <w:p w14:paraId="65D4E52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vAlign w:val="center"/>
          </w:tcPr>
          <w:p w14:paraId="018001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0F37F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vAlign w:val="center"/>
          </w:tcPr>
          <w:p w14:paraId="791165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vAlign w:val="center"/>
          </w:tcPr>
          <w:p w14:paraId="1CB301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vAlign w:val="center"/>
          </w:tcPr>
          <w:p w14:paraId="75BDFF3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vAlign w:val="center"/>
          </w:tcPr>
          <w:p w14:paraId="741F28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77F34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vAlign w:val="center"/>
          </w:tcPr>
          <w:p w14:paraId="287D9F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vAlign w:val="center"/>
          </w:tcPr>
          <w:p w14:paraId="5006C6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vAlign w:val="center"/>
          </w:tcPr>
          <w:p w14:paraId="56B9A1B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w:t>
            </w:r>
            <w:r>
              <w:rPr>
                <w:rFonts w:hint="eastAsia" w:ascii="仿宋_GB2312" w:hAnsi="宋体" w:eastAsia="仿宋_GB2312" w:cs="宋体"/>
                <w:color w:val="auto"/>
                <w:kern w:val="0"/>
                <w:sz w:val="24"/>
                <w:highlight w:val="none"/>
                <w:u w:val="none"/>
                <w:shd w:val="clear" w:fill="FFFFFF"/>
              </w:rPr>
              <w:t>咸蚀</w:t>
            </w:r>
            <w:r>
              <w:rPr>
                <w:rFonts w:hint="eastAsia"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shd w:val="clear" w:fill="FFFFFF"/>
                <w:lang w:eastAsia="zh-CN"/>
              </w:rPr>
              <w:t>开裂</w:t>
            </w:r>
            <w:r>
              <w:rPr>
                <w:rFonts w:hint="eastAsia" w:ascii="仿宋_GB2312" w:hAnsi="宋体" w:eastAsia="仿宋_GB2312" w:cs="宋体"/>
                <w:color w:val="auto"/>
                <w:kern w:val="0"/>
                <w:sz w:val="24"/>
                <w:highlight w:val="none"/>
                <w:u w:val="none"/>
              </w:rPr>
              <w:t>；洁具、灯具：尚能但简单陈旧。整体装修外观较旧。</w:t>
            </w:r>
          </w:p>
        </w:tc>
        <w:tc>
          <w:tcPr>
            <w:tcW w:w="1048" w:type="dxa"/>
            <w:vAlign w:val="center"/>
          </w:tcPr>
          <w:p w14:paraId="31A029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1DF44D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vAlign w:val="center"/>
          </w:tcPr>
          <w:p w14:paraId="1A87FA5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vAlign w:val="center"/>
          </w:tcPr>
          <w:p w14:paraId="06EE424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vAlign w:val="center"/>
          </w:tcPr>
          <w:p w14:paraId="75D3E6E3">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vAlign w:val="center"/>
          </w:tcPr>
          <w:p w14:paraId="11FF69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66AAF1E6">
      <w:pPr>
        <w:pStyle w:val="2"/>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159F6FE2">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086B6D53">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5"/>
        <w:tblW w:w="8671" w:type="dxa"/>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7FEECF3C">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vAlign w:val="center"/>
          </w:tcPr>
          <w:p w14:paraId="7789B5D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vAlign w:val="center"/>
          </w:tcPr>
          <w:p w14:paraId="7D656DB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vAlign w:val="center"/>
          </w:tcPr>
          <w:p w14:paraId="5D1F7098">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46073E3D">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2AC6415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507DB419">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vAlign w:val="center"/>
          </w:tcPr>
          <w:p w14:paraId="5510A60A">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vAlign w:val="center"/>
          </w:tcPr>
          <w:p w14:paraId="5C2D4C5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vAlign w:val="center"/>
          </w:tcPr>
          <w:p w14:paraId="6BB55C85">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vAlign w:val="center"/>
          </w:tcPr>
          <w:p w14:paraId="794C800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vAlign w:val="center"/>
          </w:tcPr>
          <w:p w14:paraId="062E7106">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vAlign w:val="center"/>
          </w:tcPr>
          <w:p w14:paraId="0B7B0A32">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17667166">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vAlign w:val="center"/>
          </w:tcPr>
          <w:p w14:paraId="6CB17AF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vAlign w:val="center"/>
          </w:tcPr>
          <w:p w14:paraId="14DF17B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3598A5B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6EB73CC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4D53A76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1612622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73BA1BB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438856DB">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4E6B0F76">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03A6691C">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72A92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29232A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7DD63FA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35DD55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7D479C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5770AF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060AE61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25EF756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05FA4B2B">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418A12B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5EF5A3D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0A9AE7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44D0D0B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5CA2B7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7826C6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66BE9B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vAlign w:val="center"/>
          </w:tcPr>
          <w:p w14:paraId="0EDC76B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1492376C">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49CCB43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0DB8F18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54504CC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52791B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5E074A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3032D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3103C6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1EBC828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42F2FA01">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07A6841F">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636BF1E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75A788F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70425AC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59A6BA1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25811D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vAlign w:val="center"/>
          </w:tcPr>
          <w:p w14:paraId="7857A89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vAlign w:val="center"/>
          </w:tcPr>
          <w:p w14:paraId="183D0EE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vAlign w:val="center"/>
          </w:tcPr>
          <w:p w14:paraId="0B970D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5590E985">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0489253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1D8B10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vAlign w:val="center"/>
          </w:tcPr>
          <w:p w14:paraId="5689D6A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783CFFB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3CAE5C3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55CD800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vAlign w:val="center"/>
          </w:tcPr>
          <w:p w14:paraId="458674F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1BE661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64A18C43">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40264D7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5CAB0E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vAlign w:val="center"/>
          </w:tcPr>
          <w:p w14:paraId="63174E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149D6F0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AC31E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vAlign w:val="center"/>
          </w:tcPr>
          <w:p w14:paraId="077880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vAlign w:val="center"/>
          </w:tcPr>
          <w:p w14:paraId="3389684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vAlign w:val="center"/>
          </w:tcPr>
          <w:p w14:paraId="1F296A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3A3A7B87">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vAlign w:val="center"/>
          </w:tcPr>
          <w:p w14:paraId="17B5A61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3122D3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vAlign w:val="center"/>
          </w:tcPr>
          <w:p w14:paraId="5B355CE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4D58B5E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14C440E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4EEA297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757F20C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73AC5EB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67F2EBB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2741FC5F">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029C45E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6325992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vAlign w:val="center"/>
          </w:tcPr>
          <w:p w14:paraId="0F691EE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54C1A85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vAlign w:val="center"/>
          </w:tcPr>
          <w:p w14:paraId="40CA238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2829100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2CD205C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46149B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B281EE5">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vAlign w:val="center"/>
          </w:tcPr>
          <w:p w14:paraId="3F4B5FFD">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633C08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vAlign w:val="center"/>
          </w:tcPr>
          <w:p w14:paraId="709936C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vAlign w:val="center"/>
          </w:tcPr>
          <w:p w14:paraId="1040B7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vAlign w:val="center"/>
          </w:tcPr>
          <w:p w14:paraId="47F520B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vAlign w:val="center"/>
          </w:tcPr>
          <w:p w14:paraId="66C63E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vAlign w:val="center"/>
          </w:tcPr>
          <w:p w14:paraId="76F73E3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7460275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vAlign w:val="center"/>
          </w:tcPr>
          <w:p w14:paraId="58D8BB6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68C7B333">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vAlign w:val="center"/>
          </w:tcPr>
          <w:p w14:paraId="355B7DD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vAlign w:val="center"/>
          </w:tcPr>
          <w:p w14:paraId="694BF32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vAlign w:val="center"/>
          </w:tcPr>
          <w:p w14:paraId="0A20648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vAlign w:val="center"/>
          </w:tcPr>
          <w:p w14:paraId="5ACDD3B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7E50DAF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7E7EF6B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171CA9B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vAlign w:val="center"/>
          </w:tcPr>
          <w:p w14:paraId="1B4940C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1AEA8469">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vAlign w:val="center"/>
          </w:tcPr>
          <w:p w14:paraId="1028105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vAlign w:val="center"/>
          </w:tcPr>
          <w:p w14:paraId="4B4EDD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vAlign w:val="center"/>
          </w:tcPr>
          <w:p w14:paraId="5CE65A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77F66F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vAlign w:val="center"/>
          </w:tcPr>
          <w:p w14:paraId="6C7B45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vAlign w:val="center"/>
          </w:tcPr>
          <w:p w14:paraId="1207D88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690B0B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618651A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4648FF0">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vAlign w:val="center"/>
          </w:tcPr>
          <w:p w14:paraId="2AF64E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vAlign w:val="center"/>
          </w:tcPr>
          <w:p w14:paraId="18D66F1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vAlign w:val="center"/>
          </w:tcPr>
          <w:p w14:paraId="447379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vAlign w:val="center"/>
          </w:tcPr>
          <w:p w14:paraId="4EDAB1E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vAlign w:val="center"/>
          </w:tcPr>
          <w:p w14:paraId="6A009AC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vAlign w:val="center"/>
          </w:tcPr>
          <w:p w14:paraId="122BE20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35A1DB8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vAlign w:val="center"/>
          </w:tcPr>
          <w:p w14:paraId="32C5843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F72D30C">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vAlign w:val="center"/>
          </w:tcPr>
          <w:p w14:paraId="565BEE7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vAlign w:val="center"/>
          </w:tcPr>
          <w:p w14:paraId="5450559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vAlign w:val="center"/>
          </w:tcPr>
          <w:p w14:paraId="73AFA8D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vAlign w:val="center"/>
          </w:tcPr>
          <w:p w14:paraId="453A12C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vAlign w:val="center"/>
          </w:tcPr>
          <w:p w14:paraId="283CBC9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vAlign w:val="center"/>
          </w:tcPr>
          <w:p w14:paraId="4A63570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4580F8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vAlign w:val="center"/>
          </w:tcPr>
          <w:p w14:paraId="46E07B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1F6B79E0">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vAlign w:val="center"/>
          </w:tcPr>
          <w:p w14:paraId="07D32C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vAlign w:val="center"/>
          </w:tcPr>
          <w:p w14:paraId="3D30AB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vAlign w:val="center"/>
          </w:tcPr>
          <w:p w14:paraId="54E3C6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vAlign w:val="center"/>
          </w:tcPr>
          <w:p w14:paraId="3E0C53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vAlign w:val="center"/>
          </w:tcPr>
          <w:p w14:paraId="70748E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45341F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vAlign w:val="center"/>
          </w:tcPr>
          <w:p w14:paraId="7D373C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3E729D9">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vAlign w:val="center"/>
          </w:tcPr>
          <w:p w14:paraId="040ECD7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1D54CBD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29FAA67C">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hAnsi="宋体" w:eastAsia="仿宋_GB2312" w:cs="宋体"/>
                <w:color w:val="auto"/>
                <w:kern w:val="0"/>
                <w:sz w:val="24"/>
                <w:highlight w:val="none"/>
                <w:u w:val="none"/>
                <w:shd w:val="clear" w:fill="FFFFFF"/>
              </w:rPr>
              <w:t>、等</w:t>
            </w:r>
            <w:r>
              <w:rPr>
                <w:rFonts w:hint="eastAsia" w:ascii="仿宋_GB2312" w:hAnsi="宋体" w:eastAsia="仿宋_GB2312" w:cs="宋体"/>
                <w:color w:val="auto"/>
                <w:kern w:val="0"/>
                <w:sz w:val="24"/>
                <w:highlight w:val="none"/>
                <w:u w:val="none"/>
              </w:rPr>
              <w:t>面积调换实行补差价优惠，补差最高价控制按认定的总层数计算。</w:t>
            </w:r>
          </w:p>
        </w:tc>
      </w:tr>
    </w:tbl>
    <w:p w14:paraId="09AAB165">
      <w:pPr>
        <w:rPr>
          <w:rFonts w:hint="eastAsia" w:ascii="仿宋_GB2312" w:hAnsi="宋体" w:eastAsia="仿宋_GB2312" w:cs="宋体"/>
          <w:b/>
          <w:color w:val="auto"/>
          <w:kern w:val="0"/>
          <w:sz w:val="24"/>
          <w:highlight w:val="none"/>
          <w:u w:val="none"/>
        </w:rPr>
      </w:pPr>
    </w:p>
    <w:p w14:paraId="60944EF1">
      <w:pPr>
        <w:rPr>
          <w:rFonts w:hint="eastAsia" w:ascii="仿宋_GB2312" w:hAnsi="宋体" w:eastAsia="仿宋_GB2312" w:cs="宋体"/>
          <w:b/>
          <w:color w:val="auto"/>
          <w:kern w:val="0"/>
          <w:sz w:val="24"/>
          <w:highlight w:val="none"/>
          <w:u w:val="none"/>
        </w:rPr>
      </w:pPr>
    </w:p>
    <w:p w14:paraId="7F0C9895">
      <w:pPr>
        <w:rPr>
          <w:rFonts w:hint="eastAsia" w:ascii="仿宋_GB2312" w:hAnsi="宋体" w:eastAsia="仿宋_GB2312" w:cs="宋体"/>
          <w:b/>
          <w:color w:val="auto"/>
          <w:kern w:val="0"/>
          <w:sz w:val="24"/>
          <w:highlight w:val="none"/>
          <w:u w:val="none"/>
        </w:rPr>
      </w:pPr>
    </w:p>
    <w:p w14:paraId="6710B7D2">
      <w:pPr>
        <w:rPr>
          <w:rFonts w:hint="eastAsia" w:ascii="仿宋_GB2312" w:hAnsi="宋体" w:eastAsia="仿宋_GB2312" w:cs="宋体"/>
          <w:b/>
          <w:color w:val="auto"/>
          <w:kern w:val="0"/>
          <w:sz w:val="24"/>
          <w:highlight w:val="none"/>
          <w:u w:val="none"/>
        </w:rPr>
      </w:pPr>
    </w:p>
    <w:p w14:paraId="36C39512">
      <w:pPr>
        <w:rPr>
          <w:rFonts w:hint="eastAsia" w:ascii="仿宋_GB2312" w:hAnsi="宋体" w:eastAsia="仿宋_GB2312" w:cs="宋体"/>
          <w:b/>
          <w:color w:val="auto"/>
          <w:kern w:val="0"/>
          <w:sz w:val="24"/>
          <w:highlight w:val="none"/>
          <w:u w:val="none"/>
        </w:rPr>
      </w:pPr>
    </w:p>
    <w:p w14:paraId="7AA51B9D">
      <w:pPr>
        <w:rPr>
          <w:rFonts w:hint="eastAsia" w:ascii="仿宋_GB2312" w:hAnsi="宋体" w:eastAsia="仿宋_GB2312" w:cs="宋体"/>
          <w:b/>
          <w:color w:val="auto"/>
          <w:kern w:val="0"/>
          <w:sz w:val="24"/>
          <w:highlight w:val="none"/>
          <w:u w:val="none"/>
        </w:rPr>
      </w:pPr>
    </w:p>
    <w:p w14:paraId="7A7C3101">
      <w:pPr>
        <w:rPr>
          <w:rFonts w:hint="eastAsia" w:ascii="仿宋_GB2312" w:hAnsi="宋体" w:eastAsia="仿宋_GB2312" w:cs="宋体"/>
          <w:b/>
          <w:color w:val="auto"/>
          <w:kern w:val="0"/>
          <w:sz w:val="24"/>
          <w:highlight w:val="none"/>
          <w:u w:val="none"/>
        </w:rPr>
      </w:pPr>
    </w:p>
    <w:p w14:paraId="6E560823">
      <w:pPr>
        <w:rPr>
          <w:rFonts w:hint="eastAsia" w:ascii="仿宋_GB2312" w:hAnsi="宋体" w:eastAsia="仿宋_GB2312" w:cs="宋体"/>
          <w:b/>
          <w:color w:val="auto"/>
          <w:kern w:val="0"/>
          <w:sz w:val="24"/>
          <w:highlight w:val="none"/>
          <w:u w:val="none"/>
        </w:rPr>
      </w:pPr>
    </w:p>
    <w:tbl>
      <w:tblPr>
        <w:tblStyle w:val="5"/>
        <w:tblW w:w="8865" w:type="dxa"/>
        <w:tblInd w:w="93" w:type="dxa"/>
        <w:tblLayout w:type="fixed"/>
        <w:tblCellMar>
          <w:top w:w="0" w:type="dxa"/>
          <w:left w:w="108" w:type="dxa"/>
          <w:bottom w:w="0" w:type="dxa"/>
          <w:right w:w="108" w:type="dxa"/>
        </w:tblCellMar>
      </w:tblPr>
      <w:tblGrid>
        <w:gridCol w:w="866"/>
        <w:gridCol w:w="1264"/>
        <w:gridCol w:w="1287"/>
        <w:gridCol w:w="2694"/>
        <w:gridCol w:w="2754"/>
      </w:tblGrid>
      <w:tr w14:paraId="196118DC">
        <w:tblPrEx>
          <w:tblCellMar>
            <w:top w:w="0" w:type="dxa"/>
            <w:left w:w="108" w:type="dxa"/>
            <w:bottom w:w="0" w:type="dxa"/>
            <w:right w:w="108" w:type="dxa"/>
          </w:tblCellMar>
        </w:tblPrEx>
        <w:trPr>
          <w:trHeight w:val="699" w:hRule="atLeast"/>
        </w:trPr>
        <w:tc>
          <w:tcPr>
            <w:tcW w:w="8865" w:type="dxa"/>
            <w:gridSpan w:val="5"/>
            <w:vAlign w:val="center"/>
          </w:tcPr>
          <w:p w14:paraId="1C455E58">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60DCC192">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vAlign w:val="center"/>
          </w:tcPr>
          <w:p w14:paraId="332A874C">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vAlign w:val="center"/>
          </w:tcPr>
          <w:p w14:paraId="289373FA">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vAlign w:val="center"/>
          </w:tcPr>
          <w:p w14:paraId="4A549FA0">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vAlign w:val="center"/>
          </w:tcPr>
          <w:p w14:paraId="4C67F21C">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1AC2FFD4">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6DBE84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vAlign w:val="center"/>
          </w:tcPr>
          <w:p w14:paraId="01AE997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vAlign w:val="center"/>
          </w:tcPr>
          <w:p w14:paraId="3EDAA86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314E3C6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6D6CB41">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vAlign w:val="center"/>
          </w:tcPr>
          <w:p w14:paraId="44675E7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vAlign w:val="center"/>
          </w:tcPr>
          <w:p w14:paraId="35D69DF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vAlign w:val="center"/>
          </w:tcPr>
          <w:p w14:paraId="7A6662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6E0E5AA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467AAFF9">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5945B83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vAlign w:val="center"/>
          </w:tcPr>
          <w:p w14:paraId="39F7075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vAlign w:val="center"/>
          </w:tcPr>
          <w:p w14:paraId="444F633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306CC4A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D24003C">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vAlign w:val="center"/>
          </w:tcPr>
          <w:p w14:paraId="08BA6AD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vAlign w:val="center"/>
          </w:tcPr>
          <w:p w14:paraId="4318084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vAlign w:val="center"/>
          </w:tcPr>
          <w:p w14:paraId="6F5D688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vAlign w:val="center"/>
          </w:tcPr>
          <w:p w14:paraId="6C47E3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2D7F5B71">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vAlign w:val="center"/>
          </w:tcPr>
          <w:p w14:paraId="3DFC990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vAlign w:val="center"/>
          </w:tcPr>
          <w:p w14:paraId="470114F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vAlign w:val="center"/>
          </w:tcPr>
          <w:p w14:paraId="20E83A6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vAlign w:val="center"/>
          </w:tcPr>
          <w:p w14:paraId="5954890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EBE6E62">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vAlign w:val="center"/>
          </w:tcPr>
          <w:p w14:paraId="498969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vAlign w:val="center"/>
          </w:tcPr>
          <w:p w14:paraId="06C27CC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vAlign w:val="center"/>
          </w:tcPr>
          <w:p w14:paraId="5F7581D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829E15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E027406">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3CB813F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vAlign w:val="center"/>
          </w:tcPr>
          <w:p w14:paraId="340CF8F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vAlign w:val="center"/>
          </w:tcPr>
          <w:p w14:paraId="3C5AB3C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1D0D24F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182A679">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vAlign w:val="center"/>
          </w:tcPr>
          <w:p w14:paraId="3729AB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vAlign w:val="center"/>
          </w:tcPr>
          <w:p w14:paraId="16AF9D2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vAlign w:val="center"/>
          </w:tcPr>
          <w:p w14:paraId="38F72F4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59DCC7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D687FBD">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193E1D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vAlign w:val="center"/>
          </w:tcPr>
          <w:p w14:paraId="4A4005B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vAlign w:val="center"/>
          </w:tcPr>
          <w:p w14:paraId="36BDB43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3509967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4CF30A7C">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vAlign w:val="center"/>
          </w:tcPr>
          <w:p w14:paraId="21F7994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vAlign w:val="center"/>
          </w:tcPr>
          <w:p w14:paraId="37B3AFA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vAlign w:val="center"/>
          </w:tcPr>
          <w:p w14:paraId="1226A16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5D2478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03DE0DE">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vAlign w:val="center"/>
          </w:tcPr>
          <w:p w14:paraId="6469CEC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vAlign w:val="center"/>
          </w:tcPr>
          <w:p w14:paraId="08081E5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w:t>
            </w:r>
            <w:r>
              <w:rPr>
                <w:rFonts w:hint="eastAsia" w:ascii="仿宋_GB2312" w:hAnsi="宋体" w:eastAsia="仿宋_GB2312" w:cs="宋体"/>
                <w:color w:val="auto"/>
                <w:kern w:val="0"/>
                <w:sz w:val="24"/>
                <w:highlight w:val="none"/>
                <w:u w:val="none"/>
                <w:shd w:val="clear" w:fill="FFFFFF"/>
              </w:rPr>
              <w:t>波化砖</w:t>
            </w:r>
            <w:r>
              <w:rPr>
                <w:rFonts w:hint="eastAsia" w:ascii="仿宋_GB2312" w:hAnsi="宋体" w:eastAsia="仿宋_GB2312" w:cs="宋体"/>
                <w:color w:val="auto"/>
                <w:kern w:val="0"/>
                <w:sz w:val="24"/>
                <w:highlight w:val="none"/>
                <w:u w:val="none"/>
              </w:rPr>
              <w:t>贴面</w:t>
            </w:r>
          </w:p>
        </w:tc>
        <w:tc>
          <w:tcPr>
            <w:tcW w:w="2694" w:type="dxa"/>
            <w:tcBorders>
              <w:top w:val="nil"/>
              <w:left w:val="nil"/>
              <w:bottom w:val="single" w:color="auto" w:sz="4" w:space="0"/>
              <w:right w:val="single" w:color="auto" w:sz="4" w:space="0"/>
            </w:tcBorders>
            <w:vAlign w:val="center"/>
          </w:tcPr>
          <w:p w14:paraId="1E2FCF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581A42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27E1F4E">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vAlign w:val="center"/>
          </w:tcPr>
          <w:p w14:paraId="6A6508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vAlign w:val="center"/>
          </w:tcPr>
          <w:p w14:paraId="62375AC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vAlign w:val="center"/>
          </w:tcPr>
          <w:p w14:paraId="504573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03649F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19582F5">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vAlign w:val="center"/>
          </w:tcPr>
          <w:p w14:paraId="17ABF1E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vAlign w:val="center"/>
          </w:tcPr>
          <w:p w14:paraId="46401C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vAlign w:val="center"/>
          </w:tcPr>
          <w:p w14:paraId="1BC9DE4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4798356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8CA9481">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vAlign w:val="center"/>
          </w:tcPr>
          <w:p w14:paraId="4735B78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vAlign w:val="center"/>
          </w:tcPr>
          <w:p w14:paraId="3274B76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vAlign w:val="center"/>
          </w:tcPr>
          <w:p w14:paraId="5C580A5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vAlign w:val="center"/>
          </w:tcPr>
          <w:p w14:paraId="16D7FA6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4E1FAFB">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vAlign w:val="center"/>
          </w:tcPr>
          <w:p w14:paraId="23005C5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vAlign w:val="center"/>
          </w:tcPr>
          <w:p w14:paraId="2763CDF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vAlign w:val="center"/>
          </w:tcPr>
          <w:p w14:paraId="1C4706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6DD4C2D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0E4F662D">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vAlign w:val="center"/>
          </w:tcPr>
          <w:p w14:paraId="2B8482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vAlign w:val="center"/>
          </w:tcPr>
          <w:p w14:paraId="4F43FE4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vAlign w:val="center"/>
          </w:tcPr>
          <w:p w14:paraId="5005812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vAlign w:val="center"/>
          </w:tcPr>
          <w:p w14:paraId="237BF73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95F83F7">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vAlign w:val="center"/>
          </w:tcPr>
          <w:p w14:paraId="54FFAA0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vAlign w:val="center"/>
          </w:tcPr>
          <w:p w14:paraId="0E9DA93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vAlign w:val="center"/>
          </w:tcPr>
          <w:p w14:paraId="66B9D4C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vAlign w:val="center"/>
          </w:tcPr>
          <w:p w14:paraId="7B390DB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85582D2">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3C44E2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vAlign w:val="center"/>
          </w:tcPr>
          <w:p w14:paraId="3CD887C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vAlign w:val="center"/>
          </w:tcPr>
          <w:p w14:paraId="2C4E19D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vAlign w:val="center"/>
          </w:tcPr>
          <w:p w14:paraId="7351FB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0EB8614">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vAlign w:val="center"/>
          </w:tcPr>
          <w:p w14:paraId="0C70926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vAlign w:val="center"/>
          </w:tcPr>
          <w:p w14:paraId="3AC7132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vAlign w:val="center"/>
          </w:tcPr>
          <w:p w14:paraId="0FF0C53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B71F91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7B499370">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vAlign w:val="center"/>
          </w:tcPr>
          <w:p w14:paraId="3A90A6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vAlign w:val="center"/>
          </w:tcPr>
          <w:p w14:paraId="2D61F2F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vAlign w:val="center"/>
          </w:tcPr>
          <w:p w14:paraId="28BF925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B04EDC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1639FC7">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vAlign w:val="center"/>
          </w:tcPr>
          <w:p w14:paraId="67E41F0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vAlign w:val="center"/>
          </w:tcPr>
          <w:p w14:paraId="145AEC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vAlign w:val="center"/>
          </w:tcPr>
          <w:p w14:paraId="034834C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22B0E99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F4675D4">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vAlign w:val="center"/>
          </w:tcPr>
          <w:p w14:paraId="525283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vAlign w:val="center"/>
          </w:tcPr>
          <w:p w14:paraId="0E83677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vAlign w:val="center"/>
          </w:tcPr>
          <w:p w14:paraId="6B952E2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 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vAlign w:val="center"/>
          </w:tcPr>
          <w:p w14:paraId="113DFA5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EA0DC3A">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vAlign w:val="center"/>
          </w:tcPr>
          <w:p w14:paraId="5B490D4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vAlign w:val="center"/>
          </w:tcPr>
          <w:p w14:paraId="252AAAB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vAlign w:val="center"/>
          </w:tcPr>
          <w:p w14:paraId="1D60DBD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w:t>
            </w:r>
            <w:r>
              <w:rPr>
                <w:rFonts w:hint="eastAsia" w:ascii="仿宋_GB2312" w:hAnsi="宋体" w:eastAsia="仿宋_GB2312" w:cs="宋体"/>
                <w:color w:val="auto"/>
                <w:kern w:val="0"/>
                <w:sz w:val="24"/>
                <w:highlight w:val="none"/>
                <w:u w:val="none"/>
                <w:shd w:val="clear" w:fill="FFFFFF"/>
              </w:rPr>
              <w:t>顶贴</w:t>
            </w:r>
            <w:r>
              <w:rPr>
                <w:rFonts w:hint="eastAsia" w:ascii="仿宋_GB2312" w:hAnsi="宋体" w:eastAsia="仿宋_GB2312" w:cs="宋体"/>
                <w:color w:val="auto"/>
                <w:kern w:val="0"/>
                <w:sz w:val="24"/>
                <w:highlight w:val="none"/>
                <w:u w:val="none"/>
              </w:rPr>
              <w:t>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6AA04A7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1983B7E5">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3790DC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vAlign w:val="center"/>
          </w:tcPr>
          <w:p w14:paraId="5A0363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vAlign w:val="center"/>
          </w:tcPr>
          <w:p w14:paraId="2864DE2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5CC5EC5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497C5DD9">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2FB8083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vAlign w:val="center"/>
          </w:tcPr>
          <w:p w14:paraId="1F20CB2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vAlign w:val="center"/>
          </w:tcPr>
          <w:p w14:paraId="547E5D7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vAlign w:val="center"/>
          </w:tcPr>
          <w:p w14:paraId="4EF565E3">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79D91ED7">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40DB2E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vAlign w:val="center"/>
          </w:tcPr>
          <w:p w14:paraId="5D754DB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vAlign w:val="center"/>
          </w:tcPr>
          <w:p w14:paraId="2049924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200m按15000元/口补偿；深20</w:t>
            </w:r>
            <w:r>
              <w:rPr>
                <w:rFonts w:hint="eastAsia" w:ascii="仿宋_GB2312" w:hAnsi="宋体" w:eastAsia="仿宋_GB2312" w:cs="宋体"/>
                <w:color w:val="auto"/>
                <w:kern w:val="0"/>
                <w:sz w:val="24"/>
                <w:highlight w:val="none"/>
                <w:u w:val="none"/>
                <w:shd w:val="clear" w:fill="FFFFFF"/>
              </w:rPr>
              <w:t>-</w:t>
            </w:r>
            <w:r>
              <w:rPr>
                <w:rFonts w:hint="eastAsia" w:ascii="仿宋_GB2312" w:hAnsi="宋体" w:eastAsia="仿宋_GB2312" w:cs="宋体"/>
                <w:color w:val="auto"/>
                <w:kern w:val="0"/>
                <w:sz w:val="24"/>
                <w:highlight w:val="none"/>
                <w:u w:val="none"/>
              </w:rPr>
              <w:t>100m按5000-10000元/口补偿；20m以内按5000元/口补偿。</w:t>
            </w:r>
          </w:p>
        </w:tc>
        <w:tc>
          <w:tcPr>
            <w:tcW w:w="2754" w:type="dxa"/>
            <w:tcBorders>
              <w:top w:val="single" w:color="auto" w:sz="4" w:space="0"/>
              <w:left w:val="nil"/>
              <w:bottom w:val="single" w:color="auto" w:sz="4" w:space="0"/>
              <w:right w:val="single" w:color="auto" w:sz="4" w:space="0"/>
            </w:tcBorders>
            <w:vAlign w:val="center"/>
          </w:tcPr>
          <w:p w14:paraId="796F2CC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518868D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B9B16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vAlign w:val="center"/>
          </w:tcPr>
          <w:p w14:paraId="39F179D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vAlign w:val="center"/>
          </w:tcPr>
          <w:p w14:paraId="414F66E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vAlign w:val="center"/>
          </w:tcPr>
          <w:p w14:paraId="7EA5641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168751C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2744F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vAlign w:val="center"/>
          </w:tcPr>
          <w:p w14:paraId="4112117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vAlign w:val="center"/>
          </w:tcPr>
          <w:p w14:paraId="3FFDEDD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70D4CF6F">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2F200CD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5C1892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vAlign w:val="center"/>
          </w:tcPr>
          <w:p w14:paraId="69FA3DD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vAlign w:val="center"/>
          </w:tcPr>
          <w:p w14:paraId="6C4D667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vAlign w:val="center"/>
          </w:tcPr>
          <w:p w14:paraId="5BF393D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vAlign w:val="center"/>
          </w:tcPr>
          <w:p w14:paraId="4974DFF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70512B3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6373EA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vAlign w:val="center"/>
          </w:tcPr>
          <w:p w14:paraId="38A395FC">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4F2CBE0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vAlign w:val="center"/>
          </w:tcPr>
          <w:p w14:paraId="691625D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2709EC60">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0FB7A390">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66940A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vAlign w:val="center"/>
          </w:tcPr>
          <w:p w14:paraId="39878656">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195082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vAlign w:val="center"/>
          </w:tcPr>
          <w:p w14:paraId="6952212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vAlign w:val="center"/>
          </w:tcPr>
          <w:p w14:paraId="09E9FB6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45A2324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E0E5DE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vAlign w:val="center"/>
          </w:tcPr>
          <w:p w14:paraId="7F29D12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vAlign w:val="center"/>
          </w:tcPr>
          <w:p w14:paraId="5240C0F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A42406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E5EA72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7FB477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vAlign w:val="center"/>
          </w:tcPr>
          <w:p w14:paraId="535051F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vAlign w:val="center"/>
          </w:tcPr>
          <w:p w14:paraId="2AF6B76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vAlign w:val="center"/>
          </w:tcPr>
          <w:p w14:paraId="23A84F7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E58EAC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4F14C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vAlign w:val="center"/>
          </w:tcPr>
          <w:p w14:paraId="53C6B53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vAlign w:val="center"/>
          </w:tcPr>
          <w:p w14:paraId="602E12F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vAlign w:val="center"/>
          </w:tcPr>
          <w:p w14:paraId="4721FA7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2E0BA4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452BC3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vAlign w:val="center"/>
          </w:tcPr>
          <w:p w14:paraId="01EC5F9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vAlign w:val="center"/>
          </w:tcPr>
          <w:p w14:paraId="43BF532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vAlign w:val="center"/>
          </w:tcPr>
          <w:p w14:paraId="56B0C879">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23730D19">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vAlign w:val="center"/>
          </w:tcPr>
          <w:p w14:paraId="02DE749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vAlign w:val="center"/>
          </w:tcPr>
          <w:p w14:paraId="7FBB791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vAlign w:val="center"/>
          </w:tcPr>
          <w:p w14:paraId="1940CA7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vAlign w:val="center"/>
          </w:tcPr>
          <w:p w14:paraId="195E1B3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A2504D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7306BD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vAlign w:val="center"/>
          </w:tcPr>
          <w:p w14:paraId="0353E49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vAlign w:val="center"/>
          </w:tcPr>
          <w:p w14:paraId="620C8E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vAlign w:val="center"/>
          </w:tcPr>
          <w:p w14:paraId="0841E2D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vAlign w:val="center"/>
          </w:tcPr>
          <w:p w14:paraId="656B7DC4">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576352E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1B037AE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vAlign w:val="center"/>
          </w:tcPr>
          <w:p w14:paraId="12A9897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295BC23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vAlign w:val="center"/>
          </w:tcPr>
          <w:p w14:paraId="2121F23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vAlign w:val="center"/>
          </w:tcPr>
          <w:p w14:paraId="117F1E8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09BAB319">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vAlign w:val="center"/>
          </w:tcPr>
          <w:p w14:paraId="5EBD39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vAlign w:val="center"/>
          </w:tcPr>
          <w:p w14:paraId="1F8C41F2">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vAlign w:val="center"/>
          </w:tcPr>
          <w:p w14:paraId="0DFE71D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vAlign w:val="center"/>
          </w:tcPr>
          <w:p w14:paraId="3EB3495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vAlign w:val="center"/>
          </w:tcPr>
          <w:p w14:paraId="6ACB0D01">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5375AAD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030C0A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vAlign w:val="center"/>
          </w:tcPr>
          <w:p w14:paraId="5253BDA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vAlign w:val="center"/>
          </w:tcPr>
          <w:p w14:paraId="6D75BF9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36D6538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68F5B34E">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627B9B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vAlign w:val="center"/>
          </w:tcPr>
          <w:p w14:paraId="1C762E6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vAlign w:val="center"/>
          </w:tcPr>
          <w:p w14:paraId="7311643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vAlign w:val="center"/>
          </w:tcPr>
          <w:p w14:paraId="1DB74B5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0BAFEB03">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5B6D0DF8">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vAlign w:val="center"/>
          </w:tcPr>
          <w:p w14:paraId="4424F244">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vAlign w:val="center"/>
          </w:tcPr>
          <w:p w14:paraId="5E15B1CD">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2801A949">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6DBC18C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vAlign w:val="center"/>
          </w:tcPr>
          <w:p w14:paraId="2CED02B4">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vAlign w:val="center"/>
          </w:tcPr>
          <w:p w14:paraId="2934F880">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vAlign w:val="center"/>
          </w:tcPr>
          <w:p w14:paraId="1262AD33">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vAlign w:val="center"/>
          </w:tcPr>
          <w:p w14:paraId="646B2EC9">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27E38281">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vAlign w:val="center"/>
          </w:tcPr>
          <w:p w14:paraId="68F3EA66">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注：本表未涵盖内容，由征迁工作组会同属地街道，通过市场询价或委托评估确定。</w:t>
            </w:r>
          </w:p>
        </w:tc>
      </w:tr>
    </w:tbl>
    <w:p w14:paraId="56F81DE3">
      <w:pPr>
        <w:widowControl/>
        <w:jc w:val="center"/>
        <w:rPr>
          <w:rFonts w:hint="eastAsia" w:ascii="仿宋_GB2312" w:hAnsi="宋体" w:eastAsia="仿宋_GB2312" w:cs="宋体"/>
          <w:color w:val="auto"/>
          <w:kern w:val="0"/>
          <w:sz w:val="24"/>
          <w:highlight w:val="none"/>
          <w:u w:val="none"/>
        </w:rPr>
      </w:pPr>
    </w:p>
    <w:p w14:paraId="5A1E89E1">
      <w:pPr>
        <w:widowControl/>
        <w:jc w:val="both"/>
        <w:rPr>
          <w:rFonts w:hint="eastAsia" w:ascii="仿宋_GB2312" w:hAnsi="宋体" w:eastAsia="仿宋_GB2312" w:cs="宋体"/>
          <w:color w:val="auto"/>
          <w:kern w:val="0"/>
          <w:sz w:val="24"/>
          <w:highlight w:val="none"/>
          <w:u w:val="none"/>
        </w:rPr>
      </w:pPr>
    </w:p>
    <w:p w14:paraId="41FADD09">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 xml:space="preserve">附表七   </w:t>
      </w:r>
      <w:r>
        <w:rPr>
          <w:rFonts w:hint="eastAsia" w:ascii="仿宋_GB2312" w:eastAsia="仿宋_GB2312"/>
          <w:b/>
          <w:color w:val="auto"/>
          <w:kern w:val="0"/>
          <w:sz w:val="32"/>
          <w:szCs w:val="32"/>
          <w:highlight w:val="none"/>
          <w:u w:val="none"/>
          <w:lang w:val="en-US" w:eastAsia="zh-CN"/>
        </w:rPr>
        <w:t xml:space="preserve">        临时搭盖的补偿规定</w:t>
      </w:r>
    </w:p>
    <w:p w14:paraId="37B20484">
      <w:pPr>
        <w:ind w:firstLine="640" w:firstLineChars="200"/>
        <w:jc w:val="left"/>
        <w:rPr>
          <w:rFonts w:hint="eastAsia" w:ascii="仿宋_GB2312" w:hAnsi="仿宋_GB2312" w:eastAsia="仿宋_GB2312" w:cs="仿宋_GB2312"/>
          <w:color w:val="auto"/>
          <w:sz w:val="32"/>
          <w:szCs w:val="32"/>
          <w:highlight w:val="none"/>
          <w:u w:val="none"/>
        </w:rPr>
      </w:pPr>
    </w:p>
    <w:p w14:paraId="3EC3E8F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28B6E4A2">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2A11BEE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1A09805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02D50B8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780E799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w:t>
      </w:r>
    </w:p>
    <w:p w14:paraId="469BBE4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瓦为屋顶（如：采用铁皮、石棉瓦、油毡为屋顶）。</w:t>
      </w:r>
    </w:p>
    <w:p w14:paraId="02438D6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1B35F64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757AE0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52DE53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78250CF1">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3A551E4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7A07C57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31393D5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w:t>
      </w:r>
      <w:r>
        <w:rPr>
          <w:rFonts w:hint="eastAsia" w:ascii="仿宋_GB2312" w:hAnsi="仿宋_GB2312" w:eastAsia="仿宋_GB2312" w:cs="仿宋_GB2312"/>
          <w:color w:val="auto"/>
          <w:sz w:val="32"/>
          <w:szCs w:val="32"/>
          <w:highlight w:val="none"/>
          <w:u w:val="none"/>
          <w:shd w:val="clear" w:fill="FFFFFF"/>
        </w:rPr>
        <w:t>粘土</w:t>
      </w:r>
      <w:r>
        <w:rPr>
          <w:rFonts w:hint="eastAsia" w:ascii="仿宋_GB2312" w:hAnsi="仿宋_GB2312" w:eastAsia="仿宋_GB2312" w:cs="仿宋_GB2312"/>
          <w:color w:val="auto"/>
          <w:sz w:val="32"/>
          <w:szCs w:val="32"/>
          <w:highlight w:val="none"/>
          <w:u w:val="none"/>
        </w:rPr>
        <w:t>实心砖为承重墙体的，可参照砖木结构二等略低标准给予建筑重置价补偿。</w:t>
      </w:r>
    </w:p>
    <w:p w14:paraId="42A028B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08344CA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5、实施突击抢建的，由项目所在镇（街）负责拆除并不予任何补偿。</w:t>
      </w:r>
    </w:p>
    <w:p w14:paraId="526A0694">
      <w:pPr>
        <w:widowControl/>
        <w:jc w:val="both"/>
        <w:rPr>
          <w:rFonts w:hint="eastAsia" w:ascii="仿宋_GB2312" w:hAnsi="宋体" w:eastAsia="仿宋_GB2312" w:cs="宋体"/>
          <w:color w:val="auto"/>
          <w:kern w:val="0"/>
          <w:sz w:val="24"/>
          <w:highlight w:val="none"/>
          <w:u w:val="none"/>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78"/>
    <w:family w:val="moder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ECF6">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24</w:t>
    </w:r>
    <w:r>
      <w:fldChar w:fldCharType="end"/>
    </w:r>
  </w:p>
  <w:p w14:paraId="66309AC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1787B">
    <w:pPr>
      <w:pStyle w:val="3"/>
      <w:framePr w:wrap="around" w:vAnchor="text" w:hAnchor="margin" w:xAlign="center" w:y="1"/>
      <w:rPr>
        <w:rStyle w:val="7"/>
      </w:rPr>
    </w:pPr>
    <w:r>
      <w:fldChar w:fldCharType="begin"/>
    </w:r>
    <w:r>
      <w:rPr>
        <w:rStyle w:val="7"/>
      </w:rPr>
      <w:instrText xml:space="preserve">PAGE  </w:instrText>
    </w:r>
    <w:r>
      <w:fldChar w:fldCharType="end"/>
    </w:r>
  </w:p>
  <w:p w14:paraId="3F587D5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55B4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DI2NTJkNmUwYTZjNTNiZGU3ZGJmNTJmNTU3YTQifQ=="/>
  </w:docVars>
  <w:rsids>
    <w:rsidRoot w:val="00172A27"/>
    <w:rsid w:val="00000B91"/>
    <w:rsid w:val="00006056"/>
    <w:rsid w:val="0002041F"/>
    <w:rsid w:val="00026B25"/>
    <w:rsid w:val="00026C31"/>
    <w:rsid w:val="00030CB0"/>
    <w:rsid w:val="00036B0C"/>
    <w:rsid w:val="00041432"/>
    <w:rsid w:val="000420F0"/>
    <w:rsid w:val="00046D70"/>
    <w:rsid w:val="00052C74"/>
    <w:rsid w:val="00052F89"/>
    <w:rsid w:val="00056603"/>
    <w:rsid w:val="00057029"/>
    <w:rsid w:val="00061203"/>
    <w:rsid w:val="00062A17"/>
    <w:rsid w:val="000636EE"/>
    <w:rsid w:val="00063C57"/>
    <w:rsid w:val="00065941"/>
    <w:rsid w:val="00070875"/>
    <w:rsid w:val="00073D9C"/>
    <w:rsid w:val="0007659E"/>
    <w:rsid w:val="0007680D"/>
    <w:rsid w:val="000804D8"/>
    <w:rsid w:val="00080E7C"/>
    <w:rsid w:val="000822CC"/>
    <w:rsid w:val="000823FD"/>
    <w:rsid w:val="000830D0"/>
    <w:rsid w:val="00083423"/>
    <w:rsid w:val="00097EA8"/>
    <w:rsid w:val="000A0262"/>
    <w:rsid w:val="000A0B53"/>
    <w:rsid w:val="000A2240"/>
    <w:rsid w:val="000A34F4"/>
    <w:rsid w:val="000A39EB"/>
    <w:rsid w:val="000A4C47"/>
    <w:rsid w:val="000A4C67"/>
    <w:rsid w:val="000A6F88"/>
    <w:rsid w:val="000B339F"/>
    <w:rsid w:val="000B5F38"/>
    <w:rsid w:val="000C09A8"/>
    <w:rsid w:val="000C0FA9"/>
    <w:rsid w:val="000C15D2"/>
    <w:rsid w:val="000C4055"/>
    <w:rsid w:val="000C7AC1"/>
    <w:rsid w:val="000D5BC5"/>
    <w:rsid w:val="000D6282"/>
    <w:rsid w:val="000E3A33"/>
    <w:rsid w:val="000E63A3"/>
    <w:rsid w:val="000F3209"/>
    <w:rsid w:val="000F6232"/>
    <w:rsid w:val="000F6496"/>
    <w:rsid w:val="000F6B4B"/>
    <w:rsid w:val="00104FF9"/>
    <w:rsid w:val="00106433"/>
    <w:rsid w:val="00107813"/>
    <w:rsid w:val="0011102D"/>
    <w:rsid w:val="00111AE3"/>
    <w:rsid w:val="001161F1"/>
    <w:rsid w:val="001173B8"/>
    <w:rsid w:val="00117997"/>
    <w:rsid w:val="00122DEA"/>
    <w:rsid w:val="001329A0"/>
    <w:rsid w:val="00132AF3"/>
    <w:rsid w:val="001332C8"/>
    <w:rsid w:val="00133610"/>
    <w:rsid w:val="001337AE"/>
    <w:rsid w:val="001342BF"/>
    <w:rsid w:val="0013588A"/>
    <w:rsid w:val="0014099D"/>
    <w:rsid w:val="00141946"/>
    <w:rsid w:val="00150008"/>
    <w:rsid w:val="001504BB"/>
    <w:rsid w:val="00150991"/>
    <w:rsid w:val="00151FB0"/>
    <w:rsid w:val="00153155"/>
    <w:rsid w:val="00153B9A"/>
    <w:rsid w:val="00156EAF"/>
    <w:rsid w:val="00157E09"/>
    <w:rsid w:val="001606E1"/>
    <w:rsid w:val="00161663"/>
    <w:rsid w:val="00167E63"/>
    <w:rsid w:val="00175A7F"/>
    <w:rsid w:val="0017782B"/>
    <w:rsid w:val="00186C10"/>
    <w:rsid w:val="00190CF6"/>
    <w:rsid w:val="001A6E46"/>
    <w:rsid w:val="001B0998"/>
    <w:rsid w:val="001B1130"/>
    <w:rsid w:val="001B4A7D"/>
    <w:rsid w:val="001B592E"/>
    <w:rsid w:val="001C11C5"/>
    <w:rsid w:val="001C136C"/>
    <w:rsid w:val="001C665E"/>
    <w:rsid w:val="001C6D96"/>
    <w:rsid w:val="001D6BBD"/>
    <w:rsid w:val="001E08FA"/>
    <w:rsid w:val="001E0B61"/>
    <w:rsid w:val="001E78AD"/>
    <w:rsid w:val="001F0172"/>
    <w:rsid w:val="001F3687"/>
    <w:rsid w:val="001F3FE9"/>
    <w:rsid w:val="0020003F"/>
    <w:rsid w:val="002025A6"/>
    <w:rsid w:val="00202DF8"/>
    <w:rsid w:val="002121BF"/>
    <w:rsid w:val="00212887"/>
    <w:rsid w:val="00212C46"/>
    <w:rsid w:val="0021512D"/>
    <w:rsid w:val="002172F4"/>
    <w:rsid w:val="002223A8"/>
    <w:rsid w:val="00224EBF"/>
    <w:rsid w:val="00241A17"/>
    <w:rsid w:val="002439A4"/>
    <w:rsid w:val="00243EEF"/>
    <w:rsid w:val="0024512B"/>
    <w:rsid w:val="002451A0"/>
    <w:rsid w:val="00246A81"/>
    <w:rsid w:val="00254468"/>
    <w:rsid w:val="00260471"/>
    <w:rsid w:val="00271053"/>
    <w:rsid w:val="00271FEC"/>
    <w:rsid w:val="0027749B"/>
    <w:rsid w:val="0029108F"/>
    <w:rsid w:val="00294620"/>
    <w:rsid w:val="00296B0F"/>
    <w:rsid w:val="002A3FE9"/>
    <w:rsid w:val="002A6F84"/>
    <w:rsid w:val="002B268B"/>
    <w:rsid w:val="002B52B8"/>
    <w:rsid w:val="002B769C"/>
    <w:rsid w:val="002C02C3"/>
    <w:rsid w:val="002C060C"/>
    <w:rsid w:val="002C5A3D"/>
    <w:rsid w:val="002C6093"/>
    <w:rsid w:val="002D032D"/>
    <w:rsid w:val="002D2944"/>
    <w:rsid w:val="002D4AC2"/>
    <w:rsid w:val="002D59C3"/>
    <w:rsid w:val="002D638D"/>
    <w:rsid w:val="002E1B1A"/>
    <w:rsid w:val="002E3AA9"/>
    <w:rsid w:val="002E7D7C"/>
    <w:rsid w:val="00302A68"/>
    <w:rsid w:val="00303480"/>
    <w:rsid w:val="003050A9"/>
    <w:rsid w:val="0031187E"/>
    <w:rsid w:val="00316425"/>
    <w:rsid w:val="00322C83"/>
    <w:rsid w:val="00323BA9"/>
    <w:rsid w:val="003270EE"/>
    <w:rsid w:val="00337CE4"/>
    <w:rsid w:val="00337F8E"/>
    <w:rsid w:val="0034047E"/>
    <w:rsid w:val="00343AD8"/>
    <w:rsid w:val="0035286D"/>
    <w:rsid w:val="00353941"/>
    <w:rsid w:val="00353ACE"/>
    <w:rsid w:val="00354743"/>
    <w:rsid w:val="003665AC"/>
    <w:rsid w:val="00374EC4"/>
    <w:rsid w:val="003826AC"/>
    <w:rsid w:val="003854F7"/>
    <w:rsid w:val="00391B37"/>
    <w:rsid w:val="003965A3"/>
    <w:rsid w:val="003A4BEE"/>
    <w:rsid w:val="003A735D"/>
    <w:rsid w:val="003A7A9D"/>
    <w:rsid w:val="003B3C77"/>
    <w:rsid w:val="003B4E98"/>
    <w:rsid w:val="003C1640"/>
    <w:rsid w:val="003E0529"/>
    <w:rsid w:val="003E313C"/>
    <w:rsid w:val="003E512C"/>
    <w:rsid w:val="003F2714"/>
    <w:rsid w:val="003F376A"/>
    <w:rsid w:val="003F4E6C"/>
    <w:rsid w:val="00404B03"/>
    <w:rsid w:val="004059C4"/>
    <w:rsid w:val="004100E1"/>
    <w:rsid w:val="00410A49"/>
    <w:rsid w:val="00411886"/>
    <w:rsid w:val="00412CCD"/>
    <w:rsid w:val="00412E38"/>
    <w:rsid w:val="0042058E"/>
    <w:rsid w:val="00421F90"/>
    <w:rsid w:val="004236A4"/>
    <w:rsid w:val="00423AC4"/>
    <w:rsid w:val="0042430A"/>
    <w:rsid w:val="00425333"/>
    <w:rsid w:val="00433207"/>
    <w:rsid w:val="00437156"/>
    <w:rsid w:val="00442D48"/>
    <w:rsid w:val="00442EBA"/>
    <w:rsid w:val="00443AAA"/>
    <w:rsid w:val="004468EA"/>
    <w:rsid w:val="00450D80"/>
    <w:rsid w:val="0045224D"/>
    <w:rsid w:val="00456289"/>
    <w:rsid w:val="00456B07"/>
    <w:rsid w:val="004670F8"/>
    <w:rsid w:val="00470B7B"/>
    <w:rsid w:val="004721CC"/>
    <w:rsid w:val="004801DB"/>
    <w:rsid w:val="0048310E"/>
    <w:rsid w:val="00484F84"/>
    <w:rsid w:val="004906A2"/>
    <w:rsid w:val="00491F89"/>
    <w:rsid w:val="00492741"/>
    <w:rsid w:val="00493478"/>
    <w:rsid w:val="004942AB"/>
    <w:rsid w:val="004A0BC0"/>
    <w:rsid w:val="004A3C26"/>
    <w:rsid w:val="004A4239"/>
    <w:rsid w:val="004B077E"/>
    <w:rsid w:val="004B0E55"/>
    <w:rsid w:val="004C26EC"/>
    <w:rsid w:val="004C4895"/>
    <w:rsid w:val="004C6080"/>
    <w:rsid w:val="004C644D"/>
    <w:rsid w:val="004C7AE5"/>
    <w:rsid w:val="004D4103"/>
    <w:rsid w:val="004D42A3"/>
    <w:rsid w:val="004D469E"/>
    <w:rsid w:val="004D5A4C"/>
    <w:rsid w:val="004E0C6D"/>
    <w:rsid w:val="004E275B"/>
    <w:rsid w:val="004E2B20"/>
    <w:rsid w:val="004E3251"/>
    <w:rsid w:val="004E356F"/>
    <w:rsid w:val="004E563D"/>
    <w:rsid w:val="004F023B"/>
    <w:rsid w:val="004F2780"/>
    <w:rsid w:val="004F2EF0"/>
    <w:rsid w:val="004F2F5A"/>
    <w:rsid w:val="005015F6"/>
    <w:rsid w:val="00504B29"/>
    <w:rsid w:val="00505D7A"/>
    <w:rsid w:val="00506229"/>
    <w:rsid w:val="00513F84"/>
    <w:rsid w:val="0051551C"/>
    <w:rsid w:val="00516E6D"/>
    <w:rsid w:val="00521137"/>
    <w:rsid w:val="00523565"/>
    <w:rsid w:val="005244AB"/>
    <w:rsid w:val="00524698"/>
    <w:rsid w:val="0052510E"/>
    <w:rsid w:val="00527672"/>
    <w:rsid w:val="00527730"/>
    <w:rsid w:val="00537A7F"/>
    <w:rsid w:val="00542A4F"/>
    <w:rsid w:val="005435CD"/>
    <w:rsid w:val="00545C7C"/>
    <w:rsid w:val="00550204"/>
    <w:rsid w:val="005569BF"/>
    <w:rsid w:val="00560D38"/>
    <w:rsid w:val="005652EB"/>
    <w:rsid w:val="0056574A"/>
    <w:rsid w:val="00566671"/>
    <w:rsid w:val="005667C8"/>
    <w:rsid w:val="00571D05"/>
    <w:rsid w:val="00573AF4"/>
    <w:rsid w:val="00574A92"/>
    <w:rsid w:val="00576F45"/>
    <w:rsid w:val="00580064"/>
    <w:rsid w:val="00581441"/>
    <w:rsid w:val="00581663"/>
    <w:rsid w:val="00581E0F"/>
    <w:rsid w:val="0059108A"/>
    <w:rsid w:val="00592041"/>
    <w:rsid w:val="00592A11"/>
    <w:rsid w:val="005934DA"/>
    <w:rsid w:val="0059399A"/>
    <w:rsid w:val="005A3AD5"/>
    <w:rsid w:val="005A4D4C"/>
    <w:rsid w:val="005A7B34"/>
    <w:rsid w:val="005B5AC6"/>
    <w:rsid w:val="005B5E23"/>
    <w:rsid w:val="005B607B"/>
    <w:rsid w:val="005D44EC"/>
    <w:rsid w:val="005D5B26"/>
    <w:rsid w:val="005D7024"/>
    <w:rsid w:val="005E1B6F"/>
    <w:rsid w:val="005E5619"/>
    <w:rsid w:val="005E69B5"/>
    <w:rsid w:val="005E783A"/>
    <w:rsid w:val="005F2629"/>
    <w:rsid w:val="005F2D31"/>
    <w:rsid w:val="005F3A83"/>
    <w:rsid w:val="005F4231"/>
    <w:rsid w:val="005F79A8"/>
    <w:rsid w:val="005F7EA7"/>
    <w:rsid w:val="0060197C"/>
    <w:rsid w:val="00604197"/>
    <w:rsid w:val="006065E0"/>
    <w:rsid w:val="00607D31"/>
    <w:rsid w:val="00607E43"/>
    <w:rsid w:val="00613792"/>
    <w:rsid w:val="00615DA0"/>
    <w:rsid w:val="00622D54"/>
    <w:rsid w:val="006305D3"/>
    <w:rsid w:val="00632816"/>
    <w:rsid w:val="00634168"/>
    <w:rsid w:val="006360BA"/>
    <w:rsid w:val="006365B5"/>
    <w:rsid w:val="00637235"/>
    <w:rsid w:val="00647020"/>
    <w:rsid w:val="00650FC2"/>
    <w:rsid w:val="006512F8"/>
    <w:rsid w:val="00652588"/>
    <w:rsid w:val="00652AA6"/>
    <w:rsid w:val="00655C4A"/>
    <w:rsid w:val="006570C5"/>
    <w:rsid w:val="00665B3C"/>
    <w:rsid w:val="00667651"/>
    <w:rsid w:val="006701E3"/>
    <w:rsid w:val="006706FF"/>
    <w:rsid w:val="00676F3E"/>
    <w:rsid w:val="00677442"/>
    <w:rsid w:val="00680C86"/>
    <w:rsid w:val="00680E83"/>
    <w:rsid w:val="006829A3"/>
    <w:rsid w:val="00687085"/>
    <w:rsid w:val="00687E7B"/>
    <w:rsid w:val="00691D90"/>
    <w:rsid w:val="006923C3"/>
    <w:rsid w:val="00696ADD"/>
    <w:rsid w:val="00697ECF"/>
    <w:rsid w:val="006A1388"/>
    <w:rsid w:val="006B2CBD"/>
    <w:rsid w:val="006B5FAF"/>
    <w:rsid w:val="006C23DE"/>
    <w:rsid w:val="006C6585"/>
    <w:rsid w:val="006C6C53"/>
    <w:rsid w:val="006D1C27"/>
    <w:rsid w:val="006D7679"/>
    <w:rsid w:val="006E67CD"/>
    <w:rsid w:val="006F66F4"/>
    <w:rsid w:val="006F6A52"/>
    <w:rsid w:val="00702B3A"/>
    <w:rsid w:val="007048A6"/>
    <w:rsid w:val="00705D60"/>
    <w:rsid w:val="00715FB6"/>
    <w:rsid w:val="007215E2"/>
    <w:rsid w:val="00725D62"/>
    <w:rsid w:val="00726F95"/>
    <w:rsid w:val="007304A0"/>
    <w:rsid w:val="007322A4"/>
    <w:rsid w:val="0073258C"/>
    <w:rsid w:val="00734AC1"/>
    <w:rsid w:val="0073660B"/>
    <w:rsid w:val="00736ACC"/>
    <w:rsid w:val="00736BFD"/>
    <w:rsid w:val="007409A0"/>
    <w:rsid w:val="00741817"/>
    <w:rsid w:val="00746B1A"/>
    <w:rsid w:val="007519E3"/>
    <w:rsid w:val="00751B18"/>
    <w:rsid w:val="00752E4A"/>
    <w:rsid w:val="00753B4F"/>
    <w:rsid w:val="00753E5A"/>
    <w:rsid w:val="007550A9"/>
    <w:rsid w:val="0076439D"/>
    <w:rsid w:val="00764708"/>
    <w:rsid w:val="00772267"/>
    <w:rsid w:val="00775A5F"/>
    <w:rsid w:val="00784637"/>
    <w:rsid w:val="00785614"/>
    <w:rsid w:val="00791701"/>
    <w:rsid w:val="00792240"/>
    <w:rsid w:val="0079497F"/>
    <w:rsid w:val="00797E82"/>
    <w:rsid w:val="007A039B"/>
    <w:rsid w:val="007A4959"/>
    <w:rsid w:val="007A58F2"/>
    <w:rsid w:val="007B216F"/>
    <w:rsid w:val="007B298C"/>
    <w:rsid w:val="007D0FC4"/>
    <w:rsid w:val="007D41E8"/>
    <w:rsid w:val="007D62C7"/>
    <w:rsid w:val="007E126D"/>
    <w:rsid w:val="007E1A73"/>
    <w:rsid w:val="007E6DD2"/>
    <w:rsid w:val="007E7415"/>
    <w:rsid w:val="007F0871"/>
    <w:rsid w:val="007F3CA9"/>
    <w:rsid w:val="007F3D38"/>
    <w:rsid w:val="007F7F37"/>
    <w:rsid w:val="0080123B"/>
    <w:rsid w:val="0080257F"/>
    <w:rsid w:val="00806D3D"/>
    <w:rsid w:val="00807E0A"/>
    <w:rsid w:val="008114C3"/>
    <w:rsid w:val="00811F09"/>
    <w:rsid w:val="00812856"/>
    <w:rsid w:val="00813FEB"/>
    <w:rsid w:val="008156C5"/>
    <w:rsid w:val="00821095"/>
    <w:rsid w:val="008223EA"/>
    <w:rsid w:val="00822642"/>
    <w:rsid w:val="00824666"/>
    <w:rsid w:val="008306D1"/>
    <w:rsid w:val="0083336F"/>
    <w:rsid w:val="00836060"/>
    <w:rsid w:val="00841DE3"/>
    <w:rsid w:val="00842EB6"/>
    <w:rsid w:val="00845BDE"/>
    <w:rsid w:val="0084624B"/>
    <w:rsid w:val="00846C28"/>
    <w:rsid w:val="00852F3D"/>
    <w:rsid w:val="00853A9E"/>
    <w:rsid w:val="008561A5"/>
    <w:rsid w:val="008702FE"/>
    <w:rsid w:val="00870341"/>
    <w:rsid w:val="008725B0"/>
    <w:rsid w:val="00872BFC"/>
    <w:rsid w:val="00872C51"/>
    <w:rsid w:val="00875F06"/>
    <w:rsid w:val="008770E0"/>
    <w:rsid w:val="00882826"/>
    <w:rsid w:val="00884256"/>
    <w:rsid w:val="0089178A"/>
    <w:rsid w:val="008979CE"/>
    <w:rsid w:val="008A1CEF"/>
    <w:rsid w:val="008A496E"/>
    <w:rsid w:val="008A504E"/>
    <w:rsid w:val="008B1ED2"/>
    <w:rsid w:val="008B27AF"/>
    <w:rsid w:val="008C467C"/>
    <w:rsid w:val="008C74A9"/>
    <w:rsid w:val="008D13A9"/>
    <w:rsid w:val="008D2919"/>
    <w:rsid w:val="008D4144"/>
    <w:rsid w:val="008D5D1C"/>
    <w:rsid w:val="008D78DA"/>
    <w:rsid w:val="008E1737"/>
    <w:rsid w:val="008E3775"/>
    <w:rsid w:val="008E7408"/>
    <w:rsid w:val="008E7AC6"/>
    <w:rsid w:val="008F73EC"/>
    <w:rsid w:val="00901413"/>
    <w:rsid w:val="0090445A"/>
    <w:rsid w:val="00920EAF"/>
    <w:rsid w:val="0092281E"/>
    <w:rsid w:val="00927DA4"/>
    <w:rsid w:val="00932835"/>
    <w:rsid w:val="00932C3D"/>
    <w:rsid w:val="009338F4"/>
    <w:rsid w:val="0093464B"/>
    <w:rsid w:val="009444C8"/>
    <w:rsid w:val="009514D9"/>
    <w:rsid w:val="009542AF"/>
    <w:rsid w:val="00954FBE"/>
    <w:rsid w:val="009563A9"/>
    <w:rsid w:val="0095754C"/>
    <w:rsid w:val="00960178"/>
    <w:rsid w:val="00960F31"/>
    <w:rsid w:val="009667F3"/>
    <w:rsid w:val="00972F8F"/>
    <w:rsid w:val="00974EDA"/>
    <w:rsid w:val="009808B4"/>
    <w:rsid w:val="0098186B"/>
    <w:rsid w:val="00982096"/>
    <w:rsid w:val="00992B56"/>
    <w:rsid w:val="00995A10"/>
    <w:rsid w:val="00997916"/>
    <w:rsid w:val="009A0151"/>
    <w:rsid w:val="009A4AD7"/>
    <w:rsid w:val="009B09A5"/>
    <w:rsid w:val="009B1523"/>
    <w:rsid w:val="009B387E"/>
    <w:rsid w:val="009B5117"/>
    <w:rsid w:val="009B5121"/>
    <w:rsid w:val="009B6967"/>
    <w:rsid w:val="009C1535"/>
    <w:rsid w:val="009C1DC9"/>
    <w:rsid w:val="009C7687"/>
    <w:rsid w:val="009D1BF6"/>
    <w:rsid w:val="009D49FC"/>
    <w:rsid w:val="009D67C7"/>
    <w:rsid w:val="009E4484"/>
    <w:rsid w:val="009E4806"/>
    <w:rsid w:val="009E6A00"/>
    <w:rsid w:val="009E7F06"/>
    <w:rsid w:val="009F0BAE"/>
    <w:rsid w:val="009F17BF"/>
    <w:rsid w:val="009F59EE"/>
    <w:rsid w:val="009F6A4F"/>
    <w:rsid w:val="009F6D60"/>
    <w:rsid w:val="00A07FFD"/>
    <w:rsid w:val="00A102C5"/>
    <w:rsid w:val="00A14B65"/>
    <w:rsid w:val="00A249BE"/>
    <w:rsid w:val="00A24E77"/>
    <w:rsid w:val="00A25224"/>
    <w:rsid w:val="00A26ADE"/>
    <w:rsid w:val="00A309E1"/>
    <w:rsid w:val="00A34AB7"/>
    <w:rsid w:val="00A358C2"/>
    <w:rsid w:val="00A3739D"/>
    <w:rsid w:val="00A37776"/>
    <w:rsid w:val="00A44C30"/>
    <w:rsid w:val="00A450C8"/>
    <w:rsid w:val="00A4519E"/>
    <w:rsid w:val="00A4553C"/>
    <w:rsid w:val="00A45FCE"/>
    <w:rsid w:val="00A54395"/>
    <w:rsid w:val="00A54E57"/>
    <w:rsid w:val="00A57C86"/>
    <w:rsid w:val="00A57F3D"/>
    <w:rsid w:val="00A6337D"/>
    <w:rsid w:val="00A641EE"/>
    <w:rsid w:val="00A64639"/>
    <w:rsid w:val="00A74BDC"/>
    <w:rsid w:val="00A74D86"/>
    <w:rsid w:val="00A81747"/>
    <w:rsid w:val="00A8222C"/>
    <w:rsid w:val="00A82830"/>
    <w:rsid w:val="00A82BDE"/>
    <w:rsid w:val="00A83D96"/>
    <w:rsid w:val="00A84DDB"/>
    <w:rsid w:val="00A85F7C"/>
    <w:rsid w:val="00A86C84"/>
    <w:rsid w:val="00A912EA"/>
    <w:rsid w:val="00A9318D"/>
    <w:rsid w:val="00A95C9B"/>
    <w:rsid w:val="00AA169C"/>
    <w:rsid w:val="00AA6D89"/>
    <w:rsid w:val="00AB0B76"/>
    <w:rsid w:val="00AB612A"/>
    <w:rsid w:val="00AB74AA"/>
    <w:rsid w:val="00AC0D9F"/>
    <w:rsid w:val="00AC1AA5"/>
    <w:rsid w:val="00AC2BBC"/>
    <w:rsid w:val="00AC72B6"/>
    <w:rsid w:val="00AD31D2"/>
    <w:rsid w:val="00AD3805"/>
    <w:rsid w:val="00AD518A"/>
    <w:rsid w:val="00AE435B"/>
    <w:rsid w:val="00AE7140"/>
    <w:rsid w:val="00AF1FB5"/>
    <w:rsid w:val="00AF269B"/>
    <w:rsid w:val="00B001AA"/>
    <w:rsid w:val="00B001CF"/>
    <w:rsid w:val="00B038D1"/>
    <w:rsid w:val="00B05157"/>
    <w:rsid w:val="00B05922"/>
    <w:rsid w:val="00B061BF"/>
    <w:rsid w:val="00B10940"/>
    <w:rsid w:val="00B11179"/>
    <w:rsid w:val="00B16912"/>
    <w:rsid w:val="00B16FB6"/>
    <w:rsid w:val="00B27E1E"/>
    <w:rsid w:val="00B32492"/>
    <w:rsid w:val="00B32EFC"/>
    <w:rsid w:val="00B340B8"/>
    <w:rsid w:val="00B35947"/>
    <w:rsid w:val="00B3627A"/>
    <w:rsid w:val="00B40D82"/>
    <w:rsid w:val="00B444B6"/>
    <w:rsid w:val="00B52394"/>
    <w:rsid w:val="00B5359A"/>
    <w:rsid w:val="00B54BCA"/>
    <w:rsid w:val="00B61ED2"/>
    <w:rsid w:val="00B61EE7"/>
    <w:rsid w:val="00B66569"/>
    <w:rsid w:val="00B66BE2"/>
    <w:rsid w:val="00B6720B"/>
    <w:rsid w:val="00B677F1"/>
    <w:rsid w:val="00B7308A"/>
    <w:rsid w:val="00B75964"/>
    <w:rsid w:val="00B80BE9"/>
    <w:rsid w:val="00B853F3"/>
    <w:rsid w:val="00B87CC5"/>
    <w:rsid w:val="00B90852"/>
    <w:rsid w:val="00B90AFC"/>
    <w:rsid w:val="00B9492D"/>
    <w:rsid w:val="00B97EAF"/>
    <w:rsid w:val="00BA0336"/>
    <w:rsid w:val="00BA0456"/>
    <w:rsid w:val="00BA2C69"/>
    <w:rsid w:val="00BA494D"/>
    <w:rsid w:val="00BA4A13"/>
    <w:rsid w:val="00BA4E06"/>
    <w:rsid w:val="00BB1D65"/>
    <w:rsid w:val="00BB3AD0"/>
    <w:rsid w:val="00BB5EA2"/>
    <w:rsid w:val="00BC5022"/>
    <w:rsid w:val="00BD037F"/>
    <w:rsid w:val="00BD0751"/>
    <w:rsid w:val="00BD5D40"/>
    <w:rsid w:val="00BE0EC2"/>
    <w:rsid w:val="00BE17F4"/>
    <w:rsid w:val="00BE4E1C"/>
    <w:rsid w:val="00BE605D"/>
    <w:rsid w:val="00BF7BE2"/>
    <w:rsid w:val="00C032DF"/>
    <w:rsid w:val="00C06995"/>
    <w:rsid w:val="00C149F4"/>
    <w:rsid w:val="00C17A87"/>
    <w:rsid w:val="00C205D5"/>
    <w:rsid w:val="00C22BD0"/>
    <w:rsid w:val="00C2632B"/>
    <w:rsid w:val="00C349FB"/>
    <w:rsid w:val="00C379FF"/>
    <w:rsid w:val="00C40A0E"/>
    <w:rsid w:val="00C4333C"/>
    <w:rsid w:val="00C43965"/>
    <w:rsid w:val="00C6235A"/>
    <w:rsid w:val="00C651AD"/>
    <w:rsid w:val="00C66CC2"/>
    <w:rsid w:val="00C75B9C"/>
    <w:rsid w:val="00C75EE8"/>
    <w:rsid w:val="00C765AF"/>
    <w:rsid w:val="00C76CEF"/>
    <w:rsid w:val="00C80F2F"/>
    <w:rsid w:val="00C869F1"/>
    <w:rsid w:val="00C86B7A"/>
    <w:rsid w:val="00C87959"/>
    <w:rsid w:val="00C9227E"/>
    <w:rsid w:val="00C922AA"/>
    <w:rsid w:val="00CA23CF"/>
    <w:rsid w:val="00CA296B"/>
    <w:rsid w:val="00CA2F1A"/>
    <w:rsid w:val="00CA336B"/>
    <w:rsid w:val="00CA4902"/>
    <w:rsid w:val="00CA6EF8"/>
    <w:rsid w:val="00CB1406"/>
    <w:rsid w:val="00CB43D4"/>
    <w:rsid w:val="00CB7474"/>
    <w:rsid w:val="00CC3CFD"/>
    <w:rsid w:val="00CC4059"/>
    <w:rsid w:val="00CD0944"/>
    <w:rsid w:val="00CD132A"/>
    <w:rsid w:val="00CD75BC"/>
    <w:rsid w:val="00CE4EEF"/>
    <w:rsid w:val="00CE61E3"/>
    <w:rsid w:val="00CE7BCD"/>
    <w:rsid w:val="00CF1727"/>
    <w:rsid w:val="00CF1BB2"/>
    <w:rsid w:val="00CF3118"/>
    <w:rsid w:val="00CF72A2"/>
    <w:rsid w:val="00CF74E9"/>
    <w:rsid w:val="00D00B64"/>
    <w:rsid w:val="00D0140B"/>
    <w:rsid w:val="00D02A08"/>
    <w:rsid w:val="00D02FB5"/>
    <w:rsid w:val="00D03320"/>
    <w:rsid w:val="00D205F5"/>
    <w:rsid w:val="00D31355"/>
    <w:rsid w:val="00D56534"/>
    <w:rsid w:val="00D565B4"/>
    <w:rsid w:val="00D6003C"/>
    <w:rsid w:val="00D61A57"/>
    <w:rsid w:val="00D630B6"/>
    <w:rsid w:val="00D6482D"/>
    <w:rsid w:val="00D72034"/>
    <w:rsid w:val="00D736AD"/>
    <w:rsid w:val="00D74E34"/>
    <w:rsid w:val="00D8199D"/>
    <w:rsid w:val="00D81DDC"/>
    <w:rsid w:val="00D825A8"/>
    <w:rsid w:val="00D82B68"/>
    <w:rsid w:val="00D83568"/>
    <w:rsid w:val="00D84599"/>
    <w:rsid w:val="00D8760B"/>
    <w:rsid w:val="00D901AD"/>
    <w:rsid w:val="00D93D68"/>
    <w:rsid w:val="00DA4CC6"/>
    <w:rsid w:val="00DB361B"/>
    <w:rsid w:val="00DB6C20"/>
    <w:rsid w:val="00DB738A"/>
    <w:rsid w:val="00DC2B34"/>
    <w:rsid w:val="00DC403A"/>
    <w:rsid w:val="00DC7C02"/>
    <w:rsid w:val="00DC7DD8"/>
    <w:rsid w:val="00DD2640"/>
    <w:rsid w:val="00DD738D"/>
    <w:rsid w:val="00DE6530"/>
    <w:rsid w:val="00DE7C63"/>
    <w:rsid w:val="00DF0908"/>
    <w:rsid w:val="00DF1FDB"/>
    <w:rsid w:val="00DF4E2E"/>
    <w:rsid w:val="00E0668C"/>
    <w:rsid w:val="00E11100"/>
    <w:rsid w:val="00E142CF"/>
    <w:rsid w:val="00E14D19"/>
    <w:rsid w:val="00E17DF7"/>
    <w:rsid w:val="00E224D6"/>
    <w:rsid w:val="00E24E18"/>
    <w:rsid w:val="00E2795F"/>
    <w:rsid w:val="00E3416A"/>
    <w:rsid w:val="00E40F7E"/>
    <w:rsid w:val="00E433CB"/>
    <w:rsid w:val="00E43802"/>
    <w:rsid w:val="00E446ED"/>
    <w:rsid w:val="00E44BC8"/>
    <w:rsid w:val="00E44EDA"/>
    <w:rsid w:val="00E46A5F"/>
    <w:rsid w:val="00E472F3"/>
    <w:rsid w:val="00E5057F"/>
    <w:rsid w:val="00E54284"/>
    <w:rsid w:val="00E55E2C"/>
    <w:rsid w:val="00E62405"/>
    <w:rsid w:val="00E63744"/>
    <w:rsid w:val="00E860EC"/>
    <w:rsid w:val="00E865F6"/>
    <w:rsid w:val="00E94ADE"/>
    <w:rsid w:val="00E97C11"/>
    <w:rsid w:val="00EA2EDC"/>
    <w:rsid w:val="00EA452F"/>
    <w:rsid w:val="00EA6113"/>
    <w:rsid w:val="00EA752C"/>
    <w:rsid w:val="00EB049B"/>
    <w:rsid w:val="00EB0DAB"/>
    <w:rsid w:val="00EB3F2C"/>
    <w:rsid w:val="00EC11F4"/>
    <w:rsid w:val="00EC46E8"/>
    <w:rsid w:val="00EC5906"/>
    <w:rsid w:val="00EC7A5A"/>
    <w:rsid w:val="00ED3093"/>
    <w:rsid w:val="00EE26FC"/>
    <w:rsid w:val="00EE4A55"/>
    <w:rsid w:val="00EE4AE9"/>
    <w:rsid w:val="00EE6A63"/>
    <w:rsid w:val="00EF0A88"/>
    <w:rsid w:val="00EF4EA9"/>
    <w:rsid w:val="00EF6D13"/>
    <w:rsid w:val="00F00CB4"/>
    <w:rsid w:val="00F03106"/>
    <w:rsid w:val="00F105FF"/>
    <w:rsid w:val="00F11795"/>
    <w:rsid w:val="00F23F42"/>
    <w:rsid w:val="00F247A2"/>
    <w:rsid w:val="00F31AD5"/>
    <w:rsid w:val="00F31EDE"/>
    <w:rsid w:val="00F3453C"/>
    <w:rsid w:val="00F34E55"/>
    <w:rsid w:val="00F37B3D"/>
    <w:rsid w:val="00F42B4F"/>
    <w:rsid w:val="00F46549"/>
    <w:rsid w:val="00F65E6E"/>
    <w:rsid w:val="00F875A1"/>
    <w:rsid w:val="00F87906"/>
    <w:rsid w:val="00F901A4"/>
    <w:rsid w:val="00F9698E"/>
    <w:rsid w:val="00F97446"/>
    <w:rsid w:val="00FA1D75"/>
    <w:rsid w:val="00FA2A14"/>
    <w:rsid w:val="00FB5A0C"/>
    <w:rsid w:val="00FC3E37"/>
    <w:rsid w:val="00FC5E6B"/>
    <w:rsid w:val="00FD7A30"/>
    <w:rsid w:val="00FF0782"/>
    <w:rsid w:val="00FF0F60"/>
    <w:rsid w:val="00FF1F94"/>
    <w:rsid w:val="00FF6F21"/>
    <w:rsid w:val="01343837"/>
    <w:rsid w:val="013F0CAF"/>
    <w:rsid w:val="01947FC3"/>
    <w:rsid w:val="01D27EC4"/>
    <w:rsid w:val="01E117B9"/>
    <w:rsid w:val="01F00AB6"/>
    <w:rsid w:val="0207272A"/>
    <w:rsid w:val="020B14CD"/>
    <w:rsid w:val="028127D2"/>
    <w:rsid w:val="02F64548"/>
    <w:rsid w:val="03011A10"/>
    <w:rsid w:val="031E07C6"/>
    <w:rsid w:val="034F4185"/>
    <w:rsid w:val="03696905"/>
    <w:rsid w:val="04025AE2"/>
    <w:rsid w:val="04027EE3"/>
    <w:rsid w:val="04554499"/>
    <w:rsid w:val="04655141"/>
    <w:rsid w:val="047B53B0"/>
    <w:rsid w:val="04F55261"/>
    <w:rsid w:val="0506561A"/>
    <w:rsid w:val="055B3A3D"/>
    <w:rsid w:val="057524EE"/>
    <w:rsid w:val="057D2C4A"/>
    <w:rsid w:val="05C877CC"/>
    <w:rsid w:val="05D4006B"/>
    <w:rsid w:val="067E6BD3"/>
    <w:rsid w:val="06F82052"/>
    <w:rsid w:val="06FF4F50"/>
    <w:rsid w:val="07633062"/>
    <w:rsid w:val="07E3097C"/>
    <w:rsid w:val="081D5432"/>
    <w:rsid w:val="083F5782"/>
    <w:rsid w:val="085E00D8"/>
    <w:rsid w:val="08A066FD"/>
    <w:rsid w:val="08A16DD8"/>
    <w:rsid w:val="08C65D1E"/>
    <w:rsid w:val="08CC3D7A"/>
    <w:rsid w:val="08FD48FA"/>
    <w:rsid w:val="093A1835"/>
    <w:rsid w:val="095D74F7"/>
    <w:rsid w:val="0984242B"/>
    <w:rsid w:val="09A020EF"/>
    <w:rsid w:val="09A54938"/>
    <w:rsid w:val="0A046B83"/>
    <w:rsid w:val="0A141BC7"/>
    <w:rsid w:val="0A856592"/>
    <w:rsid w:val="0A9E6597"/>
    <w:rsid w:val="0AE77A1F"/>
    <w:rsid w:val="0B3C37C1"/>
    <w:rsid w:val="0B502CD9"/>
    <w:rsid w:val="0B8728AB"/>
    <w:rsid w:val="0BDF722F"/>
    <w:rsid w:val="0CF40D87"/>
    <w:rsid w:val="0D063813"/>
    <w:rsid w:val="0D540DB5"/>
    <w:rsid w:val="0DFF2AD7"/>
    <w:rsid w:val="0E2475FF"/>
    <w:rsid w:val="0E845D0E"/>
    <w:rsid w:val="0E964359"/>
    <w:rsid w:val="0E974009"/>
    <w:rsid w:val="0EA64AE2"/>
    <w:rsid w:val="0EAA2FF1"/>
    <w:rsid w:val="0F7C6B07"/>
    <w:rsid w:val="0FB95E70"/>
    <w:rsid w:val="0FF148D7"/>
    <w:rsid w:val="10440000"/>
    <w:rsid w:val="11174A76"/>
    <w:rsid w:val="117665C5"/>
    <w:rsid w:val="11A31485"/>
    <w:rsid w:val="11AD56D5"/>
    <w:rsid w:val="1216408C"/>
    <w:rsid w:val="125D56A2"/>
    <w:rsid w:val="128D22C7"/>
    <w:rsid w:val="12B46205"/>
    <w:rsid w:val="12CC5894"/>
    <w:rsid w:val="13123160"/>
    <w:rsid w:val="133800A6"/>
    <w:rsid w:val="137A0B9B"/>
    <w:rsid w:val="13B47D66"/>
    <w:rsid w:val="13C32C71"/>
    <w:rsid w:val="13D03B7D"/>
    <w:rsid w:val="140317CF"/>
    <w:rsid w:val="14535B84"/>
    <w:rsid w:val="15431667"/>
    <w:rsid w:val="154E3F37"/>
    <w:rsid w:val="15860A56"/>
    <w:rsid w:val="15C92902"/>
    <w:rsid w:val="15CB4B8E"/>
    <w:rsid w:val="15CD7F6B"/>
    <w:rsid w:val="15D60BF0"/>
    <w:rsid w:val="161F180C"/>
    <w:rsid w:val="161F18D6"/>
    <w:rsid w:val="163657A1"/>
    <w:rsid w:val="16457622"/>
    <w:rsid w:val="1649310C"/>
    <w:rsid w:val="166C7EE9"/>
    <w:rsid w:val="16854A6A"/>
    <w:rsid w:val="16E24384"/>
    <w:rsid w:val="178F6E4C"/>
    <w:rsid w:val="17C00706"/>
    <w:rsid w:val="17EE003C"/>
    <w:rsid w:val="18FE24B3"/>
    <w:rsid w:val="193E0A8B"/>
    <w:rsid w:val="19553204"/>
    <w:rsid w:val="199E717D"/>
    <w:rsid w:val="19D035CE"/>
    <w:rsid w:val="1A7056EB"/>
    <w:rsid w:val="1A8C3502"/>
    <w:rsid w:val="1ABC1634"/>
    <w:rsid w:val="1AC20350"/>
    <w:rsid w:val="1B9625DE"/>
    <w:rsid w:val="1BE03F4B"/>
    <w:rsid w:val="1C403CE3"/>
    <w:rsid w:val="1CF06B3B"/>
    <w:rsid w:val="1DAC2CE4"/>
    <w:rsid w:val="1DBE37FF"/>
    <w:rsid w:val="1DC76241"/>
    <w:rsid w:val="1E1C0422"/>
    <w:rsid w:val="1E721941"/>
    <w:rsid w:val="1E895C65"/>
    <w:rsid w:val="1EE469DB"/>
    <w:rsid w:val="1F344DC8"/>
    <w:rsid w:val="1FC46C00"/>
    <w:rsid w:val="1FEA4FFD"/>
    <w:rsid w:val="20D20016"/>
    <w:rsid w:val="21147137"/>
    <w:rsid w:val="21184DB4"/>
    <w:rsid w:val="211B14CF"/>
    <w:rsid w:val="21240FFB"/>
    <w:rsid w:val="21353652"/>
    <w:rsid w:val="21E573F5"/>
    <w:rsid w:val="21F015D4"/>
    <w:rsid w:val="226955D4"/>
    <w:rsid w:val="22697DE6"/>
    <w:rsid w:val="2270477B"/>
    <w:rsid w:val="22E357E2"/>
    <w:rsid w:val="234A0CD7"/>
    <w:rsid w:val="23D57518"/>
    <w:rsid w:val="24256156"/>
    <w:rsid w:val="242E1792"/>
    <w:rsid w:val="24665C72"/>
    <w:rsid w:val="249D1040"/>
    <w:rsid w:val="24B22244"/>
    <w:rsid w:val="24E95DD0"/>
    <w:rsid w:val="25061BD4"/>
    <w:rsid w:val="25805531"/>
    <w:rsid w:val="25A22C56"/>
    <w:rsid w:val="26040640"/>
    <w:rsid w:val="26297D33"/>
    <w:rsid w:val="263B4D60"/>
    <w:rsid w:val="264E7927"/>
    <w:rsid w:val="26531ED4"/>
    <w:rsid w:val="26687C5C"/>
    <w:rsid w:val="26A84E7A"/>
    <w:rsid w:val="27886504"/>
    <w:rsid w:val="280D47EC"/>
    <w:rsid w:val="282375E5"/>
    <w:rsid w:val="282D3300"/>
    <w:rsid w:val="285B3E57"/>
    <w:rsid w:val="28A43F3D"/>
    <w:rsid w:val="292C4E37"/>
    <w:rsid w:val="29370C4D"/>
    <w:rsid w:val="2947531F"/>
    <w:rsid w:val="294B1A5E"/>
    <w:rsid w:val="29C40102"/>
    <w:rsid w:val="29EE3D5D"/>
    <w:rsid w:val="2A9F5A13"/>
    <w:rsid w:val="2ABB5621"/>
    <w:rsid w:val="2AE91A91"/>
    <w:rsid w:val="2B261FDD"/>
    <w:rsid w:val="2B2F226B"/>
    <w:rsid w:val="2BB00BE2"/>
    <w:rsid w:val="2C164832"/>
    <w:rsid w:val="2C1A068D"/>
    <w:rsid w:val="2C6460D4"/>
    <w:rsid w:val="2C6A469C"/>
    <w:rsid w:val="2CB84136"/>
    <w:rsid w:val="2CEF299A"/>
    <w:rsid w:val="2D302B7D"/>
    <w:rsid w:val="2D9078D9"/>
    <w:rsid w:val="2DE235AC"/>
    <w:rsid w:val="2E2E0787"/>
    <w:rsid w:val="2E6C16D6"/>
    <w:rsid w:val="2E6E03C4"/>
    <w:rsid w:val="2E911BEA"/>
    <w:rsid w:val="2ED82C7D"/>
    <w:rsid w:val="2F517EEE"/>
    <w:rsid w:val="2F5B747E"/>
    <w:rsid w:val="2F762B07"/>
    <w:rsid w:val="30217178"/>
    <w:rsid w:val="30455CEF"/>
    <w:rsid w:val="30980F47"/>
    <w:rsid w:val="310437B2"/>
    <w:rsid w:val="313A307D"/>
    <w:rsid w:val="3172715A"/>
    <w:rsid w:val="324A49D1"/>
    <w:rsid w:val="32726213"/>
    <w:rsid w:val="32757E7F"/>
    <w:rsid w:val="32DF4EA1"/>
    <w:rsid w:val="33AE7368"/>
    <w:rsid w:val="345A63BB"/>
    <w:rsid w:val="347D2FD6"/>
    <w:rsid w:val="349F467B"/>
    <w:rsid w:val="34AD46B0"/>
    <w:rsid w:val="351671EE"/>
    <w:rsid w:val="35AB7FB9"/>
    <w:rsid w:val="3652430D"/>
    <w:rsid w:val="366476F3"/>
    <w:rsid w:val="379A0BAB"/>
    <w:rsid w:val="382D2F72"/>
    <w:rsid w:val="38865EEB"/>
    <w:rsid w:val="392D3B3E"/>
    <w:rsid w:val="39CD234B"/>
    <w:rsid w:val="3A0C2671"/>
    <w:rsid w:val="3A6317CC"/>
    <w:rsid w:val="3B2330CF"/>
    <w:rsid w:val="3B342A07"/>
    <w:rsid w:val="3B605268"/>
    <w:rsid w:val="3B6542D7"/>
    <w:rsid w:val="3B974E55"/>
    <w:rsid w:val="3B9D1CE1"/>
    <w:rsid w:val="3BD5527A"/>
    <w:rsid w:val="3BE6022F"/>
    <w:rsid w:val="3C404B82"/>
    <w:rsid w:val="3D1C3E3B"/>
    <w:rsid w:val="3D6528FF"/>
    <w:rsid w:val="3D9117CF"/>
    <w:rsid w:val="3DE55683"/>
    <w:rsid w:val="3DE926CA"/>
    <w:rsid w:val="3E30369B"/>
    <w:rsid w:val="3E6637A9"/>
    <w:rsid w:val="3E741EFD"/>
    <w:rsid w:val="3E9A0B1E"/>
    <w:rsid w:val="3EED2975"/>
    <w:rsid w:val="3F657DBF"/>
    <w:rsid w:val="3FCA548A"/>
    <w:rsid w:val="3FDF2B71"/>
    <w:rsid w:val="40256B05"/>
    <w:rsid w:val="403E5436"/>
    <w:rsid w:val="40857991"/>
    <w:rsid w:val="408707A9"/>
    <w:rsid w:val="410A568D"/>
    <w:rsid w:val="410E166C"/>
    <w:rsid w:val="41396CD7"/>
    <w:rsid w:val="41B03718"/>
    <w:rsid w:val="41D504DC"/>
    <w:rsid w:val="41D5755A"/>
    <w:rsid w:val="427B7B07"/>
    <w:rsid w:val="428B6380"/>
    <w:rsid w:val="42A038C8"/>
    <w:rsid w:val="42A05648"/>
    <w:rsid w:val="42D340DE"/>
    <w:rsid w:val="43084129"/>
    <w:rsid w:val="43205D7F"/>
    <w:rsid w:val="432A3CD2"/>
    <w:rsid w:val="4363703B"/>
    <w:rsid w:val="43C87DD5"/>
    <w:rsid w:val="441A4CBC"/>
    <w:rsid w:val="447645FB"/>
    <w:rsid w:val="44BA10F1"/>
    <w:rsid w:val="44CD5C33"/>
    <w:rsid w:val="44D10FE2"/>
    <w:rsid w:val="455C0125"/>
    <w:rsid w:val="456B1626"/>
    <w:rsid w:val="45AB574C"/>
    <w:rsid w:val="45C42CE3"/>
    <w:rsid w:val="464227B9"/>
    <w:rsid w:val="46473C1B"/>
    <w:rsid w:val="46A25003"/>
    <w:rsid w:val="46AB4B1D"/>
    <w:rsid w:val="46B459C8"/>
    <w:rsid w:val="471F0558"/>
    <w:rsid w:val="47333503"/>
    <w:rsid w:val="475E0BEF"/>
    <w:rsid w:val="47825722"/>
    <w:rsid w:val="47AB219B"/>
    <w:rsid w:val="47BE37E1"/>
    <w:rsid w:val="4803096C"/>
    <w:rsid w:val="48146AB4"/>
    <w:rsid w:val="48490571"/>
    <w:rsid w:val="48585583"/>
    <w:rsid w:val="48F17772"/>
    <w:rsid w:val="493C384C"/>
    <w:rsid w:val="49687979"/>
    <w:rsid w:val="49E2661E"/>
    <w:rsid w:val="4A1A1218"/>
    <w:rsid w:val="4A372611"/>
    <w:rsid w:val="4A8D3414"/>
    <w:rsid w:val="4ADC3708"/>
    <w:rsid w:val="4AED21F8"/>
    <w:rsid w:val="4B074543"/>
    <w:rsid w:val="4B5E1C84"/>
    <w:rsid w:val="4B851713"/>
    <w:rsid w:val="4B8722B7"/>
    <w:rsid w:val="4B971EF3"/>
    <w:rsid w:val="4BB50933"/>
    <w:rsid w:val="4C494C45"/>
    <w:rsid w:val="4C8D7009"/>
    <w:rsid w:val="4CCA50DD"/>
    <w:rsid w:val="4D1A69DD"/>
    <w:rsid w:val="4D3C2B29"/>
    <w:rsid w:val="4D4C44E7"/>
    <w:rsid w:val="4D9117CA"/>
    <w:rsid w:val="4DB93822"/>
    <w:rsid w:val="4DF0395C"/>
    <w:rsid w:val="4DF84694"/>
    <w:rsid w:val="4E0A7BCD"/>
    <w:rsid w:val="4E98632C"/>
    <w:rsid w:val="4E9F15A9"/>
    <w:rsid w:val="4EAD5060"/>
    <w:rsid w:val="4F0726A8"/>
    <w:rsid w:val="4F9E40AA"/>
    <w:rsid w:val="50231D07"/>
    <w:rsid w:val="506E768D"/>
    <w:rsid w:val="507F1338"/>
    <w:rsid w:val="508F1446"/>
    <w:rsid w:val="509C3DCD"/>
    <w:rsid w:val="50B16A07"/>
    <w:rsid w:val="50FB5334"/>
    <w:rsid w:val="512C2141"/>
    <w:rsid w:val="51F2337C"/>
    <w:rsid w:val="528A2F2D"/>
    <w:rsid w:val="52BE6D6C"/>
    <w:rsid w:val="52DA2057"/>
    <w:rsid w:val="531F5E23"/>
    <w:rsid w:val="532508DA"/>
    <w:rsid w:val="537B6C11"/>
    <w:rsid w:val="53A92559"/>
    <w:rsid w:val="541F0A38"/>
    <w:rsid w:val="54204EBC"/>
    <w:rsid w:val="542851EC"/>
    <w:rsid w:val="54D27A78"/>
    <w:rsid w:val="54F15A6E"/>
    <w:rsid w:val="550226B6"/>
    <w:rsid w:val="55F371F9"/>
    <w:rsid w:val="56155365"/>
    <w:rsid w:val="56267959"/>
    <w:rsid w:val="5651744E"/>
    <w:rsid w:val="56C049FC"/>
    <w:rsid w:val="56D1171C"/>
    <w:rsid w:val="56EF384A"/>
    <w:rsid w:val="578B4ACC"/>
    <w:rsid w:val="57D6538F"/>
    <w:rsid w:val="57EB29ED"/>
    <w:rsid w:val="57F331B1"/>
    <w:rsid w:val="582F3B2C"/>
    <w:rsid w:val="58C87345"/>
    <w:rsid w:val="58F229A2"/>
    <w:rsid w:val="597635C6"/>
    <w:rsid w:val="59CE4750"/>
    <w:rsid w:val="5A5C2FF8"/>
    <w:rsid w:val="5A6B04E4"/>
    <w:rsid w:val="5A9C50FA"/>
    <w:rsid w:val="5ACC2C79"/>
    <w:rsid w:val="5ADA4644"/>
    <w:rsid w:val="5B072717"/>
    <w:rsid w:val="5B7343E4"/>
    <w:rsid w:val="5B7F0A93"/>
    <w:rsid w:val="5BEE3995"/>
    <w:rsid w:val="5C4727C3"/>
    <w:rsid w:val="5C8F4FF2"/>
    <w:rsid w:val="5CD076FE"/>
    <w:rsid w:val="5CF66419"/>
    <w:rsid w:val="5D507A42"/>
    <w:rsid w:val="5D9923FF"/>
    <w:rsid w:val="5E0F3FE5"/>
    <w:rsid w:val="5E354578"/>
    <w:rsid w:val="5EA74DE4"/>
    <w:rsid w:val="5EC86D7F"/>
    <w:rsid w:val="5EE97014"/>
    <w:rsid w:val="5EFA24FB"/>
    <w:rsid w:val="5F165CC6"/>
    <w:rsid w:val="5F4B3757"/>
    <w:rsid w:val="5F7807CB"/>
    <w:rsid w:val="5FDF500E"/>
    <w:rsid w:val="5FF87025"/>
    <w:rsid w:val="60065B06"/>
    <w:rsid w:val="60C075D0"/>
    <w:rsid w:val="60D70696"/>
    <w:rsid w:val="60ED7877"/>
    <w:rsid w:val="610A1B60"/>
    <w:rsid w:val="61262229"/>
    <w:rsid w:val="617D7F45"/>
    <w:rsid w:val="618E4751"/>
    <w:rsid w:val="621D75D7"/>
    <w:rsid w:val="622C3805"/>
    <w:rsid w:val="62962D71"/>
    <w:rsid w:val="62D3004D"/>
    <w:rsid w:val="62D509B6"/>
    <w:rsid w:val="62DC0CDE"/>
    <w:rsid w:val="6334724C"/>
    <w:rsid w:val="63DA2433"/>
    <w:rsid w:val="64021E38"/>
    <w:rsid w:val="645B110F"/>
    <w:rsid w:val="648C1355"/>
    <w:rsid w:val="64941EA5"/>
    <w:rsid w:val="649A3DAE"/>
    <w:rsid w:val="65026A55"/>
    <w:rsid w:val="653A4310"/>
    <w:rsid w:val="658018F6"/>
    <w:rsid w:val="6584688C"/>
    <w:rsid w:val="65E049B8"/>
    <w:rsid w:val="660A7801"/>
    <w:rsid w:val="661444AB"/>
    <w:rsid w:val="661956B5"/>
    <w:rsid w:val="66330ED0"/>
    <w:rsid w:val="66686AAB"/>
    <w:rsid w:val="667C3879"/>
    <w:rsid w:val="669C78C8"/>
    <w:rsid w:val="67581514"/>
    <w:rsid w:val="6778711F"/>
    <w:rsid w:val="67F27407"/>
    <w:rsid w:val="68153468"/>
    <w:rsid w:val="68285284"/>
    <w:rsid w:val="68301B59"/>
    <w:rsid w:val="685826FB"/>
    <w:rsid w:val="688E0C16"/>
    <w:rsid w:val="69C02C7B"/>
    <w:rsid w:val="69CE3320"/>
    <w:rsid w:val="69CF04D1"/>
    <w:rsid w:val="69FB3A54"/>
    <w:rsid w:val="6A065078"/>
    <w:rsid w:val="6A1A6973"/>
    <w:rsid w:val="6AB06BCF"/>
    <w:rsid w:val="6AC625B2"/>
    <w:rsid w:val="6B1F148D"/>
    <w:rsid w:val="6B25614C"/>
    <w:rsid w:val="6BE06F08"/>
    <w:rsid w:val="6C506A8D"/>
    <w:rsid w:val="6C762AD9"/>
    <w:rsid w:val="6CA15372"/>
    <w:rsid w:val="6CD6199A"/>
    <w:rsid w:val="6D6B5151"/>
    <w:rsid w:val="6DB05798"/>
    <w:rsid w:val="6DC50903"/>
    <w:rsid w:val="6E9F2EE5"/>
    <w:rsid w:val="6F262639"/>
    <w:rsid w:val="6F307E18"/>
    <w:rsid w:val="6F5D1460"/>
    <w:rsid w:val="701D3944"/>
    <w:rsid w:val="702627A1"/>
    <w:rsid w:val="702708DB"/>
    <w:rsid w:val="70463EF4"/>
    <w:rsid w:val="705D06FD"/>
    <w:rsid w:val="708504C8"/>
    <w:rsid w:val="70BD10C1"/>
    <w:rsid w:val="70FD0E5A"/>
    <w:rsid w:val="710A06AF"/>
    <w:rsid w:val="712B2126"/>
    <w:rsid w:val="71B1754D"/>
    <w:rsid w:val="71B73648"/>
    <w:rsid w:val="71CA4AF4"/>
    <w:rsid w:val="71DA6665"/>
    <w:rsid w:val="71ED0615"/>
    <w:rsid w:val="71ED4072"/>
    <w:rsid w:val="71EE243C"/>
    <w:rsid w:val="71FA06C1"/>
    <w:rsid w:val="72047F80"/>
    <w:rsid w:val="72173EC5"/>
    <w:rsid w:val="7232263B"/>
    <w:rsid w:val="727A71A6"/>
    <w:rsid w:val="729533AB"/>
    <w:rsid w:val="72BB043C"/>
    <w:rsid w:val="72C776A7"/>
    <w:rsid w:val="73202B37"/>
    <w:rsid w:val="737175E6"/>
    <w:rsid w:val="73BB403B"/>
    <w:rsid w:val="73C472B9"/>
    <w:rsid w:val="74745FA7"/>
    <w:rsid w:val="74C60209"/>
    <w:rsid w:val="74EE0CE1"/>
    <w:rsid w:val="75104721"/>
    <w:rsid w:val="751C3537"/>
    <w:rsid w:val="751F1F98"/>
    <w:rsid w:val="752C38F7"/>
    <w:rsid w:val="756073B9"/>
    <w:rsid w:val="75641032"/>
    <w:rsid w:val="75CA6A26"/>
    <w:rsid w:val="75E1748B"/>
    <w:rsid w:val="770135AD"/>
    <w:rsid w:val="770604C0"/>
    <w:rsid w:val="77370095"/>
    <w:rsid w:val="775F1688"/>
    <w:rsid w:val="776A0769"/>
    <w:rsid w:val="776C3D78"/>
    <w:rsid w:val="784624F0"/>
    <w:rsid w:val="787D1358"/>
    <w:rsid w:val="7883350C"/>
    <w:rsid w:val="788D63A7"/>
    <w:rsid w:val="78C45DA6"/>
    <w:rsid w:val="78F03601"/>
    <w:rsid w:val="7916600B"/>
    <w:rsid w:val="791717F6"/>
    <w:rsid w:val="79661AD2"/>
    <w:rsid w:val="79AC5526"/>
    <w:rsid w:val="79E2303F"/>
    <w:rsid w:val="7A1E5998"/>
    <w:rsid w:val="7A2777F4"/>
    <w:rsid w:val="7A406A6E"/>
    <w:rsid w:val="7A443120"/>
    <w:rsid w:val="7B037BB0"/>
    <w:rsid w:val="7B0A69B2"/>
    <w:rsid w:val="7B61183B"/>
    <w:rsid w:val="7B8B3E25"/>
    <w:rsid w:val="7BBB012F"/>
    <w:rsid w:val="7BF35F17"/>
    <w:rsid w:val="7CD902EB"/>
    <w:rsid w:val="7D5F3A85"/>
    <w:rsid w:val="7E524C2F"/>
    <w:rsid w:val="7E872AE5"/>
    <w:rsid w:val="7EFC5797"/>
    <w:rsid w:val="7F3513EA"/>
    <w:rsid w:val="7F446E7D"/>
    <w:rsid w:val="7FF945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rPr>
      <w:rFonts w:ascii="Times New Roman" w:hAnsi="Times New Roman" w:eastAsia="宋体" w:cs="Times New Roman"/>
    </w:rPr>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link w:val="27"/>
    <w:qFormat/>
    <w:uiPriority w:val="0"/>
    <w:pPr>
      <w:widowControl/>
      <w:shd w:val="clear" w:color="auto" w:fill="FFFFFF"/>
      <w:spacing w:after="1200" w:line="240" w:lineRule="atLeast"/>
      <w:jc w:val="left"/>
    </w:pPr>
    <w:rPr>
      <w:rFonts w:ascii="MingLiU" w:hAnsi="Times New Roman" w:eastAsia="MingLiU" w:cs="Times New Roman"/>
      <w:kern w:val="0"/>
      <w:sz w:val="28"/>
      <w:szCs w:val="28"/>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customStyle="1" w:styleId="8">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标题 #2 (2)"/>
    <w:basedOn w:val="1"/>
    <w:link w:val="24"/>
    <w:qFormat/>
    <w:uiPriority w:val="0"/>
    <w:pPr>
      <w:widowControl/>
      <w:shd w:val="clear" w:color="auto" w:fill="FFFFFF"/>
      <w:spacing w:before="480" w:after="720" w:line="240" w:lineRule="atLeast"/>
      <w:jc w:val="center"/>
      <w:outlineLvl w:val="1"/>
    </w:pPr>
    <w:rPr>
      <w:rFonts w:ascii="MingLiU" w:hAnsi="Times New Roman" w:eastAsia="MingLiU" w:cs="Times New Roman"/>
      <w:b/>
      <w:bCs/>
      <w:kern w:val="0"/>
      <w:sz w:val="29"/>
      <w:szCs w:val="29"/>
    </w:rPr>
  </w:style>
  <w:style w:type="paragraph" w:customStyle="1" w:styleId="10">
    <w:name w:val="标题 #1 (5)"/>
    <w:basedOn w:val="1"/>
    <w:link w:val="30"/>
    <w:qFormat/>
    <w:uiPriority w:val="0"/>
    <w:pPr>
      <w:widowControl/>
      <w:shd w:val="clear" w:color="auto" w:fill="FFFFFF"/>
      <w:spacing w:before="240" w:after="600" w:line="240" w:lineRule="atLeast"/>
      <w:jc w:val="left"/>
      <w:outlineLvl w:val="0"/>
    </w:pPr>
    <w:rPr>
      <w:rFonts w:ascii="MingLiU" w:hAnsi="Times New Roman" w:eastAsia="MingLiU" w:cs="Times New Roman"/>
      <w:kern w:val="0"/>
      <w:sz w:val="38"/>
      <w:szCs w:val="38"/>
    </w:rPr>
  </w:style>
  <w:style w:type="paragraph" w:customStyle="1" w:styleId="11">
    <w:name w:val="正文文本 (8)1"/>
    <w:basedOn w:val="1"/>
    <w:link w:val="17"/>
    <w:qFormat/>
    <w:uiPriority w:val="0"/>
    <w:pPr>
      <w:widowControl/>
      <w:shd w:val="clear" w:color="auto" w:fill="FFFFFF"/>
      <w:spacing w:line="240" w:lineRule="atLeast"/>
      <w:jc w:val="left"/>
    </w:pPr>
    <w:rPr>
      <w:rFonts w:ascii="MingLiU" w:hAnsi="Times New Roman" w:eastAsia="MingLiU" w:cs="Times New Roman"/>
      <w:kern w:val="0"/>
      <w:sz w:val="19"/>
      <w:szCs w:val="19"/>
    </w:rPr>
  </w:style>
  <w:style w:type="paragraph" w:customStyle="1" w:styleId="12">
    <w:name w:val="标题 #6"/>
    <w:basedOn w:val="1"/>
    <w:link w:val="25"/>
    <w:qFormat/>
    <w:uiPriority w:val="0"/>
    <w:pPr>
      <w:widowControl/>
      <w:shd w:val="clear" w:color="auto" w:fill="FFFFFF"/>
      <w:spacing w:before="480" w:after="720" w:line="240" w:lineRule="atLeast"/>
      <w:jc w:val="center"/>
      <w:outlineLvl w:val="5"/>
    </w:pPr>
    <w:rPr>
      <w:rFonts w:ascii="MingLiU" w:hAnsi="Times New Roman" w:eastAsia="MingLiU" w:cs="Times New Roman"/>
      <w:b/>
      <w:bCs/>
      <w:kern w:val="0"/>
      <w:sz w:val="29"/>
      <w:szCs w:val="29"/>
    </w:rPr>
  </w:style>
  <w:style w:type="paragraph" w:customStyle="1" w:styleId="13">
    <w:name w:val="正文文本 (4)"/>
    <w:basedOn w:val="1"/>
    <w:link w:val="19"/>
    <w:qFormat/>
    <w:uiPriority w:val="0"/>
    <w:pPr>
      <w:widowControl/>
      <w:shd w:val="clear" w:color="auto" w:fill="FFFFFF"/>
      <w:spacing w:line="626" w:lineRule="exact"/>
      <w:jc w:val="distribute"/>
    </w:pPr>
    <w:rPr>
      <w:rFonts w:ascii="MingLiU" w:hAnsi="Times New Roman" w:eastAsia="MingLiU" w:cs="Times New Roman"/>
      <w:b/>
      <w:bCs/>
      <w:kern w:val="0"/>
      <w:sz w:val="29"/>
      <w:szCs w:val="29"/>
    </w:rPr>
  </w:style>
  <w:style w:type="paragraph" w:customStyle="1" w:styleId="14">
    <w:name w:val="正文文本 (11)"/>
    <w:basedOn w:val="1"/>
    <w:link w:val="29"/>
    <w:qFormat/>
    <w:uiPriority w:val="0"/>
    <w:pPr>
      <w:widowControl/>
      <w:shd w:val="clear" w:color="auto" w:fill="FFFFFF"/>
      <w:spacing w:before="420" w:after="660" w:line="240" w:lineRule="atLeast"/>
      <w:jc w:val="left"/>
    </w:pPr>
    <w:rPr>
      <w:rFonts w:ascii="MingLiU" w:hAnsi="Times New Roman" w:eastAsia="MingLiU" w:cs="Times New Roman"/>
      <w:w w:val="150"/>
      <w:kern w:val="0"/>
      <w:sz w:val="8"/>
      <w:szCs w:val="8"/>
    </w:rPr>
  </w:style>
  <w:style w:type="paragraph" w:customStyle="1" w:styleId="15">
    <w:name w:val="正文文本 (2)"/>
    <w:basedOn w:val="1"/>
    <w:link w:val="18"/>
    <w:qFormat/>
    <w:uiPriority w:val="0"/>
    <w:pPr>
      <w:widowControl/>
      <w:shd w:val="clear" w:color="auto" w:fill="FFFFFF"/>
      <w:spacing w:after="7920" w:line="240" w:lineRule="atLeast"/>
      <w:jc w:val="left"/>
    </w:pPr>
    <w:rPr>
      <w:rFonts w:ascii="MingLiU" w:hAnsi="Times New Roman" w:eastAsia="MingLiU" w:cs="Times New Roman"/>
      <w:kern w:val="0"/>
      <w:sz w:val="25"/>
      <w:szCs w:val="25"/>
    </w:rPr>
  </w:style>
  <w:style w:type="paragraph" w:customStyle="1" w:styleId="16">
    <w:name w:val="Normal_0_0"/>
    <w:basedOn w:val="8"/>
    <w:qFormat/>
    <w:uiPriority w:val="99"/>
    <w:rPr>
      <w:szCs w:val="21"/>
    </w:rPr>
  </w:style>
  <w:style w:type="character" w:customStyle="1" w:styleId="17">
    <w:name w:val="正文文本 (8)_"/>
    <w:basedOn w:val="6"/>
    <w:link w:val="11"/>
    <w:qFormat/>
    <w:uiPriority w:val="0"/>
    <w:rPr>
      <w:rFonts w:ascii="MingLiU" w:hAnsi="Times New Roman" w:eastAsia="MingLiU" w:cs="Times New Roman"/>
      <w:sz w:val="19"/>
      <w:szCs w:val="19"/>
      <w:lang w:bidi="ar-SA"/>
    </w:rPr>
  </w:style>
  <w:style w:type="character" w:customStyle="1" w:styleId="18">
    <w:name w:val="正文文本 (2)_"/>
    <w:basedOn w:val="6"/>
    <w:link w:val="15"/>
    <w:qFormat/>
    <w:uiPriority w:val="0"/>
    <w:rPr>
      <w:rFonts w:ascii="MingLiU" w:hAnsi="Times New Roman" w:eastAsia="MingLiU" w:cs="Times New Roman"/>
      <w:sz w:val="25"/>
      <w:szCs w:val="25"/>
      <w:lang w:bidi="ar-SA"/>
    </w:rPr>
  </w:style>
  <w:style w:type="character" w:customStyle="1" w:styleId="19">
    <w:name w:val="正文文本 (4)_"/>
    <w:basedOn w:val="6"/>
    <w:link w:val="13"/>
    <w:qFormat/>
    <w:uiPriority w:val="0"/>
    <w:rPr>
      <w:rFonts w:ascii="MingLiU" w:hAnsi="Times New Roman" w:eastAsia="MingLiU" w:cs="Times New Roman"/>
      <w:b/>
      <w:bCs/>
      <w:sz w:val="29"/>
      <w:szCs w:val="29"/>
      <w:lang w:bidi="ar-SA"/>
    </w:rPr>
  </w:style>
  <w:style w:type="character" w:customStyle="1" w:styleId="20">
    <w:name w:val=" Char Char"/>
    <w:qFormat/>
    <w:uiPriority w:val="0"/>
    <w:rPr>
      <w:rFonts w:ascii="MingLiU" w:hAnsi="Times New Roman" w:eastAsia="MingLiU" w:cs="Times New Roman"/>
      <w:sz w:val="28"/>
      <w:szCs w:val="28"/>
      <w:lang w:bidi="ar-SA"/>
    </w:rPr>
  </w:style>
  <w:style w:type="character" w:customStyle="1" w:styleId="21">
    <w:name w:val="正文文本_"/>
    <w:basedOn w:val="6"/>
    <w:qFormat/>
    <w:uiPriority w:val="0"/>
    <w:rPr>
      <w:rFonts w:ascii="MingLiU" w:hAnsi="Times New Roman" w:eastAsia="MingLiU" w:cs="Times New Roman"/>
      <w:sz w:val="28"/>
      <w:szCs w:val="28"/>
      <w:lang w:bidi="ar-SA"/>
    </w:rPr>
  </w:style>
  <w:style w:type="character" w:customStyle="1" w:styleId="22">
    <w:name w:val="font51"/>
    <w:basedOn w:val="6"/>
    <w:qFormat/>
    <w:uiPriority w:val="0"/>
    <w:rPr>
      <w:rFonts w:hint="eastAsia" w:ascii="宋体" w:hAnsi="宋体" w:eastAsia="宋体" w:cs="宋体"/>
      <w:color w:val="000000"/>
      <w:sz w:val="20"/>
      <w:szCs w:val="20"/>
      <w:u w:val="none"/>
    </w:rPr>
  </w:style>
  <w:style w:type="character" w:customStyle="1" w:styleId="23">
    <w:name w:val="font21"/>
    <w:basedOn w:val="6"/>
    <w:qFormat/>
    <w:uiPriority w:val="0"/>
    <w:rPr>
      <w:rFonts w:hint="eastAsia" w:ascii="宋体" w:hAnsi="宋体" w:eastAsia="宋体" w:cs="宋体"/>
      <w:color w:val="000000"/>
      <w:sz w:val="20"/>
      <w:szCs w:val="20"/>
      <w:u w:val="none"/>
    </w:rPr>
  </w:style>
  <w:style w:type="character" w:customStyle="1" w:styleId="24">
    <w:name w:val="标题 #2 (2)_"/>
    <w:basedOn w:val="6"/>
    <w:link w:val="9"/>
    <w:qFormat/>
    <w:uiPriority w:val="0"/>
    <w:rPr>
      <w:rFonts w:ascii="MingLiU" w:hAnsi="Times New Roman" w:eastAsia="MingLiU" w:cs="Times New Roman"/>
      <w:b/>
      <w:bCs/>
      <w:sz w:val="29"/>
      <w:szCs w:val="29"/>
      <w:lang w:bidi="ar-SA"/>
    </w:rPr>
  </w:style>
  <w:style w:type="character" w:customStyle="1" w:styleId="25">
    <w:name w:val="标题 #6_"/>
    <w:basedOn w:val="6"/>
    <w:link w:val="12"/>
    <w:qFormat/>
    <w:uiPriority w:val="0"/>
    <w:rPr>
      <w:rFonts w:ascii="MingLiU" w:hAnsi="Times New Roman" w:eastAsia="MingLiU" w:cs="Times New Roman"/>
      <w:b/>
      <w:bCs/>
      <w:sz w:val="29"/>
      <w:szCs w:val="29"/>
      <w:lang w:bidi="ar-SA"/>
    </w:rPr>
  </w:style>
  <w:style w:type="character" w:customStyle="1" w:styleId="26">
    <w:name w:val="font11"/>
    <w:basedOn w:val="6"/>
    <w:qFormat/>
    <w:uiPriority w:val="0"/>
    <w:rPr>
      <w:rFonts w:hint="eastAsia" w:ascii="宋体" w:hAnsi="宋体" w:eastAsia="宋体" w:cs="宋体"/>
      <w:color w:val="FF0000"/>
      <w:sz w:val="20"/>
      <w:szCs w:val="20"/>
      <w:u w:val="none"/>
    </w:rPr>
  </w:style>
  <w:style w:type="character" w:customStyle="1" w:styleId="27">
    <w:name w:val=" Char Char1"/>
    <w:basedOn w:val="6"/>
    <w:link w:val="2"/>
    <w:qFormat/>
    <w:uiPriority w:val="0"/>
    <w:rPr>
      <w:rFonts w:ascii="MingLiU" w:hAnsi="Times New Roman" w:eastAsia="MingLiU" w:cs="Times New Roman"/>
      <w:sz w:val="28"/>
      <w:szCs w:val="28"/>
      <w:lang w:bidi="ar-SA"/>
    </w:rPr>
  </w:style>
  <w:style w:type="character" w:customStyle="1" w:styleId="28">
    <w:name w:val="font41"/>
    <w:basedOn w:val="6"/>
    <w:qFormat/>
    <w:uiPriority w:val="0"/>
    <w:rPr>
      <w:rFonts w:hint="eastAsia" w:ascii="宋体" w:hAnsi="宋体" w:eastAsia="宋体" w:cs="宋体"/>
      <w:color w:val="FF0000"/>
      <w:sz w:val="20"/>
      <w:szCs w:val="20"/>
      <w:u w:val="none"/>
    </w:rPr>
  </w:style>
  <w:style w:type="character" w:customStyle="1" w:styleId="29">
    <w:name w:val="正文文本 (11)_"/>
    <w:basedOn w:val="6"/>
    <w:link w:val="14"/>
    <w:qFormat/>
    <w:uiPriority w:val="0"/>
    <w:rPr>
      <w:rFonts w:ascii="MingLiU" w:hAnsi="Times New Roman" w:eastAsia="MingLiU" w:cs="Times New Roman"/>
      <w:w w:val="150"/>
      <w:sz w:val="8"/>
      <w:szCs w:val="8"/>
      <w:lang w:bidi="ar-SA"/>
    </w:rPr>
  </w:style>
  <w:style w:type="character" w:customStyle="1" w:styleId="30">
    <w:name w:val="标题 #1 (5)_"/>
    <w:basedOn w:val="6"/>
    <w:link w:val="10"/>
    <w:qFormat/>
    <w:uiPriority w:val="0"/>
    <w:rPr>
      <w:rFonts w:ascii="MingLiU" w:hAnsi="Times New Roman" w:eastAsia="MingLiU" w:cs="Times New Roman"/>
      <w:sz w:val="38"/>
      <w:szCs w:val="38"/>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Lenovo</Company>
  <Pages>36</Pages>
  <Words>17810</Words>
  <Characters>19058</Characters>
  <Lines>125</Lines>
  <Paragraphs>35</Paragraphs>
  <TotalTime>5</TotalTime>
  <ScaleCrop>false</ScaleCrop>
  <LinksUpToDate>false</LinksUpToDate>
  <CharactersWithSpaces>19627</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2017-05-20T02:28:00Z</dcterms:created>
  <dc:creator>User</dc:creator>
  <cp:lastModifiedBy>郑若玲</cp:lastModifiedBy>
  <cp:lastPrinted>2022-07-12T07:42:00Z</cp:lastPrinted>
  <dcterms:modified xsi:type="dcterms:W3CDTF">2025-07-29T01:33:36Z</dcterms:modified>
  <dc:title>福清市石竹街道龙塘村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4F680EA530C546329218FFEA188F4363</vt:lpwstr>
  </property>
  <property fmtid="{D5CDD505-2E9C-101B-9397-08002B2CF9AE}" pid="4" name="hmcheck_markmode">
    <vt:i4>0</vt:i4>
  </property>
  <property fmtid="{D5CDD505-2E9C-101B-9397-08002B2CF9AE}" pid="5" name="hmcheck_taskpanetype">
    <vt:i4>1</vt:i4>
  </property>
</Properties>
</file>