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A43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w w:val="95"/>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95"/>
          <w:sz w:val="44"/>
          <w:szCs w:val="44"/>
          <w:highlight w:val="none"/>
          <w:u w:val="none"/>
          <w:lang w:val="en-US" w:eastAsia="zh-CN"/>
        </w:rPr>
        <w:t>Y996海龙线改造工程大真线暨综合整治项目</w:t>
      </w:r>
    </w:p>
    <w:p w14:paraId="3CA91B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w w:val="95"/>
          <w:sz w:val="44"/>
          <w:szCs w:val="44"/>
          <w:highlight w:val="none"/>
          <w:u w:val="none"/>
          <w:lang w:eastAsia="zh-CN"/>
        </w:rPr>
      </w:pPr>
      <w:r>
        <w:rPr>
          <w:rFonts w:hint="eastAsia" w:ascii="方正小标宋简体" w:hAnsi="方正小标宋简体" w:eastAsia="方正小标宋简体" w:cs="方正小标宋简体"/>
          <w:b w:val="0"/>
          <w:bCs w:val="0"/>
          <w:color w:val="auto"/>
          <w:w w:val="95"/>
          <w:sz w:val="44"/>
          <w:szCs w:val="44"/>
          <w:highlight w:val="none"/>
          <w:u w:val="none"/>
          <w:lang w:val="en-US" w:eastAsia="zh-CN"/>
        </w:rPr>
        <w:t>龙田段</w:t>
      </w:r>
      <w:r>
        <w:rPr>
          <w:rFonts w:hint="eastAsia" w:ascii="方正小标宋简体" w:hAnsi="方正小标宋简体" w:eastAsia="方正小标宋简体" w:cs="方正小标宋简体"/>
          <w:b w:val="0"/>
          <w:bCs w:val="0"/>
          <w:color w:val="auto"/>
          <w:w w:val="95"/>
          <w:sz w:val="44"/>
          <w:szCs w:val="44"/>
          <w:highlight w:val="none"/>
          <w:u w:val="none"/>
          <w:lang w:eastAsia="zh-CN"/>
        </w:rPr>
        <w:t>房屋征收补偿方案</w:t>
      </w:r>
    </w:p>
    <w:p w14:paraId="7AC452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32FE837F">
      <w:pPr>
        <w:pStyle w:val="17"/>
        <w:pageBreakBefore w:val="0"/>
        <w:shd w:val="clear" w:color="auto" w:fill="auto"/>
        <w:tabs>
          <w:tab w:val="left" w:pos="7085"/>
        </w:tabs>
        <w:kinsoku/>
        <w:wordWrap/>
        <w:overflowPunct/>
        <w:topLinePunct w:val="0"/>
        <w:autoSpaceDE/>
        <w:autoSpaceDN/>
        <w:bidi w:val="0"/>
        <w:adjustRightInd/>
        <w:snapToGrid/>
        <w:spacing w:before="0" w:after="0" w:line="560" w:lineRule="exact"/>
        <w:ind w:firstLine="720" w:firstLineChars="200"/>
        <w:jc w:val="both"/>
        <w:textAlignment w:val="auto"/>
        <w:rPr>
          <w:rFonts w:hint="eastAsia" w:ascii="仿宋_GB2312" w:eastAsia="仿宋_GB2312"/>
          <w:color w:val="auto"/>
          <w:w w:val="100"/>
          <w:sz w:val="36"/>
          <w:szCs w:val="36"/>
          <w:highlight w:val="none"/>
          <w:u w:val="none"/>
          <w:lang w:eastAsia="zh-CN"/>
        </w:rPr>
      </w:pPr>
    </w:p>
    <w:p w14:paraId="6B8C4700">
      <w:pPr>
        <w:pStyle w:val="17"/>
        <w:pageBreakBefore w:val="0"/>
        <w:shd w:val="clear" w:color="auto" w:fill="auto"/>
        <w:tabs>
          <w:tab w:val="left" w:pos="7085"/>
        </w:tabs>
        <w:kinsoku/>
        <w:wordWrap/>
        <w:overflowPunct/>
        <w:topLinePunct w:val="0"/>
        <w:autoSpaceDE/>
        <w:autoSpaceDN/>
        <w:bidi w:val="0"/>
        <w:adjustRightInd/>
        <w:snapToGrid/>
        <w:spacing w:before="0" w:after="0" w:line="560" w:lineRule="exact"/>
        <w:ind w:firstLine="640" w:firstLineChars="200"/>
        <w:jc w:val="both"/>
        <w:textAlignment w:val="auto"/>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因Y996海龙线改造工程大真线暨综合整治项目龙田段</w:t>
      </w:r>
      <w:r>
        <w:rPr>
          <w:rFonts w:hint="eastAsia" w:ascii="仿宋_GB2312" w:eastAsia="仿宋_GB2312"/>
          <w:color w:val="auto"/>
          <w:w w:val="100"/>
          <w:sz w:val="32"/>
          <w:szCs w:val="32"/>
          <w:highlight w:val="none"/>
          <w:u w:val="none"/>
          <w:lang w:val="en-US" w:eastAsia="zh-CN"/>
        </w:rPr>
        <w:t>建设</w:t>
      </w:r>
      <w:r>
        <w:rPr>
          <w:rFonts w:hint="eastAsia" w:ascii="仿宋_GB2312" w:eastAsia="仿宋_GB2312"/>
          <w:color w:val="auto"/>
          <w:w w:val="100"/>
          <w:sz w:val="32"/>
          <w:szCs w:val="32"/>
          <w:highlight w:val="none"/>
          <w:u w:val="none"/>
          <w:lang w:eastAsia="zh-CN"/>
        </w:rPr>
        <w:t>需要</w:t>
      </w:r>
      <w:r>
        <w:rPr>
          <w:rFonts w:hint="eastAsia" w:ascii="仿宋_GB2312" w:eastAsia="仿宋_GB2312"/>
          <w:color w:val="auto"/>
          <w:w w:val="100"/>
          <w:sz w:val="32"/>
          <w:szCs w:val="32"/>
          <w:highlight w:val="none"/>
          <w:u w:val="none"/>
          <w:lang w:val="en-US" w:eastAsia="zh-CN"/>
        </w:rPr>
        <w:t>,</w:t>
      </w:r>
      <w:r>
        <w:rPr>
          <w:rFonts w:hint="eastAsia" w:ascii="仿宋_GB2312" w:eastAsia="仿宋_GB2312"/>
          <w:color w:val="auto"/>
          <w:w w:val="100"/>
          <w:sz w:val="32"/>
          <w:szCs w:val="32"/>
          <w:highlight w:val="none"/>
          <w:u w:val="none"/>
          <w:lang w:eastAsia="zh-CN"/>
        </w:rPr>
        <w:t>福清市人民政府决定征收</w:t>
      </w:r>
      <w:r>
        <w:rPr>
          <w:rFonts w:hint="eastAsia" w:ascii="仿宋_GB2312" w:eastAsia="仿宋_GB2312"/>
          <w:color w:val="auto"/>
          <w:w w:val="100"/>
          <w:sz w:val="32"/>
          <w:szCs w:val="32"/>
          <w:highlight w:val="none"/>
          <w:u w:val="none"/>
          <w:lang w:val="en-US" w:eastAsia="zh-CN"/>
        </w:rPr>
        <w:t>Y996海龙线改造工程项目〔原S305（石溪村口至龙田镇）〕</w:t>
      </w:r>
      <w:r>
        <w:rPr>
          <w:rFonts w:hint="eastAsia" w:ascii="仿宋_GB2312" w:eastAsia="仿宋_GB2312"/>
          <w:color w:val="auto"/>
          <w:w w:val="100"/>
          <w:sz w:val="32"/>
          <w:szCs w:val="32"/>
          <w:highlight w:val="none"/>
          <w:u w:val="none"/>
          <w:lang w:eastAsia="zh-CN"/>
        </w:rPr>
        <w:t>规划红线范围内的房屋。根据《中华人民共和国土地管理法</w:t>
      </w:r>
      <w:r>
        <w:rPr>
          <w:rFonts w:hint="eastAsia" w:ascii="仿宋_GB2312" w:eastAsia="仿宋_GB2312"/>
          <w:color w:val="auto"/>
          <w:w w:val="100"/>
          <w:sz w:val="32"/>
          <w:szCs w:val="32"/>
          <w:highlight w:val="none"/>
          <w:u w:val="none"/>
          <w:shd w:val="clear" w:fill="FFFFFF"/>
          <w:lang w:eastAsia="zh-CN"/>
        </w:rPr>
        <w:t>》、《</w:t>
      </w:r>
      <w:r>
        <w:rPr>
          <w:rFonts w:hint="eastAsia" w:ascii="仿宋_GB2312" w:eastAsia="仿宋_GB2312"/>
          <w:color w:val="auto"/>
          <w:w w:val="100"/>
          <w:sz w:val="32"/>
          <w:szCs w:val="32"/>
          <w:highlight w:val="none"/>
          <w:u w:val="none"/>
          <w:lang w:eastAsia="zh-CN"/>
        </w:rPr>
        <w:t>国有土地上房屋征收与补偿条例》等有关</w:t>
      </w:r>
      <w:r>
        <w:rPr>
          <w:rFonts w:hint="eastAsia" w:ascii="仿宋_GB2312" w:eastAsia="仿宋_GB2312"/>
          <w:color w:val="auto"/>
          <w:w w:val="100"/>
          <w:sz w:val="32"/>
          <w:szCs w:val="32"/>
          <w:highlight w:val="none"/>
          <w:u w:val="none"/>
          <w:shd w:val="clear" w:fill="FFFFFF"/>
          <w:lang w:eastAsia="zh-CN"/>
        </w:rPr>
        <w:t>法律、法规</w:t>
      </w:r>
      <w:r>
        <w:rPr>
          <w:rFonts w:hint="eastAsia" w:ascii="仿宋_GB2312" w:eastAsia="仿宋_GB2312"/>
          <w:color w:val="auto"/>
          <w:w w:val="100"/>
          <w:sz w:val="32"/>
          <w:szCs w:val="32"/>
          <w:highlight w:val="none"/>
          <w:u w:val="none"/>
          <w:lang w:eastAsia="zh-CN"/>
        </w:rPr>
        <w:t>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2F658EE4">
      <w:pPr>
        <w:pStyle w:val="18"/>
        <w:keepNext/>
        <w:keepLines/>
        <w:pageBreakBefore w:val="0"/>
        <w:shd w:val="clear" w:color="auto" w:fill="auto"/>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eastAsia="仿宋_GB2312"/>
          <w:color w:val="auto"/>
          <w:sz w:val="32"/>
          <w:szCs w:val="32"/>
          <w:highlight w:val="none"/>
          <w:u w:val="none"/>
          <w:lang w:val="zh-CN" w:eastAsia="zh-CN"/>
        </w:rPr>
      </w:pPr>
      <w:bookmarkStart w:id="0" w:name="bookmark5"/>
    </w:p>
    <w:p w14:paraId="1FD9A109">
      <w:pPr>
        <w:pStyle w:val="18"/>
        <w:keepNext/>
        <w:keepLines/>
        <w:pageBreakBefore w:val="0"/>
        <w:shd w:val="clear" w:color="auto" w:fill="auto"/>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val="zh-CN"/>
        </w:rPr>
        <w:t>第一部分  总则</w:t>
      </w:r>
      <w:bookmarkEnd w:id="0"/>
    </w:p>
    <w:p w14:paraId="7E7D69D7">
      <w:pPr>
        <w:pStyle w:val="18"/>
        <w:keepNext/>
        <w:keepLines/>
        <w:pageBreakBefore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eastAsia="宋体"/>
          <w:b w:val="0"/>
          <w:color w:val="auto"/>
          <w:sz w:val="32"/>
          <w:szCs w:val="32"/>
          <w:highlight w:val="none"/>
          <w:u w:val="none"/>
        </w:rPr>
      </w:pPr>
      <w:bookmarkStart w:id="1" w:name="bookmark6"/>
    </w:p>
    <w:p w14:paraId="4E2459F5">
      <w:pPr>
        <w:pStyle w:val="18"/>
        <w:keepNext/>
        <w:keepLines/>
        <w:pageBreakBefore w:val="0"/>
        <w:shd w:val="clear" w:color="auto" w:fill="auto"/>
        <w:kinsoku/>
        <w:wordWrap/>
        <w:overflowPunct/>
        <w:topLinePunct w:val="0"/>
        <w:autoSpaceDE/>
        <w:autoSpaceDN/>
        <w:bidi w:val="0"/>
        <w:adjustRightInd/>
        <w:snapToGrid/>
        <w:spacing w:before="0" w:after="0" w:line="560" w:lineRule="exact"/>
        <w:ind w:firstLine="800" w:firstLineChars="250"/>
        <w:jc w:val="both"/>
        <w:textAlignment w:val="auto"/>
        <w:rPr>
          <w:rFonts w:hint="eastAsia" w:ascii="黑体" w:hAnsi="黑体" w:eastAsia="黑体" w:cs="黑体"/>
          <w:b w:val="0"/>
          <w:bCs/>
          <w:color w:val="auto"/>
          <w:sz w:val="32"/>
          <w:szCs w:val="32"/>
          <w:highlight w:val="none"/>
          <w:u w:val="none"/>
          <w:lang w:val="zh-CN"/>
        </w:rPr>
      </w:pPr>
      <w:r>
        <w:rPr>
          <w:rFonts w:hint="eastAsia" w:ascii="黑体" w:hAnsi="黑体" w:eastAsia="黑体" w:cs="黑体"/>
          <w:b w:val="0"/>
          <w:bCs/>
          <w:color w:val="auto"/>
          <w:sz w:val="32"/>
          <w:szCs w:val="32"/>
          <w:highlight w:val="none"/>
          <w:u w:val="none"/>
          <w:lang w:eastAsia="zh-CN"/>
        </w:rPr>
        <w:t>一、</w:t>
      </w:r>
      <w:r>
        <w:rPr>
          <w:rFonts w:hint="eastAsia" w:ascii="黑体" w:hAnsi="黑体" w:eastAsia="黑体" w:cs="黑体"/>
          <w:b w:val="0"/>
          <w:bCs/>
          <w:color w:val="auto"/>
          <w:sz w:val="32"/>
          <w:szCs w:val="32"/>
          <w:highlight w:val="none"/>
          <w:u w:val="none"/>
          <w:lang w:val="zh-CN"/>
        </w:rPr>
        <w:t>基本原则</w:t>
      </w:r>
      <w:bookmarkEnd w:id="1"/>
    </w:p>
    <w:p w14:paraId="64CC5DAD">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719D4E20">
      <w:pPr>
        <w:pStyle w:val="18"/>
        <w:keepNext/>
        <w:keepLines/>
        <w:pageBreakBefore w:val="0"/>
        <w:shd w:val="clear" w:color="auto" w:fill="auto"/>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kern w:val="0"/>
          <w:sz w:val="32"/>
          <w:szCs w:val="32"/>
          <w:highlight w:val="none"/>
          <w:u w:val="none"/>
          <w:lang w:val="zh-CN" w:eastAsia="zh-CN" w:bidi="ar-SA"/>
        </w:rPr>
      </w:pPr>
      <w:bookmarkStart w:id="2" w:name="bookmark7"/>
      <w:r>
        <w:rPr>
          <w:rFonts w:hint="eastAsia" w:ascii="黑体" w:hAnsi="黑体" w:eastAsia="黑体" w:cs="黑体"/>
          <w:b w:val="0"/>
          <w:bCs w:val="0"/>
          <w:color w:val="auto"/>
          <w:sz w:val="32"/>
          <w:szCs w:val="32"/>
          <w:highlight w:val="none"/>
          <w:u w:val="none"/>
          <w:lang w:val="zh-CN"/>
        </w:rPr>
        <w:t>二、征收</w:t>
      </w:r>
      <w:r>
        <w:rPr>
          <w:rFonts w:hint="eastAsia" w:ascii="黑体" w:hAnsi="黑体" w:eastAsia="黑体" w:cs="黑体"/>
          <w:b w:val="0"/>
          <w:bCs w:val="0"/>
          <w:color w:val="auto"/>
          <w:kern w:val="0"/>
          <w:sz w:val="32"/>
          <w:szCs w:val="32"/>
          <w:highlight w:val="none"/>
          <w:u w:val="none"/>
          <w:lang w:val="zh-CN" w:eastAsia="zh-CN" w:bidi="ar-SA"/>
        </w:rPr>
        <w:t>范围</w:t>
      </w:r>
      <w:bookmarkEnd w:id="2"/>
    </w:p>
    <w:p w14:paraId="4B6BD91F">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hAnsi="Times New Roman" w:eastAsia="仿宋_GB2312" w:cs="Times New Roman"/>
          <w:b w:val="0"/>
          <w:bCs w:val="0"/>
          <w:color w:val="auto"/>
          <w:kern w:val="0"/>
          <w:sz w:val="32"/>
          <w:szCs w:val="32"/>
          <w:highlight w:val="none"/>
          <w:u w:val="none"/>
          <w:lang w:val="zh-CN" w:eastAsia="zh-CN" w:bidi="ar-SA"/>
        </w:rPr>
        <w:t>具体征收范围以Y996海龙线改造工程大真线暨综合整治项目龙田段征</w:t>
      </w:r>
      <w:r>
        <w:rPr>
          <w:rFonts w:hint="eastAsia" w:ascii="仿宋_GB2312" w:eastAsia="仿宋_GB2312"/>
          <w:color w:val="auto"/>
          <w:sz w:val="32"/>
          <w:szCs w:val="32"/>
          <w:highlight w:val="none"/>
          <w:u w:val="none"/>
          <w:lang w:val="zh-CN" w:eastAsia="zh-CN"/>
        </w:rPr>
        <w:t>收</w:t>
      </w:r>
      <w:r>
        <w:rPr>
          <w:rFonts w:hint="eastAsia" w:ascii="仿宋_GB2312" w:eastAsia="仿宋_GB2312"/>
          <w:color w:val="auto"/>
          <w:sz w:val="32"/>
          <w:szCs w:val="32"/>
          <w:highlight w:val="none"/>
          <w:u w:val="none"/>
          <w:lang w:val="zh-CN"/>
        </w:rPr>
        <w:t>红线图为准。</w:t>
      </w:r>
      <w:bookmarkStart w:id="3" w:name="bookmark8"/>
    </w:p>
    <w:p w14:paraId="2F6AC2BF">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lang w:val="zh-CN"/>
        </w:rPr>
        <w:t>三、征收补偿对象及方式</w:t>
      </w:r>
      <w:bookmarkEnd w:id="3"/>
    </w:p>
    <w:p w14:paraId="166D282C">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2E816AD4">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3FFADC38">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4723B059">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63DDE6CD">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5EC03D6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5F1C2358">
      <w:pPr>
        <w:pStyle w:val="19"/>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rPr>
      </w:pPr>
      <w:bookmarkStart w:id="4" w:name="bookmark9"/>
      <w:r>
        <w:rPr>
          <w:rFonts w:hint="eastAsia" w:ascii="黑体" w:hAnsi="黑体" w:eastAsia="黑体" w:cs="黑体"/>
          <w:b w:val="0"/>
          <w:bCs w:val="0"/>
          <w:color w:val="auto"/>
          <w:sz w:val="32"/>
          <w:szCs w:val="32"/>
          <w:highlight w:val="none"/>
          <w:u w:val="none"/>
          <w:lang w:val="zh-CN"/>
        </w:rPr>
        <w:t>四、补偿安置</w:t>
      </w:r>
      <w:bookmarkEnd w:id="4"/>
    </w:p>
    <w:p w14:paraId="53A97BB6">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63BE9851">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w:t>
      </w:r>
      <w:r>
        <w:rPr>
          <w:rFonts w:hint="eastAsia" w:ascii="仿宋_GB2312" w:eastAsia="仿宋_GB2312"/>
          <w:color w:val="auto"/>
          <w:sz w:val="32"/>
          <w:szCs w:val="32"/>
          <w:highlight w:val="none"/>
          <w:u w:val="none"/>
          <w:lang w:val="zh-CN" w:eastAsia="zh-CN"/>
        </w:rPr>
        <w:t>结算。土地补偿（专指住宅），经批准的房屋建筑占地土地补偿价格按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eastAsia="zh-CN"/>
        </w:rPr>
        <w:t>万元/亩的40%计算；其他未确权和未经市镇（街）两级清理收费的，按</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万元/亩计算。埕地、空地是指房屋四至权属明确、界</w:t>
      </w:r>
      <w:r>
        <w:rPr>
          <w:rFonts w:hint="eastAsia" w:ascii="仿宋_GB2312" w:eastAsia="仿宋_GB2312"/>
          <w:color w:val="auto"/>
          <w:sz w:val="32"/>
          <w:szCs w:val="32"/>
          <w:highlight w:val="none"/>
          <w:u w:val="none"/>
          <w:lang w:val="zh-CN"/>
        </w:rPr>
        <w:t>址明显范围内的用地面积扣除建筑物占地后余下的土地。</w:t>
      </w:r>
    </w:p>
    <w:p w14:paraId="73232D26">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4FBCC7C1">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7C0D8C5A">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3CBC7D9D">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36C62F23">
      <w:pPr>
        <w:pStyle w:val="6"/>
        <w:pageBreakBefore w:val="0"/>
        <w:shd w:val="clear" w:color="auto" w:fill="auto"/>
        <w:kinsoku/>
        <w:wordWrap/>
        <w:overflowPunct/>
        <w:topLinePunct w:val="0"/>
        <w:autoSpaceDE/>
        <w:autoSpaceDN/>
        <w:bidi w:val="0"/>
        <w:adjustRightInd/>
        <w:snapToGrid/>
        <w:spacing w:after="0" w:line="560" w:lineRule="exact"/>
        <w:ind w:firstLine="480" w:firstLineChars="15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3E902256">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14AED69F">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3BE81124">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79B7D31E">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2364BFDA">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3E6A15E9">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1、征收人与被征收人签订房屋征收补偿安置协议书，内容含：认定补偿安置建筑、土地面积，认定不予补偿安置建筑、土地面积，认定补偿安置中选择货币补偿和产权调换的具体面积。</w:t>
      </w:r>
    </w:p>
    <w:p w14:paraId="373E406C">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详</w:t>
      </w:r>
      <w:r>
        <w:rPr>
          <w:rFonts w:hint="eastAsia" w:ascii="仿宋_GB2312" w:eastAsia="仿宋_GB2312"/>
          <w:color w:val="auto"/>
          <w:sz w:val="32"/>
          <w:szCs w:val="32"/>
          <w:highlight w:val="none"/>
          <w:u w:val="none"/>
          <w:lang w:val="zh-CN" w:eastAsia="zh-CN"/>
        </w:rPr>
        <w:t>安置房选房细则）</w:t>
      </w:r>
      <w:r>
        <w:rPr>
          <w:rFonts w:hint="eastAsia" w:ascii="仿宋_GB2312" w:eastAsia="仿宋_GB2312"/>
          <w:color w:val="auto"/>
          <w:sz w:val="32"/>
          <w:szCs w:val="32"/>
          <w:highlight w:val="none"/>
          <w:u w:val="none"/>
          <w:lang w:val="zh-CN"/>
        </w:rPr>
        <w:t>。</w:t>
      </w:r>
    </w:p>
    <w:p w14:paraId="4E325F72">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3、征收人作出房屋征收补偿结果计算表，如选择安置房面积与《房屋征收补偿协议书》有出入，则由征收人与被征收人签订房屋征收补偿安置补充协议书，予以明确。</w:t>
      </w:r>
    </w:p>
    <w:p w14:paraId="50858397">
      <w:pPr>
        <w:pStyle w:val="19"/>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val="zh-CN"/>
        </w:rPr>
        <w:t>五、面积计算</w:t>
      </w:r>
    </w:p>
    <w:p w14:paraId="2177B76A">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111C71A6">
      <w:pPr>
        <w:pStyle w:val="19"/>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val="zh-CN"/>
        </w:rPr>
        <w:t>六、补偿结算</w:t>
      </w:r>
    </w:p>
    <w:p w14:paraId="651E6424">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536557D6">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09B4D398">
      <w:pPr>
        <w:pStyle w:val="6"/>
        <w:pageBreakBefore w:val="0"/>
        <w:shd w:val="clear" w:color="auto" w:fill="auto"/>
        <w:kinsoku/>
        <w:wordWrap/>
        <w:overflowPunct/>
        <w:topLinePunct w:val="0"/>
        <w:autoSpaceDE/>
        <w:autoSpaceDN/>
        <w:bidi w:val="0"/>
        <w:adjustRightInd/>
        <w:snapToGrid/>
        <w:spacing w:after="0" w:line="560" w:lineRule="exact"/>
        <w:ind w:firstLine="800" w:firstLineChars="2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6DC59790">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7CD5DB60">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66225249">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D8166AD">
      <w:pPr>
        <w:pStyle w:val="6"/>
        <w:pageBreakBefore w:val="0"/>
        <w:shd w:val="clear" w:color="auto" w:fill="auto"/>
        <w:kinsoku/>
        <w:wordWrap/>
        <w:overflowPunct/>
        <w:topLinePunct w:val="0"/>
        <w:autoSpaceDE/>
        <w:autoSpaceDN/>
        <w:bidi w:val="0"/>
        <w:adjustRightInd/>
        <w:snapToGrid/>
        <w:spacing w:after="0" w:line="560" w:lineRule="exact"/>
        <w:ind w:firstLine="467" w:firstLineChars="146"/>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36658310">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08C66F8C">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57B31D1F">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653A67E1">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1CDF8B96">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4C70D0F1">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14BB80A8">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170B0172">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2EAC4C6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8298AAB">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3DC0ACE9">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4C090B55">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4CC9C785">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631E34B0">
      <w:pPr>
        <w:pStyle w:val="6"/>
        <w:pageBreakBefore w:val="0"/>
        <w:shd w:val="clear" w:color="auto" w:fill="auto"/>
        <w:kinsoku/>
        <w:wordWrap/>
        <w:overflowPunct/>
        <w:topLinePunct w:val="0"/>
        <w:autoSpaceDE/>
        <w:autoSpaceDN/>
        <w:bidi w:val="0"/>
        <w:adjustRightInd/>
        <w:snapToGrid/>
        <w:spacing w:after="0" w:line="560" w:lineRule="exact"/>
        <w:ind w:firstLine="800" w:firstLineChars="2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5E0B7C8C">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5F1F78C0">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644D0897">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7027A3E1">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0F12C3FA">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5C7C5CD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1AA04C15">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5E44DE81">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191577EC">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59B18E9D">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C3A9DEF">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57664896">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45BF4E29">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w:t>
      </w:r>
      <w:r>
        <w:rPr>
          <w:rFonts w:hint="eastAsia" w:ascii="仿宋_GB2312" w:eastAsia="仿宋_GB2312"/>
          <w:color w:val="auto"/>
          <w:sz w:val="32"/>
          <w:szCs w:val="32"/>
          <w:highlight w:val="none"/>
          <w:u w:val="none"/>
          <w:shd w:val="clear" w:fill="FFFFFF"/>
          <w:lang w:val="zh-CN" w:eastAsia="zh-CN"/>
        </w:rPr>
        <w:t>（二）、</w:t>
      </w:r>
      <w:r>
        <w:rPr>
          <w:rFonts w:hint="eastAsia" w:ascii="仿宋_GB2312" w:eastAsia="仿宋_GB2312"/>
          <w:color w:val="auto"/>
          <w:sz w:val="32"/>
          <w:szCs w:val="32"/>
          <w:highlight w:val="none"/>
          <w:u w:val="none"/>
          <w:lang w:val="zh-CN" w:eastAsia="zh-CN"/>
        </w:rPr>
        <w:t>3执行）</w:t>
      </w:r>
    </w:p>
    <w:p w14:paraId="6DC134C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35CE7924">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07BF945B">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en-US" w:eastAsia="zh-CN"/>
        </w:rPr>
        <w:t>12</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5DA8D353">
      <w:pPr>
        <w:pStyle w:val="6"/>
        <w:pageBreakBefore w:val="0"/>
        <w:shd w:val="clear" w:color="auto" w:fill="auto"/>
        <w:kinsoku/>
        <w:wordWrap/>
        <w:overflowPunct/>
        <w:topLinePunct w:val="0"/>
        <w:autoSpaceDE/>
        <w:autoSpaceDN/>
        <w:bidi w:val="0"/>
        <w:adjustRightInd/>
        <w:snapToGrid/>
        <w:spacing w:after="0" w:line="560" w:lineRule="exact"/>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66C3FE3C">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611425E9">
      <w:pPr>
        <w:pStyle w:val="19"/>
        <w:pageBreakBefore w:val="0"/>
        <w:shd w:val="clear" w:color="auto" w:fill="auto"/>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32"/>
          <w:szCs w:val="32"/>
          <w:highlight w:val="none"/>
          <w:u w:val="none"/>
          <w:lang w:val="zh-CN"/>
        </w:rPr>
      </w:pPr>
    </w:p>
    <w:p w14:paraId="25233328">
      <w:pPr>
        <w:pStyle w:val="19"/>
        <w:pageBreakBefore w:val="0"/>
        <w:shd w:val="clear" w:color="auto" w:fill="auto"/>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rPr>
        <w:t>第二部分  手续认定</w:t>
      </w:r>
    </w:p>
    <w:p w14:paraId="2E6C7504">
      <w:pPr>
        <w:pStyle w:val="19"/>
        <w:pageBreakBefore w:val="0"/>
        <w:shd w:val="clear" w:color="auto" w:fill="auto"/>
        <w:kinsoku/>
        <w:wordWrap/>
        <w:overflowPunct/>
        <w:topLinePunct w:val="0"/>
        <w:autoSpaceDE/>
        <w:autoSpaceDN/>
        <w:bidi w:val="0"/>
        <w:adjustRightInd/>
        <w:snapToGrid/>
        <w:spacing w:line="560" w:lineRule="exact"/>
        <w:ind w:firstLine="803" w:firstLineChars="250"/>
        <w:jc w:val="both"/>
        <w:textAlignment w:val="auto"/>
        <w:rPr>
          <w:rFonts w:hint="eastAsia" w:ascii="仿宋_GB2312" w:eastAsia="仿宋_GB2312"/>
          <w:color w:val="auto"/>
          <w:sz w:val="32"/>
          <w:szCs w:val="32"/>
          <w:highlight w:val="none"/>
          <w:u w:val="none"/>
          <w:lang w:val="zh-CN" w:eastAsia="zh-CN"/>
        </w:rPr>
      </w:pPr>
    </w:p>
    <w:p w14:paraId="0EE62389">
      <w:pPr>
        <w:pStyle w:val="19"/>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lang w:val="zh-CN" w:eastAsia="zh-CN"/>
        </w:rPr>
        <w:t>七</w:t>
      </w:r>
      <w:r>
        <w:rPr>
          <w:rFonts w:hint="eastAsia" w:ascii="黑体" w:hAnsi="黑体" w:eastAsia="黑体" w:cs="黑体"/>
          <w:b w:val="0"/>
          <w:bCs w:val="0"/>
          <w:color w:val="auto"/>
          <w:sz w:val="32"/>
          <w:szCs w:val="32"/>
          <w:highlight w:val="none"/>
          <w:u w:val="none"/>
          <w:lang w:val="zh-CN"/>
        </w:rPr>
        <w:t>、手续完整</w:t>
      </w:r>
    </w:p>
    <w:p w14:paraId="640D16D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48F9370C">
      <w:pPr>
        <w:pStyle w:val="19"/>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八、手续不完整</w:t>
      </w:r>
    </w:p>
    <w:p w14:paraId="13F6D88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B640A5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09DCF50C">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274274C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515CB085">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3C2CAA1F">
      <w:pPr>
        <w:pStyle w:val="6"/>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085FBCB5">
      <w:pPr>
        <w:pStyle w:val="19"/>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九、无手续</w:t>
      </w:r>
    </w:p>
    <w:p w14:paraId="6224E6DE">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74073544">
      <w:pPr>
        <w:pStyle w:val="6"/>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0588E67D">
      <w:pPr>
        <w:pStyle w:val="6"/>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D338598">
      <w:pPr>
        <w:pStyle w:val="6"/>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4C27FD71">
      <w:pPr>
        <w:pStyle w:val="6"/>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056D29F1">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575D7A8B">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4BABD34B">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2011年6月30日以后建成的，一律不予认定补偿安置面积，</w:t>
      </w:r>
      <w:r>
        <w:rPr>
          <w:rFonts w:hint="eastAsia" w:ascii="仿宋_GB2312" w:eastAsia="仿宋_GB2312"/>
          <w:color w:val="auto"/>
          <w:sz w:val="32"/>
          <w:szCs w:val="32"/>
          <w:highlight w:val="none"/>
          <w:u w:val="none"/>
          <w:lang w:val="zh-CN" w:eastAsia="zh-CN"/>
        </w:rPr>
        <w:t>只给予建安造价补偿，并可</w:t>
      </w:r>
      <w:r>
        <w:rPr>
          <w:rFonts w:hint="eastAsia" w:ascii="仿宋_GB2312" w:eastAsia="仿宋_GB2312"/>
          <w:color w:val="auto"/>
          <w:sz w:val="32"/>
          <w:szCs w:val="32"/>
          <w:highlight w:val="none"/>
          <w:u w:val="none"/>
          <w:lang w:val="zh-CN"/>
        </w:rPr>
        <w:t>视实际情况</w:t>
      </w:r>
      <w:r>
        <w:rPr>
          <w:rFonts w:hint="eastAsia" w:ascii="仿宋_GB2312" w:eastAsia="仿宋_GB2312"/>
          <w:color w:val="auto"/>
          <w:sz w:val="32"/>
          <w:szCs w:val="32"/>
          <w:highlight w:val="none"/>
          <w:u w:val="none"/>
          <w:lang w:val="zh-CN" w:eastAsia="zh-CN"/>
        </w:rPr>
        <w:t>给予</w:t>
      </w:r>
      <w:r>
        <w:rPr>
          <w:rFonts w:hint="eastAsia" w:ascii="仿宋_GB2312" w:eastAsia="仿宋_GB2312"/>
          <w:color w:val="auto"/>
          <w:sz w:val="32"/>
          <w:szCs w:val="32"/>
          <w:highlight w:val="none"/>
          <w:u w:val="none"/>
          <w:lang w:val="zh-CN"/>
        </w:rPr>
        <w:t>150-300元/㎡一次性搬迁补助。</w:t>
      </w:r>
    </w:p>
    <w:p w14:paraId="7C73012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172D7FA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72D1CF2B">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2BEC68FB">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建房时间和建房手续由村（居）审核并公示后，由项目所在镇街会同征迁工作组结合航拍图等技术资料予以审核确认。</w:t>
      </w:r>
    </w:p>
    <w:p w14:paraId="2D85A8B9">
      <w:pPr>
        <w:pStyle w:val="19"/>
        <w:pageBreakBefore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lang w:val="zh-CN"/>
        </w:rPr>
        <w:t>第</w:t>
      </w:r>
      <w:r>
        <w:rPr>
          <w:rFonts w:hint="eastAsia" w:ascii="黑体" w:hAnsi="黑体" w:eastAsia="黑体" w:cs="黑体"/>
          <w:b w:val="0"/>
          <w:bCs w:val="0"/>
          <w:color w:val="auto"/>
          <w:sz w:val="32"/>
          <w:szCs w:val="32"/>
          <w:highlight w:val="none"/>
          <w:u w:val="none"/>
          <w:lang w:val="zh-CN" w:eastAsia="zh-CN"/>
        </w:rPr>
        <w:t>三</w:t>
      </w:r>
      <w:r>
        <w:rPr>
          <w:rFonts w:hint="eastAsia" w:ascii="黑体" w:hAnsi="黑体" w:eastAsia="黑体" w:cs="黑体"/>
          <w:b w:val="0"/>
          <w:bCs w:val="0"/>
          <w:color w:val="auto"/>
          <w:sz w:val="32"/>
          <w:szCs w:val="32"/>
          <w:highlight w:val="none"/>
          <w:u w:val="none"/>
          <w:lang w:val="zh-CN"/>
        </w:rPr>
        <w:t>部分  住宅补偿安置</w:t>
      </w:r>
    </w:p>
    <w:p w14:paraId="2BEC595B">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sz w:val="32"/>
          <w:szCs w:val="32"/>
          <w:highlight w:val="none"/>
          <w:u w:val="none"/>
          <w:lang w:val="zh-CN"/>
        </w:rPr>
      </w:pPr>
    </w:p>
    <w:p w14:paraId="13370311">
      <w:pPr>
        <w:pStyle w:val="19"/>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十、补偿计算</w:t>
      </w:r>
    </w:p>
    <w:p w14:paraId="75117E7A">
      <w:pPr>
        <w:pStyle w:val="6"/>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47F53C85">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3B8CFC91">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60%计算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rPr>
        <w:t>万元/亩的40%计算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1E32AA3E">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77694C63">
      <w:pPr>
        <w:pStyle w:val="6"/>
        <w:pageBreakBefore w:val="0"/>
        <w:shd w:val="clear" w:color="auto" w:fill="auto"/>
        <w:kinsoku/>
        <w:wordWrap/>
        <w:overflowPunct/>
        <w:topLinePunct w:val="0"/>
        <w:autoSpaceDE/>
        <w:autoSpaceDN/>
        <w:bidi w:val="0"/>
        <w:adjustRightInd/>
        <w:snapToGrid/>
        <w:spacing w:after="0" w:line="560" w:lineRule="exact"/>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1BD82F45">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埕地、空地面积×相应的埕地、空地补偿价</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经国土部门确权的，属出让土地的按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sz w:val="32"/>
          <w:szCs w:val="32"/>
          <w:highlight w:val="none"/>
          <w:u w:val="none"/>
          <w:lang w:val="en-US" w:eastAsia="zh-CN"/>
        </w:rPr>
        <w:t>52.53</w:t>
      </w:r>
      <w:r>
        <w:rPr>
          <w:rFonts w:hint="eastAsia" w:ascii="仿宋_GB2312" w:eastAsia="仿宋_GB2312"/>
          <w:color w:val="auto"/>
          <w:sz w:val="32"/>
          <w:szCs w:val="32"/>
          <w:highlight w:val="none"/>
          <w:u w:val="none"/>
          <w:lang w:val="zh-CN" w:eastAsia="zh-CN"/>
        </w:rPr>
        <w:t>万元/亩的40%计算；其他未确权和未经市镇（街）两级清理收费的，按</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万元/亩</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739294BF">
      <w:pPr>
        <w:pStyle w:val="6"/>
        <w:pageBreakBefore w:val="0"/>
        <w:numPr>
          <w:ilvl w:val="0"/>
          <w:numId w:val="0"/>
        </w:numPr>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69A7F8FE">
      <w:pPr>
        <w:pStyle w:val="6"/>
        <w:pageBreakBefore w:val="0"/>
        <w:numPr>
          <w:ilvl w:val="0"/>
          <w:numId w:val="0"/>
        </w:numPr>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以上（含）计算建筑面积，阁楼层层高小于2.2</w:t>
      </w:r>
      <w:r>
        <w:rPr>
          <w:rFonts w:hint="eastAsia" w:ascii="仿宋_GB2312" w:eastAsia="仿宋_GB2312"/>
          <w:color w:val="auto"/>
          <w:sz w:val="32"/>
          <w:szCs w:val="32"/>
          <w:highlight w:val="none"/>
          <w:u w:val="none"/>
          <w:lang w:val="zh-CN"/>
        </w:rPr>
        <w:t>m</w:t>
      </w:r>
      <w:r>
        <w:rPr>
          <w:rFonts w:hint="eastAsia" w:ascii="仿宋_GB2312" w:eastAsia="仿宋_GB2312"/>
          <w:b w:val="0"/>
          <w:bCs w:val="0"/>
          <w:color w:val="auto"/>
          <w:sz w:val="32"/>
          <w:szCs w:val="32"/>
          <w:highlight w:val="none"/>
          <w:u w:val="none"/>
          <w:lang w:val="zh-CN"/>
        </w:rPr>
        <w:t>部分不计算建筑面积。坡屋顶阁楼不计入总层数。</w:t>
      </w:r>
    </w:p>
    <w:p w14:paraId="62BFA04E">
      <w:pPr>
        <w:pStyle w:val="6"/>
        <w:pageBreakBefore w:val="0"/>
        <w:numPr>
          <w:ilvl w:val="0"/>
          <w:numId w:val="0"/>
        </w:numPr>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3B38736E">
      <w:pPr>
        <w:pStyle w:val="6"/>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467B7E5A">
      <w:pPr>
        <w:pStyle w:val="6"/>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50B1CB55">
      <w:pPr>
        <w:pStyle w:val="19"/>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十一、安置办法</w:t>
      </w:r>
    </w:p>
    <w:p w14:paraId="7257938E">
      <w:pPr>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6424130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0CFA89D9">
      <w:pPr>
        <w:pStyle w:val="6"/>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（二）安置原则及安置房价格</w:t>
      </w:r>
    </w:p>
    <w:p w14:paraId="52851023">
      <w:pPr>
        <w:pStyle w:val="6"/>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w:t>
      </w:r>
      <w:r>
        <w:rPr>
          <w:rFonts w:hint="eastAsia" w:ascii="仿宋_GB2312" w:eastAsia="仿宋_GB2312"/>
          <w:color w:val="auto"/>
          <w:sz w:val="32"/>
          <w:szCs w:val="32"/>
          <w:highlight w:val="none"/>
          <w:u w:val="none"/>
          <w:shd w:val="clear" w:fill="FFFFFF"/>
          <w:lang w:val="zh-CN"/>
        </w:rPr>
        <w:t>套</w:t>
      </w:r>
      <w:r>
        <w:rPr>
          <w:rFonts w:hint="eastAsia" w:ascii="仿宋_GB2312" w:eastAsia="仿宋_GB2312"/>
          <w:color w:val="auto"/>
          <w:sz w:val="32"/>
          <w:szCs w:val="32"/>
          <w:highlight w:val="none"/>
          <w:u w:val="none"/>
          <w:lang w:val="zh-CN"/>
        </w:rPr>
        <w:t>相应结构类别补缴费用，详见附表五。</w:t>
      </w:r>
    </w:p>
    <w:p w14:paraId="6D3C439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10"/>
        <w:tblW w:w="11073"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3840"/>
        <w:gridCol w:w="1005"/>
        <w:gridCol w:w="1005"/>
        <w:gridCol w:w="1350"/>
        <w:gridCol w:w="1290"/>
        <w:gridCol w:w="2070"/>
      </w:tblGrid>
      <w:tr w14:paraId="11B0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dxa"/>
            <w:vAlign w:val="center"/>
          </w:tcPr>
          <w:p w14:paraId="2A2C1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b/>
                <w:bCs/>
                <w:color w:val="auto"/>
                <w:kern w:val="0"/>
                <w:sz w:val="24"/>
                <w:szCs w:val="24"/>
                <w:highlight w:val="none"/>
                <w:u w:val="none"/>
                <w:lang w:val="en-US" w:eastAsia="zh-CN" w:bidi="ar-SA"/>
              </w:rPr>
            </w:pPr>
            <w:r>
              <w:rPr>
                <w:rFonts w:hint="eastAsia" w:ascii="仿宋_GB2312" w:hAnsi="仿宋_GB2312" w:eastAsia="仿宋_GB2312" w:cs="仿宋_GB2312"/>
                <w:b/>
                <w:bCs/>
                <w:color w:val="auto"/>
                <w:kern w:val="0"/>
                <w:sz w:val="24"/>
                <w:szCs w:val="24"/>
                <w:highlight w:val="none"/>
                <w:u w:val="none"/>
              </w:rPr>
              <w:t>序号</w:t>
            </w:r>
          </w:p>
        </w:tc>
        <w:tc>
          <w:tcPr>
            <w:tcW w:w="3840" w:type="dxa"/>
            <w:vAlign w:val="center"/>
          </w:tcPr>
          <w:p w14:paraId="2FE68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安置区</w:t>
            </w:r>
          </w:p>
        </w:tc>
        <w:tc>
          <w:tcPr>
            <w:tcW w:w="1005" w:type="dxa"/>
            <w:vAlign w:val="center"/>
          </w:tcPr>
          <w:p w14:paraId="168A1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补差价</w:t>
            </w:r>
          </w:p>
          <w:p w14:paraId="133B6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（元/㎡）</w:t>
            </w:r>
          </w:p>
        </w:tc>
        <w:tc>
          <w:tcPr>
            <w:tcW w:w="1005" w:type="dxa"/>
            <w:vAlign w:val="center"/>
          </w:tcPr>
          <w:p w14:paraId="0AD34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照顾</w:t>
            </w:r>
          </w:p>
          <w:p w14:paraId="2C039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购买价</w:t>
            </w:r>
          </w:p>
          <w:p w14:paraId="32FDD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（元/㎡）</w:t>
            </w:r>
          </w:p>
        </w:tc>
        <w:tc>
          <w:tcPr>
            <w:tcW w:w="1350" w:type="dxa"/>
            <w:vAlign w:val="center"/>
          </w:tcPr>
          <w:p w14:paraId="75C2B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误差面积在7㎡以内的补偿价</w:t>
            </w:r>
          </w:p>
          <w:p w14:paraId="54DEA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（元/㎡）</w:t>
            </w:r>
          </w:p>
        </w:tc>
        <w:tc>
          <w:tcPr>
            <w:tcW w:w="1290" w:type="dxa"/>
            <w:vAlign w:val="center"/>
          </w:tcPr>
          <w:p w14:paraId="67883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误差面积超出7㎡部分的补偿价</w:t>
            </w:r>
          </w:p>
          <w:p w14:paraId="46787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（元/㎡）</w:t>
            </w:r>
          </w:p>
        </w:tc>
        <w:tc>
          <w:tcPr>
            <w:tcW w:w="2070" w:type="dxa"/>
            <w:vAlign w:val="center"/>
          </w:tcPr>
          <w:p w14:paraId="3F3CF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计划</w:t>
            </w:r>
          </w:p>
          <w:p w14:paraId="0721F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交房</w:t>
            </w:r>
          </w:p>
          <w:p w14:paraId="2DBFB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kern w:val="0"/>
                <w:sz w:val="24"/>
                <w:szCs w:val="24"/>
                <w:highlight w:val="none"/>
                <w:u w:val="none"/>
              </w:rPr>
            </w:pPr>
            <w:r>
              <w:rPr>
                <w:rFonts w:hint="eastAsia" w:ascii="仿宋_GB2312" w:hAnsi="仿宋_GB2312" w:eastAsia="仿宋_GB2312" w:cs="仿宋_GB2312"/>
                <w:b/>
                <w:bCs/>
                <w:color w:val="auto"/>
                <w:kern w:val="0"/>
                <w:sz w:val="24"/>
                <w:szCs w:val="24"/>
                <w:highlight w:val="none"/>
                <w:u w:val="none"/>
              </w:rPr>
              <w:t>时间</w:t>
            </w:r>
          </w:p>
        </w:tc>
      </w:tr>
      <w:tr w14:paraId="626C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13" w:type="dxa"/>
            <w:vAlign w:val="center"/>
          </w:tcPr>
          <w:p w14:paraId="75754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b w:val="0"/>
                <w:bCs w:val="0"/>
                <w:color w:val="auto"/>
                <w:sz w:val="30"/>
                <w:szCs w:val="30"/>
                <w:highlight w:val="none"/>
                <w:u w:val="none"/>
                <w:lang w:val="en-US" w:eastAsia="zh-CN"/>
              </w:rPr>
              <w:t>1</w:t>
            </w:r>
          </w:p>
        </w:tc>
        <w:tc>
          <w:tcPr>
            <w:tcW w:w="3840" w:type="dxa"/>
            <w:vAlign w:val="center"/>
          </w:tcPr>
          <w:p w14:paraId="0E43C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云锦苑</w:t>
            </w:r>
          </w:p>
          <w:p w14:paraId="0CA5734E">
            <w:pPr>
              <w:pStyle w:val="2"/>
              <w:keepNext w:val="0"/>
              <w:keepLines w:val="0"/>
              <w:pageBreakBefore w:val="0"/>
              <w:widowControl w:val="0"/>
              <w:kinsoku/>
              <w:wordWrap/>
              <w:overflowPunct/>
              <w:topLinePunct w:val="0"/>
              <w:autoSpaceDE/>
              <w:autoSpaceDN/>
              <w:bidi w:val="0"/>
              <w:adjustRightInd/>
              <w:snapToGrid/>
              <w:spacing w:beforeAutospacing="0" w:line="300" w:lineRule="exact"/>
              <w:ind w:left="0" w:leftChars="0" w:firstLine="0" w:firstLineChars="0"/>
              <w:textAlignment w:val="auto"/>
              <w:rPr>
                <w:rFonts w:hint="eastAsia"/>
                <w:sz w:val="30"/>
                <w:szCs w:val="30"/>
                <w:lang w:val="en-US" w:eastAsia="zh-CN"/>
              </w:rPr>
            </w:pPr>
            <w:r>
              <w:rPr>
                <w:rFonts w:hint="eastAsia" w:ascii="仿宋_GB2312" w:hAnsi="仿宋_GB2312" w:eastAsia="仿宋_GB2312" w:cs="仿宋_GB2312"/>
                <w:color w:val="auto"/>
                <w:sz w:val="30"/>
                <w:szCs w:val="30"/>
                <w:highlight w:val="none"/>
                <w:u w:val="none"/>
                <w:lang w:val="en-US" w:eastAsia="zh-CN"/>
              </w:rPr>
              <w:t>（政府储备地2020-048号）</w:t>
            </w:r>
          </w:p>
        </w:tc>
        <w:tc>
          <w:tcPr>
            <w:tcW w:w="1005" w:type="dxa"/>
            <w:vAlign w:val="center"/>
          </w:tcPr>
          <w:p w14:paraId="2B4CE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eastAsia="仿宋_GB2312" w:cs="仿宋_GB2312"/>
                <w:color w:val="auto"/>
                <w:kern w:val="0"/>
                <w:sz w:val="30"/>
                <w:szCs w:val="30"/>
                <w:highlight w:val="none"/>
                <w:u w:val="none"/>
                <w:lang w:val="en-US" w:eastAsia="zh-CN"/>
              </w:rPr>
            </w:pPr>
            <w:r>
              <w:rPr>
                <w:rFonts w:hint="eastAsia" w:ascii="仿宋_GB2312" w:hAnsi="仿宋_GB2312" w:eastAsia="仿宋_GB2312" w:cs="仿宋_GB2312"/>
                <w:color w:val="auto"/>
                <w:kern w:val="0"/>
                <w:sz w:val="30"/>
                <w:szCs w:val="30"/>
                <w:highlight w:val="none"/>
                <w:u w:val="none"/>
                <w:lang w:val="en-US" w:eastAsia="zh-CN"/>
              </w:rPr>
              <w:t>3000</w:t>
            </w:r>
          </w:p>
        </w:tc>
        <w:tc>
          <w:tcPr>
            <w:tcW w:w="1005" w:type="dxa"/>
            <w:vAlign w:val="center"/>
          </w:tcPr>
          <w:p w14:paraId="0A184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eastAsia="仿宋_GB2312" w:cs="仿宋_GB2312"/>
                <w:color w:val="auto"/>
                <w:kern w:val="0"/>
                <w:sz w:val="30"/>
                <w:szCs w:val="30"/>
                <w:highlight w:val="none"/>
                <w:u w:val="none"/>
                <w:lang w:val="en-US" w:eastAsia="zh-CN"/>
              </w:rPr>
            </w:pPr>
            <w:r>
              <w:rPr>
                <w:rFonts w:hint="eastAsia" w:ascii="仿宋_GB2312" w:hAnsi="仿宋_GB2312" w:eastAsia="仿宋_GB2312" w:cs="仿宋_GB2312"/>
                <w:color w:val="auto"/>
                <w:kern w:val="0"/>
                <w:sz w:val="30"/>
                <w:szCs w:val="30"/>
                <w:highlight w:val="none"/>
                <w:u w:val="none"/>
                <w:lang w:val="en-US" w:eastAsia="zh-CN"/>
              </w:rPr>
              <w:t>--</w:t>
            </w:r>
          </w:p>
        </w:tc>
        <w:tc>
          <w:tcPr>
            <w:tcW w:w="1350" w:type="dxa"/>
            <w:vAlign w:val="center"/>
          </w:tcPr>
          <w:p w14:paraId="4F9D7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eastAsia="仿宋_GB2312" w:cs="仿宋_GB2312"/>
                <w:color w:val="auto"/>
                <w:kern w:val="0"/>
                <w:sz w:val="30"/>
                <w:szCs w:val="30"/>
                <w:highlight w:val="none"/>
                <w:u w:val="none"/>
                <w:lang w:val="en-US" w:eastAsia="zh-CN"/>
              </w:rPr>
            </w:pPr>
            <w:r>
              <w:rPr>
                <w:rFonts w:hint="eastAsia" w:ascii="仿宋_GB2312" w:hAnsi="仿宋_GB2312" w:eastAsia="仿宋_GB2312" w:cs="仿宋_GB2312"/>
                <w:color w:val="auto"/>
                <w:kern w:val="0"/>
                <w:sz w:val="30"/>
                <w:szCs w:val="30"/>
                <w:highlight w:val="none"/>
                <w:u w:val="none"/>
                <w:lang w:val="en-US" w:eastAsia="zh-CN"/>
              </w:rPr>
              <w:t>7500</w:t>
            </w:r>
          </w:p>
        </w:tc>
        <w:tc>
          <w:tcPr>
            <w:tcW w:w="1290" w:type="dxa"/>
            <w:vAlign w:val="center"/>
          </w:tcPr>
          <w:p w14:paraId="3EFD1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eastAsia="仿宋_GB2312" w:cs="仿宋_GB2312"/>
                <w:color w:val="auto"/>
                <w:kern w:val="0"/>
                <w:sz w:val="30"/>
                <w:szCs w:val="30"/>
                <w:highlight w:val="none"/>
                <w:u w:val="none"/>
                <w:lang w:val="en-US" w:eastAsia="zh-CN"/>
              </w:rPr>
            </w:pPr>
            <w:r>
              <w:rPr>
                <w:rFonts w:hint="eastAsia" w:ascii="仿宋_GB2312" w:hAnsi="仿宋_GB2312" w:eastAsia="仿宋_GB2312" w:cs="仿宋_GB2312"/>
                <w:color w:val="auto"/>
                <w:kern w:val="0"/>
                <w:sz w:val="30"/>
                <w:szCs w:val="30"/>
                <w:highlight w:val="none"/>
                <w:u w:val="none"/>
                <w:lang w:val="en-US" w:eastAsia="zh-CN"/>
              </w:rPr>
              <w:t>9000</w:t>
            </w:r>
          </w:p>
        </w:tc>
        <w:tc>
          <w:tcPr>
            <w:tcW w:w="2070" w:type="dxa"/>
            <w:vAlign w:val="center"/>
          </w:tcPr>
          <w:p w14:paraId="7B800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color w:val="auto"/>
                <w:kern w:val="0"/>
                <w:sz w:val="30"/>
                <w:szCs w:val="30"/>
                <w:highlight w:val="none"/>
                <w:u w:val="none"/>
                <w:lang w:val="en-US" w:eastAsia="zh-CN"/>
              </w:rPr>
            </w:pPr>
            <w:r>
              <w:rPr>
                <w:rFonts w:hint="eastAsia" w:ascii="仿宋_GB2312" w:hAnsi="仿宋_GB2312" w:eastAsia="仿宋_GB2312" w:cs="仿宋_GB2312"/>
                <w:color w:val="auto"/>
                <w:kern w:val="0"/>
                <w:sz w:val="30"/>
                <w:szCs w:val="30"/>
                <w:highlight w:val="none"/>
                <w:u w:val="none"/>
                <w:lang w:val="en-US" w:eastAsia="zh-CN"/>
              </w:rPr>
              <w:t>2026年</w:t>
            </w:r>
          </w:p>
          <w:p w14:paraId="2041F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eastAsia="仿宋_GB2312" w:cs="仿宋_GB2312"/>
                <w:color w:val="auto"/>
                <w:kern w:val="0"/>
                <w:sz w:val="30"/>
                <w:szCs w:val="30"/>
                <w:highlight w:val="none"/>
                <w:u w:val="none"/>
                <w:lang w:val="en-US" w:eastAsia="zh-CN"/>
              </w:rPr>
            </w:pPr>
            <w:r>
              <w:rPr>
                <w:rFonts w:hint="eastAsia" w:ascii="仿宋_GB2312" w:hAnsi="仿宋_GB2312" w:eastAsia="仿宋_GB2312" w:cs="仿宋_GB2312"/>
                <w:color w:val="auto"/>
                <w:kern w:val="0"/>
                <w:sz w:val="30"/>
                <w:szCs w:val="30"/>
                <w:highlight w:val="none"/>
                <w:u w:val="none"/>
                <w:lang w:val="en-US" w:eastAsia="zh-CN"/>
              </w:rPr>
              <w:t>1月14日</w:t>
            </w:r>
          </w:p>
        </w:tc>
      </w:tr>
    </w:tbl>
    <w:p w14:paraId="58E410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69B954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b w:val="0"/>
          <w:bCs w:val="0"/>
          <w:color w:val="auto"/>
          <w:kern w:val="0"/>
          <w:sz w:val="32"/>
          <w:szCs w:val="32"/>
          <w:highlight w:val="none"/>
          <w:u w:val="none"/>
          <w:lang w:val="en-US" w:eastAsia="zh-CN"/>
        </w:rPr>
      </w:pPr>
      <w:r>
        <w:rPr>
          <w:rFonts w:hint="eastAsia" w:ascii="仿宋_GB2312" w:eastAsia="仿宋_GB2312"/>
          <w:b w:val="0"/>
          <w:bCs w:val="0"/>
          <w:color w:val="auto"/>
          <w:kern w:val="0"/>
          <w:sz w:val="32"/>
          <w:szCs w:val="32"/>
          <w:highlight w:val="none"/>
          <w:u w:val="none"/>
          <w:lang w:val="zh-CN" w:eastAsia="zh-CN"/>
        </w:rPr>
        <w:t>拆迁区范围内的被征收人安置房可在</w:t>
      </w:r>
      <w:r>
        <w:rPr>
          <w:rFonts w:hint="eastAsia" w:ascii="仿宋_GB2312" w:eastAsia="仿宋_GB2312"/>
          <w:b w:val="0"/>
          <w:bCs w:val="0"/>
          <w:color w:val="auto"/>
          <w:kern w:val="0"/>
          <w:sz w:val="32"/>
          <w:szCs w:val="32"/>
          <w:highlight w:val="none"/>
          <w:u w:val="none"/>
          <w:lang w:val="en-US" w:eastAsia="zh-CN"/>
        </w:rPr>
        <w:t>云锦苑（政府储备地2020-048号）安置区</w:t>
      </w:r>
      <w:r>
        <w:rPr>
          <w:rFonts w:hint="eastAsia" w:ascii="仿宋_GB2312" w:eastAsia="仿宋_GB2312"/>
          <w:b w:val="0"/>
          <w:bCs w:val="0"/>
          <w:color w:val="auto"/>
          <w:kern w:val="0"/>
          <w:sz w:val="32"/>
          <w:szCs w:val="32"/>
          <w:highlight w:val="none"/>
          <w:u w:val="none"/>
          <w:lang w:val="zh-CN" w:eastAsia="zh-CN"/>
        </w:rPr>
        <w:t>中选择；其中单幢认定补偿安置面积大于</w:t>
      </w:r>
      <w:r>
        <w:rPr>
          <w:rFonts w:hint="eastAsia" w:ascii="仿宋_GB2312" w:eastAsia="仿宋_GB2312"/>
          <w:b w:val="0"/>
          <w:bCs w:val="0"/>
          <w:color w:val="auto"/>
          <w:kern w:val="0"/>
          <w:sz w:val="32"/>
          <w:szCs w:val="32"/>
          <w:highlight w:val="none"/>
          <w:u w:val="none"/>
          <w:lang w:val="en-US" w:eastAsia="zh-CN"/>
        </w:rPr>
        <w:t>150㎡小于600㎡的（不含150㎡和600㎡），</w:t>
      </w:r>
      <w:r>
        <w:rPr>
          <w:rFonts w:hint="eastAsia" w:ascii="仿宋_GB2312" w:eastAsia="仿宋_GB2312"/>
          <w:b w:val="0"/>
          <w:bCs w:val="0"/>
          <w:color w:val="auto"/>
          <w:kern w:val="0"/>
          <w:sz w:val="32"/>
          <w:szCs w:val="32"/>
          <w:highlight w:val="none"/>
          <w:u w:val="none"/>
          <w:lang w:val="zh-CN" w:eastAsia="zh-CN"/>
        </w:rPr>
        <w:t>只允许</w:t>
      </w:r>
      <w:r>
        <w:rPr>
          <w:rFonts w:hint="eastAsia" w:ascii="仿宋_GB2312" w:eastAsia="仿宋_GB2312"/>
          <w:b w:val="0"/>
          <w:bCs w:val="0"/>
          <w:color w:val="auto"/>
          <w:kern w:val="0"/>
          <w:sz w:val="32"/>
          <w:szCs w:val="32"/>
          <w:highlight w:val="none"/>
          <w:u w:val="none"/>
          <w:lang w:val="en-US" w:eastAsia="zh-CN"/>
        </w:rPr>
        <w:t>在</w:t>
      </w:r>
      <w:r>
        <w:rPr>
          <w:rFonts w:hint="eastAsia" w:ascii="仿宋_GB2312" w:eastAsia="仿宋_GB2312"/>
          <w:b w:val="0"/>
          <w:bCs w:val="0"/>
          <w:color w:val="auto"/>
          <w:kern w:val="0"/>
          <w:sz w:val="32"/>
          <w:szCs w:val="32"/>
          <w:highlight w:val="none"/>
          <w:u w:val="none"/>
          <w:lang w:val="zh-CN" w:eastAsia="zh-CN"/>
        </w:rPr>
        <w:t>房源中选择最多一套边套140㎡及以上户型,单幢房屋经认定补偿安置面积不小于600㎡的,可享受房源两套边套140㎡及以上户型；一个产权人拥有两幢或多幢房屋且认定补偿安置总面积和大于450㎡,可享受房源不超过两套的边套140㎡及以上户型（</w:t>
      </w:r>
      <w:r>
        <w:rPr>
          <w:rFonts w:hint="eastAsia" w:ascii="仿宋_GB2312" w:eastAsia="仿宋_GB2312"/>
          <w:b w:val="0"/>
          <w:bCs w:val="0"/>
          <w:color w:val="auto"/>
          <w:kern w:val="0"/>
          <w:sz w:val="32"/>
          <w:szCs w:val="32"/>
          <w:highlight w:val="none"/>
          <w:u w:val="none"/>
          <w:shd w:val="clear" w:fill="FFFFFF"/>
          <w:lang w:val="zh-CN" w:eastAsia="zh-CN"/>
        </w:rPr>
        <w:t>以</w:t>
      </w:r>
      <w:r>
        <w:rPr>
          <w:rFonts w:hint="eastAsia" w:ascii="仿宋_GB2312" w:eastAsia="仿宋_GB2312"/>
          <w:b w:val="0"/>
          <w:bCs w:val="0"/>
          <w:color w:val="auto"/>
          <w:kern w:val="0"/>
          <w:sz w:val="32"/>
          <w:szCs w:val="32"/>
          <w:highlight w:val="none"/>
          <w:u w:val="none"/>
          <w:lang w:val="zh-CN" w:eastAsia="zh-CN"/>
        </w:rPr>
        <w:t>幢单位，从祠堂或祖厅分割出来的不计为一幢)。福清房源只能进行产权调换，不能使用照顾购买面积及上限面积。</w:t>
      </w:r>
    </w:p>
    <w:p w14:paraId="309CD6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选择的安置房面积可上靠或下调，选择上靠的</w:t>
      </w:r>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7F2E148C">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）的，原则上实行货币补偿；如被征收人在本区域内有其</w:t>
      </w:r>
      <w:r>
        <w:rPr>
          <w:rFonts w:hint="eastAsia" w:ascii="仿宋_GB2312" w:hAnsi="仿宋_GB2312" w:eastAsia="仿宋_GB2312" w:cs="仿宋_GB2312"/>
          <w:color w:val="auto"/>
          <w:sz w:val="32"/>
          <w:szCs w:val="32"/>
          <w:highlight w:val="none"/>
          <w:u w:val="none"/>
          <w:lang w:val="zh-CN" w:eastAsia="zh-CN"/>
        </w:rPr>
        <w:t>他</w:t>
      </w:r>
      <w:r>
        <w:rPr>
          <w:rFonts w:hint="eastAsia" w:ascii="仿宋_GB2312" w:hAnsi="仿宋_GB2312" w:eastAsia="仿宋_GB2312" w:cs="仿宋_GB2312"/>
          <w:color w:val="auto"/>
          <w:sz w:val="32"/>
          <w:szCs w:val="32"/>
          <w:highlight w:val="none"/>
          <w:u w:val="none"/>
          <w:lang w:val="zh-CN"/>
        </w:rPr>
        <w:t>被征收房屋的（含共有产权析产所得份额），可合并安置</w:t>
      </w:r>
      <w:r>
        <w:rPr>
          <w:rFonts w:hint="eastAsia" w:ascii="仿宋_GB2312" w:eastAsia="仿宋_GB2312"/>
          <w:color w:val="auto"/>
          <w:sz w:val="32"/>
          <w:szCs w:val="32"/>
          <w:highlight w:val="none"/>
          <w:u w:val="none"/>
          <w:lang w:val="zh-CN"/>
        </w:rPr>
        <w:t>。</w:t>
      </w:r>
    </w:p>
    <w:p w14:paraId="0FD55268">
      <w:pPr>
        <w:pStyle w:val="19"/>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十二、搬迁过渡</w:t>
      </w:r>
    </w:p>
    <w:p w14:paraId="41AB4577">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6DD381AE">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78DF2AF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1B0470D9">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800" w:firstLineChars="25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起至安置房交房</w:t>
      </w:r>
      <w:r>
        <w:rPr>
          <w:rFonts w:hint="eastAsia" w:ascii="仿宋_GB2312" w:eastAsia="仿宋_GB2312"/>
          <w:color w:val="auto"/>
          <w:sz w:val="32"/>
          <w:szCs w:val="32"/>
          <w:highlight w:val="none"/>
          <w:u w:val="none"/>
          <w:lang w:val="zh-CN" w:eastAsia="zh-CN"/>
        </w:rPr>
        <w:t>之日</w:t>
      </w:r>
      <w:r>
        <w:rPr>
          <w:rFonts w:hint="eastAsia" w:ascii="仿宋_GB2312" w:eastAsia="仿宋_GB2312"/>
          <w:color w:val="auto"/>
          <w:sz w:val="32"/>
          <w:szCs w:val="32"/>
          <w:highlight w:val="none"/>
          <w:u w:val="none"/>
          <w:lang w:val="zh-CN"/>
        </w:rPr>
        <w:t>止。选择不同安置区的具体过渡期限详见“十一、安置办法”中的表格</w:t>
      </w:r>
      <w:r>
        <w:rPr>
          <w:rFonts w:hint="eastAsia" w:ascii="仿宋_GB2312" w:eastAsia="仿宋_GB2312"/>
          <w:color w:val="auto"/>
          <w:sz w:val="32"/>
          <w:szCs w:val="32"/>
          <w:highlight w:val="none"/>
          <w:u w:val="none"/>
        </w:rPr>
        <w:t>。</w:t>
      </w:r>
    </w:p>
    <w:p w14:paraId="53A92B69">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800" w:firstLineChars="2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032AFC27">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800" w:firstLineChars="2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78848666">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800" w:firstLineChars="2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4473CDF0">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800" w:firstLineChars="2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B174EEE">
      <w:pPr>
        <w:pStyle w:val="19"/>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十三、签约协商期限</w:t>
      </w:r>
    </w:p>
    <w:p w14:paraId="3B75C0B8">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12B2A8B9">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480" w:firstLineChars="15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72EE15BA">
      <w:pPr>
        <w:pStyle w:val="6"/>
        <w:keepNext w:val="0"/>
        <w:keepLines w:val="0"/>
        <w:pageBreakBefore w:val="0"/>
        <w:shd w:val="clear" w:color="auto" w:fill="auto"/>
        <w:kinsoku/>
        <w:wordWrap/>
        <w:overflowPunct/>
        <w:topLinePunct w:val="0"/>
        <w:autoSpaceDE/>
        <w:autoSpaceDN/>
        <w:bidi w:val="0"/>
        <w:adjustRightInd/>
        <w:snapToGrid/>
        <w:spacing w:after="0" w:line="560" w:lineRule="exact"/>
        <w:ind w:left="319" w:leftChars="152" w:firstLine="160" w:firstLineChars="50"/>
        <w:textAlignment w:val="auto"/>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（二）房屋征收协商签约期限：以正式方案公布为准。</w:t>
      </w:r>
    </w:p>
    <w:p w14:paraId="4B63FEE7">
      <w:pPr>
        <w:pStyle w:val="19"/>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十四、奖励措施</w:t>
      </w:r>
    </w:p>
    <w:p w14:paraId="75CA61E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43602666">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2A061192">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730196A3">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774AB4E7">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22C7ADB2">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w:t>
      </w:r>
      <w:r>
        <w:rPr>
          <w:rFonts w:hint="eastAsia" w:ascii="仿宋_GB2312" w:eastAsia="仿宋_GB2312"/>
          <w:b w:val="0"/>
          <w:bCs w:val="0"/>
          <w:color w:val="auto"/>
          <w:sz w:val="32"/>
          <w:szCs w:val="32"/>
          <w:highlight w:val="none"/>
          <w:u w:val="none"/>
          <w:lang w:val="zh-CN"/>
        </w:rPr>
        <w:t>弃</w:t>
      </w:r>
      <w:r>
        <w:rPr>
          <w:rFonts w:hint="eastAsia" w:ascii="仿宋_GB2312" w:eastAsia="仿宋_GB2312"/>
          <w:b w:val="0"/>
          <w:bCs w:val="0"/>
          <w:color w:val="auto"/>
          <w:sz w:val="32"/>
          <w:szCs w:val="32"/>
          <w:highlight w:val="none"/>
          <w:u w:val="none"/>
          <w:lang w:val="zh-CN" w:eastAsia="zh-CN"/>
        </w:rPr>
        <w:t>产权调换</w:t>
      </w:r>
      <w:r>
        <w:rPr>
          <w:rFonts w:hint="eastAsia" w:ascii="仿宋_GB2312" w:eastAsia="仿宋_GB2312"/>
          <w:b w:val="0"/>
          <w:bCs w:val="0"/>
          <w:color w:val="auto"/>
          <w:sz w:val="32"/>
          <w:szCs w:val="32"/>
          <w:highlight w:val="none"/>
          <w:u w:val="none"/>
          <w:lang w:val="zh-CN"/>
        </w:rPr>
        <w:t>安置的补</w:t>
      </w:r>
      <w:r>
        <w:rPr>
          <w:rFonts w:hint="eastAsia" w:ascii="仿宋_GB2312" w:eastAsia="仿宋_GB2312"/>
          <w:b w:val="0"/>
          <w:bCs w:val="0"/>
          <w:color w:val="auto"/>
          <w:sz w:val="32"/>
          <w:szCs w:val="32"/>
          <w:highlight w:val="none"/>
          <w:u w:val="none"/>
          <w:lang w:val="zh-CN" w:eastAsia="zh-CN"/>
        </w:rPr>
        <w:t>差：选择货币补偿，</w:t>
      </w:r>
      <w:r>
        <w:rPr>
          <w:rFonts w:hint="eastAsia" w:ascii="仿宋_GB2312" w:eastAsia="仿宋_GB2312"/>
          <w:b w:val="0"/>
          <w:bCs w:val="0"/>
          <w:color w:val="auto"/>
          <w:sz w:val="32"/>
          <w:szCs w:val="32"/>
          <w:highlight w:val="none"/>
          <w:u w:val="none"/>
          <w:lang w:val="zh-CN"/>
        </w:rPr>
        <w:t>放弃</w:t>
      </w:r>
      <w:r>
        <w:rPr>
          <w:rFonts w:hint="eastAsia" w:ascii="仿宋_GB2312" w:eastAsia="仿宋_GB2312"/>
          <w:b w:val="0"/>
          <w:bCs w:val="0"/>
          <w:color w:val="auto"/>
          <w:sz w:val="32"/>
          <w:szCs w:val="32"/>
          <w:highlight w:val="none"/>
          <w:u w:val="none"/>
          <w:lang w:val="zh-CN" w:eastAsia="zh-CN"/>
        </w:rPr>
        <w:t>产权调换</w:t>
      </w:r>
      <w:r>
        <w:rPr>
          <w:rFonts w:hint="eastAsia" w:ascii="仿宋_GB2312" w:eastAsia="仿宋_GB2312"/>
          <w:b w:val="0"/>
          <w:bCs w:val="0"/>
          <w:color w:val="auto"/>
          <w:sz w:val="32"/>
          <w:szCs w:val="32"/>
          <w:highlight w:val="none"/>
          <w:u w:val="none"/>
          <w:lang w:val="zh-CN"/>
        </w:rPr>
        <w:t>安置的，按经认定</w:t>
      </w:r>
      <w:r>
        <w:rPr>
          <w:rFonts w:hint="eastAsia" w:ascii="仿宋_GB2312" w:eastAsia="仿宋_GB2312"/>
          <w:b w:val="0"/>
          <w:bCs w:val="0"/>
          <w:color w:val="auto"/>
          <w:sz w:val="32"/>
          <w:szCs w:val="32"/>
          <w:highlight w:val="none"/>
          <w:u w:val="none"/>
          <w:lang w:val="zh-CN" w:eastAsia="zh-CN"/>
        </w:rPr>
        <w:t>补偿安置</w:t>
      </w:r>
      <w:r>
        <w:rPr>
          <w:rFonts w:hint="eastAsia" w:ascii="仿宋_GB2312" w:eastAsia="仿宋_GB2312"/>
          <w:b w:val="0"/>
          <w:bCs w:val="0"/>
          <w:color w:val="auto"/>
          <w:sz w:val="32"/>
          <w:szCs w:val="32"/>
          <w:highlight w:val="none"/>
          <w:u w:val="none"/>
          <w:shd w:val="clear" w:fill="FFFFFF"/>
          <w:lang w:val="zh-CN" w:eastAsia="zh-CN"/>
        </w:rPr>
        <w:t>面积总</w:t>
      </w:r>
      <w:r>
        <w:rPr>
          <w:rFonts w:hint="eastAsia" w:ascii="仿宋_GB2312" w:eastAsia="仿宋_GB2312"/>
          <w:b w:val="0"/>
          <w:bCs w:val="0"/>
          <w:color w:val="auto"/>
          <w:sz w:val="32"/>
          <w:szCs w:val="32"/>
          <w:highlight w:val="none"/>
          <w:u w:val="none"/>
          <w:lang w:val="zh-CN" w:eastAsia="zh-CN"/>
        </w:rPr>
        <w:t>四层及以下的给予</w:t>
      </w:r>
      <w:r>
        <w:rPr>
          <w:rFonts w:hint="eastAsia" w:ascii="仿宋_GB2312" w:eastAsia="仿宋_GB2312"/>
          <w:color w:val="auto"/>
          <w:sz w:val="32"/>
          <w:szCs w:val="32"/>
          <w:highlight w:val="none"/>
          <w:u w:val="none"/>
          <w:lang w:val="en-US" w:eastAsia="zh-CN"/>
        </w:rPr>
        <w:t>1500</w:t>
      </w:r>
      <w:r>
        <w:rPr>
          <w:rFonts w:hint="eastAsia" w:ascii="仿宋_GB2312" w:eastAsia="仿宋_GB2312"/>
          <w:b w:val="0"/>
          <w:bCs w:val="0"/>
          <w:color w:val="auto"/>
          <w:sz w:val="32"/>
          <w:szCs w:val="32"/>
          <w:highlight w:val="none"/>
          <w:u w:val="none"/>
          <w:lang w:val="zh-CN" w:eastAsia="zh-CN"/>
        </w:rPr>
        <w:t>元/㎡补差款；超过四层的房屋，四层及以下给予</w:t>
      </w:r>
      <w:r>
        <w:rPr>
          <w:rFonts w:hint="eastAsia" w:ascii="仿宋_GB2312" w:eastAsia="仿宋_GB2312"/>
          <w:color w:val="auto"/>
          <w:sz w:val="32"/>
          <w:szCs w:val="32"/>
          <w:highlight w:val="none"/>
          <w:u w:val="none"/>
          <w:lang w:val="en-US" w:eastAsia="zh-CN"/>
        </w:rPr>
        <w:t>1500</w:t>
      </w:r>
      <w:r>
        <w:rPr>
          <w:rFonts w:hint="eastAsia" w:ascii="仿宋_GB2312" w:eastAsia="仿宋_GB2312"/>
          <w:b w:val="0"/>
          <w:bCs w:val="0"/>
          <w:color w:val="auto"/>
          <w:sz w:val="32"/>
          <w:szCs w:val="32"/>
          <w:highlight w:val="none"/>
          <w:u w:val="none"/>
          <w:lang w:val="zh-CN" w:eastAsia="zh-CN"/>
        </w:rPr>
        <w:t>元/㎡补差款，五层部分给予</w:t>
      </w:r>
      <w:r>
        <w:rPr>
          <w:rFonts w:hint="eastAsia" w:ascii="仿宋_GB2312" w:eastAsia="仿宋_GB2312"/>
          <w:color w:val="auto"/>
          <w:sz w:val="32"/>
          <w:szCs w:val="32"/>
          <w:highlight w:val="none"/>
          <w:u w:val="none"/>
          <w:lang w:val="en-US" w:eastAsia="zh-CN"/>
        </w:rPr>
        <w:t>1000</w:t>
      </w:r>
      <w:r>
        <w:rPr>
          <w:rFonts w:hint="eastAsia" w:ascii="仿宋_GB2312" w:eastAsia="仿宋_GB2312"/>
          <w:b w:val="0"/>
          <w:bCs w:val="0"/>
          <w:color w:val="auto"/>
          <w:sz w:val="32"/>
          <w:szCs w:val="32"/>
          <w:highlight w:val="none"/>
          <w:u w:val="none"/>
          <w:lang w:val="zh-CN" w:eastAsia="zh-CN"/>
        </w:rPr>
        <w:t>元/㎡补差款，六层部分给予</w:t>
      </w:r>
      <w:r>
        <w:rPr>
          <w:rFonts w:hint="eastAsia" w:ascii="仿宋_GB2312" w:eastAsia="仿宋_GB2312"/>
          <w:color w:val="auto"/>
          <w:sz w:val="32"/>
          <w:szCs w:val="32"/>
          <w:highlight w:val="none"/>
          <w:u w:val="none"/>
          <w:lang w:val="en-US" w:eastAsia="zh-CN"/>
        </w:rPr>
        <w:t>800</w:t>
      </w:r>
      <w:r>
        <w:rPr>
          <w:rFonts w:hint="eastAsia" w:ascii="仿宋_GB2312" w:eastAsia="仿宋_GB2312"/>
          <w:b w:val="0"/>
          <w:bCs w:val="0"/>
          <w:color w:val="auto"/>
          <w:sz w:val="32"/>
          <w:szCs w:val="32"/>
          <w:highlight w:val="none"/>
          <w:u w:val="none"/>
          <w:lang w:val="zh-CN" w:eastAsia="zh-CN"/>
        </w:rPr>
        <w:t>元/㎡补差款，七层及以上部分不再补差。放弃产权调换安置的，其照顾购买面积不予补差。</w:t>
      </w:r>
    </w:p>
    <w:p w14:paraId="3B1F81A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埕地、空地奖励：征收未经审批和镇街清理的埕地、空地，给予</w:t>
      </w:r>
      <w:r>
        <w:rPr>
          <w:rFonts w:hint="eastAsia" w:ascii="仿宋_GB2312" w:eastAsia="仿宋_GB2312"/>
          <w:color w:val="auto"/>
          <w:sz w:val="32"/>
          <w:szCs w:val="32"/>
          <w:highlight w:val="none"/>
          <w:u w:val="none"/>
          <w:lang w:val="en-US" w:eastAsia="zh-CN"/>
        </w:rPr>
        <w:t>3.5</w:t>
      </w:r>
      <w:r>
        <w:rPr>
          <w:rFonts w:hint="eastAsia" w:ascii="仿宋_GB2312" w:eastAsia="仿宋_GB2312"/>
          <w:color w:val="auto"/>
          <w:sz w:val="32"/>
          <w:szCs w:val="32"/>
          <w:highlight w:val="none"/>
          <w:u w:val="none"/>
          <w:lang w:val="zh-CN" w:eastAsia="zh-CN"/>
        </w:rPr>
        <w:t>万元/亩的</w:t>
      </w:r>
      <w:r>
        <w:rPr>
          <w:rFonts w:hint="eastAsia" w:ascii="仿宋_GB2312" w:eastAsia="仿宋_GB2312"/>
          <w:b w:val="0"/>
          <w:bCs w:val="0"/>
          <w:color w:val="auto"/>
          <w:sz w:val="32"/>
          <w:szCs w:val="32"/>
          <w:highlight w:val="none"/>
          <w:u w:val="none"/>
          <w:lang w:val="zh-CN" w:eastAsia="zh-CN"/>
        </w:rPr>
        <w:t>奖励，被认定不予补偿安置</w:t>
      </w:r>
      <w:r>
        <w:rPr>
          <w:rFonts w:hint="eastAsia" w:ascii="仿宋_GB2312" w:eastAsia="仿宋_GB2312"/>
          <w:color w:val="auto"/>
          <w:sz w:val="32"/>
          <w:szCs w:val="32"/>
          <w:highlight w:val="none"/>
          <w:u w:val="none"/>
          <w:lang w:val="zh-CN" w:eastAsia="zh-CN"/>
        </w:rPr>
        <w:t>的建筑占地面积参照此项奖励。已享受该补助的埕地、空地在征地面积中不再享受预留地政策。经审批和镇街清理的埕地、空地按审批或清理的价格补偿，同时也不享受该补助。</w:t>
      </w:r>
    </w:p>
    <w:p w14:paraId="6714644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w:t>
      </w:r>
      <w:r>
        <w:rPr>
          <w:rFonts w:hint="eastAsia" w:ascii="仿宋_GB2312" w:eastAsia="仿宋_GB2312"/>
          <w:color w:val="auto"/>
          <w:sz w:val="32"/>
          <w:szCs w:val="32"/>
          <w:highlight w:val="none"/>
          <w:u w:val="none"/>
          <w:lang w:val="zh-CN"/>
        </w:rPr>
        <w:t>以被征收房屋整栋为单</w:t>
      </w:r>
      <w:r>
        <w:rPr>
          <w:rFonts w:hint="eastAsia" w:ascii="仿宋_GB2312" w:eastAsia="仿宋_GB2312"/>
          <w:color w:val="auto"/>
          <w:sz w:val="32"/>
          <w:szCs w:val="32"/>
          <w:highlight w:val="none"/>
          <w:u w:val="none"/>
          <w:lang w:val="zh-CN" w:eastAsia="zh-CN"/>
        </w:rPr>
        <w:t>位，按原房屋认定补偿安置面积的10%给予公摊面积奖励且每栋最多不超过10㎡、不超过所选安置房公摊总面积，公摊面积奖励以</w:t>
      </w:r>
      <w:r>
        <w:rPr>
          <w:rFonts w:hint="eastAsia" w:ascii="仿宋_GB2312" w:eastAsia="仿宋_GB2312"/>
          <w:color w:val="auto"/>
          <w:sz w:val="32"/>
          <w:szCs w:val="32"/>
          <w:highlight w:val="none"/>
          <w:u w:val="none"/>
          <w:lang w:val="en-US" w:eastAsia="zh-CN"/>
        </w:rPr>
        <w:t>4000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51C43729">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4719D40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6F3E45FF">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615EACAB">
      <w:pPr>
        <w:pStyle w:val="19"/>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十五、住宅改为经营性用房按时搬迁补助</w:t>
      </w:r>
    </w:p>
    <w:p w14:paraId="4382A2B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4114DB24">
      <w:pPr>
        <w:pStyle w:val="6"/>
        <w:keepNext w:val="0"/>
        <w:keepLines w:val="0"/>
        <w:pageBreakBefore w:val="0"/>
        <w:numPr>
          <w:ilvl w:val="0"/>
          <w:numId w:val="0"/>
        </w:numPr>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w:t>
      </w:r>
      <w:r>
        <w:rPr>
          <w:rFonts w:hint="eastAsia" w:ascii="仿宋_GB2312" w:eastAsia="仿宋_GB2312"/>
          <w:sz w:val="32"/>
          <w:szCs w:val="32"/>
          <w:highlight w:val="none"/>
          <w:lang w:val="zh-CN"/>
        </w:rPr>
        <w:t>深部分不予补助。</w:t>
      </w:r>
      <w:r>
        <w:rPr>
          <w:rFonts w:hint="eastAsia" w:ascii="仿宋_GB2312" w:eastAsia="仿宋_GB2312"/>
          <w:sz w:val="32"/>
          <w:szCs w:val="32"/>
          <w:highlight w:val="none"/>
          <w:lang w:val="zh-CN" w:eastAsia="zh-CN"/>
        </w:rPr>
        <w:t>补助的标准为：临12m及以上道路的，按补助面积给予</w:t>
      </w:r>
      <w:r>
        <w:rPr>
          <w:rFonts w:hint="eastAsia" w:ascii="仿宋_GB2312" w:eastAsia="仿宋_GB2312"/>
          <w:color w:val="auto"/>
          <w:sz w:val="32"/>
          <w:szCs w:val="32"/>
          <w:highlight w:val="none"/>
          <w:u w:val="none"/>
          <w:lang w:val="en-US" w:eastAsia="zh-CN"/>
        </w:rPr>
        <w:t>2000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w:t>
      </w:r>
      <w:r>
        <w:rPr>
          <w:rFonts w:hint="eastAsia" w:ascii="仿宋_GB2312" w:eastAsia="仿宋_GB2312"/>
          <w:color w:val="auto"/>
          <w:sz w:val="32"/>
          <w:szCs w:val="32"/>
          <w:highlight w:val="none"/>
          <w:u w:val="none"/>
          <w:lang w:val="en-US" w:eastAsia="zh-CN"/>
        </w:rPr>
        <w:t>1000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w:t>
      </w:r>
      <w:r>
        <w:rPr>
          <w:rFonts w:hint="eastAsia" w:ascii="仿宋_GB2312" w:eastAsia="仿宋_GB2312"/>
          <w:sz w:val="32"/>
          <w:szCs w:val="32"/>
          <w:highlight w:val="none"/>
          <w:u w:val="none"/>
          <w:lang w:val="en-US" w:eastAsia="zh-CN"/>
        </w:rPr>
        <w:t>500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50123011">
      <w:pPr>
        <w:pStyle w:val="6"/>
        <w:keepNext w:val="0"/>
        <w:keepLines w:val="0"/>
        <w:pageBreakBefore w:val="0"/>
        <w:numPr>
          <w:ilvl w:val="0"/>
          <w:numId w:val="0"/>
        </w:numPr>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w:t>
      </w:r>
      <w:r>
        <w:rPr>
          <w:rFonts w:hint="eastAsia" w:ascii="仿宋_GB2312" w:eastAsia="仿宋_GB2312"/>
          <w:sz w:val="32"/>
          <w:szCs w:val="32"/>
          <w:highlight w:val="none"/>
          <w:lang w:val="en-US" w:eastAsia="zh-CN"/>
        </w:rPr>
        <w:t>且现状仍处于经营状态</w:t>
      </w:r>
      <w:r>
        <w:rPr>
          <w:rFonts w:ascii="仿宋_GB2312" w:eastAsia="仿宋_GB2312"/>
          <w:sz w:val="32"/>
          <w:szCs w:val="32"/>
          <w:highlight w:val="none"/>
          <w:lang w:val="zh-CN"/>
        </w:rPr>
        <w:t>，未持有工商营业执照和税务登记证明的，</w:t>
      </w:r>
      <w:r>
        <w:rPr>
          <w:rFonts w:hint="eastAsia" w:ascii="仿宋_GB2312" w:eastAsia="仿宋_GB2312"/>
          <w:sz w:val="32"/>
          <w:szCs w:val="32"/>
          <w:highlight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w:t>
      </w:r>
      <w:r>
        <w:rPr>
          <w:rFonts w:hint="eastAsia" w:ascii="仿宋_GB2312" w:eastAsia="仿宋_GB2312"/>
          <w:color w:val="auto"/>
          <w:sz w:val="32"/>
          <w:szCs w:val="32"/>
          <w:highlight w:val="none"/>
          <w:u w:val="none"/>
          <w:lang w:val="en-US" w:eastAsia="zh-CN"/>
        </w:rPr>
        <w:t>1000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w:t>
      </w:r>
      <w:r>
        <w:rPr>
          <w:rFonts w:hint="eastAsia" w:ascii="仿宋_GB2312" w:eastAsia="仿宋_GB2312"/>
          <w:color w:val="auto"/>
          <w:sz w:val="32"/>
          <w:szCs w:val="32"/>
          <w:highlight w:val="none"/>
          <w:u w:val="none"/>
          <w:lang w:val="en-US" w:eastAsia="zh-CN"/>
        </w:rPr>
        <w:t>500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w:t>
      </w:r>
      <w:r>
        <w:rPr>
          <w:rFonts w:hint="eastAsia" w:ascii="仿宋_GB2312" w:eastAsia="仿宋_GB2312"/>
          <w:color w:val="auto"/>
          <w:sz w:val="32"/>
          <w:szCs w:val="32"/>
          <w:highlight w:val="none"/>
          <w:u w:val="none"/>
          <w:lang w:val="en-US" w:eastAsia="zh-CN"/>
        </w:rPr>
        <w:t>300</w:t>
      </w:r>
      <w:r>
        <w:rPr>
          <w:rFonts w:hint="eastAsia" w:ascii="仿宋_GB2312" w:eastAsia="仿宋_GB2312"/>
          <w:sz w:val="32"/>
          <w:szCs w:val="32"/>
          <w:highlight w:val="none"/>
          <w:lang w:val="zh-CN" w:eastAsia="zh-CN"/>
        </w:rPr>
        <w:t>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19A9AA28">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71792847">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w:t>
      </w:r>
      <w:r>
        <w:rPr>
          <w:rFonts w:hint="eastAsia" w:ascii="仿宋_GB2312" w:eastAsia="仿宋_GB2312"/>
          <w:color w:val="auto"/>
          <w:sz w:val="32"/>
          <w:szCs w:val="32"/>
          <w:highlight w:val="none"/>
          <w:u w:val="none"/>
          <w:shd w:val="clear" w:fill="FFFFFF"/>
          <w:lang w:val="zh-CN"/>
        </w:rPr>
        <w:t>的确</w:t>
      </w:r>
      <w:r>
        <w:rPr>
          <w:rFonts w:hint="eastAsia" w:ascii="仿宋_GB2312" w:eastAsia="仿宋_GB2312"/>
          <w:color w:val="auto"/>
          <w:sz w:val="32"/>
          <w:szCs w:val="32"/>
          <w:highlight w:val="none"/>
          <w:u w:val="none"/>
          <w:lang w:val="zh-CN"/>
        </w:rPr>
        <w:t>系处于经营状态的</w:t>
      </w:r>
      <w:r>
        <w:rPr>
          <w:rFonts w:hint="eastAsia" w:ascii="仿宋_GB2312" w:eastAsia="仿宋_GB2312"/>
          <w:b w:val="0"/>
          <w:bCs w:val="0"/>
          <w:color w:val="auto"/>
          <w:sz w:val="32"/>
          <w:szCs w:val="32"/>
          <w:highlight w:val="none"/>
          <w:u w:val="none"/>
          <w:lang w:val="zh-CN"/>
        </w:rPr>
        <w:t>，镇（街）、征迁工作组</w:t>
      </w:r>
      <w:r>
        <w:rPr>
          <w:rFonts w:hint="eastAsia" w:ascii="仿宋_GB2312" w:hAnsi="仿宋_GB2312" w:eastAsia="仿宋_GB2312" w:cs="仿宋_GB2312"/>
          <w:b w:val="0"/>
          <w:bCs w:val="0"/>
          <w:sz w:val="32"/>
          <w:szCs w:val="32"/>
          <w:u w:val="none"/>
          <w:lang w:val="en-US" w:eastAsia="zh-CN"/>
        </w:rPr>
        <w:t>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1852AA7C">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4209D8AD">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157" w:firstLineChars="49"/>
        <w:jc w:val="both"/>
        <w:textAlignment w:val="auto"/>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黑体" w:hAnsi="黑体" w:eastAsia="黑体" w:cs="黑体"/>
          <w:b w:val="0"/>
          <w:bCs w:val="0"/>
          <w:color w:val="auto"/>
          <w:sz w:val="32"/>
          <w:szCs w:val="32"/>
          <w:highlight w:val="none"/>
          <w:u w:val="none"/>
          <w:lang w:val="zh-CN" w:eastAsia="zh-CN"/>
        </w:rPr>
        <w:t>十六、</w:t>
      </w:r>
      <w:r>
        <w:rPr>
          <w:rFonts w:hint="eastAsia" w:ascii="黑体" w:hAnsi="黑体" w:eastAsia="黑体" w:cs="黑体"/>
          <w:b w:val="0"/>
          <w:bCs w:val="0"/>
          <w:color w:val="auto"/>
          <w:sz w:val="32"/>
          <w:szCs w:val="32"/>
          <w:highlight w:val="none"/>
          <w:u w:val="none"/>
          <w:shd w:val="clear" w:fill="FFFFFF"/>
          <w:lang w:val="zh-CN" w:eastAsia="zh-CN"/>
        </w:rPr>
        <w:t>其它</w:t>
      </w:r>
      <w:r>
        <w:rPr>
          <w:rFonts w:hint="eastAsia" w:ascii="黑体" w:hAnsi="黑体" w:eastAsia="黑体" w:cs="黑体"/>
          <w:b w:val="0"/>
          <w:bCs w:val="0"/>
          <w:color w:val="auto"/>
          <w:sz w:val="32"/>
          <w:szCs w:val="32"/>
          <w:highlight w:val="none"/>
          <w:u w:val="none"/>
          <w:lang w:val="zh-CN" w:eastAsia="zh-CN"/>
        </w:rPr>
        <w:t xml:space="preserve">补偿  </w:t>
      </w:r>
    </w:p>
    <w:p w14:paraId="034946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w:t>
      </w:r>
      <w:r>
        <w:rPr>
          <w:rFonts w:hint="eastAsia" w:ascii="仿宋_GB2312" w:eastAsia="仿宋_GB2312"/>
          <w:color w:val="000000"/>
          <w:sz w:val="32"/>
          <w:szCs w:val="32"/>
          <w:highlight w:val="none"/>
          <w:u w:val="none"/>
          <w:lang w:val="zh-CN"/>
        </w:rPr>
        <w:t>《福清市人民政府关于公布福清市征收土地地上附着物和青苗等补偿标准的通知》（融政</w:t>
      </w:r>
      <w:r>
        <w:rPr>
          <w:rFonts w:hint="eastAsia" w:ascii="仿宋_GB2312" w:eastAsia="仿宋_GB2312"/>
          <w:color w:val="000000"/>
          <w:sz w:val="32"/>
          <w:szCs w:val="32"/>
          <w:highlight w:val="none"/>
          <w:u w:val="none"/>
          <w:lang w:val="zh-CN" w:eastAsia="zh-CN"/>
        </w:rPr>
        <w:t>规</w:t>
      </w:r>
      <w:r>
        <w:rPr>
          <w:rFonts w:hint="eastAsia" w:ascii="仿宋_GB2312" w:hAnsi="Arial" w:eastAsia="仿宋_GB2312" w:cs="Arial"/>
          <w:color w:val="333333"/>
          <w:sz w:val="32"/>
          <w:szCs w:val="32"/>
          <w:shd w:val="clear" w:color="auto" w:fill="FFFFFF"/>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eastAsia="仿宋_GB2312"/>
          <w:color w:val="000000"/>
          <w:sz w:val="32"/>
          <w:szCs w:val="32"/>
          <w:highlight w:val="none"/>
          <w:u w:val="none"/>
          <w:lang w:val="en-US" w:eastAsia="zh-CN"/>
        </w:rPr>
        <w:t>1</w:t>
      </w:r>
      <w:r>
        <w:rPr>
          <w:rFonts w:hint="eastAsia" w:ascii="仿宋_GB2312" w:eastAsia="仿宋_GB2312"/>
          <w:color w:val="000000"/>
          <w:sz w:val="32"/>
          <w:szCs w:val="32"/>
          <w:highlight w:val="none"/>
          <w:u w:val="none"/>
          <w:lang w:val="zh-CN"/>
        </w:rPr>
        <w:t>号）</w:t>
      </w:r>
      <w:r>
        <w:rPr>
          <w:rFonts w:hint="eastAsia" w:ascii="仿宋_GB2312" w:eastAsia="仿宋_GB2312"/>
          <w:color w:val="auto"/>
          <w:sz w:val="32"/>
          <w:szCs w:val="32"/>
          <w:highlight w:val="none"/>
          <w:u w:val="none"/>
          <w:lang w:val="zh-CN"/>
        </w:rPr>
        <w:t>执行。</w:t>
      </w:r>
    </w:p>
    <w:p w14:paraId="4DB395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lang w:val="zh-CN"/>
        </w:rPr>
      </w:pPr>
    </w:p>
    <w:p w14:paraId="1CA8AE4C">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640"/>
        <w:jc w:val="right"/>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en-US" w:eastAsia="zh-CN"/>
        </w:rPr>
        <w:t xml:space="preserve">      </w:t>
      </w:r>
      <w:r>
        <w:rPr>
          <w:rFonts w:hint="eastAsia" w:ascii="黑体" w:hAnsi="黑体" w:eastAsia="黑体" w:cs="黑体"/>
          <w:b w:val="0"/>
          <w:bCs w:val="0"/>
          <w:color w:val="auto"/>
          <w:sz w:val="32"/>
          <w:szCs w:val="32"/>
          <w:highlight w:val="none"/>
          <w:u w:val="none"/>
          <w:lang w:val="zh-CN"/>
        </w:rPr>
        <w:t>第</w:t>
      </w:r>
      <w:r>
        <w:rPr>
          <w:rFonts w:hint="eastAsia" w:ascii="黑体" w:hAnsi="黑体" w:eastAsia="黑体" w:cs="黑体"/>
          <w:b w:val="0"/>
          <w:bCs w:val="0"/>
          <w:color w:val="auto"/>
          <w:sz w:val="32"/>
          <w:szCs w:val="32"/>
          <w:highlight w:val="none"/>
          <w:u w:val="none"/>
          <w:lang w:val="zh-CN" w:eastAsia="zh-CN"/>
        </w:rPr>
        <w:t>四</w:t>
      </w:r>
      <w:r>
        <w:rPr>
          <w:rFonts w:hint="eastAsia" w:ascii="黑体" w:hAnsi="黑体" w:eastAsia="黑体" w:cs="黑体"/>
          <w:b w:val="0"/>
          <w:bCs w:val="0"/>
          <w:color w:val="auto"/>
          <w:sz w:val="32"/>
          <w:szCs w:val="32"/>
          <w:highlight w:val="none"/>
          <w:u w:val="none"/>
          <w:lang w:val="zh-CN"/>
        </w:rPr>
        <w:t>部分  保障</w:t>
      </w:r>
      <w:r>
        <w:rPr>
          <w:rFonts w:hint="eastAsia" w:ascii="黑体" w:hAnsi="黑体" w:eastAsia="黑体" w:cs="黑体"/>
          <w:b w:val="0"/>
          <w:bCs w:val="0"/>
          <w:color w:val="auto"/>
          <w:sz w:val="32"/>
          <w:szCs w:val="32"/>
          <w:highlight w:val="none"/>
          <w:u w:val="none"/>
          <w:lang w:val="zh-CN" w:eastAsia="zh-CN"/>
        </w:rPr>
        <w:t>措</w:t>
      </w:r>
      <w:r>
        <w:rPr>
          <w:rFonts w:hint="eastAsia" w:ascii="黑体" w:hAnsi="黑体" w:eastAsia="黑体" w:cs="黑体"/>
          <w:b w:val="0"/>
          <w:bCs w:val="0"/>
          <w:color w:val="auto"/>
          <w:sz w:val="32"/>
          <w:szCs w:val="32"/>
          <w:highlight w:val="none"/>
          <w:u w:val="none"/>
          <w:lang w:val="zh-CN"/>
        </w:rPr>
        <w:t>施</w:t>
      </w:r>
    </w:p>
    <w:p w14:paraId="4B427FB3">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630" w:firstLineChars="196"/>
        <w:jc w:val="both"/>
        <w:textAlignment w:val="auto"/>
        <w:rPr>
          <w:rFonts w:hint="eastAsia" w:ascii="仿宋_GB2312" w:eastAsia="仿宋_GB2312"/>
          <w:color w:val="auto"/>
          <w:sz w:val="32"/>
          <w:szCs w:val="32"/>
          <w:highlight w:val="none"/>
          <w:u w:val="none"/>
          <w:lang w:val="zh-CN" w:eastAsia="zh-CN"/>
        </w:rPr>
      </w:pPr>
    </w:p>
    <w:p w14:paraId="3B6950FC">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十七、过渡租金保障</w:t>
      </w:r>
    </w:p>
    <w:p w14:paraId="33874F0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01C6D0F6">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十八、失地农民养老保障</w:t>
      </w:r>
    </w:p>
    <w:p w14:paraId="0E008CA3">
      <w:pPr>
        <w:pStyle w:val="6"/>
        <w:keepNext w:val="0"/>
        <w:keepLines w:val="0"/>
        <w:pageBreakBefore w:val="0"/>
        <w:shd w:val="clear" w:color="auto" w:fill="auto"/>
        <w:kinsoku/>
        <w:wordWrap/>
        <w:overflowPunct/>
        <w:topLinePunct w:val="0"/>
        <w:autoSpaceDE/>
        <w:autoSpaceDN/>
        <w:bidi w:val="0"/>
        <w:adjustRightInd/>
        <w:snapToGrid/>
        <w:spacing w:after="0" w:line="560" w:lineRule="exact"/>
        <w:ind w:left="0"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符合条件的被征地农民给予办理养老保险，由人力资源和社会保障部门依据《福建省征地补偿和被征地农民社会保障办法》（福建省人民政府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w:t>
      </w:r>
      <w:r>
        <w:rPr>
          <w:rFonts w:hint="eastAsia" w:ascii="仿宋_GB2312" w:eastAsia="仿宋_GB2312"/>
          <w:color w:val="auto"/>
          <w:sz w:val="32"/>
          <w:szCs w:val="32"/>
          <w:highlight w:val="none"/>
          <w:u w:val="none"/>
          <w:lang w:val="zh-CN"/>
        </w:rPr>
        <w:t>等有关规定执行。</w:t>
      </w:r>
    </w:p>
    <w:p w14:paraId="79A044E6">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十九、申请公租房保障</w:t>
      </w:r>
    </w:p>
    <w:p w14:paraId="2F41DB2F">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1B751A70">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二十、困难保障</w:t>
      </w:r>
    </w:p>
    <w:p w14:paraId="626C7507">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42785107">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二十一、居住条件保障</w:t>
      </w:r>
    </w:p>
    <w:p w14:paraId="5B6B75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3C208B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50DFF982">
      <w:pPr>
        <w:pStyle w:val="19"/>
        <w:keepNext w:val="0"/>
        <w:keepLines w:val="0"/>
        <w:pageBreakBefore w:val="0"/>
        <w:shd w:val="clear" w:color="auto" w:fill="auto"/>
        <w:kinsoku/>
        <w:wordWrap/>
        <w:overflowPunct/>
        <w:topLinePunct w:val="0"/>
        <w:autoSpaceDE/>
        <w:autoSpaceDN/>
        <w:bidi w:val="0"/>
        <w:adjustRightInd/>
        <w:snapToGrid/>
        <w:spacing w:line="560" w:lineRule="exact"/>
        <w:ind w:right="3101" w:firstLine="640" w:firstLineChars="200"/>
        <w:jc w:val="both"/>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eastAsia="zh-CN"/>
        </w:rPr>
        <w:t>二十二、老人生活费补助</w:t>
      </w:r>
    </w:p>
    <w:p w14:paraId="2FB560D9">
      <w:pPr>
        <w:pStyle w:val="6"/>
        <w:keepNext w:val="0"/>
        <w:keepLines w:val="0"/>
        <w:pageBreakBefore w:val="0"/>
        <w:numPr>
          <w:ilvl w:val="0"/>
          <w:numId w:val="0"/>
        </w:numPr>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内的被征收人（含户籍在一起的其直系亲属）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选择产权调换的,根据选择的安置房源,根据到龄当月(男需满60周岁、女需满55周岁)至回迁安置当月之间时间计算补助,期限上限不超过36个月。</w:t>
      </w:r>
    </w:p>
    <w:p w14:paraId="72DD66A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2、选择货币补偿的,享受老人生活费补助期限上限为36个月。签订协议并封房后36个月内,被征收人根据到龄当月(男需满60周岁、女需满55周岁)至36个月之间的时间计算补助。</w:t>
      </w:r>
    </w:p>
    <w:p w14:paraId="7400B22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110126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商业用房、办公用房和工业用房的被征收人均不享受老人生活补助。</w:t>
      </w:r>
    </w:p>
    <w:p w14:paraId="69BC41CB">
      <w:pPr>
        <w:pStyle w:val="6"/>
        <w:keepNext w:val="0"/>
        <w:keepLines w:val="0"/>
        <w:pageBreakBefore w:val="0"/>
        <w:numPr>
          <w:ilvl w:val="0"/>
          <w:numId w:val="0"/>
        </w:numPr>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4F0FAE30">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auto"/>
          <w:sz w:val="32"/>
          <w:szCs w:val="32"/>
          <w:highlight w:val="none"/>
          <w:u w:val="none"/>
          <w:lang w:val="zh-CN" w:eastAsia="zh-CN"/>
        </w:rPr>
      </w:pPr>
      <w:r>
        <w:rPr>
          <w:rFonts w:hint="eastAsia" w:ascii="黑体" w:hAnsi="黑体" w:eastAsia="黑体" w:cs="黑体"/>
          <w:b w:val="0"/>
          <w:bCs/>
          <w:color w:val="auto"/>
          <w:sz w:val="32"/>
          <w:szCs w:val="32"/>
          <w:highlight w:val="none"/>
          <w:u w:val="none"/>
          <w:lang w:val="zh-CN" w:eastAsia="zh-CN"/>
        </w:rPr>
        <w:t>二十三、</w:t>
      </w:r>
      <w:r>
        <w:rPr>
          <w:rFonts w:hint="eastAsia" w:ascii="黑体" w:hAnsi="黑体" w:eastAsia="黑体" w:cs="黑体"/>
          <w:b w:val="0"/>
          <w:bCs/>
          <w:color w:val="auto"/>
          <w:sz w:val="32"/>
          <w:szCs w:val="32"/>
          <w:highlight w:val="none"/>
          <w:u w:val="none"/>
          <w:shd w:val="clear" w:fill="FFFFFF"/>
          <w:lang w:val="zh-CN" w:eastAsia="zh-CN"/>
        </w:rPr>
        <w:t>其它类别</w:t>
      </w:r>
      <w:r>
        <w:rPr>
          <w:rFonts w:hint="eastAsia" w:ascii="黑体" w:hAnsi="黑体" w:eastAsia="黑体" w:cs="黑体"/>
          <w:b w:val="0"/>
          <w:bCs/>
          <w:color w:val="auto"/>
          <w:sz w:val="32"/>
          <w:szCs w:val="32"/>
          <w:highlight w:val="none"/>
          <w:u w:val="none"/>
          <w:lang w:val="zh-CN" w:eastAsia="zh-CN"/>
        </w:rPr>
        <w:t>房屋补偿安置</w:t>
      </w:r>
    </w:p>
    <w:p w14:paraId="1826923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w:t>
      </w:r>
      <w:r>
        <w:rPr>
          <w:rFonts w:hint="eastAsia" w:ascii="仿宋_GB2312" w:eastAsia="仿宋_GB2312"/>
          <w:color w:val="auto"/>
          <w:sz w:val="32"/>
          <w:szCs w:val="32"/>
          <w:highlight w:val="none"/>
          <w:u w:val="none"/>
          <w:shd w:val="clear" w:fill="FFFFFF"/>
          <w:lang w:val="zh-CN"/>
        </w:rPr>
        <w:t>超</w:t>
      </w:r>
      <w:r>
        <w:rPr>
          <w:rFonts w:hint="eastAsia" w:ascii="仿宋_GB2312" w:eastAsia="仿宋_GB2312"/>
          <w:color w:val="auto"/>
          <w:sz w:val="32"/>
          <w:szCs w:val="32"/>
          <w:highlight w:val="none"/>
          <w:u w:val="none"/>
          <w:lang w:val="zh-CN"/>
        </w:rPr>
        <w:t>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11D2DA9B">
      <w:pPr>
        <w:pStyle w:val="6"/>
        <w:keepNext w:val="0"/>
        <w:keepLines w:val="0"/>
        <w:pageBreakBefore w:val="0"/>
        <w:shd w:val="clear" w:color="auto" w:fill="auto"/>
        <w:kinsoku/>
        <w:wordWrap/>
        <w:overflowPunct/>
        <w:topLinePunct w:val="0"/>
        <w:autoSpaceDE/>
        <w:autoSpaceDN/>
        <w:bidi w:val="0"/>
        <w:adjustRightInd/>
        <w:snapToGrid/>
        <w:spacing w:after="0" w:line="560" w:lineRule="exact"/>
        <w:jc w:val="center"/>
        <w:textAlignment w:val="auto"/>
        <w:rPr>
          <w:rFonts w:hint="eastAsia" w:ascii="仿宋_GB2312" w:eastAsia="仿宋_GB2312"/>
          <w:b/>
          <w:bCs/>
          <w:color w:val="auto"/>
          <w:sz w:val="32"/>
          <w:szCs w:val="32"/>
          <w:highlight w:val="none"/>
          <w:u w:val="none"/>
          <w:lang w:val="zh-CN"/>
        </w:rPr>
      </w:pPr>
    </w:p>
    <w:p w14:paraId="4C678B78">
      <w:pPr>
        <w:pStyle w:val="6"/>
        <w:keepNext w:val="0"/>
        <w:keepLines w:val="0"/>
        <w:pageBreakBefore w:val="0"/>
        <w:shd w:val="clear" w:color="auto" w:fill="auto"/>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rPr>
        <w:t>第</w:t>
      </w:r>
      <w:r>
        <w:rPr>
          <w:rFonts w:hint="eastAsia" w:ascii="黑体" w:hAnsi="黑体" w:eastAsia="黑体" w:cs="黑体"/>
          <w:b w:val="0"/>
          <w:bCs w:val="0"/>
          <w:color w:val="auto"/>
          <w:sz w:val="32"/>
          <w:szCs w:val="32"/>
          <w:highlight w:val="none"/>
          <w:u w:val="none"/>
          <w:lang w:val="zh-CN" w:eastAsia="zh-CN"/>
        </w:rPr>
        <w:t>五</w:t>
      </w:r>
      <w:r>
        <w:rPr>
          <w:rFonts w:hint="eastAsia" w:ascii="黑体" w:hAnsi="黑体" w:eastAsia="黑体" w:cs="黑体"/>
          <w:b w:val="0"/>
          <w:bCs w:val="0"/>
          <w:color w:val="auto"/>
          <w:sz w:val="32"/>
          <w:szCs w:val="32"/>
          <w:highlight w:val="none"/>
          <w:u w:val="none"/>
          <w:lang w:val="zh-CN"/>
        </w:rPr>
        <w:t>部分    其他规定</w:t>
      </w:r>
    </w:p>
    <w:p w14:paraId="7E11392F">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color w:val="auto"/>
          <w:sz w:val="32"/>
          <w:szCs w:val="32"/>
          <w:highlight w:val="none"/>
          <w:u w:val="none"/>
          <w:lang w:val="zh-CN" w:eastAsia="zh-CN"/>
        </w:rPr>
      </w:pPr>
    </w:p>
    <w:p w14:paraId="2643AA30">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auto"/>
          <w:sz w:val="32"/>
          <w:szCs w:val="32"/>
          <w:highlight w:val="none"/>
          <w:u w:val="none"/>
          <w:lang w:val="zh-CN" w:eastAsia="zh-CN"/>
        </w:rPr>
      </w:pPr>
      <w:r>
        <w:rPr>
          <w:rFonts w:hint="eastAsia" w:ascii="黑体" w:hAnsi="黑体" w:eastAsia="黑体" w:cs="黑体"/>
          <w:b w:val="0"/>
          <w:bCs/>
          <w:color w:val="auto"/>
          <w:sz w:val="32"/>
          <w:szCs w:val="32"/>
          <w:highlight w:val="none"/>
          <w:u w:val="none"/>
          <w:lang w:val="zh-CN" w:eastAsia="zh-CN"/>
        </w:rPr>
        <w:t>二十四、房屋权属不清的处理</w:t>
      </w:r>
    </w:p>
    <w:p w14:paraId="708BFC11">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252B8116">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auto"/>
          <w:sz w:val="32"/>
          <w:szCs w:val="32"/>
          <w:highlight w:val="none"/>
          <w:u w:val="none"/>
          <w:lang w:val="zh-CN" w:eastAsia="zh-CN"/>
        </w:rPr>
      </w:pPr>
      <w:r>
        <w:rPr>
          <w:rFonts w:hint="eastAsia" w:ascii="黑体" w:hAnsi="黑体" w:eastAsia="黑体" w:cs="黑体"/>
          <w:b w:val="0"/>
          <w:bCs/>
          <w:color w:val="auto"/>
          <w:sz w:val="32"/>
          <w:szCs w:val="32"/>
          <w:highlight w:val="none"/>
          <w:u w:val="none"/>
          <w:lang w:val="zh-CN" w:eastAsia="zh-CN"/>
        </w:rPr>
        <w:t>二十五、设定他项权利的处理</w:t>
      </w:r>
    </w:p>
    <w:p w14:paraId="6F820A49">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27ABB7A7">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auto"/>
          <w:sz w:val="32"/>
          <w:szCs w:val="32"/>
          <w:highlight w:val="none"/>
          <w:u w:val="none"/>
          <w:lang w:val="zh-CN" w:eastAsia="zh-CN"/>
        </w:rPr>
      </w:pPr>
      <w:r>
        <w:rPr>
          <w:rFonts w:hint="eastAsia" w:ascii="黑体" w:hAnsi="黑体" w:eastAsia="黑体" w:cs="黑体"/>
          <w:b w:val="0"/>
          <w:bCs/>
          <w:color w:val="auto"/>
          <w:sz w:val="32"/>
          <w:szCs w:val="32"/>
          <w:highlight w:val="none"/>
          <w:u w:val="none"/>
          <w:lang w:val="zh-CN" w:eastAsia="zh-CN"/>
        </w:rPr>
        <w:t>二十六、超出签约期限内搬迁的处理办法</w:t>
      </w:r>
    </w:p>
    <w:p w14:paraId="6AD864C5">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（一）被征收人超过规定签约期限仍未签订协议并封房的，不享受本实施方案有关的补助、奖励、照顾、保障奖励措施。坚决杜绝超期限搬迁反而多得利的现象发生。</w:t>
      </w:r>
    </w:p>
    <w:p w14:paraId="28123841">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480" w:firstLineChars="15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31F5D7AA">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480" w:firstLineChars="15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6913DDC6">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1956978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auto"/>
          <w:sz w:val="32"/>
          <w:szCs w:val="32"/>
          <w:highlight w:val="none"/>
          <w:u w:val="none"/>
          <w:lang w:val="zh-CN" w:eastAsia="zh-CN"/>
        </w:rPr>
      </w:pPr>
      <w:r>
        <w:rPr>
          <w:rFonts w:hint="eastAsia" w:ascii="黑体" w:hAnsi="黑体" w:eastAsia="黑体" w:cs="黑体"/>
          <w:b w:val="0"/>
          <w:bCs/>
          <w:color w:val="auto"/>
          <w:sz w:val="32"/>
          <w:szCs w:val="32"/>
          <w:highlight w:val="none"/>
          <w:u w:val="none"/>
          <w:lang w:val="zh-CN" w:eastAsia="zh-CN"/>
        </w:rPr>
        <w:t>二十七、房屋搬迁程序</w:t>
      </w:r>
    </w:p>
    <w:p w14:paraId="5450442D">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7E71E4E3">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35EECA5A">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39B2D9F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01CB66AF">
      <w:pPr>
        <w:pStyle w:val="6"/>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（五）征迁工作组按照《房屋征收存档材料清单》制作被征收人的档案内页，归档完毕后交由房屋征收实施单位（属地镇街）保管并负责相关查阅工作。</w:t>
      </w:r>
    </w:p>
    <w:p w14:paraId="65D937F8">
      <w:pPr>
        <w:pStyle w:val="6"/>
        <w:keepNext w:val="0"/>
        <w:keepLines w:val="0"/>
        <w:pageBreakBefore w:val="0"/>
        <w:shd w:val="clear" w:color="auto" w:fill="auto"/>
        <w:kinsoku/>
        <w:wordWrap/>
        <w:overflowPunct/>
        <w:topLinePunct w:val="0"/>
        <w:autoSpaceDE/>
        <w:autoSpaceDN/>
        <w:bidi w:val="0"/>
        <w:adjustRightInd/>
        <w:snapToGrid/>
        <w:spacing w:after="0" w:line="560" w:lineRule="exact"/>
        <w:jc w:val="both"/>
        <w:textAlignment w:val="auto"/>
        <w:rPr>
          <w:rFonts w:hint="eastAsia" w:ascii="仿宋_GB2312" w:eastAsia="仿宋_GB2312"/>
          <w:b/>
          <w:bCs/>
          <w:color w:val="auto"/>
          <w:sz w:val="32"/>
          <w:szCs w:val="32"/>
          <w:highlight w:val="none"/>
          <w:u w:val="none"/>
          <w:lang w:val="zh-CN"/>
        </w:rPr>
      </w:pPr>
    </w:p>
    <w:p w14:paraId="512F15EC">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center"/>
        <w:textAlignment w:val="auto"/>
        <w:rPr>
          <w:rFonts w:hint="eastAsia" w:ascii="黑体" w:hAnsi="黑体" w:eastAsia="黑体" w:cs="黑体"/>
          <w:b w:val="0"/>
          <w:bCs w:val="0"/>
          <w:color w:val="auto"/>
          <w:sz w:val="32"/>
          <w:szCs w:val="32"/>
          <w:highlight w:val="none"/>
          <w:u w:val="none"/>
          <w:lang w:val="zh-CN" w:eastAsia="zh-CN"/>
        </w:rPr>
      </w:pPr>
      <w:r>
        <w:rPr>
          <w:rFonts w:hint="eastAsia" w:ascii="黑体" w:hAnsi="黑体" w:eastAsia="黑体" w:cs="黑体"/>
          <w:b w:val="0"/>
          <w:bCs w:val="0"/>
          <w:color w:val="auto"/>
          <w:sz w:val="32"/>
          <w:szCs w:val="32"/>
          <w:highlight w:val="none"/>
          <w:u w:val="none"/>
          <w:lang w:val="zh-CN"/>
        </w:rPr>
        <w:t>第</w:t>
      </w:r>
      <w:r>
        <w:rPr>
          <w:rFonts w:hint="eastAsia" w:ascii="黑体" w:hAnsi="黑体" w:eastAsia="黑体" w:cs="黑体"/>
          <w:b w:val="0"/>
          <w:bCs w:val="0"/>
          <w:color w:val="auto"/>
          <w:sz w:val="32"/>
          <w:szCs w:val="32"/>
          <w:highlight w:val="none"/>
          <w:u w:val="none"/>
          <w:lang w:val="zh-CN" w:eastAsia="zh-CN"/>
        </w:rPr>
        <w:t>六</w:t>
      </w:r>
      <w:r>
        <w:rPr>
          <w:rFonts w:hint="eastAsia" w:ascii="黑体" w:hAnsi="黑体" w:eastAsia="黑体" w:cs="黑体"/>
          <w:b w:val="0"/>
          <w:bCs w:val="0"/>
          <w:color w:val="auto"/>
          <w:sz w:val="32"/>
          <w:szCs w:val="32"/>
          <w:highlight w:val="none"/>
          <w:u w:val="none"/>
          <w:lang w:val="zh-CN"/>
        </w:rPr>
        <w:t>部分    附则</w:t>
      </w:r>
    </w:p>
    <w:p w14:paraId="50AD616D">
      <w:pPr>
        <w:pStyle w:val="19"/>
        <w:keepNext w:val="0"/>
        <w:keepLines w:val="0"/>
        <w:pageBreakBefore w:val="0"/>
        <w:shd w:val="clear" w:color="auto" w:fill="auto"/>
        <w:kinsoku/>
        <w:wordWrap/>
        <w:overflowPunct/>
        <w:topLinePunct w:val="0"/>
        <w:autoSpaceDE/>
        <w:autoSpaceDN/>
        <w:bidi w:val="0"/>
        <w:adjustRightInd/>
        <w:snapToGrid/>
        <w:spacing w:line="560" w:lineRule="exact"/>
        <w:ind w:left="20" w:firstLine="620"/>
        <w:jc w:val="both"/>
        <w:textAlignment w:val="auto"/>
        <w:rPr>
          <w:rFonts w:hint="eastAsia" w:ascii="仿宋_GB2312" w:eastAsia="仿宋_GB2312"/>
          <w:color w:val="auto"/>
          <w:sz w:val="32"/>
          <w:szCs w:val="32"/>
          <w:highlight w:val="none"/>
          <w:u w:val="none"/>
          <w:lang w:val="zh-CN" w:eastAsia="zh-CN"/>
        </w:rPr>
      </w:pPr>
    </w:p>
    <w:p w14:paraId="4DE46302">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auto"/>
          <w:sz w:val="32"/>
          <w:szCs w:val="32"/>
          <w:highlight w:val="none"/>
          <w:u w:val="none"/>
          <w:lang w:val="zh-CN" w:eastAsia="zh-CN"/>
        </w:rPr>
      </w:pPr>
      <w:r>
        <w:rPr>
          <w:rFonts w:hint="eastAsia" w:ascii="黑体" w:hAnsi="黑体" w:eastAsia="黑体" w:cs="黑体"/>
          <w:b w:val="0"/>
          <w:bCs/>
          <w:color w:val="auto"/>
          <w:sz w:val="32"/>
          <w:szCs w:val="32"/>
          <w:highlight w:val="none"/>
          <w:u w:val="none"/>
          <w:lang w:val="zh-CN" w:eastAsia="zh-CN"/>
        </w:rPr>
        <w:t>二十八、适用范围</w:t>
      </w:r>
    </w:p>
    <w:p w14:paraId="243BBF0A">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val="zh-CN" w:eastAsia="zh-CN"/>
        </w:rPr>
        <w:t>用Y996海龙线改造工程大真线暨综合整治项目龙田段</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5B817F2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auto"/>
          <w:sz w:val="32"/>
          <w:szCs w:val="32"/>
          <w:highlight w:val="none"/>
          <w:u w:val="none"/>
          <w:lang w:val="zh-CN" w:eastAsia="zh-CN"/>
        </w:rPr>
      </w:pPr>
      <w:r>
        <w:rPr>
          <w:rFonts w:hint="eastAsia" w:ascii="黑体" w:hAnsi="黑体" w:eastAsia="黑体" w:cs="黑体"/>
          <w:b w:val="0"/>
          <w:bCs/>
          <w:color w:val="auto"/>
          <w:sz w:val="32"/>
          <w:szCs w:val="32"/>
          <w:highlight w:val="none"/>
          <w:u w:val="none"/>
          <w:lang w:val="zh-CN" w:eastAsia="zh-CN"/>
        </w:rPr>
        <w:t>二十九、未尽事宜</w:t>
      </w:r>
    </w:p>
    <w:p w14:paraId="7B0D86A5">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6052716A">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color w:val="auto"/>
          <w:sz w:val="32"/>
          <w:szCs w:val="32"/>
          <w:highlight w:val="none"/>
          <w:u w:val="none"/>
          <w:lang w:val="zh-CN" w:eastAsia="zh-CN"/>
        </w:rPr>
      </w:pPr>
      <w:r>
        <w:rPr>
          <w:rFonts w:hint="eastAsia" w:ascii="黑体" w:hAnsi="黑体" w:eastAsia="黑体" w:cs="黑体"/>
          <w:b w:val="0"/>
          <w:bCs/>
          <w:color w:val="auto"/>
          <w:sz w:val="32"/>
          <w:szCs w:val="32"/>
          <w:highlight w:val="none"/>
          <w:u w:val="none"/>
          <w:lang w:val="zh-CN" w:eastAsia="zh-CN"/>
        </w:rPr>
        <w:t>三十、投诉监督</w:t>
      </w:r>
    </w:p>
    <w:p w14:paraId="0D749B52">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46557652">
      <w:pPr>
        <w:pStyle w:val="6"/>
        <w:keepNext w:val="0"/>
        <w:keepLines w:val="0"/>
        <w:pageBreakBefore w:val="0"/>
        <w:shd w:val="clear" w:color="auto" w:fill="auto"/>
        <w:kinsoku/>
        <w:wordWrap/>
        <w:overflowPunct/>
        <w:topLinePunct w:val="0"/>
        <w:autoSpaceDE/>
        <w:autoSpaceDN/>
        <w:bidi w:val="0"/>
        <w:adjustRightInd/>
        <w:snapToGrid/>
        <w:spacing w:after="0" w:line="560" w:lineRule="exact"/>
        <w:textAlignment w:val="auto"/>
        <w:rPr>
          <w:rFonts w:hint="eastAsia" w:ascii="仿宋_GB2312" w:eastAsia="仿宋_GB2312"/>
          <w:color w:val="auto"/>
          <w:sz w:val="32"/>
          <w:szCs w:val="32"/>
          <w:highlight w:val="none"/>
          <w:u w:val="none"/>
          <w:lang w:val="zh-CN"/>
        </w:rPr>
      </w:pPr>
    </w:p>
    <w:p w14:paraId="758CD138">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09CA0AB9">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1600" w:firstLineChars="5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4F59974B">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1600" w:firstLineChars="5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6505A17B">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1600" w:firstLineChars="5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0E5DDCF1">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1600" w:firstLineChars="5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545C91CB">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1600" w:firstLineChars="500"/>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609F704B">
      <w:pPr>
        <w:pStyle w:val="6"/>
        <w:keepNext w:val="0"/>
        <w:keepLines w:val="0"/>
        <w:pageBreakBefore w:val="0"/>
        <w:shd w:val="clear" w:color="auto" w:fill="auto"/>
        <w:kinsoku/>
        <w:wordWrap/>
        <w:overflowPunct/>
        <w:topLinePunct w:val="0"/>
        <w:autoSpaceDE/>
        <w:autoSpaceDN/>
        <w:bidi w:val="0"/>
        <w:adjustRightInd/>
        <w:snapToGrid/>
        <w:spacing w:after="0" w:line="560" w:lineRule="exact"/>
        <w:ind w:firstLine="1600" w:firstLineChars="500"/>
        <w:textAlignment w:val="auto"/>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2A8A0BDC">
      <w:pPr>
        <w:numPr>
          <w:ilvl w:val="0"/>
          <w:numId w:val="0"/>
        </w:numPr>
        <w:jc w:val="left"/>
        <w:rPr>
          <w:rFonts w:hint="eastAsia" w:ascii="仿宋_GB2312" w:eastAsia="仿宋_GB2312"/>
          <w:b/>
          <w:color w:val="auto"/>
          <w:kern w:val="0"/>
          <w:sz w:val="32"/>
          <w:szCs w:val="32"/>
          <w:highlight w:val="none"/>
          <w:u w:val="none"/>
          <w:lang w:eastAsia="zh-CN"/>
        </w:rPr>
      </w:pPr>
    </w:p>
    <w:p w14:paraId="4B4BB4EC">
      <w:pPr>
        <w:numPr>
          <w:ilvl w:val="0"/>
          <w:numId w:val="0"/>
        </w:numPr>
        <w:jc w:val="left"/>
        <w:rPr>
          <w:rFonts w:hint="eastAsia" w:ascii="仿宋_GB2312" w:eastAsia="仿宋_GB2312"/>
          <w:b/>
          <w:color w:val="auto"/>
          <w:kern w:val="0"/>
          <w:sz w:val="32"/>
          <w:szCs w:val="32"/>
          <w:highlight w:val="none"/>
          <w:u w:val="none"/>
          <w:lang w:eastAsia="zh-CN"/>
        </w:rPr>
      </w:pPr>
    </w:p>
    <w:p w14:paraId="62A8221F">
      <w:pPr>
        <w:numPr>
          <w:ilvl w:val="0"/>
          <w:numId w:val="0"/>
        </w:numPr>
        <w:jc w:val="left"/>
        <w:rPr>
          <w:rFonts w:hint="eastAsia" w:ascii="仿宋_GB2312" w:eastAsia="仿宋_GB2312"/>
          <w:b/>
          <w:color w:val="auto"/>
          <w:kern w:val="0"/>
          <w:sz w:val="32"/>
          <w:szCs w:val="32"/>
          <w:highlight w:val="none"/>
          <w:u w:val="none"/>
          <w:lang w:eastAsia="zh-CN"/>
        </w:rPr>
      </w:pPr>
    </w:p>
    <w:p w14:paraId="1DC5E949">
      <w:pPr>
        <w:numPr>
          <w:ilvl w:val="0"/>
          <w:numId w:val="0"/>
        </w:numPr>
        <w:jc w:val="left"/>
        <w:rPr>
          <w:rFonts w:hint="eastAsia" w:ascii="仿宋_GB2312" w:eastAsia="仿宋_GB2312"/>
          <w:b/>
          <w:color w:val="auto"/>
          <w:kern w:val="0"/>
          <w:sz w:val="32"/>
          <w:szCs w:val="32"/>
          <w:highlight w:val="none"/>
          <w:u w:val="none"/>
          <w:lang w:eastAsia="zh-CN"/>
        </w:rPr>
      </w:pPr>
    </w:p>
    <w:p w14:paraId="542CF19D">
      <w:pPr>
        <w:pStyle w:val="2"/>
        <w:rPr>
          <w:rFonts w:hint="eastAsia" w:ascii="仿宋_GB2312" w:eastAsia="仿宋_GB2312"/>
          <w:b/>
          <w:color w:val="auto"/>
          <w:kern w:val="0"/>
          <w:sz w:val="32"/>
          <w:szCs w:val="32"/>
          <w:highlight w:val="none"/>
          <w:u w:val="none"/>
          <w:lang w:eastAsia="zh-CN"/>
        </w:rPr>
      </w:pPr>
    </w:p>
    <w:p w14:paraId="074E37DC">
      <w:pPr>
        <w:pStyle w:val="2"/>
        <w:rPr>
          <w:rFonts w:hint="eastAsia" w:ascii="仿宋_GB2312" w:eastAsia="仿宋_GB2312"/>
          <w:b/>
          <w:color w:val="auto"/>
          <w:kern w:val="0"/>
          <w:sz w:val="32"/>
          <w:szCs w:val="32"/>
          <w:highlight w:val="none"/>
          <w:u w:val="none"/>
          <w:lang w:eastAsia="zh-CN"/>
        </w:rPr>
      </w:pPr>
    </w:p>
    <w:p w14:paraId="6F17FB41">
      <w:pPr>
        <w:pStyle w:val="2"/>
        <w:rPr>
          <w:rFonts w:hint="eastAsia" w:ascii="仿宋_GB2312" w:eastAsia="仿宋_GB2312"/>
          <w:b/>
          <w:color w:val="auto"/>
          <w:kern w:val="0"/>
          <w:sz w:val="32"/>
          <w:szCs w:val="32"/>
          <w:highlight w:val="none"/>
          <w:u w:val="none"/>
          <w:lang w:eastAsia="zh-CN"/>
        </w:rPr>
      </w:pPr>
    </w:p>
    <w:p w14:paraId="7C617F38">
      <w:pPr>
        <w:numPr>
          <w:ilvl w:val="0"/>
          <w:numId w:val="0"/>
        </w:numPr>
        <w:jc w:val="left"/>
        <w:rPr>
          <w:rFonts w:hint="eastAsia" w:ascii="仿宋_GB2312" w:eastAsia="仿宋_GB2312"/>
          <w:b/>
          <w:color w:val="auto"/>
          <w:kern w:val="0"/>
          <w:sz w:val="32"/>
          <w:szCs w:val="32"/>
          <w:highlight w:val="none"/>
          <w:u w:val="none"/>
          <w:lang w:eastAsia="zh-CN"/>
        </w:rPr>
      </w:pPr>
    </w:p>
    <w:p w14:paraId="5FBE86B3">
      <w:pPr>
        <w:numPr>
          <w:ilvl w:val="0"/>
          <w:numId w:val="0"/>
        </w:numPr>
        <w:jc w:val="left"/>
        <w:rPr>
          <w:rFonts w:hint="eastAsia" w:ascii="仿宋_GB2312" w:eastAsia="仿宋_GB2312"/>
          <w:b/>
          <w:color w:val="auto"/>
          <w:kern w:val="0"/>
          <w:sz w:val="32"/>
          <w:szCs w:val="32"/>
          <w:highlight w:val="none"/>
          <w:u w:val="none"/>
          <w:lang w:eastAsia="zh-CN"/>
        </w:rPr>
      </w:pPr>
    </w:p>
    <w:p w14:paraId="16CD5B9B">
      <w:pPr>
        <w:numPr>
          <w:ilvl w:val="0"/>
          <w:numId w:val="0"/>
        </w:numPr>
        <w:jc w:val="left"/>
        <w:rPr>
          <w:rFonts w:hint="eastAsia" w:ascii="仿宋_GB2312" w:eastAsia="仿宋_GB2312"/>
          <w:b/>
          <w:color w:val="auto"/>
          <w:kern w:val="0"/>
          <w:sz w:val="32"/>
          <w:szCs w:val="32"/>
          <w:highlight w:val="none"/>
          <w:u w:val="none"/>
          <w:lang w:eastAsia="zh-CN"/>
        </w:rPr>
      </w:pPr>
    </w:p>
    <w:p w14:paraId="68CD8386">
      <w:pPr>
        <w:numPr>
          <w:ilvl w:val="0"/>
          <w:numId w:val="0"/>
        </w:numPr>
        <w:jc w:val="left"/>
        <w:rPr>
          <w:rFonts w:hint="eastAsia" w:ascii="仿宋_GB2312" w:eastAsia="仿宋_GB2312"/>
          <w:b/>
          <w:color w:val="auto"/>
          <w:kern w:val="0"/>
          <w:sz w:val="32"/>
          <w:szCs w:val="32"/>
          <w:highlight w:val="none"/>
          <w:u w:val="none"/>
          <w:lang w:eastAsia="zh-CN"/>
        </w:rPr>
      </w:pPr>
    </w:p>
    <w:p w14:paraId="355973A0">
      <w:pPr>
        <w:numPr>
          <w:ilvl w:val="0"/>
          <w:numId w:val="0"/>
        </w:numPr>
        <w:jc w:val="left"/>
        <w:rPr>
          <w:rFonts w:hint="eastAsia" w:ascii="仿宋_GB2312" w:eastAsia="仿宋_GB2312"/>
          <w:b/>
          <w:color w:val="auto"/>
          <w:kern w:val="0"/>
          <w:sz w:val="32"/>
          <w:szCs w:val="32"/>
          <w:highlight w:val="none"/>
          <w:u w:val="none"/>
          <w:lang w:eastAsia="zh-CN"/>
        </w:rPr>
      </w:pPr>
    </w:p>
    <w:p w14:paraId="7E5CBF5D">
      <w:pPr>
        <w:rPr>
          <w:rFonts w:hint="eastAsia" w:ascii="仿宋_GB2312" w:eastAsia="仿宋_GB2312" w:cs="Times New Roman"/>
          <w:b/>
          <w:color w:val="auto"/>
          <w:kern w:val="0"/>
          <w:sz w:val="36"/>
          <w:szCs w:val="36"/>
          <w:highlight w:val="none"/>
          <w:u w:val="none"/>
        </w:rPr>
      </w:pPr>
    </w:p>
    <w:p w14:paraId="4496D99E">
      <w:pPr>
        <w:rPr>
          <w:rFonts w:hint="eastAsia" w:ascii="仿宋_GB2312" w:eastAsia="仿宋_GB2312" w:cs="Times New Roman"/>
          <w:b/>
          <w:color w:val="auto"/>
          <w:kern w:val="0"/>
          <w:sz w:val="36"/>
          <w:szCs w:val="36"/>
          <w:highlight w:val="none"/>
          <w:u w:val="none"/>
        </w:rPr>
      </w:pPr>
      <w:r>
        <w:rPr>
          <w:rFonts w:hint="eastAsia" w:ascii="仿宋_GB2312" w:eastAsia="仿宋_GB2312" w:cs="Times New Roman"/>
          <w:b/>
          <w:color w:val="auto"/>
          <w:kern w:val="0"/>
          <w:sz w:val="36"/>
          <w:szCs w:val="36"/>
          <w:highlight w:val="none"/>
          <w:u w:val="none"/>
        </w:rPr>
        <w:t>附表一  被征收房屋重置价标准</w:t>
      </w:r>
    </w:p>
    <w:tbl>
      <w:tblPr>
        <w:tblStyle w:val="10"/>
        <w:tblW w:w="10770" w:type="dxa"/>
        <w:tblInd w:w="-553" w:type="dxa"/>
        <w:tblLayout w:type="fixed"/>
        <w:tblCellMar>
          <w:top w:w="0" w:type="dxa"/>
          <w:left w:w="108" w:type="dxa"/>
          <w:bottom w:w="0" w:type="dxa"/>
          <w:right w:w="108" w:type="dxa"/>
        </w:tblCellMar>
      </w:tblPr>
      <w:tblGrid>
        <w:gridCol w:w="870"/>
        <w:gridCol w:w="916"/>
        <w:gridCol w:w="900"/>
        <w:gridCol w:w="6023"/>
        <w:gridCol w:w="2061"/>
      </w:tblGrid>
      <w:tr w14:paraId="6AFD4FFD">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vAlign w:val="center"/>
          </w:tcPr>
          <w:p w14:paraId="4D15713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vAlign w:val="center"/>
          </w:tcPr>
          <w:p w14:paraId="333609D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14:paraId="69F27F4F">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771F04B3">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vAlign w:val="center"/>
          </w:tcPr>
          <w:p w14:paraId="0BE24EBC">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vAlign w:val="center"/>
          </w:tcPr>
          <w:p w14:paraId="5D69D6C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2698B1FD">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16A9995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6D6EF4C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3E38E6F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3C95B9B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74EF8E6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232A7CEB">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3729A50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796819F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1C527B8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5183E4C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51E6D62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7C222F1E">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3B639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44C4E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6AE5E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42C01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vAlign w:val="center"/>
          </w:tcPr>
          <w:p w14:paraId="53309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vAlign w:val="center"/>
          </w:tcPr>
          <w:p w14:paraId="777D2FBE">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lang w:eastAsia="zh-CN"/>
              </w:rPr>
              <w:t>375</w:t>
            </w:r>
            <w:r>
              <w:rPr>
                <w:rFonts w:hint="eastAsia" w:ascii="仿宋_GB2312" w:hAnsi="宋体" w:eastAsia="仿宋_GB2312" w:cs="宋体"/>
                <w:color w:val="auto"/>
                <w:kern w:val="0"/>
                <w:sz w:val="18"/>
                <w:szCs w:val="18"/>
                <w:highlight w:val="none"/>
                <w:u w:val="none"/>
              </w:rPr>
              <w:t>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3BE006AF">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2DDFAC6B">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w:t>
            </w:r>
            <w:r>
              <w:rPr>
                <w:rFonts w:hint="eastAsia" w:ascii="仿宋_GB2312" w:hAnsi="宋体" w:eastAsia="仿宋_GB2312" w:cs="宋体"/>
                <w:color w:val="auto"/>
                <w:kern w:val="0"/>
                <w:sz w:val="18"/>
                <w:szCs w:val="18"/>
                <w:highlight w:val="none"/>
                <w:u w:val="none"/>
                <w:shd w:val="clear" w:fill="FFFFFF"/>
                <w:lang w:val="en-US" w:eastAsia="zh-CN"/>
              </w:rPr>
              <w:t>(</w:t>
            </w:r>
            <w:r>
              <w:rPr>
                <w:rFonts w:hint="eastAsia" w:ascii="仿宋_GB2312" w:hAnsi="宋体" w:eastAsia="仿宋_GB2312" w:cs="宋体"/>
                <w:color w:val="auto"/>
                <w:kern w:val="0"/>
                <w:sz w:val="18"/>
                <w:szCs w:val="18"/>
                <w:highlight w:val="none"/>
                <w:u w:val="none"/>
                <w:lang w:val="en-US" w:eastAsia="zh-CN"/>
              </w:rPr>
              <w:t>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w:t>
            </w:r>
            <w:r>
              <w:rPr>
                <w:rFonts w:hint="eastAsia" w:ascii="仿宋_GB2312" w:hAnsi="宋体" w:eastAsia="仿宋_GB2312" w:cs="宋体"/>
                <w:color w:val="auto"/>
                <w:kern w:val="0"/>
                <w:sz w:val="18"/>
                <w:szCs w:val="18"/>
                <w:highlight w:val="none"/>
                <w:u w:val="none"/>
                <w:shd w:val="clear" w:fill="FFFFFF"/>
                <w:lang w:eastAsia="zh-CN"/>
              </w:rPr>
              <w:t>挂高档</w:t>
            </w:r>
            <w:r>
              <w:rPr>
                <w:rFonts w:hint="eastAsia" w:ascii="仿宋_GB2312" w:hAnsi="宋体" w:eastAsia="仿宋_GB2312" w:cs="宋体"/>
                <w:color w:val="auto"/>
                <w:kern w:val="0"/>
                <w:sz w:val="18"/>
                <w:szCs w:val="18"/>
                <w:highlight w:val="none"/>
                <w:u w:val="none"/>
                <w:lang w:eastAsia="zh-CN"/>
              </w:rPr>
              <w:t>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218E46C6">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01337945">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440FED07">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618B4B7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C9E7FB9">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422E0F7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2B705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B1B6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6D19D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vAlign w:val="center"/>
          </w:tcPr>
          <w:p w14:paraId="307C7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vAlign w:val="center"/>
          </w:tcPr>
          <w:p w14:paraId="41C83E4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24F7B01">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7D351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C7B3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0F521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vAlign w:val="center"/>
          </w:tcPr>
          <w:p w14:paraId="1FBC9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379ECE2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1633E6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01F1D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E58C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38E06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vAlign w:val="center"/>
          </w:tcPr>
          <w:p w14:paraId="5675F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vAlign w:val="center"/>
          </w:tcPr>
          <w:p w14:paraId="3760D6E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7E9A141">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3B6B9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37E2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0D608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1AE00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vAlign w:val="center"/>
          </w:tcPr>
          <w:p w14:paraId="35D8D5D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3EFF238">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6E298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7F1AE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3C8DC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68DBA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vAlign w:val="center"/>
          </w:tcPr>
          <w:p w14:paraId="47CD1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4E20535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ECD005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CECB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75C9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3239A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vAlign w:val="center"/>
          </w:tcPr>
          <w:p w14:paraId="7156D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6EE65FD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6C5936A">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2708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4016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2AD0B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vAlign w:val="center"/>
          </w:tcPr>
          <w:p w14:paraId="2EF18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4210E81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A7ED2D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E7A1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436E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1F242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2EE79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vAlign w:val="center"/>
          </w:tcPr>
          <w:p w14:paraId="3577EBA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37B6F5F">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2B924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EB83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748C4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vAlign w:val="center"/>
          </w:tcPr>
          <w:p w14:paraId="40081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vAlign w:val="center"/>
          </w:tcPr>
          <w:p w14:paraId="7890AFB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C5460D5">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593F4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7DD2E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6531C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6EC7D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vAlign w:val="center"/>
          </w:tcPr>
          <w:p w14:paraId="3637D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vAlign w:val="center"/>
          </w:tcPr>
          <w:p w14:paraId="4AABCD7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5CB53BA">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06BA9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E69D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3D87D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vAlign w:val="center"/>
          </w:tcPr>
          <w:p w14:paraId="01BC0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vAlign w:val="center"/>
          </w:tcPr>
          <w:p w14:paraId="7BFC6F9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B57E437">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2F34B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E059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2C929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vAlign w:val="center"/>
          </w:tcPr>
          <w:p w14:paraId="07823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vAlign w:val="center"/>
          </w:tcPr>
          <w:p w14:paraId="6023ECF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0BB40DD">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vAlign w:val="center"/>
          </w:tcPr>
          <w:p w14:paraId="71FF4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vAlign w:val="center"/>
          </w:tcPr>
          <w:p w14:paraId="0F6B1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71561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vAlign w:val="center"/>
          </w:tcPr>
          <w:p w14:paraId="5007F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vAlign w:val="center"/>
          </w:tcPr>
          <w:p w14:paraId="2A414C2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7C888A8">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2FC28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D59A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5DEAD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vAlign w:val="center"/>
          </w:tcPr>
          <w:p w14:paraId="45436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vAlign w:val="center"/>
          </w:tcPr>
          <w:p w14:paraId="77F2594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1EBFC83">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4D32C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vAlign w:val="center"/>
          </w:tcPr>
          <w:p w14:paraId="3FB1D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vAlign w:val="center"/>
          </w:tcPr>
          <w:p w14:paraId="44773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vAlign w:val="center"/>
          </w:tcPr>
          <w:p w14:paraId="60C7C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vAlign w:val="center"/>
          </w:tcPr>
          <w:p w14:paraId="15042E3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E41BCD1">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BDD6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06A1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4C820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6129A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两层旧式排架扇,</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 磉石柱基,木瓦屋面,木基层,板壁,部分抹灰假墙。 </w:t>
            </w:r>
          </w:p>
        </w:tc>
        <w:tc>
          <w:tcPr>
            <w:tcW w:w="2061" w:type="dxa"/>
            <w:vMerge w:val="continue"/>
            <w:tcBorders>
              <w:left w:val="single" w:color="auto" w:sz="8" w:space="0"/>
              <w:right w:val="single" w:color="auto" w:sz="8" w:space="0"/>
            </w:tcBorders>
            <w:vAlign w:val="center"/>
          </w:tcPr>
          <w:p w14:paraId="5A4A3CD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444D3E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1B7FD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9605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4F261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17803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旧式单披排架扇(或</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 磉石柱基,木瓦屋面,木基层,板壁,部分夯土墙围护。 </w:t>
            </w:r>
          </w:p>
        </w:tc>
        <w:tc>
          <w:tcPr>
            <w:tcW w:w="2061" w:type="dxa"/>
            <w:vMerge w:val="continue"/>
            <w:tcBorders>
              <w:left w:val="single" w:color="auto" w:sz="8" w:space="0"/>
              <w:right w:val="single" w:color="auto" w:sz="8" w:space="0"/>
            </w:tcBorders>
            <w:vAlign w:val="center"/>
          </w:tcPr>
          <w:p w14:paraId="6A9B71B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B56B02D">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5CFAB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vAlign w:val="center"/>
          </w:tcPr>
          <w:p w14:paraId="4BA80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2B51F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700B0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vAlign w:val="center"/>
          </w:tcPr>
          <w:p w14:paraId="00568E3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74743D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2C3BC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D929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2D738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70249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vAlign w:val="center"/>
          </w:tcPr>
          <w:p w14:paraId="6C6BA32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FCBA015">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73352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vAlign w:val="center"/>
          </w:tcPr>
          <w:p w14:paraId="4509F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vAlign w:val="center"/>
          </w:tcPr>
          <w:p w14:paraId="7497B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vAlign w:val="center"/>
          </w:tcPr>
          <w:p w14:paraId="1CF0816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74FECBF">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5B590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vAlign w:val="center"/>
          </w:tcPr>
          <w:p w14:paraId="7123F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vAlign w:val="center"/>
          </w:tcPr>
          <w:p w14:paraId="49695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vAlign w:val="center"/>
          </w:tcPr>
          <w:p w14:paraId="5E481D5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7782C84A">
      <w:pPr>
        <w:rPr>
          <w:rFonts w:hint="eastAsia" w:ascii="仿宋_GB2312" w:eastAsia="仿宋_GB2312" w:cs="Times New Roman"/>
          <w:b/>
          <w:color w:val="auto"/>
          <w:kern w:val="0"/>
          <w:sz w:val="36"/>
          <w:szCs w:val="36"/>
          <w:highlight w:val="none"/>
          <w:u w:val="none"/>
        </w:rPr>
      </w:pPr>
    </w:p>
    <w:p w14:paraId="21F94A62">
      <w:pPr>
        <w:rPr>
          <w:rFonts w:hint="eastAsia" w:ascii="仿宋_GB2312" w:eastAsia="仿宋_GB2312" w:cs="Times New Roman"/>
          <w:b/>
          <w:color w:val="auto"/>
          <w:kern w:val="0"/>
          <w:sz w:val="36"/>
          <w:szCs w:val="36"/>
          <w:highlight w:val="none"/>
          <w:u w:val="none"/>
        </w:rPr>
      </w:pPr>
      <w:r>
        <w:rPr>
          <w:rFonts w:hint="eastAsia" w:ascii="仿宋_GB2312" w:eastAsia="仿宋_GB2312" w:cs="Times New Roman"/>
          <w:b/>
          <w:color w:val="auto"/>
          <w:kern w:val="0"/>
          <w:sz w:val="36"/>
          <w:szCs w:val="36"/>
          <w:highlight w:val="none"/>
          <w:u w:val="none"/>
        </w:rPr>
        <w:t>附表二 被征收房屋成新率评定标准</w:t>
      </w:r>
    </w:p>
    <w:tbl>
      <w:tblPr>
        <w:tblStyle w:val="10"/>
        <w:tblW w:w="9209" w:type="dxa"/>
        <w:tblInd w:w="93" w:type="dxa"/>
        <w:tblLayout w:type="fixed"/>
        <w:tblCellMar>
          <w:top w:w="0" w:type="dxa"/>
          <w:left w:w="108" w:type="dxa"/>
          <w:bottom w:w="0" w:type="dxa"/>
          <w:right w:w="108" w:type="dxa"/>
        </w:tblCellMar>
      </w:tblPr>
      <w:tblGrid>
        <w:gridCol w:w="932"/>
        <w:gridCol w:w="932"/>
        <w:gridCol w:w="7345"/>
      </w:tblGrid>
      <w:tr w14:paraId="36B98CB2">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3C4A8DCE">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62AB781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771814A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3822719A">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14D0C4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09A99D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1E65384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56D9A53C">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60B68F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6D770D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255B78F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0205F168">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5505B0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6E2EB4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552C43C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77EF89CB">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7D9E65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532E3B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2FAFD68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45E0F4AC">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6205B6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0863C6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0D4FF68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4FE7B2DC">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412B8D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21AF33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2BB1013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027361D7">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34AFC1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6CC896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01B789E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301E6DC2">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4559B8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01E8D4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71AC610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2ABC4477">
      <w:pPr>
        <w:pStyle w:val="6"/>
        <w:shd w:val="clear" w:color="auto" w:fill="auto"/>
        <w:spacing w:after="0" w:line="600" w:lineRule="exact"/>
        <w:rPr>
          <w:rFonts w:hint="eastAsia" w:ascii="仿宋_GB2312" w:eastAsia="仿宋_GB2312"/>
          <w:b/>
          <w:color w:val="auto"/>
          <w:sz w:val="32"/>
          <w:szCs w:val="32"/>
          <w:highlight w:val="none"/>
          <w:u w:val="none"/>
          <w:lang w:eastAsia="zh-CN"/>
        </w:rPr>
      </w:pPr>
    </w:p>
    <w:p w14:paraId="367A74CF">
      <w:pPr>
        <w:pStyle w:val="6"/>
        <w:shd w:val="clear" w:color="auto" w:fill="auto"/>
        <w:spacing w:after="0" w:line="600" w:lineRule="exact"/>
        <w:rPr>
          <w:rFonts w:hint="eastAsia" w:ascii="仿宋_GB2312" w:eastAsia="仿宋_GB2312"/>
          <w:b/>
          <w:color w:val="auto"/>
          <w:sz w:val="36"/>
          <w:szCs w:val="36"/>
          <w:highlight w:val="none"/>
          <w:u w:val="none"/>
          <w:lang w:val="zh-CN" w:eastAsia="zh-CN"/>
        </w:rPr>
      </w:pPr>
      <w:r>
        <w:rPr>
          <w:rFonts w:hint="eastAsia" w:ascii="仿宋_GB2312" w:eastAsia="仿宋_GB2312"/>
          <w:b/>
          <w:color w:val="auto"/>
          <w:sz w:val="36"/>
          <w:szCs w:val="36"/>
          <w:highlight w:val="none"/>
          <w:u w:val="none"/>
        </w:rPr>
        <w:t>附表</w:t>
      </w:r>
      <w:r>
        <w:rPr>
          <w:rFonts w:hint="eastAsia" w:ascii="仿宋_GB2312" w:eastAsia="仿宋_GB2312"/>
          <w:b/>
          <w:color w:val="auto"/>
          <w:sz w:val="36"/>
          <w:szCs w:val="36"/>
          <w:highlight w:val="none"/>
          <w:u w:val="none"/>
          <w:lang w:eastAsia="zh-CN"/>
        </w:rPr>
        <w:t>三</w:t>
      </w:r>
      <w:r>
        <w:rPr>
          <w:rFonts w:hint="eastAsia" w:ascii="仿宋_GB2312" w:eastAsia="仿宋_GB2312"/>
          <w:b/>
          <w:color w:val="auto"/>
          <w:sz w:val="36"/>
          <w:szCs w:val="36"/>
          <w:highlight w:val="none"/>
          <w:u w:val="none"/>
        </w:rPr>
        <w:t xml:space="preserve"> </w:t>
      </w:r>
      <w:r>
        <w:rPr>
          <w:rFonts w:hint="eastAsia" w:ascii="仿宋_GB2312" w:eastAsia="仿宋_GB2312"/>
          <w:b/>
          <w:color w:val="auto"/>
          <w:sz w:val="36"/>
          <w:szCs w:val="36"/>
          <w:highlight w:val="none"/>
          <w:u w:val="none"/>
          <w:lang w:eastAsia="zh-CN"/>
        </w:rPr>
        <w:t>房屋二次</w:t>
      </w:r>
      <w:r>
        <w:rPr>
          <w:rFonts w:hint="eastAsia" w:ascii="仿宋_GB2312" w:eastAsia="仿宋_GB2312"/>
          <w:b/>
          <w:color w:val="auto"/>
          <w:sz w:val="36"/>
          <w:szCs w:val="36"/>
          <w:highlight w:val="none"/>
          <w:u w:val="none"/>
          <w:lang w:val="zh-CN"/>
        </w:rPr>
        <w:t>装修</w:t>
      </w:r>
      <w:r>
        <w:rPr>
          <w:rFonts w:hint="eastAsia" w:ascii="仿宋_GB2312" w:eastAsia="仿宋_GB2312"/>
          <w:b/>
          <w:color w:val="auto"/>
          <w:sz w:val="36"/>
          <w:szCs w:val="36"/>
          <w:highlight w:val="none"/>
          <w:u w:val="none"/>
          <w:lang w:val="zh-CN" w:eastAsia="zh-CN"/>
        </w:rPr>
        <w:t>重置价</w:t>
      </w:r>
      <w:r>
        <w:rPr>
          <w:rFonts w:hint="eastAsia" w:ascii="仿宋_GB2312" w:eastAsia="仿宋_GB2312"/>
          <w:b/>
          <w:color w:val="auto"/>
          <w:sz w:val="36"/>
          <w:szCs w:val="36"/>
          <w:highlight w:val="none"/>
          <w:u w:val="none"/>
          <w:lang w:val="zh-CN"/>
        </w:rPr>
        <w:t>标准</w:t>
      </w:r>
    </w:p>
    <w:tbl>
      <w:tblPr>
        <w:tblStyle w:val="10"/>
        <w:tblW w:w="9201" w:type="dxa"/>
        <w:tblInd w:w="93" w:type="dxa"/>
        <w:tblLayout w:type="fixed"/>
        <w:tblCellMar>
          <w:top w:w="0" w:type="dxa"/>
          <w:left w:w="108" w:type="dxa"/>
          <w:bottom w:w="0" w:type="dxa"/>
          <w:right w:w="108" w:type="dxa"/>
        </w:tblCellMar>
      </w:tblPr>
      <w:tblGrid>
        <w:gridCol w:w="564"/>
        <w:gridCol w:w="985"/>
        <w:gridCol w:w="7652"/>
      </w:tblGrid>
      <w:tr w14:paraId="7847B0DC">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78A27A7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35A8AA0A">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8ECBCA2">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7533504D">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771AA614">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214B2DE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1295A94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033E8F3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693158AE">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vAlign w:val="center"/>
          </w:tcPr>
          <w:p w14:paraId="59D9ABCE">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049BF00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478D8327">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厨房设置集成橱柜、电视背景墙挂石或镶木、楼梯踏步铺设实木地板、卫生间设置名牌浴缸，按实际装修对应的层数相应的建筑面积计算，该项补价须由指挥长会议研究通过。</w:t>
            </w:r>
          </w:p>
        </w:tc>
      </w:tr>
      <w:tr w14:paraId="0752B473">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2D64E4CE">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5293E233">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7A612F7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5D6A0CCB">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7B27C19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2A670A6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0AFAAA9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94ACAD8">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044A745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11E0164E">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1987D98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44A241C6">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4A5099F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01DE621C">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2FF3E06C">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58C3288C">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02EB71C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08572932">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539730E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1150B26F">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4803556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2498F218">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59154F9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0B55D947">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376F3F03">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7F0FCF9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579295F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6EECB441">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4BE8BFC1">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7B5880F3">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4D0A62E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57761CA2">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661F7433">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37D3E88A">
      <w:pPr>
        <w:pStyle w:val="6"/>
        <w:shd w:val="clear" w:color="auto" w:fill="auto"/>
        <w:spacing w:after="0" w:line="600" w:lineRule="exact"/>
        <w:rPr>
          <w:rFonts w:hint="eastAsia" w:ascii="仿宋_GB2312" w:eastAsia="仿宋_GB2312"/>
          <w:b/>
          <w:color w:val="auto"/>
          <w:sz w:val="32"/>
          <w:szCs w:val="32"/>
          <w:highlight w:val="none"/>
          <w:u w:val="none"/>
          <w:lang w:eastAsia="zh-CN"/>
        </w:rPr>
      </w:pPr>
    </w:p>
    <w:p w14:paraId="73509F69">
      <w:pPr>
        <w:pStyle w:val="6"/>
        <w:shd w:val="clear" w:color="auto" w:fill="auto"/>
        <w:spacing w:after="0" w:line="600" w:lineRule="exact"/>
        <w:rPr>
          <w:rFonts w:hint="eastAsia" w:ascii="仿宋_GB2312" w:eastAsia="仿宋_GB2312"/>
          <w:b/>
          <w:color w:val="auto"/>
          <w:sz w:val="32"/>
          <w:szCs w:val="32"/>
          <w:highlight w:val="none"/>
          <w:u w:val="none"/>
          <w:lang w:eastAsia="zh-CN"/>
        </w:rPr>
      </w:pPr>
    </w:p>
    <w:p w14:paraId="7A806E2B">
      <w:pPr>
        <w:pStyle w:val="6"/>
        <w:shd w:val="clear" w:color="auto" w:fill="auto"/>
        <w:spacing w:after="0" w:line="600" w:lineRule="exact"/>
        <w:rPr>
          <w:rFonts w:hint="eastAsia" w:ascii="仿宋_GB2312" w:eastAsia="仿宋_GB2312"/>
          <w:b/>
          <w:color w:val="auto"/>
          <w:sz w:val="36"/>
          <w:szCs w:val="36"/>
          <w:highlight w:val="none"/>
          <w:u w:val="none"/>
          <w:lang w:eastAsia="zh-CN"/>
        </w:rPr>
      </w:pPr>
      <w:r>
        <w:rPr>
          <w:rFonts w:hint="eastAsia" w:ascii="仿宋_GB2312" w:eastAsia="仿宋_GB2312"/>
          <w:b/>
          <w:color w:val="auto"/>
          <w:sz w:val="36"/>
          <w:szCs w:val="36"/>
          <w:highlight w:val="none"/>
          <w:u w:val="none"/>
          <w:lang w:eastAsia="zh-CN"/>
        </w:rPr>
        <w:t>附表四  房屋二次装修成新率评定标准</w:t>
      </w:r>
    </w:p>
    <w:tbl>
      <w:tblPr>
        <w:tblStyle w:val="10"/>
        <w:tblW w:w="9216"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6F281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vAlign w:val="center"/>
          </w:tcPr>
          <w:p w14:paraId="4D3A563D">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5BF859A6">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2EEFA77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4A5D592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3B440F9B">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1D9F4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6CA79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0076C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45EBF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74818D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39CC6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3591D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1FB76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vAlign w:val="top"/>
          </w:tcPr>
          <w:p w14:paraId="73E3F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7C91C8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799B9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359B1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31C34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3058F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7FB52D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65D62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6521C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18FA1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09492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vAlign w:val="center"/>
          </w:tcPr>
          <w:p w14:paraId="1DE89D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13F17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0C166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2F0DB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199A2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290B23F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6B503554">
      <w:pPr>
        <w:pStyle w:val="6"/>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pgSz w:w="11906" w:h="16838"/>
          <w:pgMar w:top="1440" w:right="1474" w:bottom="1440" w:left="1474"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bookmarkStart w:id="5" w:name="bookmark16"/>
    </w:p>
    <w:bookmarkEnd w:id="5"/>
    <w:p w14:paraId="6635371A">
      <w:pPr>
        <w:rPr>
          <w:rFonts w:hint="eastAsia" w:ascii="仿宋_GB2312" w:hAnsi="仿宋_GB2312" w:eastAsia="仿宋_GB2312" w:cs="仿宋_GB2312"/>
          <w:color w:val="auto"/>
          <w:kern w:val="0"/>
          <w:sz w:val="36"/>
          <w:szCs w:val="36"/>
          <w:highlight w:val="none"/>
          <w:u w:val="none"/>
        </w:rPr>
      </w:pPr>
      <w:r>
        <w:rPr>
          <w:rFonts w:hint="eastAsia" w:ascii="仿宋_GB2312" w:hAnsi="仿宋_GB2312" w:eastAsia="仿宋_GB2312" w:cs="仿宋_GB2312"/>
          <w:b/>
          <w:color w:val="auto"/>
          <w:kern w:val="0"/>
          <w:sz w:val="36"/>
          <w:szCs w:val="36"/>
          <w:highlight w:val="none"/>
          <w:u w:val="none"/>
        </w:rPr>
        <w:t xml:space="preserve">附表五 私人自建住宅等面积应补缴价格控制表 </w:t>
      </w:r>
    </w:p>
    <w:p w14:paraId="40FD8E77">
      <w:pPr>
        <w:jc w:val="center"/>
        <w:rPr>
          <w:rFonts w:hint="eastAsia" w:ascii="仿宋_GB2312" w:hAnsi="仿宋_GB2312" w:eastAsia="仿宋_GB2312" w:cs="仿宋_GB2312"/>
          <w:b/>
          <w:color w:val="auto"/>
          <w:kern w:val="0"/>
          <w:sz w:val="36"/>
          <w:szCs w:val="36"/>
          <w:highlight w:val="none"/>
          <w:u w:val="none"/>
        </w:rPr>
      </w:pPr>
      <w:r>
        <w:rPr>
          <w:rFonts w:hint="eastAsia" w:ascii="仿宋_GB2312" w:hAnsi="仿宋_GB2312" w:eastAsia="仿宋_GB2312" w:cs="仿宋_GB2312"/>
          <w:b/>
          <w:color w:val="auto"/>
          <w:kern w:val="0"/>
          <w:sz w:val="36"/>
          <w:szCs w:val="36"/>
          <w:highlight w:val="none"/>
          <w:u w:val="none"/>
        </w:rPr>
        <w:t>（产权调换专用表）</w:t>
      </w:r>
      <w:r>
        <w:rPr>
          <w:rFonts w:hint="eastAsia" w:ascii="仿宋_GB2312" w:hAnsi="仿宋_GB2312" w:eastAsia="仿宋_GB2312" w:cs="仿宋_GB2312"/>
          <w:b/>
          <w:bCs/>
          <w:color w:val="auto"/>
          <w:kern w:val="0"/>
          <w:sz w:val="36"/>
          <w:szCs w:val="36"/>
          <w:highlight w:val="none"/>
          <w:u w:val="none"/>
        </w:rPr>
        <w:t>（单位：元/㎡）</w:t>
      </w:r>
    </w:p>
    <w:tbl>
      <w:tblPr>
        <w:tblStyle w:val="10"/>
        <w:tblW w:w="8671" w:type="dxa"/>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637AA5A8">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vAlign w:val="center"/>
          </w:tcPr>
          <w:p w14:paraId="381A62A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vAlign w:val="center"/>
          </w:tcPr>
          <w:p w14:paraId="62FEACB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vAlign w:val="center"/>
          </w:tcPr>
          <w:p w14:paraId="738A72E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1C58E78E">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15D2566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3D673AB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vAlign w:val="center"/>
          </w:tcPr>
          <w:p w14:paraId="3BB7EDB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vAlign w:val="center"/>
          </w:tcPr>
          <w:p w14:paraId="36BCCE9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vAlign w:val="center"/>
          </w:tcPr>
          <w:p w14:paraId="1241B74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vAlign w:val="center"/>
          </w:tcPr>
          <w:p w14:paraId="11C10F56">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vAlign w:val="center"/>
          </w:tcPr>
          <w:p w14:paraId="07B3203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vAlign w:val="center"/>
          </w:tcPr>
          <w:p w14:paraId="483B79A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61A8301C">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6518F3B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3466665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79DCB23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39B8383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AF3EDA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441B6C4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1491C7B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4B6C44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53D74CA9">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48EC4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1FFA5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4B465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D9D8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7521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1C109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54188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19D7A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2B170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7563EFD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5DD6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532B2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4F98B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7B46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36878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71DD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29CB3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2764F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3118EC2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7094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1F391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05DA2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8695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19F8A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38AA3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5CB5D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3D81D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73BF733F">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2208F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52F65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6A920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15BED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AF6B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7EC5E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vAlign w:val="center"/>
          </w:tcPr>
          <w:p w14:paraId="316BF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vAlign w:val="center"/>
          </w:tcPr>
          <w:p w14:paraId="3B2BD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vAlign w:val="center"/>
          </w:tcPr>
          <w:p w14:paraId="6E190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1602838C">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68A0A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0445D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25B01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43C80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713C0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1C6B3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724FA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57308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788DA00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1FACF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5C925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26589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3E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C79F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05A2A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54BE8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vAlign w:val="center"/>
          </w:tcPr>
          <w:p w14:paraId="2D86B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4427E628">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3E94A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4922D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046D4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E389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BE28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18DE6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4F1F0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706E3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01B71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r>
      <w:tr w14:paraId="6D781B79">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16A20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53DC5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vAlign w:val="center"/>
          </w:tcPr>
          <w:p w14:paraId="32BFE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2269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65DA2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1AD2A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432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7A9E1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r>
      <w:tr w14:paraId="0A224460">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vAlign w:val="center"/>
          </w:tcPr>
          <w:p w14:paraId="4AEF3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213C0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vAlign w:val="center"/>
          </w:tcPr>
          <w:p w14:paraId="6EBAB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vAlign w:val="center"/>
          </w:tcPr>
          <w:p w14:paraId="4B365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vAlign w:val="center"/>
          </w:tcPr>
          <w:p w14:paraId="03964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vAlign w:val="center"/>
          </w:tcPr>
          <w:p w14:paraId="06019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vAlign w:val="center"/>
          </w:tcPr>
          <w:p w14:paraId="4C4AB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7E3B2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006DB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r>
      <w:tr w14:paraId="4EFD15CA">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vAlign w:val="center"/>
          </w:tcPr>
          <w:p w14:paraId="70C7D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vAlign w:val="center"/>
          </w:tcPr>
          <w:p w14:paraId="20748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3B5E6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4A8F2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79B5D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5D983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67D90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0F983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r>
      <w:tr w14:paraId="2ECEAB39">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4AEC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2B534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vAlign w:val="center"/>
          </w:tcPr>
          <w:p w14:paraId="0682E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9F32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4FBD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single" w:color="auto" w:sz="8" w:space="0"/>
              <w:right w:val="single" w:color="auto" w:sz="8" w:space="0"/>
            </w:tcBorders>
            <w:vAlign w:val="center"/>
          </w:tcPr>
          <w:p w14:paraId="771C7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4B996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1F24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r>
      <w:tr w14:paraId="26DDEB59">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vAlign w:val="center"/>
          </w:tcPr>
          <w:p w14:paraId="38B73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vAlign w:val="center"/>
          </w:tcPr>
          <w:p w14:paraId="3E527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0A75B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BC04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42459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1D5AC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42E2A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9BE1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r>
      <w:tr w14:paraId="2309438E">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vAlign w:val="center"/>
          </w:tcPr>
          <w:p w14:paraId="7A2F2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vAlign w:val="center"/>
          </w:tcPr>
          <w:p w14:paraId="216E6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vAlign w:val="center"/>
          </w:tcPr>
          <w:p w14:paraId="37FA8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vAlign w:val="center"/>
          </w:tcPr>
          <w:p w14:paraId="67845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vAlign w:val="center"/>
          </w:tcPr>
          <w:p w14:paraId="25FCC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nil"/>
              <w:left w:val="nil"/>
              <w:bottom w:val="nil"/>
              <w:right w:val="single" w:color="auto" w:sz="8" w:space="0"/>
            </w:tcBorders>
            <w:vAlign w:val="center"/>
          </w:tcPr>
          <w:p w14:paraId="496EA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19395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1D6B4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r>
      <w:tr w14:paraId="0FF2CE17">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vAlign w:val="center"/>
          </w:tcPr>
          <w:p w14:paraId="3A913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vAlign w:val="center"/>
          </w:tcPr>
          <w:p w14:paraId="5FD05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vAlign w:val="center"/>
          </w:tcPr>
          <w:p w14:paraId="43F16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vAlign w:val="center"/>
          </w:tcPr>
          <w:p w14:paraId="36BAA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350</w:t>
            </w:r>
          </w:p>
        </w:tc>
        <w:tc>
          <w:tcPr>
            <w:tcW w:w="1084" w:type="dxa"/>
            <w:tcBorders>
              <w:top w:val="single" w:color="auto" w:sz="8" w:space="0"/>
              <w:left w:val="nil"/>
              <w:bottom w:val="single" w:color="000000" w:sz="8" w:space="0"/>
              <w:right w:val="single" w:color="auto" w:sz="8" w:space="0"/>
            </w:tcBorders>
            <w:vAlign w:val="center"/>
          </w:tcPr>
          <w:p w14:paraId="760F7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39E7F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5A8D1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p>
        </w:tc>
      </w:tr>
      <w:tr w14:paraId="579CDC6A">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vAlign w:val="center"/>
          </w:tcPr>
          <w:p w14:paraId="723D4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65826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71BA8F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hAnsi="宋体" w:eastAsia="仿宋_GB2312" w:cs="宋体"/>
                <w:color w:val="auto"/>
                <w:kern w:val="0"/>
                <w:sz w:val="24"/>
                <w:highlight w:val="none"/>
                <w:u w:val="none"/>
                <w:shd w:val="clear" w:fill="FFFFFF"/>
              </w:rPr>
              <w:t>、等</w:t>
            </w:r>
            <w:r>
              <w:rPr>
                <w:rFonts w:hint="eastAsia" w:ascii="仿宋_GB2312" w:hAnsi="宋体" w:eastAsia="仿宋_GB2312" w:cs="宋体"/>
                <w:color w:val="auto"/>
                <w:kern w:val="0"/>
                <w:sz w:val="24"/>
                <w:highlight w:val="none"/>
                <w:u w:val="none"/>
              </w:rPr>
              <w:t>面积调换实行补差价优惠，补差最高价控制按认定的总层数计算。</w:t>
            </w:r>
          </w:p>
        </w:tc>
      </w:tr>
    </w:tbl>
    <w:p w14:paraId="51B75246">
      <w:pPr>
        <w:rPr>
          <w:rFonts w:hint="eastAsia" w:ascii="仿宋_GB2312" w:hAnsi="宋体" w:eastAsia="仿宋_GB2312" w:cs="宋体"/>
          <w:b/>
          <w:color w:val="auto"/>
          <w:kern w:val="0"/>
          <w:sz w:val="24"/>
          <w:highlight w:val="none"/>
          <w:u w:val="none"/>
        </w:rPr>
      </w:pPr>
    </w:p>
    <w:p w14:paraId="55264871">
      <w:pPr>
        <w:rPr>
          <w:rFonts w:hint="eastAsia" w:ascii="仿宋_GB2312" w:hAnsi="宋体" w:eastAsia="仿宋_GB2312" w:cs="宋体"/>
          <w:b/>
          <w:color w:val="auto"/>
          <w:kern w:val="0"/>
          <w:sz w:val="24"/>
          <w:highlight w:val="none"/>
          <w:u w:val="none"/>
        </w:rPr>
      </w:pPr>
    </w:p>
    <w:p w14:paraId="41B15049">
      <w:pPr>
        <w:rPr>
          <w:rFonts w:hint="eastAsia" w:ascii="仿宋_GB2312" w:hAnsi="宋体" w:eastAsia="仿宋_GB2312" w:cs="宋体"/>
          <w:b/>
          <w:color w:val="auto"/>
          <w:kern w:val="0"/>
          <w:sz w:val="24"/>
          <w:highlight w:val="none"/>
          <w:u w:val="none"/>
        </w:rPr>
      </w:pPr>
    </w:p>
    <w:p w14:paraId="22B0001E">
      <w:pPr>
        <w:pStyle w:val="2"/>
        <w:rPr>
          <w:rFonts w:hint="eastAsia" w:ascii="仿宋_GB2312" w:hAnsi="宋体" w:eastAsia="仿宋_GB2312" w:cs="宋体"/>
          <w:b/>
          <w:color w:val="auto"/>
          <w:kern w:val="0"/>
          <w:sz w:val="24"/>
          <w:highlight w:val="none"/>
          <w:u w:val="none"/>
        </w:rPr>
      </w:pPr>
    </w:p>
    <w:p w14:paraId="38D96310">
      <w:pPr>
        <w:pStyle w:val="2"/>
        <w:rPr>
          <w:rFonts w:hint="eastAsia" w:ascii="仿宋_GB2312" w:hAnsi="宋体" w:eastAsia="仿宋_GB2312" w:cs="宋体"/>
          <w:b/>
          <w:color w:val="auto"/>
          <w:kern w:val="0"/>
          <w:sz w:val="24"/>
          <w:highlight w:val="none"/>
          <w:u w:val="none"/>
        </w:rPr>
      </w:pPr>
    </w:p>
    <w:tbl>
      <w:tblPr>
        <w:tblStyle w:val="10"/>
        <w:tblW w:w="8865" w:type="dxa"/>
        <w:tblInd w:w="93" w:type="dxa"/>
        <w:tblLayout w:type="fixed"/>
        <w:tblCellMar>
          <w:top w:w="0" w:type="dxa"/>
          <w:left w:w="108" w:type="dxa"/>
          <w:bottom w:w="0" w:type="dxa"/>
          <w:right w:w="108" w:type="dxa"/>
        </w:tblCellMar>
      </w:tblPr>
      <w:tblGrid>
        <w:gridCol w:w="866"/>
        <w:gridCol w:w="1264"/>
        <w:gridCol w:w="1287"/>
        <w:gridCol w:w="2694"/>
        <w:gridCol w:w="2754"/>
      </w:tblGrid>
      <w:tr w14:paraId="715ACDA3">
        <w:tblPrEx>
          <w:tblCellMar>
            <w:top w:w="0" w:type="dxa"/>
            <w:left w:w="108" w:type="dxa"/>
            <w:bottom w:w="0" w:type="dxa"/>
            <w:right w:w="108" w:type="dxa"/>
          </w:tblCellMar>
        </w:tblPrEx>
        <w:trPr>
          <w:trHeight w:val="699" w:hRule="atLeast"/>
        </w:trPr>
        <w:tc>
          <w:tcPr>
            <w:tcW w:w="8865" w:type="dxa"/>
            <w:gridSpan w:val="5"/>
            <w:vAlign w:val="center"/>
          </w:tcPr>
          <w:p w14:paraId="69BA6F39">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6"/>
                <w:szCs w:val="36"/>
                <w:highlight w:val="none"/>
                <w:u w:val="none"/>
              </w:rPr>
              <w:t>附表六  房屋的附属物补偿标准</w:t>
            </w:r>
          </w:p>
        </w:tc>
      </w:tr>
      <w:tr w14:paraId="320E6453">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3C873770">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0A8B8BE7">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2FEF129E">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6908825D">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44ACA9D7">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211DE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6CE4A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53212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0DCE3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8C821F6">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23920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006AA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0A2DB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0D2E0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3FA278EC">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17B7A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68970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18EF2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770FE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08F0446">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4B747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351FE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68914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5A10B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242A7830">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64958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7B3EE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407B3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07B98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E5E099A">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10403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3466A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046A9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9771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FB84622">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3096E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00FE0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63EF7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E426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6CA8D47">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283C9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2924F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732E9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6AF7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EA5F195">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2168A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5DA6D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6844F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AE61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0759ACA">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6A0D0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6B850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5D1CC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63DB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0C550D7">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0B15D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3E93D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vAlign w:val="center"/>
          </w:tcPr>
          <w:p w14:paraId="624F2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5D6E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ECA57AC">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55D70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64ACE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68D18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CEDD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370A39F">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vAlign w:val="center"/>
          </w:tcPr>
          <w:p w14:paraId="784DD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0344B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076BE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lang w:val="en-US" w:eastAsia="zh-CN"/>
              </w:rPr>
              <w:t>350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6EDE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907CB63">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630C1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12212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17114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161DD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8EC80C9">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1C5C2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6F157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376AF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57185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4F283403">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76714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463FC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0DECB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39D6C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4882D42">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3D96B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0F410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0FCE8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18A85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D7BC47D">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387FE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30AFB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5B10C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33ECE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97D89AF">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77A59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20834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19154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535A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FF73FD">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0B1FC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2A3EF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6D0D5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8492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FB2D873">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20A8A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73B8B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3F64D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A5EE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22A5001">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7539D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4C2AA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5DF2D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5DDC5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B49CC73">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74D09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22EFA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3E5AE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7488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380600D5">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573D8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6ADE4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44F00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6C087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5273D97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5D8F6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54E09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07CC7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5952F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7690D1A0">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06197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22D3E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28210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5DD85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0118150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0E5C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6A3BC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7CD6F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3AA1F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05D1EBF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99CC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20C8A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14483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3109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5327086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4B7A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007D6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4C880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081A7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35B39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FAE0CF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4ECC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556DE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4E5A5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59416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62FAC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eastAsia="仿宋_GB2312" w:cs="宋体"/>
                <w:color w:val="auto"/>
                <w:kern w:val="0"/>
                <w:sz w:val="24"/>
                <w:highlight w:val="none"/>
                <w:u w:val="none"/>
              </w:rPr>
            </w:pPr>
          </w:p>
        </w:tc>
      </w:tr>
      <w:tr w14:paraId="539F38F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2CEE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15CEE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244D8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225DE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0A267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eastAsia="仿宋_GB2312" w:cs="宋体"/>
                <w:color w:val="auto"/>
                <w:kern w:val="0"/>
                <w:sz w:val="24"/>
                <w:highlight w:val="none"/>
                <w:u w:val="none"/>
              </w:rPr>
            </w:pPr>
          </w:p>
        </w:tc>
      </w:tr>
      <w:tr w14:paraId="6421538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250E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0C540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07A45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A59C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3E5655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CA28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425E7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19BB2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E2DB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5CD54D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F8B9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4C993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2AC14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69524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4B14D7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8F76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581EB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71B56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0D13F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5BEEF7CF">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73E51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18454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78F08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0F22E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49004D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C56A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0CC24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3B92B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0530C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0EA01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1A963B0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4130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1C5B9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53F58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2DFF8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lang w:val="en-US" w:eastAsia="zh-CN"/>
              </w:rPr>
              <w:t>3350</w:t>
            </w:r>
            <w:r>
              <w:rPr>
                <w:rFonts w:hint="eastAsia" w:ascii="仿宋_GB2312" w:hAnsi="宋体" w:eastAsia="仿宋_GB2312" w:cs="宋体"/>
                <w:color w:val="auto"/>
                <w:kern w:val="0"/>
                <w:sz w:val="24"/>
                <w:highlight w:val="none"/>
                <w:u w:val="none"/>
              </w:rPr>
              <w:t>元/部</w:t>
            </w:r>
          </w:p>
        </w:tc>
        <w:tc>
          <w:tcPr>
            <w:tcW w:w="2754" w:type="dxa"/>
            <w:vMerge w:val="continue"/>
            <w:tcBorders>
              <w:top w:val="nil"/>
              <w:left w:val="single" w:color="auto" w:sz="4" w:space="0"/>
              <w:bottom w:val="single" w:color="000000" w:sz="4" w:space="0"/>
              <w:right w:val="single" w:color="auto" w:sz="4" w:space="0"/>
            </w:tcBorders>
            <w:vAlign w:val="center"/>
          </w:tcPr>
          <w:p w14:paraId="332EC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eastAsia="仿宋_GB2312" w:cs="宋体"/>
                <w:color w:val="auto"/>
                <w:kern w:val="0"/>
                <w:sz w:val="24"/>
                <w:highlight w:val="none"/>
                <w:u w:val="none"/>
              </w:rPr>
            </w:pPr>
          </w:p>
        </w:tc>
      </w:tr>
      <w:tr w14:paraId="50F3E8B1">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61105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376F8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7BC4E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644FD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7F22B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eastAsia="仿宋_GB2312" w:cs="宋体"/>
                <w:color w:val="auto"/>
                <w:kern w:val="0"/>
                <w:sz w:val="24"/>
                <w:highlight w:val="none"/>
                <w:u w:val="none"/>
              </w:rPr>
            </w:pPr>
          </w:p>
        </w:tc>
      </w:tr>
      <w:tr w14:paraId="52C2BFB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0C75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78AF8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34739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6183A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035F9FC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307A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4183F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11116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5D7FE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40D2DA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3D05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5D153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5E050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3EA44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3DCE125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9B5A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12222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2D623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3D63D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5D6D316D">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7E0B8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w:t>
            </w:r>
            <w:r>
              <w:rPr>
                <w:rFonts w:hint="eastAsia" w:ascii="仿宋_GB2312" w:hAnsi="宋体" w:eastAsia="仿宋_GB2312" w:cs="宋体"/>
                <w:color w:val="auto"/>
                <w:kern w:val="0"/>
                <w:sz w:val="24"/>
                <w:highlight w:val="none"/>
                <w:u w:val="none"/>
                <w:lang w:eastAsia="zh-CN"/>
              </w:rPr>
              <w:t>镇街</w:t>
            </w:r>
            <w:r>
              <w:rPr>
                <w:rFonts w:hint="eastAsia" w:ascii="仿宋_GB2312" w:hAnsi="宋体" w:eastAsia="仿宋_GB2312" w:cs="宋体"/>
                <w:color w:val="auto"/>
                <w:kern w:val="0"/>
                <w:sz w:val="24"/>
                <w:highlight w:val="none"/>
                <w:u w:val="none"/>
              </w:rPr>
              <w:t>，通过市场询价或委托评估确定。</w:t>
            </w:r>
          </w:p>
        </w:tc>
      </w:tr>
    </w:tbl>
    <w:p w14:paraId="0F3F3F0A">
      <w:pPr>
        <w:widowControl/>
        <w:jc w:val="both"/>
        <w:rPr>
          <w:rFonts w:hint="eastAsia" w:ascii="仿宋_GB2312" w:hAnsi="宋体" w:eastAsia="仿宋_GB2312" w:cs="宋体"/>
          <w:color w:val="auto"/>
          <w:kern w:val="0"/>
          <w:sz w:val="24"/>
          <w:highlight w:val="none"/>
          <w:u w:val="none"/>
        </w:rPr>
      </w:pPr>
    </w:p>
    <w:p w14:paraId="5CCC449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b/>
          <w:color w:val="auto"/>
          <w:kern w:val="0"/>
          <w:sz w:val="36"/>
          <w:szCs w:val="36"/>
          <w:highlight w:val="none"/>
          <w:u w:val="none"/>
          <w:lang w:val="en-US" w:eastAsia="zh-CN"/>
        </w:rPr>
      </w:pPr>
      <w:r>
        <w:rPr>
          <w:rFonts w:hint="eastAsia" w:ascii="仿宋_GB2312" w:eastAsia="仿宋_GB2312"/>
          <w:b/>
          <w:color w:val="auto"/>
          <w:kern w:val="0"/>
          <w:sz w:val="36"/>
          <w:szCs w:val="36"/>
          <w:highlight w:val="none"/>
          <w:u w:val="none"/>
        </w:rPr>
        <w:t xml:space="preserve">附表七   </w:t>
      </w:r>
      <w:r>
        <w:rPr>
          <w:rFonts w:hint="eastAsia" w:ascii="仿宋_GB2312" w:eastAsia="仿宋_GB2312"/>
          <w:b/>
          <w:color w:val="auto"/>
          <w:kern w:val="0"/>
          <w:sz w:val="36"/>
          <w:szCs w:val="36"/>
          <w:highlight w:val="none"/>
          <w:u w:val="none"/>
          <w:lang w:val="en-US" w:eastAsia="zh-CN"/>
        </w:rPr>
        <w:t xml:space="preserve">        临时搭盖的补偿规定</w:t>
      </w:r>
    </w:p>
    <w:p w14:paraId="038C34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p>
    <w:p w14:paraId="785C528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07FCBB3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78FB4B2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3F505B4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413F60E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002BBBB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4D88768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0E41059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2F7F455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566CDCC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1992CD3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3E4F388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37FD0B2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0F547A3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13F60E2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2DFF391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6710907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sectPr>
      <w:headerReference r:id="rId5" w:type="default"/>
      <w:footerReference r:id="rId6"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6DB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12EE2">
                          <w:pPr>
                            <w:pStyle w:val="8"/>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12EE2">
                    <w:pPr>
                      <w:pStyle w:val="8"/>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2A3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7BF67">
                          <w:pPr>
                            <w:snapToGrid w:val="0"/>
                            <w:rPr>
                              <w:rFonts w:hint="eastAsia" w:ascii="宋体" w:hAnsi="宋体" w:eastAsia="宋体"/>
                              <w:sz w:val="28"/>
                              <w:lang w:eastAsia="zh-CN"/>
                            </w:rPr>
                          </w:pP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- 1 -</w:t>
                          </w:r>
                          <w:r>
                            <w:rPr>
                              <w:rFonts w:hint="eastAsia" w:ascii="宋体" w:hAnsi="宋体" w:eastAsia="宋体"/>
                              <w:sz w:val="2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1857BF67">
                    <w:pPr>
                      <w:snapToGrid w:val="0"/>
                      <w:rPr>
                        <w:rFonts w:hint="eastAsia" w:ascii="宋体" w:hAnsi="宋体" w:eastAsia="宋体"/>
                        <w:sz w:val="28"/>
                        <w:lang w:eastAsia="zh-CN"/>
                      </w:rPr>
                    </w:pP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- 1 -</w:t>
                    </w:r>
                    <w:r>
                      <w:rPr>
                        <w:rFonts w:hint="eastAsia" w:ascii="宋体" w:hAnsi="宋体" w:eastAsia="宋体"/>
                        <w:sz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4C7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4EE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OWE3MjhiZjU3N2VlZGZlMWRlY2YwNWUxNTAyYzUifQ=="/>
    <w:docVar w:name="KSO_WPS_MARK_KEY" w:val="0b0060ac-3189-448b-a459-400a2c0c7892"/>
  </w:docVars>
  <w:rsids>
    <w:rsidRoot w:val="001B04A4"/>
    <w:rsid w:val="00005083"/>
    <w:rsid w:val="00007BC6"/>
    <w:rsid w:val="00012D8C"/>
    <w:rsid w:val="00015824"/>
    <w:rsid w:val="00017A33"/>
    <w:rsid w:val="00022E76"/>
    <w:rsid w:val="00023A42"/>
    <w:rsid w:val="00026282"/>
    <w:rsid w:val="000266DC"/>
    <w:rsid w:val="00032AE6"/>
    <w:rsid w:val="00032DF0"/>
    <w:rsid w:val="0003510F"/>
    <w:rsid w:val="00037E6B"/>
    <w:rsid w:val="000409E9"/>
    <w:rsid w:val="00041E84"/>
    <w:rsid w:val="0004516F"/>
    <w:rsid w:val="00045DBB"/>
    <w:rsid w:val="00047438"/>
    <w:rsid w:val="00052EA3"/>
    <w:rsid w:val="00053923"/>
    <w:rsid w:val="00054C90"/>
    <w:rsid w:val="000553BF"/>
    <w:rsid w:val="000603EC"/>
    <w:rsid w:val="000638F1"/>
    <w:rsid w:val="00067409"/>
    <w:rsid w:val="00070EC6"/>
    <w:rsid w:val="000754B2"/>
    <w:rsid w:val="000765EC"/>
    <w:rsid w:val="00082D4E"/>
    <w:rsid w:val="00083F32"/>
    <w:rsid w:val="000847F7"/>
    <w:rsid w:val="00090D26"/>
    <w:rsid w:val="00091AB2"/>
    <w:rsid w:val="0009269F"/>
    <w:rsid w:val="00092F72"/>
    <w:rsid w:val="000948AF"/>
    <w:rsid w:val="00095CF1"/>
    <w:rsid w:val="000A1C4C"/>
    <w:rsid w:val="000A36FA"/>
    <w:rsid w:val="000A4A6A"/>
    <w:rsid w:val="000A5FC6"/>
    <w:rsid w:val="000B0246"/>
    <w:rsid w:val="000B205C"/>
    <w:rsid w:val="000B2F10"/>
    <w:rsid w:val="000B408A"/>
    <w:rsid w:val="000B51E5"/>
    <w:rsid w:val="000B6713"/>
    <w:rsid w:val="000B7A3C"/>
    <w:rsid w:val="000C0490"/>
    <w:rsid w:val="000C2AEE"/>
    <w:rsid w:val="000C3ABB"/>
    <w:rsid w:val="000C4716"/>
    <w:rsid w:val="000C5AA7"/>
    <w:rsid w:val="000C6824"/>
    <w:rsid w:val="000C6F08"/>
    <w:rsid w:val="000D2762"/>
    <w:rsid w:val="000D4BAB"/>
    <w:rsid w:val="000D529F"/>
    <w:rsid w:val="000D63B5"/>
    <w:rsid w:val="000D7797"/>
    <w:rsid w:val="000E46A8"/>
    <w:rsid w:val="000E53A6"/>
    <w:rsid w:val="000E5DE9"/>
    <w:rsid w:val="000F2A5C"/>
    <w:rsid w:val="000F2FBB"/>
    <w:rsid w:val="000F39A7"/>
    <w:rsid w:val="000F413D"/>
    <w:rsid w:val="000F5645"/>
    <w:rsid w:val="000F6230"/>
    <w:rsid w:val="001002F0"/>
    <w:rsid w:val="00100461"/>
    <w:rsid w:val="00100E03"/>
    <w:rsid w:val="00100FE9"/>
    <w:rsid w:val="00101BA6"/>
    <w:rsid w:val="0010303D"/>
    <w:rsid w:val="0011033F"/>
    <w:rsid w:val="00113254"/>
    <w:rsid w:val="00114239"/>
    <w:rsid w:val="001150B3"/>
    <w:rsid w:val="00116237"/>
    <w:rsid w:val="00121426"/>
    <w:rsid w:val="00123161"/>
    <w:rsid w:val="001234E5"/>
    <w:rsid w:val="0013037E"/>
    <w:rsid w:val="0013160F"/>
    <w:rsid w:val="00134C1C"/>
    <w:rsid w:val="00134CDB"/>
    <w:rsid w:val="00136EFA"/>
    <w:rsid w:val="00141ACB"/>
    <w:rsid w:val="001444B9"/>
    <w:rsid w:val="001465B7"/>
    <w:rsid w:val="00152807"/>
    <w:rsid w:val="00153799"/>
    <w:rsid w:val="00153AA9"/>
    <w:rsid w:val="00154758"/>
    <w:rsid w:val="00155C39"/>
    <w:rsid w:val="00156AA0"/>
    <w:rsid w:val="001572B2"/>
    <w:rsid w:val="001628F3"/>
    <w:rsid w:val="00164992"/>
    <w:rsid w:val="001653B3"/>
    <w:rsid w:val="001672F0"/>
    <w:rsid w:val="0017032D"/>
    <w:rsid w:val="00170E15"/>
    <w:rsid w:val="0017380B"/>
    <w:rsid w:val="001810CF"/>
    <w:rsid w:val="00181107"/>
    <w:rsid w:val="001811A5"/>
    <w:rsid w:val="00184133"/>
    <w:rsid w:val="00187453"/>
    <w:rsid w:val="001952B4"/>
    <w:rsid w:val="00196928"/>
    <w:rsid w:val="001A4412"/>
    <w:rsid w:val="001A4716"/>
    <w:rsid w:val="001A709E"/>
    <w:rsid w:val="001B04A4"/>
    <w:rsid w:val="001B0EDB"/>
    <w:rsid w:val="001B223C"/>
    <w:rsid w:val="001B498E"/>
    <w:rsid w:val="001B6C39"/>
    <w:rsid w:val="001B7019"/>
    <w:rsid w:val="001B7606"/>
    <w:rsid w:val="001B7DAF"/>
    <w:rsid w:val="001C3495"/>
    <w:rsid w:val="001C3767"/>
    <w:rsid w:val="001C46A2"/>
    <w:rsid w:val="001C67B6"/>
    <w:rsid w:val="001C6B6C"/>
    <w:rsid w:val="001D176B"/>
    <w:rsid w:val="001D49AA"/>
    <w:rsid w:val="001D67C4"/>
    <w:rsid w:val="001E773E"/>
    <w:rsid w:val="001F3C18"/>
    <w:rsid w:val="001F46EF"/>
    <w:rsid w:val="00200795"/>
    <w:rsid w:val="002049D3"/>
    <w:rsid w:val="00204B82"/>
    <w:rsid w:val="0021409E"/>
    <w:rsid w:val="00217BB0"/>
    <w:rsid w:val="002218D6"/>
    <w:rsid w:val="002222E0"/>
    <w:rsid w:val="00222F11"/>
    <w:rsid w:val="00225DAE"/>
    <w:rsid w:val="00226E65"/>
    <w:rsid w:val="00231796"/>
    <w:rsid w:val="00232C42"/>
    <w:rsid w:val="002331B3"/>
    <w:rsid w:val="002363E7"/>
    <w:rsid w:val="00241F2D"/>
    <w:rsid w:val="002427A9"/>
    <w:rsid w:val="00247B9A"/>
    <w:rsid w:val="00252147"/>
    <w:rsid w:val="00263FDE"/>
    <w:rsid w:val="00266966"/>
    <w:rsid w:val="0027126A"/>
    <w:rsid w:val="002724CE"/>
    <w:rsid w:val="002743B6"/>
    <w:rsid w:val="00274E3B"/>
    <w:rsid w:val="00276F33"/>
    <w:rsid w:val="00277024"/>
    <w:rsid w:val="00277BB7"/>
    <w:rsid w:val="00277E32"/>
    <w:rsid w:val="002825E7"/>
    <w:rsid w:val="002826AE"/>
    <w:rsid w:val="002838F7"/>
    <w:rsid w:val="00285078"/>
    <w:rsid w:val="0028616D"/>
    <w:rsid w:val="0029030D"/>
    <w:rsid w:val="0029213A"/>
    <w:rsid w:val="00292B2B"/>
    <w:rsid w:val="0029440A"/>
    <w:rsid w:val="002967DB"/>
    <w:rsid w:val="002A0E8D"/>
    <w:rsid w:val="002A1AE5"/>
    <w:rsid w:val="002A4185"/>
    <w:rsid w:val="002A685D"/>
    <w:rsid w:val="002B1766"/>
    <w:rsid w:val="002B3308"/>
    <w:rsid w:val="002B6B31"/>
    <w:rsid w:val="002B72CD"/>
    <w:rsid w:val="002C0471"/>
    <w:rsid w:val="002C0A5B"/>
    <w:rsid w:val="002C2EAA"/>
    <w:rsid w:val="002C4F22"/>
    <w:rsid w:val="002C585C"/>
    <w:rsid w:val="002D1D2E"/>
    <w:rsid w:val="002D5BDE"/>
    <w:rsid w:val="002D64C4"/>
    <w:rsid w:val="002E1471"/>
    <w:rsid w:val="002E20EF"/>
    <w:rsid w:val="002E2855"/>
    <w:rsid w:val="002E3357"/>
    <w:rsid w:val="002E3773"/>
    <w:rsid w:val="002E5E37"/>
    <w:rsid w:val="002E623F"/>
    <w:rsid w:val="002F090F"/>
    <w:rsid w:val="002F1F48"/>
    <w:rsid w:val="003001DB"/>
    <w:rsid w:val="00300908"/>
    <w:rsid w:val="0030146E"/>
    <w:rsid w:val="003014AD"/>
    <w:rsid w:val="0030655E"/>
    <w:rsid w:val="00307F0F"/>
    <w:rsid w:val="00313237"/>
    <w:rsid w:val="0031366A"/>
    <w:rsid w:val="003248D4"/>
    <w:rsid w:val="003309E7"/>
    <w:rsid w:val="00330A17"/>
    <w:rsid w:val="00333097"/>
    <w:rsid w:val="003335C3"/>
    <w:rsid w:val="003369FF"/>
    <w:rsid w:val="0033756A"/>
    <w:rsid w:val="00340CCE"/>
    <w:rsid w:val="00340F82"/>
    <w:rsid w:val="00341E3D"/>
    <w:rsid w:val="0034287D"/>
    <w:rsid w:val="003432E6"/>
    <w:rsid w:val="0034543D"/>
    <w:rsid w:val="0035106C"/>
    <w:rsid w:val="00356365"/>
    <w:rsid w:val="00360799"/>
    <w:rsid w:val="00360D8E"/>
    <w:rsid w:val="0036164A"/>
    <w:rsid w:val="00363B91"/>
    <w:rsid w:val="00366AB0"/>
    <w:rsid w:val="00370056"/>
    <w:rsid w:val="00376F56"/>
    <w:rsid w:val="00377B58"/>
    <w:rsid w:val="0038074D"/>
    <w:rsid w:val="00382504"/>
    <w:rsid w:val="003837D4"/>
    <w:rsid w:val="00383AB6"/>
    <w:rsid w:val="0038501B"/>
    <w:rsid w:val="00392E3C"/>
    <w:rsid w:val="003A2460"/>
    <w:rsid w:val="003A2EFE"/>
    <w:rsid w:val="003A2FDF"/>
    <w:rsid w:val="003A35D6"/>
    <w:rsid w:val="003A46CC"/>
    <w:rsid w:val="003A5271"/>
    <w:rsid w:val="003A66D2"/>
    <w:rsid w:val="003A6997"/>
    <w:rsid w:val="003B025B"/>
    <w:rsid w:val="003B4838"/>
    <w:rsid w:val="003B5AFE"/>
    <w:rsid w:val="003B6BEF"/>
    <w:rsid w:val="003B75EA"/>
    <w:rsid w:val="003C0434"/>
    <w:rsid w:val="003C2073"/>
    <w:rsid w:val="003C4B26"/>
    <w:rsid w:val="003C7283"/>
    <w:rsid w:val="003C7946"/>
    <w:rsid w:val="003D1D7B"/>
    <w:rsid w:val="003D5A07"/>
    <w:rsid w:val="003D69BF"/>
    <w:rsid w:val="003E15F4"/>
    <w:rsid w:val="003E17BD"/>
    <w:rsid w:val="003E4DCE"/>
    <w:rsid w:val="003E61B7"/>
    <w:rsid w:val="003F1163"/>
    <w:rsid w:val="003F1663"/>
    <w:rsid w:val="003F3732"/>
    <w:rsid w:val="003F41A5"/>
    <w:rsid w:val="003F75A6"/>
    <w:rsid w:val="00401699"/>
    <w:rsid w:val="00407432"/>
    <w:rsid w:val="00411A89"/>
    <w:rsid w:val="004155FB"/>
    <w:rsid w:val="00415689"/>
    <w:rsid w:val="004158C8"/>
    <w:rsid w:val="004171FD"/>
    <w:rsid w:val="00417C46"/>
    <w:rsid w:val="00425407"/>
    <w:rsid w:val="00431714"/>
    <w:rsid w:val="00434992"/>
    <w:rsid w:val="00441305"/>
    <w:rsid w:val="00441932"/>
    <w:rsid w:val="00441BED"/>
    <w:rsid w:val="004427B0"/>
    <w:rsid w:val="00442D90"/>
    <w:rsid w:val="004436C8"/>
    <w:rsid w:val="004446AA"/>
    <w:rsid w:val="0044673D"/>
    <w:rsid w:val="004475AF"/>
    <w:rsid w:val="00447EAB"/>
    <w:rsid w:val="0045123D"/>
    <w:rsid w:val="004514F2"/>
    <w:rsid w:val="00455362"/>
    <w:rsid w:val="00455D87"/>
    <w:rsid w:val="00457251"/>
    <w:rsid w:val="004577AE"/>
    <w:rsid w:val="00461FD6"/>
    <w:rsid w:val="00462A65"/>
    <w:rsid w:val="00463498"/>
    <w:rsid w:val="00463570"/>
    <w:rsid w:val="00463C20"/>
    <w:rsid w:val="00464102"/>
    <w:rsid w:val="00466822"/>
    <w:rsid w:val="00470D43"/>
    <w:rsid w:val="00473ACB"/>
    <w:rsid w:val="0047450C"/>
    <w:rsid w:val="004754EF"/>
    <w:rsid w:val="00480193"/>
    <w:rsid w:val="00482A03"/>
    <w:rsid w:val="00487991"/>
    <w:rsid w:val="00490ABC"/>
    <w:rsid w:val="00492388"/>
    <w:rsid w:val="00494C44"/>
    <w:rsid w:val="004A46C0"/>
    <w:rsid w:val="004A4ED2"/>
    <w:rsid w:val="004A646C"/>
    <w:rsid w:val="004B1489"/>
    <w:rsid w:val="004B44DD"/>
    <w:rsid w:val="004B4D42"/>
    <w:rsid w:val="004B6F2B"/>
    <w:rsid w:val="004B7109"/>
    <w:rsid w:val="004B7116"/>
    <w:rsid w:val="004B77B6"/>
    <w:rsid w:val="004B7FF6"/>
    <w:rsid w:val="004C096E"/>
    <w:rsid w:val="004C1A0B"/>
    <w:rsid w:val="004C1C0D"/>
    <w:rsid w:val="004C3D6E"/>
    <w:rsid w:val="004C41B7"/>
    <w:rsid w:val="004C57A0"/>
    <w:rsid w:val="004C598E"/>
    <w:rsid w:val="004C6F71"/>
    <w:rsid w:val="004D0A8C"/>
    <w:rsid w:val="004D1FDE"/>
    <w:rsid w:val="004D3534"/>
    <w:rsid w:val="004D5E2F"/>
    <w:rsid w:val="004D79BB"/>
    <w:rsid w:val="004E2B7F"/>
    <w:rsid w:val="004E3EF4"/>
    <w:rsid w:val="004E5B16"/>
    <w:rsid w:val="004F10A2"/>
    <w:rsid w:val="004F221E"/>
    <w:rsid w:val="004F4BB6"/>
    <w:rsid w:val="004F5451"/>
    <w:rsid w:val="004F55A0"/>
    <w:rsid w:val="004F6DF1"/>
    <w:rsid w:val="00500522"/>
    <w:rsid w:val="00500FA6"/>
    <w:rsid w:val="00502014"/>
    <w:rsid w:val="005028F0"/>
    <w:rsid w:val="00504E8B"/>
    <w:rsid w:val="00506FD5"/>
    <w:rsid w:val="00513E15"/>
    <w:rsid w:val="005167D4"/>
    <w:rsid w:val="00517506"/>
    <w:rsid w:val="0052133F"/>
    <w:rsid w:val="00523A11"/>
    <w:rsid w:val="00523C3C"/>
    <w:rsid w:val="00524C85"/>
    <w:rsid w:val="00525851"/>
    <w:rsid w:val="00530D5D"/>
    <w:rsid w:val="00531489"/>
    <w:rsid w:val="00533083"/>
    <w:rsid w:val="005374ED"/>
    <w:rsid w:val="005435AA"/>
    <w:rsid w:val="00543708"/>
    <w:rsid w:val="00544B38"/>
    <w:rsid w:val="00544E55"/>
    <w:rsid w:val="0054527A"/>
    <w:rsid w:val="00546EFA"/>
    <w:rsid w:val="0055040D"/>
    <w:rsid w:val="00553BCE"/>
    <w:rsid w:val="00553DAF"/>
    <w:rsid w:val="0055400C"/>
    <w:rsid w:val="00555053"/>
    <w:rsid w:val="005571FF"/>
    <w:rsid w:val="005605A1"/>
    <w:rsid w:val="00561EE9"/>
    <w:rsid w:val="00562E65"/>
    <w:rsid w:val="00563ECF"/>
    <w:rsid w:val="00565CF7"/>
    <w:rsid w:val="005668B4"/>
    <w:rsid w:val="00566C64"/>
    <w:rsid w:val="0056744D"/>
    <w:rsid w:val="0057051B"/>
    <w:rsid w:val="00570B66"/>
    <w:rsid w:val="0057224A"/>
    <w:rsid w:val="00573084"/>
    <w:rsid w:val="00573D1A"/>
    <w:rsid w:val="00574189"/>
    <w:rsid w:val="00574D65"/>
    <w:rsid w:val="00583D65"/>
    <w:rsid w:val="00583F8C"/>
    <w:rsid w:val="00585F9C"/>
    <w:rsid w:val="00586007"/>
    <w:rsid w:val="00591465"/>
    <w:rsid w:val="0059218E"/>
    <w:rsid w:val="00594EB2"/>
    <w:rsid w:val="005954CA"/>
    <w:rsid w:val="005A0DE3"/>
    <w:rsid w:val="005A1069"/>
    <w:rsid w:val="005A3F5B"/>
    <w:rsid w:val="005A6AEB"/>
    <w:rsid w:val="005A6EC0"/>
    <w:rsid w:val="005B258D"/>
    <w:rsid w:val="005B3512"/>
    <w:rsid w:val="005B3850"/>
    <w:rsid w:val="005B3917"/>
    <w:rsid w:val="005B3A97"/>
    <w:rsid w:val="005B4AC2"/>
    <w:rsid w:val="005B7261"/>
    <w:rsid w:val="005B7276"/>
    <w:rsid w:val="005C42AF"/>
    <w:rsid w:val="005C47F0"/>
    <w:rsid w:val="005C66C5"/>
    <w:rsid w:val="005C7FA2"/>
    <w:rsid w:val="005D333A"/>
    <w:rsid w:val="005D6D9B"/>
    <w:rsid w:val="005E0FB5"/>
    <w:rsid w:val="005E4A0C"/>
    <w:rsid w:val="005E513C"/>
    <w:rsid w:val="005E665F"/>
    <w:rsid w:val="005E68FE"/>
    <w:rsid w:val="005E785B"/>
    <w:rsid w:val="005E7C10"/>
    <w:rsid w:val="005F0688"/>
    <w:rsid w:val="005F1FD3"/>
    <w:rsid w:val="006000D0"/>
    <w:rsid w:val="00602DE8"/>
    <w:rsid w:val="00606C5D"/>
    <w:rsid w:val="00622ED9"/>
    <w:rsid w:val="0062375D"/>
    <w:rsid w:val="0062438C"/>
    <w:rsid w:val="00625246"/>
    <w:rsid w:val="00625E77"/>
    <w:rsid w:val="006267A1"/>
    <w:rsid w:val="00626E71"/>
    <w:rsid w:val="00630DE8"/>
    <w:rsid w:val="00632D0C"/>
    <w:rsid w:val="00632EB5"/>
    <w:rsid w:val="00633F34"/>
    <w:rsid w:val="0063448F"/>
    <w:rsid w:val="0063585B"/>
    <w:rsid w:val="00637CCF"/>
    <w:rsid w:val="0064215B"/>
    <w:rsid w:val="00643F99"/>
    <w:rsid w:val="00645E20"/>
    <w:rsid w:val="00651E6C"/>
    <w:rsid w:val="00653099"/>
    <w:rsid w:val="006530F3"/>
    <w:rsid w:val="00653AD1"/>
    <w:rsid w:val="00653F1E"/>
    <w:rsid w:val="00664634"/>
    <w:rsid w:val="006667CB"/>
    <w:rsid w:val="00666E10"/>
    <w:rsid w:val="006702EB"/>
    <w:rsid w:val="006716C6"/>
    <w:rsid w:val="00672B88"/>
    <w:rsid w:val="00673353"/>
    <w:rsid w:val="00673368"/>
    <w:rsid w:val="00673B75"/>
    <w:rsid w:val="00680D13"/>
    <w:rsid w:val="006832F3"/>
    <w:rsid w:val="00687EB0"/>
    <w:rsid w:val="00690520"/>
    <w:rsid w:val="006905D5"/>
    <w:rsid w:val="00693831"/>
    <w:rsid w:val="00693D0C"/>
    <w:rsid w:val="00695065"/>
    <w:rsid w:val="006953DF"/>
    <w:rsid w:val="006A29CB"/>
    <w:rsid w:val="006A3C87"/>
    <w:rsid w:val="006A46FF"/>
    <w:rsid w:val="006A4AF7"/>
    <w:rsid w:val="006A7172"/>
    <w:rsid w:val="006B1B25"/>
    <w:rsid w:val="006B297C"/>
    <w:rsid w:val="006B6276"/>
    <w:rsid w:val="006B72FA"/>
    <w:rsid w:val="006C319F"/>
    <w:rsid w:val="006C4647"/>
    <w:rsid w:val="006C736B"/>
    <w:rsid w:val="006C7FFB"/>
    <w:rsid w:val="006D02DE"/>
    <w:rsid w:val="006D08D2"/>
    <w:rsid w:val="006D22A1"/>
    <w:rsid w:val="006D24D7"/>
    <w:rsid w:val="006D2612"/>
    <w:rsid w:val="006D47E6"/>
    <w:rsid w:val="006D4807"/>
    <w:rsid w:val="006D5EF0"/>
    <w:rsid w:val="006D6610"/>
    <w:rsid w:val="006E2F1E"/>
    <w:rsid w:val="006E3627"/>
    <w:rsid w:val="006E36F4"/>
    <w:rsid w:val="006E3E0D"/>
    <w:rsid w:val="006E69AD"/>
    <w:rsid w:val="006E7160"/>
    <w:rsid w:val="006F0BA6"/>
    <w:rsid w:val="006F30FB"/>
    <w:rsid w:val="006F69C3"/>
    <w:rsid w:val="006F6A4F"/>
    <w:rsid w:val="00700D49"/>
    <w:rsid w:val="00701E11"/>
    <w:rsid w:val="00703828"/>
    <w:rsid w:val="00710B8D"/>
    <w:rsid w:val="0072322A"/>
    <w:rsid w:val="007232E8"/>
    <w:rsid w:val="007239D7"/>
    <w:rsid w:val="00725420"/>
    <w:rsid w:val="00725B45"/>
    <w:rsid w:val="007277C2"/>
    <w:rsid w:val="00730A4A"/>
    <w:rsid w:val="0073205A"/>
    <w:rsid w:val="007351FF"/>
    <w:rsid w:val="00736D64"/>
    <w:rsid w:val="007371E3"/>
    <w:rsid w:val="00737D4C"/>
    <w:rsid w:val="00743723"/>
    <w:rsid w:val="007439F2"/>
    <w:rsid w:val="00746656"/>
    <w:rsid w:val="00747838"/>
    <w:rsid w:val="00751E0B"/>
    <w:rsid w:val="0075455B"/>
    <w:rsid w:val="00755215"/>
    <w:rsid w:val="00761E34"/>
    <w:rsid w:val="007627F0"/>
    <w:rsid w:val="007660DB"/>
    <w:rsid w:val="00767535"/>
    <w:rsid w:val="00767FB4"/>
    <w:rsid w:val="007703A0"/>
    <w:rsid w:val="00770E19"/>
    <w:rsid w:val="007729DF"/>
    <w:rsid w:val="00776AFD"/>
    <w:rsid w:val="007834A5"/>
    <w:rsid w:val="0078355B"/>
    <w:rsid w:val="00786719"/>
    <w:rsid w:val="00787181"/>
    <w:rsid w:val="00790E74"/>
    <w:rsid w:val="0079638E"/>
    <w:rsid w:val="00797E33"/>
    <w:rsid w:val="007A1331"/>
    <w:rsid w:val="007A4990"/>
    <w:rsid w:val="007A504A"/>
    <w:rsid w:val="007A75E3"/>
    <w:rsid w:val="007B2ABE"/>
    <w:rsid w:val="007B4F0D"/>
    <w:rsid w:val="007C05F7"/>
    <w:rsid w:val="007C1A2B"/>
    <w:rsid w:val="007C3EF4"/>
    <w:rsid w:val="007C45F1"/>
    <w:rsid w:val="007C5369"/>
    <w:rsid w:val="007D276B"/>
    <w:rsid w:val="007D411F"/>
    <w:rsid w:val="007E004C"/>
    <w:rsid w:val="007E0D51"/>
    <w:rsid w:val="007E1269"/>
    <w:rsid w:val="007E1895"/>
    <w:rsid w:val="007E2B88"/>
    <w:rsid w:val="007E319F"/>
    <w:rsid w:val="007E409F"/>
    <w:rsid w:val="007E5748"/>
    <w:rsid w:val="007E5852"/>
    <w:rsid w:val="007E6B2F"/>
    <w:rsid w:val="007F04D5"/>
    <w:rsid w:val="007F15AF"/>
    <w:rsid w:val="007F4714"/>
    <w:rsid w:val="007F65D6"/>
    <w:rsid w:val="007F6918"/>
    <w:rsid w:val="00800E99"/>
    <w:rsid w:val="00803327"/>
    <w:rsid w:val="008036CF"/>
    <w:rsid w:val="00805F4A"/>
    <w:rsid w:val="0080658A"/>
    <w:rsid w:val="008073A9"/>
    <w:rsid w:val="00807C6E"/>
    <w:rsid w:val="008100D5"/>
    <w:rsid w:val="00810405"/>
    <w:rsid w:val="00810570"/>
    <w:rsid w:val="008157CF"/>
    <w:rsid w:val="00815835"/>
    <w:rsid w:val="00816350"/>
    <w:rsid w:val="0081657F"/>
    <w:rsid w:val="008177E5"/>
    <w:rsid w:val="00820047"/>
    <w:rsid w:val="008215D2"/>
    <w:rsid w:val="00830114"/>
    <w:rsid w:val="008317AC"/>
    <w:rsid w:val="00834067"/>
    <w:rsid w:val="00834A54"/>
    <w:rsid w:val="0083529B"/>
    <w:rsid w:val="0083666A"/>
    <w:rsid w:val="00837556"/>
    <w:rsid w:val="00842392"/>
    <w:rsid w:val="00843352"/>
    <w:rsid w:val="008437EB"/>
    <w:rsid w:val="0084481B"/>
    <w:rsid w:val="00845546"/>
    <w:rsid w:val="008462A7"/>
    <w:rsid w:val="00851335"/>
    <w:rsid w:val="008527B5"/>
    <w:rsid w:val="008529C0"/>
    <w:rsid w:val="0085698A"/>
    <w:rsid w:val="008571B6"/>
    <w:rsid w:val="008625A6"/>
    <w:rsid w:val="0086744F"/>
    <w:rsid w:val="008678CB"/>
    <w:rsid w:val="008740FA"/>
    <w:rsid w:val="008753BB"/>
    <w:rsid w:val="00875A68"/>
    <w:rsid w:val="00875C71"/>
    <w:rsid w:val="0087637F"/>
    <w:rsid w:val="008824D6"/>
    <w:rsid w:val="00886209"/>
    <w:rsid w:val="0088645F"/>
    <w:rsid w:val="00886F7C"/>
    <w:rsid w:val="0088753B"/>
    <w:rsid w:val="008921AD"/>
    <w:rsid w:val="00893D53"/>
    <w:rsid w:val="0089554C"/>
    <w:rsid w:val="00895561"/>
    <w:rsid w:val="00896F78"/>
    <w:rsid w:val="008A4A81"/>
    <w:rsid w:val="008A55A6"/>
    <w:rsid w:val="008B0367"/>
    <w:rsid w:val="008B0FC9"/>
    <w:rsid w:val="008B3A07"/>
    <w:rsid w:val="008C00A2"/>
    <w:rsid w:val="008C173B"/>
    <w:rsid w:val="008C1EAE"/>
    <w:rsid w:val="008C552F"/>
    <w:rsid w:val="008C78CC"/>
    <w:rsid w:val="008D3A77"/>
    <w:rsid w:val="008D4C20"/>
    <w:rsid w:val="008D544A"/>
    <w:rsid w:val="008D5CE0"/>
    <w:rsid w:val="008D7AAF"/>
    <w:rsid w:val="008E245B"/>
    <w:rsid w:val="008E2494"/>
    <w:rsid w:val="008E2ADF"/>
    <w:rsid w:val="008E3007"/>
    <w:rsid w:val="008F12C8"/>
    <w:rsid w:val="008F59A7"/>
    <w:rsid w:val="008F65C6"/>
    <w:rsid w:val="009070D0"/>
    <w:rsid w:val="00907868"/>
    <w:rsid w:val="00910EB8"/>
    <w:rsid w:val="00911CD4"/>
    <w:rsid w:val="00912BF9"/>
    <w:rsid w:val="00913270"/>
    <w:rsid w:val="00913C5F"/>
    <w:rsid w:val="0091482B"/>
    <w:rsid w:val="00914C0F"/>
    <w:rsid w:val="009154E8"/>
    <w:rsid w:val="00915934"/>
    <w:rsid w:val="00915D22"/>
    <w:rsid w:val="0092189A"/>
    <w:rsid w:val="00923C38"/>
    <w:rsid w:val="00924F12"/>
    <w:rsid w:val="00931984"/>
    <w:rsid w:val="00933F4D"/>
    <w:rsid w:val="00933F9F"/>
    <w:rsid w:val="00935EBE"/>
    <w:rsid w:val="009425D2"/>
    <w:rsid w:val="00942891"/>
    <w:rsid w:val="009446BF"/>
    <w:rsid w:val="009447D9"/>
    <w:rsid w:val="00945B90"/>
    <w:rsid w:val="0095044E"/>
    <w:rsid w:val="00950783"/>
    <w:rsid w:val="009514C5"/>
    <w:rsid w:val="0095764D"/>
    <w:rsid w:val="00962F24"/>
    <w:rsid w:val="0096363C"/>
    <w:rsid w:val="0096708A"/>
    <w:rsid w:val="00967F2F"/>
    <w:rsid w:val="00971B04"/>
    <w:rsid w:val="00973DCD"/>
    <w:rsid w:val="00977A85"/>
    <w:rsid w:val="00977D00"/>
    <w:rsid w:val="00977D79"/>
    <w:rsid w:val="009A2032"/>
    <w:rsid w:val="009A4811"/>
    <w:rsid w:val="009A5708"/>
    <w:rsid w:val="009A5962"/>
    <w:rsid w:val="009A6473"/>
    <w:rsid w:val="009B4B11"/>
    <w:rsid w:val="009B53D0"/>
    <w:rsid w:val="009B6C99"/>
    <w:rsid w:val="009B779C"/>
    <w:rsid w:val="009C0EB6"/>
    <w:rsid w:val="009C1D33"/>
    <w:rsid w:val="009C2317"/>
    <w:rsid w:val="009C2435"/>
    <w:rsid w:val="009C3B59"/>
    <w:rsid w:val="009D4CC6"/>
    <w:rsid w:val="009D57DF"/>
    <w:rsid w:val="009D5C03"/>
    <w:rsid w:val="009D70DF"/>
    <w:rsid w:val="009D75D6"/>
    <w:rsid w:val="009D77DB"/>
    <w:rsid w:val="009D7A5E"/>
    <w:rsid w:val="009E187B"/>
    <w:rsid w:val="009E1EF2"/>
    <w:rsid w:val="009E470B"/>
    <w:rsid w:val="009E60C8"/>
    <w:rsid w:val="009E691F"/>
    <w:rsid w:val="009E7A1B"/>
    <w:rsid w:val="009F3059"/>
    <w:rsid w:val="009F62DA"/>
    <w:rsid w:val="009F692A"/>
    <w:rsid w:val="00A11CC2"/>
    <w:rsid w:val="00A147D0"/>
    <w:rsid w:val="00A156DD"/>
    <w:rsid w:val="00A16175"/>
    <w:rsid w:val="00A17359"/>
    <w:rsid w:val="00A17E12"/>
    <w:rsid w:val="00A20E9A"/>
    <w:rsid w:val="00A22261"/>
    <w:rsid w:val="00A24EDB"/>
    <w:rsid w:val="00A27D4F"/>
    <w:rsid w:val="00A30DCA"/>
    <w:rsid w:val="00A33566"/>
    <w:rsid w:val="00A4073D"/>
    <w:rsid w:val="00A4151A"/>
    <w:rsid w:val="00A4151C"/>
    <w:rsid w:val="00A42147"/>
    <w:rsid w:val="00A435CA"/>
    <w:rsid w:val="00A47CCE"/>
    <w:rsid w:val="00A53C53"/>
    <w:rsid w:val="00A55397"/>
    <w:rsid w:val="00A561C8"/>
    <w:rsid w:val="00A57E59"/>
    <w:rsid w:val="00A60BA0"/>
    <w:rsid w:val="00A62C37"/>
    <w:rsid w:val="00A65D63"/>
    <w:rsid w:val="00A65E02"/>
    <w:rsid w:val="00A72041"/>
    <w:rsid w:val="00A7319D"/>
    <w:rsid w:val="00A75C1A"/>
    <w:rsid w:val="00A814FF"/>
    <w:rsid w:val="00A82AA5"/>
    <w:rsid w:val="00A86994"/>
    <w:rsid w:val="00A86EDF"/>
    <w:rsid w:val="00A92FDA"/>
    <w:rsid w:val="00A9390F"/>
    <w:rsid w:val="00A95EE0"/>
    <w:rsid w:val="00A95F6F"/>
    <w:rsid w:val="00AA04E7"/>
    <w:rsid w:val="00AA107A"/>
    <w:rsid w:val="00AA180E"/>
    <w:rsid w:val="00AA2DEB"/>
    <w:rsid w:val="00AA3A5B"/>
    <w:rsid w:val="00AA53E5"/>
    <w:rsid w:val="00AB0BC7"/>
    <w:rsid w:val="00AB1024"/>
    <w:rsid w:val="00AB666D"/>
    <w:rsid w:val="00AB79D2"/>
    <w:rsid w:val="00AC04FB"/>
    <w:rsid w:val="00AC189B"/>
    <w:rsid w:val="00AC312F"/>
    <w:rsid w:val="00AC3F3C"/>
    <w:rsid w:val="00AC64F0"/>
    <w:rsid w:val="00AD1A2D"/>
    <w:rsid w:val="00AD515F"/>
    <w:rsid w:val="00AD52B4"/>
    <w:rsid w:val="00AE3F8B"/>
    <w:rsid w:val="00AE4209"/>
    <w:rsid w:val="00AF14B0"/>
    <w:rsid w:val="00AF15EC"/>
    <w:rsid w:val="00AF4943"/>
    <w:rsid w:val="00AF7CF1"/>
    <w:rsid w:val="00B00BDB"/>
    <w:rsid w:val="00B06FCF"/>
    <w:rsid w:val="00B078DD"/>
    <w:rsid w:val="00B108EA"/>
    <w:rsid w:val="00B110C5"/>
    <w:rsid w:val="00B15523"/>
    <w:rsid w:val="00B15529"/>
    <w:rsid w:val="00B1608B"/>
    <w:rsid w:val="00B22380"/>
    <w:rsid w:val="00B2687E"/>
    <w:rsid w:val="00B334AD"/>
    <w:rsid w:val="00B33B0F"/>
    <w:rsid w:val="00B37CA2"/>
    <w:rsid w:val="00B402CB"/>
    <w:rsid w:val="00B425EE"/>
    <w:rsid w:val="00B45ED5"/>
    <w:rsid w:val="00B45FF7"/>
    <w:rsid w:val="00B46235"/>
    <w:rsid w:val="00B46622"/>
    <w:rsid w:val="00B50B01"/>
    <w:rsid w:val="00B53F66"/>
    <w:rsid w:val="00B610EE"/>
    <w:rsid w:val="00B613A0"/>
    <w:rsid w:val="00B61481"/>
    <w:rsid w:val="00B61E4E"/>
    <w:rsid w:val="00B624C0"/>
    <w:rsid w:val="00B626F6"/>
    <w:rsid w:val="00B639E7"/>
    <w:rsid w:val="00B6494A"/>
    <w:rsid w:val="00B70280"/>
    <w:rsid w:val="00B7530B"/>
    <w:rsid w:val="00B77E08"/>
    <w:rsid w:val="00B812F7"/>
    <w:rsid w:val="00B81FF1"/>
    <w:rsid w:val="00B849B7"/>
    <w:rsid w:val="00B85189"/>
    <w:rsid w:val="00B858D8"/>
    <w:rsid w:val="00B87BB2"/>
    <w:rsid w:val="00B87F42"/>
    <w:rsid w:val="00B87F89"/>
    <w:rsid w:val="00B90226"/>
    <w:rsid w:val="00B913DC"/>
    <w:rsid w:val="00B92C1A"/>
    <w:rsid w:val="00B9470B"/>
    <w:rsid w:val="00B95423"/>
    <w:rsid w:val="00B970AB"/>
    <w:rsid w:val="00BA1C78"/>
    <w:rsid w:val="00BA1FF1"/>
    <w:rsid w:val="00BA2D46"/>
    <w:rsid w:val="00BA3584"/>
    <w:rsid w:val="00BA58A0"/>
    <w:rsid w:val="00BB250F"/>
    <w:rsid w:val="00BB31A8"/>
    <w:rsid w:val="00BB3334"/>
    <w:rsid w:val="00BB57FD"/>
    <w:rsid w:val="00BC01E1"/>
    <w:rsid w:val="00BC1BDB"/>
    <w:rsid w:val="00BC1D40"/>
    <w:rsid w:val="00BC2F24"/>
    <w:rsid w:val="00BC5C5A"/>
    <w:rsid w:val="00BD25AD"/>
    <w:rsid w:val="00BD354B"/>
    <w:rsid w:val="00BD544E"/>
    <w:rsid w:val="00BD56E9"/>
    <w:rsid w:val="00BE06B2"/>
    <w:rsid w:val="00BE0D77"/>
    <w:rsid w:val="00BE35DD"/>
    <w:rsid w:val="00BE3746"/>
    <w:rsid w:val="00BE3DF2"/>
    <w:rsid w:val="00BE43A8"/>
    <w:rsid w:val="00BE442C"/>
    <w:rsid w:val="00BE68AB"/>
    <w:rsid w:val="00BF0BA5"/>
    <w:rsid w:val="00BF1114"/>
    <w:rsid w:val="00BF16FF"/>
    <w:rsid w:val="00BF3F84"/>
    <w:rsid w:val="00BF6352"/>
    <w:rsid w:val="00BF68A7"/>
    <w:rsid w:val="00C00421"/>
    <w:rsid w:val="00C01C51"/>
    <w:rsid w:val="00C02CD6"/>
    <w:rsid w:val="00C03344"/>
    <w:rsid w:val="00C040DF"/>
    <w:rsid w:val="00C04635"/>
    <w:rsid w:val="00C071F7"/>
    <w:rsid w:val="00C072AF"/>
    <w:rsid w:val="00C10048"/>
    <w:rsid w:val="00C13025"/>
    <w:rsid w:val="00C13C7B"/>
    <w:rsid w:val="00C15702"/>
    <w:rsid w:val="00C1641F"/>
    <w:rsid w:val="00C17346"/>
    <w:rsid w:val="00C173E6"/>
    <w:rsid w:val="00C17A2C"/>
    <w:rsid w:val="00C20330"/>
    <w:rsid w:val="00C23112"/>
    <w:rsid w:val="00C27E55"/>
    <w:rsid w:val="00C37ECE"/>
    <w:rsid w:val="00C41B75"/>
    <w:rsid w:val="00C4415A"/>
    <w:rsid w:val="00C45605"/>
    <w:rsid w:val="00C45BE6"/>
    <w:rsid w:val="00C4724F"/>
    <w:rsid w:val="00C53B96"/>
    <w:rsid w:val="00C6378D"/>
    <w:rsid w:val="00C65442"/>
    <w:rsid w:val="00C67C20"/>
    <w:rsid w:val="00C733DB"/>
    <w:rsid w:val="00C75B3B"/>
    <w:rsid w:val="00C77A00"/>
    <w:rsid w:val="00C807BB"/>
    <w:rsid w:val="00C812EB"/>
    <w:rsid w:val="00C8288C"/>
    <w:rsid w:val="00C833D8"/>
    <w:rsid w:val="00C83ABF"/>
    <w:rsid w:val="00C849AD"/>
    <w:rsid w:val="00C87214"/>
    <w:rsid w:val="00C878E9"/>
    <w:rsid w:val="00C91B25"/>
    <w:rsid w:val="00C93512"/>
    <w:rsid w:val="00CA0E45"/>
    <w:rsid w:val="00CA2A63"/>
    <w:rsid w:val="00CA2F53"/>
    <w:rsid w:val="00CA5035"/>
    <w:rsid w:val="00CB4DAC"/>
    <w:rsid w:val="00CC0D6B"/>
    <w:rsid w:val="00CC0DDE"/>
    <w:rsid w:val="00CC1861"/>
    <w:rsid w:val="00CC2483"/>
    <w:rsid w:val="00CC3A86"/>
    <w:rsid w:val="00CC413B"/>
    <w:rsid w:val="00CD0426"/>
    <w:rsid w:val="00CD167E"/>
    <w:rsid w:val="00CD1E12"/>
    <w:rsid w:val="00CD3B09"/>
    <w:rsid w:val="00CD3E05"/>
    <w:rsid w:val="00CD6B4B"/>
    <w:rsid w:val="00CD71A3"/>
    <w:rsid w:val="00CE076D"/>
    <w:rsid w:val="00CE2A04"/>
    <w:rsid w:val="00CE6020"/>
    <w:rsid w:val="00CF0B59"/>
    <w:rsid w:val="00CF104A"/>
    <w:rsid w:val="00CF2370"/>
    <w:rsid w:val="00CF247F"/>
    <w:rsid w:val="00CF3804"/>
    <w:rsid w:val="00CF5249"/>
    <w:rsid w:val="00CF6EBC"/>
    <w:rsid w:val="00CF75D8"/>
    <w:rsid w:val="00D006ED"/>
    <w:rsid w:val="00D01806"/>
    <w:rsid w:val="00D02733"/>
    <w:rsid w:val="00D04610"/>
    <w:rsid w:val="00D04A45"/>
    <w:rsid w:val="00D06B9C"/>
    <w:rsid w:val="00D12241"/>
    <w:rsid w:val="00D15A25"/>
    <w:rsid w:val="00D17812"/>
    <w:rsid w:val="00D17993"/>
    <w:rsid w:val="00D17AA3"/>
    <w:rsid w:val="00D209A5"/>
    <w:rsid w:val="00D20CB8"/>
    <w:rsid w:val="00D217C6"/>
    <w:rsid w:val="00D22146"/>
    <w:rsid w:val="00D236AA"/>
    <w:rsid w:val="00D23B6F"/>
    <w:rsid w:val="00D248E2"/>
    <w:rsid w:val="00D27326"/>
    <w:rsid w:val="00D27B46"/>
    <w:rsid w:val="00D308B8"/>
    <w:rsid w:val="00D32AB4"/>
    <w:rsid w:val="00D35068"/>
    <w:rsid w:val="00D36A8D"/>
    <w:rsid w:val="00D42792"/>
    <w:rsid w:val="00D44DDB"/>
    <w:rsid w:val="00D4513A"/>
    <w:rsid w:val="00D51644"/>
    <w:rsid w:val="00D525CC"/>
    <w:rsid w:val="00D52739"/>
    <w:rsid w:val="00D53B6C"/>
    <w:rsid w:val="00D53C97"/>
    <w:rsid w:val="00D61086"/>
    <w:rsid w:val="00D61587"/>
    <w:rsid w:val="00D641E3"/>
    <w:rsid w:val="00D64269"/>
    <w:rsid w:val="00D64BAF"/>
    <w:rsid w:val="00D65E3D"/>
    <w:rsid w:val="00D675B2"/>
    <w:rsid w:val="00D6776F"/>
    <w:rsid w:val="00D71F0C"/>
    <w:rsid w:val="00D74C18"/>
    <w:rsid w:val="00D7652E"/>
    <w:rsid w:val="00D77FA9"/>
    <w:rsid w:val="00D80886"/>
    <w:rsid w:val="00D81C9C"/>
    <w:rsid w:val="00D83D2E"/>
    <w:rsid w:val="00D84BBF"/>
    <w:rsid w:val="00D86012"/>
    <w:rsid w:val="00D9173E"/>
    <w:rsid w:val="00D92415"/>
    <w:rsid w:val="00D946D7"/>
    <w:rsid w:val="00D94863"/>
    <w:rsid w:val="00D94D25"/>
    <w:rsid w:val="00D95072"/>
    <w:rsid w:val="00D95938"/>
    <w:rsid w:val="00DA09EB"/>
    <w:rsid w:val="00DA0ACF"/>
    <w:rsid w:val="00DA417C"/>
    <w:rsid w:val="00DA4695"/>
    <w:rsid w:val="00DA76B4"/>
    <w:rsid w:val="00DB367B"/>
    <w:rsid w:val="00DB3DC5"/>
    <w:rsid w:val="00DB5414"/>
    <w:rsid w:val="00DB754E"/>
    <w:rsid w:val="00DC0AE2"/>
    <w:rsid w:val="00DC20C5"/>
    <w:rsid w:val="00DC6040"/>
    <w:rsid w:val="00DD1432"/>
    <w:rsid w:val="00DD16C3"/>
    <w:rsid w:val="00DD2F01"/>
    <w:rsid w:val="00DD5F5F"/>
    <w:rsid w:val="00DD6479"/>
    <w:rsid w:val="00DE2B24"/>
    <w:rsid w:val="00DE437E"/>
    <w:rsid w:val="00DE44B0"/>
    <w:rsid w:val="00DE7A8D"/>
    <w:rsid w:val="00DF0A1A"/>
    <w:rsid w:val="00DF0A24"/>
    <w:rsid w:val="00DF10FE"/>
    <w:rsid w:val="00DF2527"/>
    <w:rsid w:val="00DF6D0C"/>
    <w:rsid w:val="00E0080A"/>
    <w:rsid w:val="00E04AFF"/>
    <w:rsid w:val="00E1059D"/>
    <w:rsid w:val="00E123FB"/>
    <w:rsid w:val="00E13624"/>
    <w:rsid w:val="00E13BDC"/>
    <w:rsid w:val="00E147CA"/>
    <w:rsid w:val="00E1548F"/>
    <w:rsid w:val="00E1736F"/>
    <w:rsid w:val="00E1769A"/>
    <w:rsid w:val="00E22A9D"/>
    <w:rsid w:val="00E22F85"/>
    <w:rsid w:val="00E23E9C"/>
    <w:rsid w:val="00E26CD4"/>
    <w:rsid w:val="00E31455"/>
    <w:rsid w:val="00E326A0"/>
    <w:rsid w:val="00E3672D"/>
    <w:rsid w:val="00E41B65"/>
    <w:rsid w:val="00E447E4"/>
    <w:rsid w:val="00E45C4D"/>
    <w:rsid w:val="00E47001"/>
    <w:rsid w:val="00E500AE"/>
    <w:rsid w:val="00E51555"/>
    <w:rsid w:val="00E516D3"/>
    <w:rsid w:val="00E52104"/>
    <w:rsid w:val="00E5385D"/>
    <w:rsid w:val="00E5553D"/>
    <w:rsid w:val="00E5795D"/>
    <w:rsid w:val="00E57D82"/>
    <w:rsid w:val="00E660D4"/>
    <w:rsid w:val="00E6633D"/>
    <w:rsid w:val="00E668AA"/>
    <w:rsid w:val="00E66D66"/>
    <w:rsid w:val="00E67024"/>
    <w:rsid w:val="00E7074A"/>
    <w:rsid w:val="00E72C7D"/>
    <w:rsid w:val="00E73015"/>
    <w:rsid w:val="00E74A11"/>
    <w:rsid w:val="00E74CA0"/>
    <w:rsid w:val="00E7690E"/>
    <w:rsid w:val="00E769E5"/>
    <w:rsid w:val="00E800C6"/>
    <w:rsid w:val="00E836AD"/>
    <w:rsid w:val="00E873AA"/>
    <w:rsid w:val="00E91859"/>
    <w:rsid w:val="00E9315A"/>
    <w:rsid w:val="00E944E1"/>
    <w:rsid w:val="00E947FD"/>
    <w:rsid w:val="00E96FA7"/>
    <w:rsid w:val="00E97C00"/>
    <w:rsid w:val="00E97D85"/>
    <w:rsid w:val="00EA0D96"/>
    <w:rsid w:val="00EA1DFF"/>
    <w:rsid w:val="00EA4FD4"/>
    <w:rsid w:val="00EB011E"/>
    <w:rsid w:val="00EB049F"/>
    <w:rsid w:val="00EB3384"/>
    <w:rsid w:val="00EB35BE"/>
    <w:rsid w:val="00EB42EF"/>
    <w:rsid w:val="00EB6134"/>
    <w:rsid w:val="00EB6625"/>
    <w:rsid w:val="00EC1E14"/>
    <w:rsid w:val="00EC2C3A"/>
    <w:rsid w:val="00EC3B3A"/>
    <w:rsid w:val="00EC46D9"/>
    <w:rsid w:val="00EC4C5F"/>
    <w:rsid w:val="00EC4E38"/>
    <w:rsid w:val="00EC571B"/>
    <w:rsid w:val="00EC6BA9"/>
    <w:rsid w:val="00EC7036"/>
    <w:rsid w:val="00ED1029"/>
    <w:rsid w:val="00ED175C"/>
    <w:rsid w:val="00ED17B5"/>
    <w:rsid w:val="00ED2C5C"/>
    <w:rsid w:val="00ED4359"/>
    <w:rsid w:val="00ED481C"/>
    <w:rsid w:val="00ED73FD"/>
    <w:rsid w:val="00ED7C5A"/>
    <w:rsid w:val="00ED7E24"/>
    <w:rsid w:val="00EE2FA2"/>
    <w:rsid w:val="00EE531D"/>
    <w:rsid w:val="00EE57C6"/>
    <w:rsid w:val="00EE6970"/>
    <w:rsid w:val="00EF2F75"/>
    <w:rsid w:val="00EF63B9"/>
    <w:rsid w:val="00EF671A"/>
    <w:rsid w:val="00F04225"/>
    <w:rsid w:val="00F05413"/>
    <w:rsid w:val="00F115E4"/>
    <w:rsid w:val="00F11C11"/>
    <w:rsid w:val="00F13403"/>
    <w:rsid w:val="00F13775"/>
    <w:rsid w:val="00F15823"/>
    <w:rsid w:val="00F1583E"/>
    <w:rsid w:val="00F2301F"/>
    <w:rsid w:val="00F248AC"/>
    <w:rsid w:val="00F251EC"/>
    <w:rsid w:val="00F26552"/>
    <w:rsid w:val="00F26CB4"/>
    <w:rsid w:val="00F31D5E"/>
    <w:rsid w:val="00F322F2"/>
    <w:rsid w:val="00F328BF"/>
    <w:rsid w:val="00F32FD5"/>
    <w:rsid w:val="00F34C0A"/>
    <w:rsid w:val="00F356B2"/>
    <w:rsid w:val="00F413AA"/>
    <w:rsid w:val="00F467CE"/>
    <w:rsid w:val="00F476F4"/>
    <w:rsid w:val="00F5003F"/>
    <w:rsid w:val="00F517F9"/>
    <w:rsid w:val="00F548EA"/>
    <w:rsid w:val="00F54C0B"/>
    <w:rsid w:val="00F61C93"/>
    <w:rsid w:val="00F61D20"/>
    <w:rsid w:val="00F61D91"/>
    <w:rsid w:val="00F63E0B"/>
    <w:rsid w:val="00F70B7B"/>
    <w:rsid w:val="00F71657"/>
    <w:rsid w:val="00F7235F"/>
    <w:rsid w:val="00F74008"/>
    <w:rsid w:val="00F74FB4"/>
    <w:rsid w:val="00F7666E"/>
    <w:rsid w:val="00F77EA1"/>
    <w:rsid w:val="00F80B5E"/>
    <w:rsid w:val="00F819B2"/>
    <w:rsid w:val="00F83A55"/>
    <w:rsid w:val="00F84852"/>
    <w:rsid w:val="00F8600F"/>
    <w:rsid w:val="00F927FF"/>
    <w:rsid w:val="00F93FEF"/>
    <w:rsid w:val="00F94D87"/>
    <w:rsid w:val="00F961D2"/>
    <w:rsid w:val="00F970F4"/>
    <w:rsid w:val="00FA7BA2"/>
    <w:rsid w:val="00FB1059"/>
    <w:rsid w:val="00FB1AC4"/>
    <w:rsid w:val="00FB4367"/>
    <w:rsid w:val="00FB5727"/>
    <w:rsid w:val="00FB5FA3"/>
    <w:rsid w:val="00FB652E"/>
    <w:rsid w:val="00FC1692"/>
    <w:rsid w:val="00FC6E3B"/>
    <w:rsid w:val="00FD1BE1"/>
    <w:rsid w:val="00FD3A51"/>
    <w:rsid w:val="00FD3AEB"/>
    <w:rsid w:val="00FD74E9"/>
    <w:rsid w:val="00FE2CDB"/>
    <w:rsid w:val="00FE7FE4"/>
    <w:rsid w:val="00FF1B7B"/>
    <w:rsid w:val="00FF20D9"/>
    <w:rsid w:val="00FF6B13"/>
    <w:rsid w:val="012F05BA"/>
    <w:rsid w:val="023A0A66"/>
    <w:rsid w:val="038B0753"/>
    <w:rsid w:val="03E446E5"/>
    <w:rsid w:val="0442248D"/>
    <w:rsid w:val="049B3A0D"/>
    <w:rsid w:val="050461E0"/>
    <w:rsid w:val="050E70E4"/>
    <w:rsid w:val="05A17A9E"/>
    <w:rsid w:val="0637676A"/>
    <w:rsid w:val="066B3F3A"/>
    <w:rsid w:val="072C5751"/>
    <w:rsid w:val="073C5B3F"/>
    <w:rsid w:val="08AB6EDA"/>
    <w:rsid w:val="092B1742"/>
    <w:rsid w:val="09CA1856"/>
    <w:rsid w:val="09F71624"/>
    <w:rsid w:val="0A177E4A"/>
    <w:rsid w:val="0ABA32C5"/>
    <w:rsid w:val="0B4D4E81"/>
    <w:rsid w:val="0D1D12E4"/>
    <w:rsid w:val="0D566AA2"/>
    <w:rsid w:val="0D6368F7"/>
    <w:rsid w:val="0DE325EB"/>
    <w:rsid w:val="0E124CF8"/>
    <w:rsid w:val="0E147FE8"/>
    <w:rsid w:val="0EFE0422"/>
    <w:rsid w:val="0F7307AA"/>
    <w:rsid w:val="10C71A44"/>
    <w:rsid w:val="10FB40F0"/>
    <w:rsid w:val="113B5485"/>
    <w:rsid w:val="11E5364E"/>
    <w:rsid w:val="123526C9"/>
    <w:rsid w:val="12EA5A31"/>
    <w:rsid w:val="132650F8"/>
    <w:rsid w:val="13817896"/>
    <w:rsid w:val="13BF552B"/>
    <w:rsid w:val="14F43319"/>
    <w:rsid w:val="1568452C"/>
    <w:rsid w:val="166D15EC"/>
    <w:rsid w:val="174100D4"/>
    <w:rsid w:val="17A60604"/>
    <w:rsid w:val="18455EB8"/>
    <w:rsid w:val="18772805"/>
    <w:rsid w:val="1A6E0D68"/>
    <w:rsid w:val="1A8854CC"/>
    <w:rsid w:val="1B756417"/>
    <w:rsid w:val="1C742848"/>
    <w:rsid w:val="1D0C5058"/>
    <w:rsid w:val="1D15249A"/>
    <w:rsid w:val="1DDF7A40"/>
    <w:rsid w:val="1E2E14E1"/>
    <w:rsid w:val="201C578E"/>
    <w:rsid w:val="20482520"/>
    <w:rsid w:val="20C447DF"/>
    <w:rsid w:val="20FB02BF"/>
    <w:rsid w:val="2147596F"/>
    <w:rsid w:val="21AE2824"/>
    <w:rsid w:val="21FC2DBE"/>
    <w:rsid w:val="223148B6"/>
    <w:rsid w:val="22E85774"/>
    <w:rsid w:val="22FA21AD"/>
    <w:rsid w:val="247D3008"/>
    <w:rsid w:val="251763AC"/>
    <w:rsid w:val="256C09F4"/>
    <w:rsid w:val="257302A1"/>
    <w:rsid w:val="25A8302D"/>
    <w:rsid w:val="2736157E"/>
    <w:rsid w:val="28B2344D"/>
    <w:rsid w:val="29377DCA"/>
    <w:rsid w:val="29755A55"/>
    <w:rsid w:val="2E4D3B76"/>
    <w:rsid w:val="2E7F40CA"/>
    <w:rsid w:val="301D4BD0"/>
    <w:rsid w:val="30D600F5"/>
    <w:rsid w:val="310C5ED9"/>
    <w:rsid w:val="311664A6"/>
    <w:rsid w:val="333C0319"/>
    <w:rsid w:val="33D10167"/>
    <w:rsid w:val="33F67B06"/>
    <w:rsid w:val="344242EF"/>
    <w:rsid w:val="351C5715"/>
    <w:rsid w:val="35383EB8"/>
    <w:rsid w:val="356826F0"/>
    <w:rsid w:val="36AA4EB5"/>
    <w:rsid w:val="381F0148"/>
    <w:rsid w:val="38A37EC6"/>
    <w:rsid w:val="38E107B6"/>
    <w:rsid w:val="3A147C64"/>
    <w:rsid w:val="3AD2717E"/>
    <w:rsid w:val="3B112A81"/>
    <w:rsid w:val="3B5D2F9F"/>
    <w:rsid w:val="3B7442DC"/>
    <w:rsid w:val="3BA83A3B"/>
    <w:rsid w:val="3BE4712F"/>
    <w:rsid w:val="3C154BC4"/>
    <w:rsid w:val="3EE90FF2"/>
    <w:rsid w:val="3F56090B"/>
    <w:rsid w:val="40E87AC6"/>
    <w:rsid w:val="40FC0CF2"/>
    <w:rsid w:val="429A7F93"/>
    <w:rsid w:val="429C6B7F"/>
    <w:rsid w:val="43CE1B59"/>
    <w:rsid w:val="445D4AE3"/>
    <w:rsid w:val="4484208C"/>
    <w:rsid w:val="45150E18"/>
    <w:rsid w:val="464C6F34"/>
    <w:rsid w:val="474C2F00"/>
    <w:rsid w:val="49354808"/>
    <w:rsid w:val="494A53B1"/>
    <w:rsid w:val="49732801"/>
    <w:rsid w:val="49807CF2"/>
    <w:rsid w:val="4A3D7691"/>
    <w:rsid w:val="4ABF2607"/>
    <w:rsid w:val="4B7574B1"/>
    <w:rsid w:val="4B790E38"/>
    <w:rsid w:val="4C650094"/>
    <w:rsid w:val="4CFC22B5"/>
    <w:rsid w:val="4D5532E6"/>
    <w:rsid w:val="4E075A5A"/>
    <w:rsid w:val="4ED109ED"/>
    <w:rsid w:val="4ED82358"/>
    <w:rsid w:val="4FE964E9"/>
    <w:rsid w:val="50887115"/>
    <w:rsid w:val="508F3931"/>
    <w:rsid w:val="50E671DC"/>
    <w:rsid w:val="50E95755"/>
    <w:rsid w:val="52285D29"/>
    <w:rsid w:val="5417148B"/>
    <w:rsid w:val="545804DE"/>
    <w:rsid w:val="55875E4E"/>
    <w:rsid w:val="55EE051A"/>
    <w:rsid w:val="56595AD6"/>
    <w:rsid w:val="576C64D8"/>
    <w:rsid w:val="576E5467"/>
    <w:rsid w:val="58070505"/>
    <w:rsid w:val="58214533"/>
    <w:rsid w:val="582B5EC1"/>
    <w:rsid w:val="591C4C7F"/>
    <w:rsid w:val="59CC2796"/>
    <w:rsid w:val="5A851C54"/>
    <w:rsid w:val="5C265644"/>
    <w:rsid w:val="5D5C7206"/>
    <w:rsid w:val="5DE62069"/>
    <w:rsid w:val="5F105DE2"/>
    <w:rsid w:val="5F183134"/>
    <w:rsid w:val="5F6E5059"/>
    <w:rsid w:val="5F925C19"/>
    <w:rsid w:val="60072CCB"/>
    <w:rsid w:val="62626B0C"/>
    <w:rsid w:val="63161C90"/>
    <w:rsid w:val="632E7365"/>
    <w:rsid w:val="63640C4D"/>
    <w:rsid w:val="63B25733"/>
    <w:rsid w:val="64DE77A6"/>
    <w:rsid w:val="66E77E0F"/>
    <w:rsid w:val="67CE4CCF"/>
    <w:rsid w:val="692E71CC"/>
    <w:rsid w:val="6B7D074D"/>
    <w:rsid w:val="6BC64F21"/>
    <w:rsid w:val="6C0C069F"/>
    <w:rsid w:val="6C843B44"/>
    <w:rsid w:val="6D800C77"/>
    <w:rsid w:val="6D9F7164"/>
    <w:rsid w:val="6E3E5D92"/>
    <w:rsid w:val="6E8610EE"/>
    <w:rsid w:val="6E9A7072"/>
    <w:rsid w:val="6E9C3C2B"/>
    <w:rsid w:val="6F311303"/>
    <w:rsid w:val="6F4D703B"/>
    <w:rsid w:val="6FD33E78"/>
    <w:rsid w:val="706D6F95"/>
    <w:rsid w:val="70AB3A18"/>
    <w:rsid w:val="70BE5299"/>
    <w:rsid w:val="70F36B80"/>
    <w:rsid w:val="71D2642C"/>
    <w:rsid w:val="72A7120C"/>
    <w:rsid w:val="73AE7259"/>
    <w:rsid w:val="74E223D0"/>
    <w:rsid w:val="74F16F36"/>
    <w:rsid w:val="75B94C90"/>
    <w:rsid w:val="75DA6862"/>
    <w:rsid w:val="771F1CD0"/>
    <w:rsid w:val="77327BFB"/>
    <w:rsid w:val="77BF5FFA"/>
    <w:rsid w:val="77C61BDD"/>
    <w:rsid w:val="784F7083"/>
    <w:rsid w:val="78784793"/>
    <w:rsid w:val="788D71B5"/>
    <w:rsid w:val="78AF606F"/>
    <w:rsid w:val="78F2287E"/>
    <w:rsid w:val="795E0204"/>
    <w:rsid w:val="7972088A"/>
    <w:rsid w:val="7B4A6FEE"/>
    <w:rsid w:val="7B7F72D7"/>
    <w:rsid w:val="7CFC350D"/>
    <w:rsid w:val="7D096956"/>
    <w:rsid w:val="7D8F7E0C"/>
    <w:rsid w:val="7E1773F8"/>
    <w:rsid w:val="7F6F9E70"/>
    <w:rsid w:val="7FF802FC"/>
    <w:rsid w:val="FB4FE1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5"/>
    <w:qFormat/>
    <w:uiPriority w:val="0"/>
    <w:pPr>
      <w:keepNext/>
      <w:keepLines/>
      <w:spacing w:line="360" w:lineRule="auto"/>
      <w:outlineLvl w:val="2"/>
    </w:pPr>
    <w:rPr>
      <w:rFonts w:ascii="Times New Roman" w:hAnsi="Times New Roman" w:eastAsia="宋体" w:cs="Times New Roman"/>
      <w:b/>
      <w:bCs/>
      <w:sz w:val="24"/>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firstLine="420" w:firstLineChars="200"/>
    </w:pPr>
  </w:style>
  <w:style w:type="paragraph" w:styleId="3">
    <w:name w:val="Body Text Indent"/>
    <w:basedOn w:val="1"/>
    <w:qFormat/>
    <w:uiPriority w:val="0"/>
    <w:pPr>
      <w:spacing w:after="120"/>
      <w:ind w:left="420" w:leftChars="200"/>
    </w:pPr>
  </w:style>
  <w:style w:type="paragraph" w:customStyle="1" w:styleId="5">
    <w:name w:val="正文缩进1"/>
    <w:basedOn w:val="1"/>
    <w:qFormat/>
    <w:uiPriority w:val="0"/>
    <w:pPr>
      <w:spacing w:beforeLines="50" w:line="360" w:lineRule="auto"/>
      <w:ind w:firstLine="567"/>
      <w:jc w:val="left"/>
    </w:pPr>
    <w:rPr>
      <w:rFonts w:ascii="Times New Roman" w:hAnsi="Times New Roman" w:eastAsia="宋体" w:cs="Times New Roman"/>
      <w:sz w:val="24"/>
    </w:rPr>
  </w:style>
  <w:style w:type="paragraph" w:styleId="6">
    <w:name w:val="Body Text"/>
    <w:basedOn w:val="1"/>
    <w:qFormat/>
    <w:uiPriority w:val="0"/>
    <w:pPr>
      <w:widowControl/>
      <w:shd w:val="clear" w:color="auto" w:fill="FFFFFF"/>
      <w:spacing w:after="1200" w:line="240" w:lineRule="atLeast"/>
      <w:jc w:val="left"/>
    </w:pPr>
    <w:rPr>
      <w:rFonts w:ascii="MingLiU" w:hAnsi="Calibri" w:eastAsia="MingLiU" w:cs="宋体"/>
      <w:kern w:val="0"/>
      <w:sz w:val="28"/>
      <w:szCs w:val="28"/>
    </w:rPr>
  </w:style>
  <w:style w:type="paragraph" w:styleId="7">
    <w:name w:val="Balloon Text"/>
    <w:basedOn w:val="1"/>
    <w:link w:val="15"/>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rPr>
      <w:rFonts w:ascii="Times New Roman" w:hAnsi="Times New Roman" w:eastAsia="宋体" w:cs="Times New Roman"/>
    </w:rPr>
  </w:style>
  <w:style w:type="character" w:customStyle="1" w:styleId="14">
    <w:name w:val="页眉 字符"/>
    <w:link w:val="9"/>
    <w:semiHidden/>
    <w:qFormat/>
    <w:uiPriority w:val="99"/>
    <w:rPr>
      <w:kern w:val="2"/>
      <w:sz w:val="18"/>
      <w:szCs w:val="18"/>
    </w:rPr>
  </w:style>
  <w:style w:type="character" w:customStyle="1" w:styleId="15">
    <w:name w:val="批注框文本 字符"/>
    <w:link w:val="7"/>
    <w:semiHidden/>
    <w:qFormat/>
    <w:uiPriority w:val="99"/>
    <w:rPr>
      <w:kern w:val="2"/>
      <w:sz w:val="18"/>
      <w:szCs w:val="18"/>
    </w:rPr>
  </w:style>
  <w:style w:type="character" w:customStyle="1" w:styleId="16">
    <w:name w:val="页脚 字符"/>
    <w:link w:val="8"/>
    <w:semiHidden/>
    <w:qFormat/>
    <w:uiPriority w:val="99"/>
    <w:rPr>
      <w:kern w:val="2"/>
      <w:sz w:val="18"/>
      <w:szCs w:val="18"/>
    </w:rPr>
  </w:style>
  <w:style w:type="paragraph" w:customStyle="1" w:styleId="17">
    <w:name w:val="正文文本 (11)"/>
    <w:basedOn w:val="1"/>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8">
    <w:name w:val="标题 #2 (2)"/>
    <w:basedOn w:val="1"/>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9">
    <w:name w:val="正文文本 (4)"/>
    <w:basedOn w:val="1"/>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20">
    <w:name w:val="正文文本 (2)"/>
    <w:basedOn w:val="1"/>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15331</Words>
  <Characters>16250</Characters>
  <Lines>2</Lines>
  <Paragraphs>1</Paragraphs>
  <TotalTime>56</TotalTime>
  <ScaleCrop>false</ScaleCrop>
  <LinksUpToDate>false</LinksUpToDate>
  <CharactersWithSpaces>16371</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2014-09-02T17:33:00Z</dcterms:created>
  <dc:creator>Administrator</dc:creator>
  <cp:lastModifiedBy>郑若玲</cp:lastModifiedBy>
  <cp:lastPrinted>2025-07-24T19:59:00Z</cp:lastPrinted>
  <dcterms:modified xsi:type="dcterms:W3CDTF">2025-09-04T08:48:18Z</dcterms:modified>
  <dc:title>福州高新区管委会主任办公会议议题提议表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0A65958227DE4CB3BBA54787547E5909_13</vt:lpwstr>
  </property>
  <property fmtid="{D5CDD505-2E9C-101B-9397-08002B2CF9AE}" pid="4" name="KSOTemplateDocerSaveRecord">
    <vt:lpwstr>eyJoZGlkIjoiYmU5ZTBiN2M3OTJhMmJiOTdiNDBkMWZmODlkMmFmZDYiLCJ1c2VySWQiOiIxNTI0MDEwMzM2In0=</vt:lpwstr>
  </property>
  <property fmtid="{D5CDD505-2E9C-101B-9397-08002B2CF9AE}" pid="5" name="hmcheck_markmode">
    <vt:i4>0</vt:i4>
  </property>
  <property fmtid="{D5CDD505-2E9C-101B-9397-08002B2CF9AE}" pid="6" name="hmcheck_taskpanetype">
    <vt:i4>1</vt:i4>
  </property>
</Properties>
</file>