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540" w:lineRule="atLeast"/>
        <w:jc w:val="center"/>
        <w:rPr>
          <w:rFonts w:hint="default"/>
          <w:b/>
          <w:sz w:val="33"/>
          <w:szCs w:val="33"/>
        </w:rPr>
      </w:pPr>
      <w:r>
        <w:rPr>
          <w:b/>
          <w:color w:val="333333"/>
          <w:sz w:val="33"/>
          <w:szCs w:val="33"/>
          <w:shd w:val="clear" w:color="auto" w:fill="FFFFFF"/>
        </w:rPr>
        <w:t>福清市应急管理局202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3</w:t>
      </w:r>
      <w:r>
        <w:rPr>
          <w:b/>
          <w:color w:val="333333"/>
          <w:sz w:val="33"/>
          <w:szCs w:val="33"/>
          <w:shd w:val="clear" w:color="auto" w:fill="FFFFFF"/>
        </w:rPr>
        <w:t>年行政处罚公示（</w:t>
      </w:r>
      <w:r>
        <w:rPr>
          <w:rFonts w:hint="eastAsia"/>
          <w:b/>
          <w:color w:val="333333"/>
          <w:sz w:val="33"/>
          <w:szCs w:val="33"/>
          <w:shd w:val="clear" w:color="auto" w:fill="FFFFFF"/>
          <w:lang w:val="en-US" w:eastAsia="zh-CN"/>
        </w:rPr>
        <w:t>三</w:t>
      </w:r>
      <w:r>
        <w:rPr>
          <w:b/>
          <w:color w:val="333333"/>
          <w:sz w:val="33"/>
          <w:szCs w:val="33"/>
          <w:shd w:val="clear" w:color="auto" w:fill="FFFFFF"/>
        </w:rPr>
        <w:t>）</w:t>
      </w:r>
    </w:p>
    <w:p>
      <w:pPr>
        <w:widowControl/>
        <w:spacing w:line="330" w:lineRule="atLeast"/>
        <w:jc w:val="center"/>
        <w:rPr>
          <w:rFonts w:ascii="黑体" w:hAnsi="黑体" w:eastAsia="黑体"/>
        </w:rPr>
      </w:pPr>
    </w:p>
    <w:tbl>
      <w:tblPr>
        <w:tblStyle w:val="5"/>
        <w:tblW w:w="14187" w:type="dxa"/>
        <w:tblInd w:w="-51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79"/>
        <w:gridCol w:w="1144"/>
        <w:gridCol w:w="709"/>
        <w:gridCol w:w="1568"/>
        <w:gridCol w:w="4868"/>
        <w:gridCol w:w="1623"/>
        <w:gridCol w:w="1868"/>
        <w:gridCol w:w="172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018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序号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被处罚人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处罚种类</w:t>
            </w:r>
          </w:p>
        </w:tc>
        <w:tc>
          <w:tcPr>
            <w:tcW w:w="15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处罚事由</w:t>
            </w:r>
          </w:p>
        </w:tc>
        <w:tc>
          <w:tcPr>
            <w:tcW w:w="48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处罚依据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决定书文号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作出处罚机构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default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处罚日期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福清冠鑫涂装有限公司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罚款</w:t>
            </w:r>
          </w:p>
        </w:tc>
        <w:tc>
          <w:tcPr>
            <w:tcW w:w="1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使用未取得特种作业操作证的特种作业人员上岗作业</w:t>
            </w:r>
          </w:p>
        </w:tc>
        <w:tc>
          <w:tcPr>
            <w:tcW w:w="4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《中华人民共和国安全生产法》第九十七条第七款规定和《福建省安全生产行政处罚裁量基准（2022年版）》中“《中华人民共和国安全生产法》相关规定裁量基准第（十二）条第一阶次裁量基准”的规定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(融)应急罚〔2023〕16号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福清市应急管理局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2023年5月18日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福建省杰耀建材有限公司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罚款</w:t>
            </w:r>
          </w:p>
        </w:tc>
        <w:tc>
          <w:tcPr>
            <w:tcW w:w="1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使用未取得特种作业操作证的特种作业人员上岗作业</w:t>
            </w:r>
          </w:p>
        </w:tc>
        <w:tc>
          <w:tcPr>
            <w:tcW w:w="4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《中华人民共和国安全生产法》第九十七条第七款规定和《福建省安全生产行政处罚裁量基准（2022年版）》中“《中华人民共和国安全生产法》相关规定裁量基准第（十二）条第二阶次裁量基准”的规定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(融)应急罚〔2023〕17号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福清市应急管理局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2023年5月23日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1670" w:hRule="atLeast"/>
        </w:trPr>
        <w:tc>
          <w:tcPr>
            <w:tcW w:w="6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0"/>
                <w:szCs w:val="20"/>
                <w:lang w:val="en-US" w:eastAsia="zh-CN"/>
              </w:rPr>
              <w:t>3</w:t>
            </w:r>
            <w:bookmarkStart w:id="0" w:name="_GoBack"/>
            <w:bookmarkEnd w:id="0"/>
          </w:p>
        </w:tc>
        <w:tc>
          <w:tcPr>
            <w:tcW w:w="1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福州市冠发金都水汇休闲有限公司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罚款</w:t>
            </w:r>
          </w:p>
        </w:tc>
        <w:tc>
          <w:tcPr>
            <w:tcW w:w="1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未采取措施消除事故隐患</w:t>
            </w:r>
          </w:p>
        </w:tc>
        <w:tc>
          <w:tcPr>
            <w:tcW w:w="4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  <w:t>《中华人民共和国安全生产法》第一百零二条规定、《福建省安全生产行政处罚裁量基准（2022年版）》第一部分《中华人民共和国安全生产法》相关规定裁量基准第（二十九）条-2-第二阶次规定</w:t>
            </w:r>
          </w:p>
        </w:tc>
        <w:tc>
          <w:tcPr>
            <w:tcW w:w="16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（融）应急罚〔2023〕12号</w:t>
            </w:r>
          </w:p>
        </w:tc>
        <w:tc>
          <w:tcPr>
            <w:tcW w:w="18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福清市应急管理局</w:t>
            </w:r>
          </w:p>
        </w:tc>
        <w:tc>
          <w:tcPr>
            <w:tcW w:w="172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91" w:type="dxa"/>
              <w:bottom w:w="0" w:type="dxa"/>
              <w:right w:w="91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2023年5月30日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5MTkyOTgzYmM0MjAxODAzZTM2ODUyZGY4ZjJjYjYifQ=="/>
  </w:docVars>
  <w:rsids>
    <w:rsidRoot w:val="00B6274E"/>
    <w:rsid w:val="00020BE4"/>
    <w:rsid w:val="001565C5"/>
    <w:rsid w:val="00192CDE"/>
    <w:rsid w:val="001D0C0E"/>
    <w:rsid w:val="00230FFF"/>
    <w:rsid w:val="00267843"/>
    <w:rsid w:val="0031212E"/>
    <w:rsid w:val="00394BC2"/>
    <w:rsid w:val="00444082"/>
    <w:rsid w:val="004F3B6F"/>
    <w:rsid w:val="00514DD6"/>
    <w:rsid w:val="00667297"/>
    <w:rsid w:val="0067388A"/>
    <w:rsid w:val="006C1852"/>
    <w:rsid w:val="007D5E9A"/>
    <w:rsid w:val="00853A27"/>
    <w:rsid w:val="008B2BB5"/>
    <w:rsid w:val="008D14AB"/>
    <w:rsid w:val="008D1B5A"/>
    <w:rsid w:val="00910280"/>
    <w:rsid w:val="009E62E7"/>
    <w:rsid w:val="00A25433"/>
    <w:rsid w:val="00AB3BEF"/>
    <w:rsid w:val="00AF6A6D"/>
    <w:rsid w:val="00B21277"/>
    <w:rsid w:val="00B61679"/>
    <w:rsid w:val="00B6274E"/>
    <w:rsid w:val="00BB6938"/>
    <w:rsid w:val="00C15094"/>
    <w:rsid w:val="00C823C0"/>
    <w:rsid w:val="00C9492A"/>
    <w:rsid w:val="00F13A4C"/>
    <w:rsid w:val="00F269AE"/>
    <w:rsid w:val="00FC4AAA"/>
    <w:rsid w:val="00FD6863"/>
    <w:rsid w:val="00FE7DD0"/>
    <w:rsid w:val="01B51A86"/>
    <w:rsid w:val="02590E44"/>
    <w:rsid w:val="071A32D7"/>
    <w:rsid w:val="0A29770F"/>
    <w:rsid w:val="0B736F05"/>
    <w:rsid w:val="13540031"/>
    <w:rsid w:val="1A3B7E0B"/>
    <w:rsid w:val="1EE0469E"/>
    <w:rsid w:val="209A25E0"/>
    <w:rsid w:val="233F0E9C"/>
    <w:rsid w:val="23F636FC"/>
    <w:rsid w:val="26466C79"/>
    <w:rsid w:val="2C57181E"/>
    <w:rsid w:val="2F3C1703"/>
    <w:rsid w:val="305C420F"/>
    <w:rsid w:val="31EE1C17"/>
    <w:rsid w:val="377518DC"/>
    <w:rsid w:val="3AE3337B"/>
    <w:rsid w:val="3B6A0C9A"/>
    <w:rsid w:val="3E7C7074"/>
    <w:rsid w:val="44F52A14"/>
    <w:rsid w:val="49C86BD1"/>
    <w:rsid w:val="5202511C"/>
    <w:rsid w:val="538955A8"/>
    <w:rsid w:val="577E53B7"/>
    <w:rsid w:val="57EF2F91"/>
    <w:rsid w:val="59D27F83"/>
    <w:rsid w:val="5FD81C50"/>
    <w:rsid w:val="5FFF6206"/>
    <w:rsid w:val="63E47A4C"/>
    <w:rsid w:val="66B84062"/>
    <w:rsid w:val="682B011F"/>
    <w:rsid w:val="6B9D227B"/>
    <w:rsid w:val="6CE427CC"/>
    <w:rsid w:val="6E3F2B29"/>
    <w:rsid w:val="72165675"/>
    <w:rsid w:val="7BB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kern w:val="0"/>
      <w:szCs w:val="2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yperlink"/>
    <w:basedOn w:val="6"/>
    <w:qFormat/>
    <w:uiPriority w:val="0"/>
    <w:rPr>
      <w:color w:val="333333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0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784</Words>
  <Characters>849</Characters>
  <Lines>3</Lines>
  <Paragraphs>1</Paragraphs>
  <TotalTime>0</TotalTime>
  <ScaleCrop>false</ScaleCrop>
  <LinksUpToDate>false</LinksUpToDate>
  <CharactersWithSpaces>849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WPS_635909852</cp:lastModifiedBy>
  <dcterms:modified xsi:type="dcterms:W3CDTF">2023-06-19T03:59:25Z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E38615A34DED48C38E4152B9AC8DAA8C_13</vt:lpwstr>
  </property>
</Properties>
</file>