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黑体" w:hAnsi="黑体" w:eastAsia="黑体"/>
          <w:b/>
          <w:sz w:val="44"/>
        </w:rPr>
      </w:pPr>
      <w:bookmarkStart w:id="0" w:name="_GoBack"/>
      <w:bookmarkEnd w:id="0"/>
      <w:r>
        <w:rPr>
          <w:rFonts w:hint="eastAsia" w:ascii="宋体" w:hAnsi="宋体" w:eastAsia="宋体"/>
          <w:b/>
          <w:sz w:val="44"/>
        </w:rPr>
        <w:t>2021年学校卫生国家随机监督抽查工作计划表</w:t>
      </w:r>
    </w:p>
    <w:tbl>
      <w:tblPr>
        <w:tblStyle w:val="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30" w:afterLines="30" w:line="260" w:lineRule="exact"/>
              <w:jc w:val="center"/>
              <w:rPr>
                <w:rFonts w:hint="eastAsia" w:ascii="仿宋_GB2312" w:hAnsi="仿宋_GB2312" w:eastAsia="仿宋_GB2312" w:cs="仿宋_GB2312"/>
              </w:rPr>
            </w:pPr>
            <w:r>
              <w:rPr>
                <w:rFonts w:hint="eastAsia" w:ascii="仿宋_GB2312" w:hAnsi="仿宋_GB2312" w:eastAsia="仿宋_GB2312" w:cs="仿宋_GB2312"/>
              </w:rPr>
              <w:t>范围和数量</w:t>
            </w:r>
          </w:p>
        </w:tc>
        <w:tc>
          <w:tcPr>
            <w:tcW w:w="570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30" w:afterLines="30" w:line="260" w:lineRule="exact"/>
              <w:jc w:val="center"/>
              <w:rPr>
                <w:rFonts w:hint="eastAsia" w:ascii="仿宋_GB2312" w:hAnsi="仿宋_GB2312" w:eastAsia="仿宋_GB2312" w:cs="仿宋_GB2312"/>
              </w:rPr>
            </w:pPr>
            <w:r>
              <w:rPr>
                <w:rFonts w:hint="eastAsia" w:ascii="仿宋_GB2312" w:hAnsi="仿宋_GB2312" w:eastAsia="仿宋_GB2312" w:cs="仿宋_GB2312"/>
              </w:rPr>
              <w:t>检查内容</w:t>
            </w:r>
          </w:p>
        </w:tc>
        <w:tc>
          <w:tcPr>
            <w:tcW w:w="4433"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30" w:afterLines="30" w:line="260" w:lineRule="exact"/>
              <w:jc w:val="center"/>
              <w:rPr>
                <w:rFonts w:hint="eastAsia" w:ascii="仿宋_GB2312" w:hAnsi="仿宋_GB2312" w:eastAsia="仿宋_GB2312" w:cs="仿宋_GB2312"/>
              </w:rPr>
            </w:pPr>
            <w:r>
              <w:rPr>
                <w:rFonts w:hint="eastAsia" w:ascii="仿宋_GB2312" w:hAnsi="仿宋_GB2312" w:eastAsia="仿宋_GB2312" w:cs="仿宋_GB231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中小学校及高校</w:t>
            </w:r>
          </w:p>
        </w:tc>
        <w:tc>
          <w:tcPr>
            <w:tcW w:w="212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30" w:afterLines="30" w:line="260" w:lineRule="exact"/>
              <w:rPr>
                <w:rFonts w:hint="eastAsia" w:ascii="仿宋_GB2312" w:hAnsi="仿宋_GB2312" w:eastAsia="仿宋_GB2312" w:cs="仿宋_GB2312"/>
              </w:rPr>
            </w:pPr>
            <w:r>
              <w:rPr>
                <w:rFonts w:hint="eastAsia" w:ascii="仿宋_GB2312" w:hAnsi="仿宋_GB2312" w:eastAsia="仿宋_GB2312" w:cs="仿宋_GB2312"/>
              </w:rPr>
              <w:t>辖区学校总数的25%</w:t>
            </w:r>
            <w:r>
              <w:rPr>
                <w:rFonts w:hint="eastAsia" w:ascii="仿宋_GB2312" w:hAnsi="仿宋_GB2312" w:eastAsia="仿宋_GB2312" w:cs="仿宋_GB2312"/>
                <w:vertAlign w:val="superscript"/>
              </w:rPr>
              <w:t>(a)</w:t>
            </w:r>
          </w:p>
        </w:tc>
        <w:tc>
          <w:tcPr>
            <w:tcW w:w="570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50" w:line="240" w:lineRule="exact"/>
              <w:rPr>
                <w:rFonts w:hint="eastAsia" w:ascii="仿宋_GB2312" w:hAnsi="仿宋_GB2312" w:eastAsia="仿宋_GB2312" w:cs="仿宋_GB2312"/>
              </w:rPr>
            </w:pPr>
            <w:r>
              <w:rPr>
                <w:rFonts w:hint="eastAsia" w:ascii="仿宋_GB2312" w:hAnsi="仿宋_GB2312" w:eastAsia="仿宋_GB2312" w:cs="仿宋_GB2312"/>
              </w:rPr>
              <w:t>1.学校落实教学和生活环境卫生要求情况，包括教室课桌椅配备</w:t>
            </w:r>
            <w:r>
              <w:rPr>
                <w:rFonts w:hint="eastAsia" w:ascii="仿宋_GB2312" w:hAnsi="仿宋_GB2312" w:eastAsia="仿宋_GB2312" w:cs="仿宋_GB2312"/>
                <w:vertAlign w:val="superscript"/>
              </w:rPr>
              <w:t>(b)</w:t>
            </w:r>
            <w:r>
              <w:rPr>
                <w:rFonts w:hint="eastAsia" w:ascii="仿宋_GB2312" w:hAnsi="仿宋_GB2312" w:eastAsia="仿宋_GB2312" w:cs="仿宋_GB2312"/>
              </w:rPr>
              <w:t>、教室采光和照明</w:t>
            </w:r>
            <w:r>
              <w:rPr>
                <w:rFonts w:hint="eastAsia" w:ascii="仿宋_GB2312" w:hAnsi="仿宋_GB2312" w:eastAsia="仿宋_GB2312" w:cs="仿宋_GB2312"/>
                <w:vertAlign w:val="superscript"/>
              </w:rPr>
              <w:t>(c)</w:t>
            </w:r>
            <w:r>
              <w:rPr>
                <w:rFonts w:hint="eastAsia" w:ascii="仿宋_GB2312" w:hAnsi="仿宋_GB2312" w:eastAsia="仿宋_GB2312" w:cs="仿宋_GB2312"/>
              </w:rPr>
              <w:t>、教室人均面积、教室和宿舍通风设施、教学楼厕所及洗手设施设置等情况。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2.学校落实传染病和常见病防控要求情况，包括专人负责疫情报告、传染病防控“一案八制”</w:t>
            </w:r>
            <w:r>
              <w:rPr>
                <w:rFonts w:hint="eastAsia" w:ascii="仿宋_GB2312" w:hAnsi="仿宋_GB2312" w:eastAsia="仿宋_GB2312" w:cs="仿宋_GB2312"/>
                <w:vertAlign w:val="superscript"/>
              </w:rPr>
              <w:t>(d)</w:t>
            </w:r>
            <w:r>
              <w:rPr>
                <w:rFonts w:hint="eastAsia" w:ascii="仿宋_GB2312" w:hAnsi="仿宋_GB2312" w:eastAsia="仿宋_GB2312" w:cs="仿宋_GB2312"/>
              </w:rPr>
              <w:t>、晨检记录和因病缺勤病因追查与登记记录、复课证明查验、新生入学接种证查验登记、每年按规定实施学生健康体检等情况。学校新冠疫情常态化防控措施落实情况。</w:t>
            </w:r>
            <w:r>
              <w:rPr>
                <w:rFonts w:hint="eastAsia" w:ascii="仿宋_GB2312" w:hAnsi="仿宋_GB2312" w:eastAsia="仿宋_GB2312" w:cs="仿宋_GB2312"/>
                <w:vertAlign w:val="superscript"/>
              </w:rPr>
              <w:t>(f)</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Lines="50" w:line="240" w:lineRule="exact"/>
              <w:rPr>
                <w:rFonts w:hint="eastAsia" w:ascii="仿宋_GB2312" w:hAnsi="仿宋_GB2312" w:eastAsia="仿宋_GB2312" w:cs="仿宋_GB2312"/>
              </w:rPr>
            </w:pPr>
            <w:r>
              <w:rPr>
                <w:rFonts w:hint="eastAsia" w:ascii="仿宋_GB2312" w:hAnsi="仿宋_GB2312" w:eastAsia="仿宋_GB2312" w:cs="仿宋_GB2312"/>
              </w:rPr>
              <w:t>4.学校纳入卫生监督协管服务情况。</w:t>
            </w:r>
          </w:p>
        </w:tc>
        <w:tc>
          <w:tcPr>
            <w:tcW w:w="4433"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beforeLines="50" w:line="240" w:lineRule="exact"/>
              <w:rPr>
                <w:rFonts w:hint="eastAsia" w:ascii="仿宋_GB2312" w:hAnsi="仿宋_GB2312" w:eastAsia="仿宋_GB2312" w:cs="仿宋_GB2312"/>
              </w:rPr>
            </w:pPr>
            <w:r>
              <w:rPr>
                <w:rFonts w:hint="eastAsia" w:ascii="仿宋_GB2312" w:hAnsi="仿宋_GB2312" w:eastAsia="仿宋_GB2312" w:cs="仿宋_GB2312"/>
              </w:rPr>
              <w:t>1.教室采光、照明及教室人均面积。</w:t>
            </w:r>
          </w:p>
          <w:p>
            <w:pPr>
              <w:keepNext/>
              <w:keepLines/>
              <w:widowControl/>
              <w:spacing w:afterLines="50" w:line="240" w:lineRule="exact"/>
              <w:rPr>
                <w:rFonts w:hint="eastAsia" w:ascii="仿宋_GB2312" w:hAnsi="仿宋_GB2312" w:eastAsia="仿宋_GB2312" w:cs="仿宋_GB2312"/>
              </w:rPr>
            </w:pPr>
            <w:r>
              <w:rPr>
                <w:rFonts w:hint="eastAsia" w:ascii="仿宋_GB2312" w:hAnsi="仿宋_GB2312" w:eastAsia="仿宋_GB2312" w:cs="仿宋_GB2312"/>
              </w:rPr>
              <w:t>2.学校自建设施集中式供水和二次供水水质色度、浑浊度、臭和味、肉眼可见物、pH和消毒剂余量。</w:t>
            </w:r>
          </w:p>
        </w:tc>
      </w:tr>
    </w:tbl>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a.按抽查任务的80%进行检测。</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b.指每间教室至少设有2种不同高低型号的课桌椅，且每人一席。</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d.指《中小学校传染病预防控制工作管理规范》（GB28932）第4.8条规定的传染病预防控制应急预案和相关制度。</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f.落实属地</w:t>
      </w:r>
      <w:r>
        <w:rPr>
          <w:rFonts w:hint="eastAsia" w:ascii="仿宋_GB2312" w:hAnsi="仿宋_GB2312" w:eastAsia="仿宋_GB2312" w:cs="仿宋_GB2312"/>
        </w:rPr>
        <w:t>新冠疫情常态化防控措施要求即为合格。</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Style w:val="9"/>
          <w:rFonts w:hint="eastAsia" w:ascii="仿宋_GB2312" w:hAnsi="仿宋_GB2312" w:eastAsia="仿宋_GB2312" w:cs="仿宋_GB2312"/>
          <w:sz w:val="32"/>
          <w:szCs w:val="32"/>
        </w:rPr>
      </w:pPr>
    </w:p>
    <w:p>
      <w:pPr>
        <w:widowControl/>
        <w:jc w:val="left"/>
        <w:rPr>
          <w:rStyle w:val="9"/>
          <w:rFonts w:hint="eastAsia"/>
          <w:sz w:val="32"/>
          <w:szCs w:val="32"/>
        </w:rPr>
      </w:pPr>
    </w:p>
    <w:p>
      <w:pPr>
        <w:widowControl/>
        <w:jc w:val="left"/>
        <w:rPr>
          <w:rStyle w:val="9"/>
          <w:rFonts w:hint="eastAsia"/>
          <w:sz w:val="32"/>
          <w:szCs w:val="32"/>
        </w:rPr>
      </w:pPr>
    </w:p>
    <w:p>
      <w:pPr>
        <w:widowControl/>
        <w:jc w:val="left"/>
        <w:rPr>
          <w:rStyle w:val="9"/>
          <w:rFonts w:hint="eastAsia"/>
          <w:sz w:val="32"/>
          <w:szCs w:val="32"/>
        </w:rPr>
      </w:pPr>
    </w:p>
    <w:p>
      <w:pPr>
        <w:widowControl/>
        <w:spacing w:beforeLines="50"/>
        <w:jc w:val="center"/>
        <w:rPr>
          <w:rFonts w:ascii="宋体" w:hAnsi="宋体" w:eastAsia="宋体"/>
          <w:b/>
          <w:sz w:val="44"/>
        </w:rPr>
      </w:pPr>
      <w:r>
        <w:rPr>
          <w:rFonts w:hint="eastAsia" w:ascii="宋体" w:hAnsi="宋体" w:eastAsia="宋体"/>
          <w:b/>
          <w:sz w:val="44"/>
        </w:rPr>
        <w:t>2021年公共场所卫生国家随机监督抽查工作计划表</w:t>
      </w: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16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抽查范围和数量</w:t>
            </w:r>
          </w:p>
        </w:tc>
        <w:tc>
          <w:tcPr>
            <w:tcW w:w="41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检查内容</w:t>
            </w: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center"/>
              <w:rPr>
                <w:rFonts w:hint="eastAsia" w:ascii="仿宋_GB2312" w:hAnsi="仿宋_GB2312" w:eastAsia="仿宋_GB2312" w:cs="仿宋_GB2312"/>
              </w:rPr>
            </w:pPr>
            <w:r>
              <w:rPr>
                <w:rFonts w:hint="eastAsia" w:ascii="仿宋_GB2312" w:hAnsi="仿宋_GB2312" w:eastAsia="仿宋_GB2312" w:cs="仿宋_GB231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辖区全部人工游泳场所（含学校内游泳场所）</w:t>
            </w:r>
            <w:r>
              <w:rPr>
                <w:rFonts w:hint="eastAsia" w:ascii="仿宋_GB2312" w:hAnsi="仿宋_GB2312" w:eastAsia="仿宋_GB2312" w:cs="仿宋_GB2312"/>
                <w:vertAlign w:val="superscript"/>
              </w:rPr>
              <w:t xml:space="preserve">(a) </w:t>
            </w:r>
          </w:p>
        </w:tc>
        <w:tc>
          <w:tcPr>
            <w:tcW w:w="4162" w:type="dxa"/>
            <w:vMerge w:val="restart"/>
            <w:tcBorders>
              <w:top w:val="single" w:color="auto" w:sz="4" w:space="0"/>
              <w:left w:val="single" w:color="auto" w:sz="4" w:space="0"/>
              <w:bottom w:val="single" w:color="auto" w:sz="4" w:space="0"/>
              <w:right w:val="single" w:color="auto" w:sz="4" w:space="0"/>
              <w:tl2br w:val="nil"/>
              <w:tr2bl w:val="nil"/>
            </w:tcBorders>
            <w:noWrap/>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1.设置卫生管理部门或人员情况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2.建立卫生管理档案情况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3.从业人员健康体检情况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4.设置禁止吸烟警语标志情况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5.对空气、水质、顾客用品用具等进行卫生检测情况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6.公示卫生许可证、卫生信誉度等级和卫生检测信息情况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7.对顾客用品用具进行清洗、消毒、保洁情况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8.实施卫生监督量化分级管理情况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9.住宿场所按照《艾滋病防治条例》放置安全套或者设置安全套发售设施情况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10.生活美容场所违法开展医疗美容情况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11.公共场所新冠疫情常态化防控措施落实情况。</w:t>
            </w:r>
            <w:r>
              <w:rPr>
                <w:rFonts w:hint="eastAsia" w:ascii="仿宋_GB2312" w:hAnsi="仿宋_GB2312" w:eastAsia="仿宋_GB2312" w:cs="仿宋_GB2312"/>
                <w:vertAlign w:val="superscript"/>
              </w:rPr>
              <w:t>(b)</w:t>
            </w: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1.泳池水浑浊度、pH、游离性余氯、尿素、菌落总数、大肠菌群</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辖区总数25%</w:t>
            </w:r>
            <w:r>
              <w:rPr>
                <w:rFonts w:hint="eastAsia" w:ascii="仿宋_GB2312" w:hAnsi="仿宋_GB2312" w:eastAsia="仿宋_GB2312" w:cs="仿宋_GB2312"/>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left"/>
              <w:rPr>
                <w:rFonts w:hint="eastAsia" w:ascii="仿宋_GB2312" w:hAnsi="仿宋_GB2312" w:eastAsia="仿宋_GB2312" w:cs="仿宋_GB2312"/>
              </w:rPr>
            </w:pP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1.棉织品外观、细菌总数、大肠菌群、金黄色葡萄球菌、pH</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辖区总数16%</w:t>
            </w:r>
            <w:r>
              <w:rPr>
                <w:rFonts w:hint="eastAsia" w:ascii="仿宋_GB2312" w:hAnsi="仿宋_GB2312" w:eastAsia="仿宋_GB2312" w:cs="仿宋_GB2312"/>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left"/>
              <w:rPr>
                <w:rFonts w:hint="eastAsia" w:ascii="仿宋_GB2312" w:hAnsi="仿宋_GB2312" w:eastAsia="仿宋_GB2312" w:cs="仿宋_GB2312"/>
              </w:rPr>
            </w:pP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1.棉织品外观、细菌总数、大肠菌群、金黄色葡萄球菌、pH</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辖区总数8%</w:t>
            </w:r>
            <w:r>
              <w:rPr>
                <w:rFonts w:hint="eastAsia" w:ascii="仿宋_GB2312" w:hAnsi="仿宋_GB2312" w:eastAsia="仿宋_GB2312" w:cs="仿宋_GB2312"/>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left"/>
              <w:rPr>
                <w:rFonts w:hint="eastAsia" w:ascii="仿宋_GB2312" w:hAnsi="仿宋_GB2312" w:eastAsia="仿宋_GB2312" w:cs="仿宋_GB2312"/>
              </w:rPr>
            </w:pP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1.美容美发工具细菌总数、大肠菌群、金黄色葡萄球菌</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辖区全部候车（机、船）室。</w:t>
            </w:r>
          </w:p>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辖区营业面积2000m</w:t>
            </w:r>
            <w:r>
              <w:rPr>
                <w:rFonts w:hint="eastAsia" w:ascii="仿宋_GB2312" w:hAnsi="仿宋_GB2312" w:eastAsia="仿宋_GB2312" w:cs="仿宋_GB2312"/>
                <w:vertAlign w:val="superscript"/>
              </w:rPr>
              <w:t>2</w:t>
            </w:r>
            <w:r>
              <w:rPr>
                <w:rFonts w:hint="eastAsia" w:ascii="仿宋_GB2312" w:hAnsi="仿宋_GB2312" w:eastAsia="仿宋_GB2312" w:cs="仿宋_GB2312"/>
              </w:rPr>
              <w:t>以上商场（超市）60户，影剧院40户，游艺厅、歌舞厅、音乐厅共80户，数量不足的全部检查。</w:t>
            </w:r>
            <w:r>
              <w:rPr>
                <w:rFonts w:hint="eastAsia" w:ascii="仿宋_GB2312" w:hAnsi="仿宋_GB2312" w:eastAsia="仿宋_GB2312" w:cs="仿宋_GB2312"/>
                <w:vertAlign w:val="superscript"/>
              </w:rPr>
              <w:t xml:space="preserve">(a) </w:t>
            </w:r>
          </w:p>
        </w:tc>
        <w:tc>
          <w:tcPr>
            <w:tcW w:w="41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80" w:lineRule="exact"/>
              <w:jc w:val="left"/>
              <w:rPr>
                <w:rFonts w:hint="eastAsia" w:ascii="仿宋_GB2312" w:hAnsi="仿宋_GB2312" w:eastAsia="仿宋_GB2312" w:cs="仿宋_GB2312"/>
              </w:rPr>
            </w:pP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室内空气中CO</w:t>
            </w:r>
            <w:r>
              <w:rPr>
                <w:rFonts w:hint="eastAsia" w:ascii="仿宋_GB2312" w:hAnsi="仿宋_GB2312" w:eastAsia="仿宋_GB2312" w:cs="仿宋_GB2312"/>
                <w:vertAlign w:val="subscript"/>
              </w:rPr>
              <w:t>2</w:t>
            </w:r>
            <w:r>
              <w:rPr>
                <w:rFonts w:hint="eastAsia" w:ascii="仿宋_GB2312" w:hAnsi="仿宋_GB2312" w:eastAsia="仿宋_GB2312" w:cs="仿宋_GB2312"/>
              </w:rPr>
              <w:t>、甲醛、苯、甲苯、二甲苯</w:t>
            </w:r>
            <w:r>
              <w:rPr>
                <w:rFonts w:hint="eastAsia" w:ascii="仿宋_GB2312" w:hAnsi="仿宋_GB2312" w:eastAsia="仿宋_GB2312" w:cs="仿宋_GB2312"/>
                <w:vertAlign w:val="superscript"/>
              </w:rPr>
              <w:t>(e)</w:t>
            </w:r>
          </w:p>
          <w:p>
            <w:pPr>
              <w:keepNext/>
              <w:keepLines/>
              <w:widowControl/>
              <w:spacing w:line="24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trPr>
        <w:tc>
          <w:tcPr>
            <w:tcW w:w="147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辖区已抽取公共场所中使用集中空调通风系统的全部检查；其中抽取30户进行检测，数量不足的全部检测</w:t>
            </w:r>
          </w:p>
        </w:tc>
        <w:tc>
          <w:tcPr>
            <w:tcW w:w="4162"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1.建立集中空调通风系统卫生档案</w:t>
            </w:r>
            <w:r>
              <w:rPr>
                <w:rFonts w:hint="eastAsia" w:ascii="仿宋_GB2312" w:hAnsi="仿宋_GB2312" w:eastAsia="仿宋_GB2312" w:cs="仿宋_GB2312"/>
                <w:vertAlign w:val="superscript"/>
              </w:rPr>
              <w:t xml:space="preserve">(c) </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2.建立预防空气传播性疾病应急预案情况</w:t>
            </w:r>
            <w:r>
              <w:rPr>
                <w:rFonts w:hint="eastAsia" w:ascii="仿宋_GB2312" w:hAnsi="仿宋_GB2312" w:eastAsia="仿宋_GB2312" w:cs="仿宋_GB2312"/>
                <w:vertAlign w:val="superscript"/>
              </w:rPr>
              <w:t xml:space="preserve">(c) </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3.开展集中空调通风系统卫生检测或卫生学评价情况</w:t>
            </w:r>
            <w:r>
              <w:rPr>
                <w:rFonts w:hint="eastAsia" w:ascii="仿宋_GB2312" w:hAnsi="仿宋_GB2312" w:eastAsia="仿宋_GB2312" w:cs="仿宋_GB2312"/>
                <w:vertAlign w:val="superscript"/>
              </w:rPr>
              <w:t>(d)</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4.开展集中空调通风系统清洗消毒情况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5.新风口、开放式冷却塔依标准设置情况</w:t>
            </w:r>
          </w:p>
        </w:tc>
        <w:tc>
          <w:tcPr>
            <w:tcW w:w="560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1.风管内表面积尘量、细菌总数、真菌总数</w:t>
            </w:r>
            <w:r>
              <w:rPr>
                <w:rFonts w:hint="eastAsia" w:ascii="仿宋_GB2312" w:hAnsi="仿宋_GB2312" w:eastAsia="仿宋_GB2312" w:cs="仿宋_GB2312"/>
                <w:vertAlign w:val="superscript"/>
              </w:rPr>
              <w:t>(f)</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2.冷却水中嗜肺军团菌</w:t>
            </w:r>
            <w:r>
              <w:rPr>
                <w:rFonts w:hint="eastAsia" w:ascii="仿宋_GB2312" w:hAnsi="仿宋_GB2312" w:eastAsia="仿宋_GB2312" w:cs="仿宋_GB2312"/>
                <w:vertAlign w:val="superscript"/>
              </w:rPr>
              <w:t>(g)</w:t>
            </w:r>
          </w:p>
        </w:tc>
      </w:tr>
    </w:tbl>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a.游泳场所按抽查任务的100%进行检测，住宿场所、沐浴场所、其他公共场所按抽查任务的50%进行检测，美容美发场所按抽查任务的20%进行检测。</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b.落实属地</w:t>
      </w:r>
      <w:r>
        <w:rPr>
          <w:rFonts w:hint="eastAsia" w:ascii="仿宋_GB2312" w:hAnsi="仿宋_GB2312" w:eastAsia="仿宋_GB2312" w:cs="仿宋_GB2312"/>
        </w:rPr>
        <w:t>新冠疫情常态化防控措施要求即为合格。</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vertAlign w:val="subscript"/>
        </w:rPr>
      </w:pPr>
      <w:r>
        <w:rPr>
          <w:rFonts w:hint="eastAsia" w:ascii="仿宋_GB2312" w:hAnsi="仿宋_GB2312" w:eastAsia="仿宋_GB2312" w:cs="仿宋_GB2312"/>
          <w:kern w:val="0"/>
        </w:rPr>
        <w:t>c.指《公共场所集中空调通风系统卫生规范》（WS 394-2012）规定的集中空调通风系统卫生档案和预防空气传播性疾病应急预案。</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d.使用单位需提供集中空调通风系统卫生检测报告复印件。</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e.只对6个月内进行过室内大面积装修的场所检测甲醛、苯、甲苯、二甲苯项目。</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f</w:t>
      </w:r>
      <w:r>
        <w:rPr>
          <w:rFonts w:hint="eastAsia" w:ascii="仿宋_GB2312" w:hAnsi="仿宋_GB2312" w:eastAsia="仿宋_GB2312" w:cs="仿宋_GB2312"/>
          <w:kern w:val="0"/>
        </w:rPr>
        <w:t>.使用无风管集中空调通风系统的，该指标合理缺项。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Style w:val="9"/>
          <w:rFonts w:hint="eastAsia" w:ascii="仿宋_GB2312" w:hAnsi="仿宋_GB2312" w:eastAsia="仿宋_GB2312" w:cs="仿宋_GB2312"/>
          <w:sz w:val="32"/>
          <w:szCs w:val="32"/>
        </w:rPr>
      </w:pPr>
      <w:r>
        <w:rPr>
          <w:rFonts w:hint="eastAsia" w:ascii="仿宋_GB2312" w:hAnsi="仿宋_GB2312" w:eastAsia="仿宋_GB2312" w:cs="仿宋_GB2312"/>
        </w:rPr>
        <w:t>g.使用非开放式冷却塔集中空调通风系统的，该指标合理缺项。</w:t>
      </w:r>
    </w:p>
    <w:p>
      <w:pPr>
        <w:spacing w:beforeLines="50" w:line="600" w:lineRule="exact"/>
        <w:jc w:val="center"/>
        <w:rPr>
          <w:rFonts w:ascii="宋体" w:hAnsi="宋体" w:eastAsia="宋体"/>
          <w:b/>
          <w:sz w:val="44"/>
        </w:rPr>
      </w:pPr>
      <w:r>
        <w:rPr>
          <w:rFonts w:hint="eastAsia" w:ascii="宋体" w:hAnsi="宋体" w:eastAsia="宋体"/>
          <w:b/>
          <w:sz w:val="44"/>
        </w:rPr>
        <w:t>2021年生活饮用水卫生国家随机监督抽查工作计划表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监督检查对象</w:t>
            </w:r>
            <w:r>
              <w:rPr>
                <w:rFonts w:hint="eastAsia" w:ascii="仿宋_GB2312" w:hAnsi="仿宋_GB2312" w:eastAsia="仿宋_GB2312" w:cs="仿宋_GB2312"/>
                <w:vertAlign w:val="superscript"/>
              </w:rPr>
              <w:t>(a)</w:t>
            </w:r>
          </w:p>
        </w:tc>
        <w:tc>
          <w:tcPr>
            <w:tcW w:w="615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1.持有卫生许可证情况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2.水源卫生防护情况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3.供管水人员健康体检和培训情况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4.涉水产品卫生许可批件情况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5.水质消毒情况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6.水质自检情况(d)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农村集中式供水(b)</w:t>
            </w:r>
          </w:p>
        </w:tc>
        <w:tc>
          <w:tcPr>
            <w:tcW w:w="615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辖区农村全部设计日供水1000m3以上水厂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每个县、县级市辖区在用小型集中式供水的乡镇数的至少30%(c)，</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每个乡镇抽查30%的设计日供水100m3以上水厂(c)</w:t>
            </w:r>
          </w:p>
        </w:tc>
        <w:tc>
          <w:tcPr>
            <w:tcW w:w="4111"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1.饮用水卫生安全巡查服务开展情况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2.持有卫生许可证情况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每个县（区）10个二次供水设施，不足10个的全部检查(c)</w:t>
            </w:r>
          </w:p>
        </w:tc>
        <w:tc>
          <w:tcPr>
            <w:tcW w:w="4111"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1.供管水人员健康体检和培训情况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2.设施防护及周围环境情况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3.储水设备定期清洗消毒情况</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4.水质自检情况(d)</w:t>
            </w:r>
          </w:p>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keepLines/>
              <w:widowControl/>
              <w:spacing w:line="240" w:lineRule="exact"/>
              <w:rPr>
                <w:rFonts w:hint="eastAsia" w:ascii="仿宋_GB2312" w:hAnsi="仿宋_GB2312" w:eastAsia="仿宋_GB2312" w:cs="仿宋_GB2312"/>
              </w:rPr>
            </w:pPr>
            <w:r>
              <w:rPr>
                <w:rFonts w:hint="eastAsia" w:ascii="仿宋_GB2312" w:hAnsi="仿宋_GB2312" w:eastAsia="仿宋_GB2312" w:cs="仿宋_GB2312"/>
              </w:rPr>
              <w:t>出水色度、浑浊度、臭和味、肉眼可见物、pH和消毒剂余量</w:t>
            </w:r>
          </w:p>
        </w:tc>
      </w:tr>
    </w:tbl>
    <w:p>
      <w:pPr>
        <w:keepNext/>
        <w:keepLines/>
        <w:pageBreakBefore w:val="0"/>
        <w:widowControl/>
        <w:kinsoku/>
        <w:wordWrap/>
        <w:overflowPunct/>
        <w:topLinePunct w:val="0"/>
        <w:autoSpaceDE/>
        <w:autoSpaceDN/>
        <w:bidi w:val="0"/>
        <w:adjustRightInd/>
        <w:spacing w:line="300" w:lineRule="exact"/>
        <w:textAlignment w:val="auto"/>
        <w:rPr>
          <w:rFonts w:hint="eastAsia" w:ascii="仿宋_GB2312" w:hAnsi="仿宋_GB2312" w:eastAsia="仿宋_GB2312" w:cs="仿宋_GB2312"/>
          <w:kern w:val="0"/>
        </w:rPr>
      </w:pPr>
      <w:r>
        <w:rPr>
          <w:rFonts w:hint="eastAsia" w:ascii="仿宋_GB2312" w:hAnsi="仿宋_GB2312" w:eastAsia="仿宋_GB2312" w:cs="仿宋_GB2312"/>
        </w:rPr>
        <w:t xml:space="preserve">    a.不含学校内的自建设施集中式供水和二次供水。</w:t>
      </w:r>
    </w:p>
    <w:p>
      <w:pPr>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 xml:space="preserve">    b.农村集中式供水为监督检查信息卡上标记类别为“乡镇”的集中式供水。</w:t>
      </w:r>
    </w:p>
    <w:p>
      <w:pPr>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 xml:space="preserve">    c.各地在综合卫生监督档案、饮用水卫生安全巡查档案或记录以及相关调查资料等信息的基础上自行制定清单并实施双随机抽查。</w:t>
      </w:r>
    </w:p>
    <w:p>
      <w:pPr>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 xml:space="preserve">    d.水质自检包括委托检测。</w:t>
      </w:r>
    </w:p>
    <w:p>
      <w:pPr>
        <w:pageBreakBefore w:val="0"/>
        <w:kinsoku/>
        <w:wordWrap/>
        <w:overflowPunct/>
        <w:topLinePunct w:val="0"/>
        <w:autoSpaceDE/>
        <w:autoSpaceDN/>
        <w:bidi w:val="0"/>
        <w:adjustRightInd/>
        <w:snapToGrid w:val="0"/>
        <w:spacing w:line="300" w:lineRule="exact"/>
        <w:jc w:val="left"/>
        <w:textAlignment w:val="auto"/>
        <w:rPr>
          <w:rFonts w:ascii="黑体" w:hAnsi="宋体" w:eastAsia="黑体"/>
          <w:sz w:val="30"/>
        </w:rPr>
      </w:pPr>
    </w:p>
    <w:p>
      <w:pPr>
        <w:widowControl/>
        <w:spacing w:beforeLines="50" w:line="600" w:lineRule="exact"/>
        <w:jc w:val="center"/>
        <w:rPr>
          <w:rFonts w:hint="eastAsia" w:ascii="宋体" w:hAnsi="宋体" w:eastAsia="宋体"/>
          <w:b/>
          <w:sz w:val="44"/>
        </w:rPr>
      </w:pPr>
    </w:p>
    <w:p>
      <w:pPr>
        <w:widowControl/>
        <w:spacing w:beforeLines="50" w:line="600" w:lineRule="exact"/>
        <w:jc w:val="center"/>
        <w:rPr>
          <w:rFonts w:hint="eastAsia" w:ascii="宋体" w:hAnsi="宋体" w:eastAsia="宋体"/>
          <w:b/>
          <w:sz w:val="44"/>
        </w:rPr>
      </w:pPr>
    </w:p>
    <w:p>
      <w:pPr>
        <w:widowControl/>
        <w:spacing w:beforeLines="50" w:line="600" w:lineRule="exact"/>
        <w:jc w:val="center"/>
        <w:rPr>
          <w:rFonts w:hint="eastAsia" w:ascii="宋体" w:hAnsi="宋体" w:eastAsia="宋体"/>
          <w:b/>
          <w:sz w:val="44"/>
        </w:rPr>
      </w:pPr>
    </w:p>
    <w:p>
      <w:pPr>
        <w:widowControl/>
        <w:spacing w:beforeLines="50" w:line="600" w:lineRule="exact"/>
        <w:jc w:val="center"/>
        <w:rPr>
          <w:rFonts w:ascii="宋体" w:hAnsi="宋体" w:eastAsia="宋体"/>
          <w:b/>
          <w:sz w:val="44"/>
        </w:rPr>
      </w:pPr>
      <w:r>
        <w:rPr>
          <w:rFonts w:hint="eastAsia" w:ascii="宋体" w:hAnsi="宋体" w:eastAsia="宋体"/>
          <w:b/>
          <w:sz w:val="44"/>
        </w:rPr>
        <w:t>2021年涉水产品国家随机监督抽查工作计划表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78"/>
        <w:gridCol w:w="2551"/>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产品类别</w:t>
            </w: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范围和数量</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检查内容</w:t>
            </w:r>
          </w:p>
        </w:tc>
        <w:tc>
          <w:tcPr>
            <w:tcW w:w="4493"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检测项目</w:t>
            </w:r>
            <w:r>
              <w:rPr>
                <w:rFonts w:hint="eastAsia" w:ascii="仿宋_GB2312" w:hAnsi="仿宋_GB2312" w:eastAsia="仿宋_GB2312" w:cs="仿宋_GB231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kern w:val="0"/>
              </w:rPr>
              <w:t>输配水设备</w:t>
            </w:r>
          </w:p>
        </w:tc>
        <w:tc>
          <w:tcPr>
            <w:tcW w:w="4678"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kern w:val="0"/>
              </w:rPr>
            </w:pPr>
            <w:r>
              <w:rPr>
                <w:rFonts w:hint="eastAsia" w:ascii="仿宋_GB2312" w:hAnsi="仿宋_GB2312" w:eastAsia="仿宋_GB2312" w:cs="仿宋_GB2312"/>
                <w:kern w:val="0"/>
              </w:rPr>
              <w:t>辖区内10个生产企业，不足的全部抽查，每个企业抽查1-3个产品</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1.生产企业符合《涉及饮用水卫生安全产品生产企业卫生规范》情况</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2.产品卫生许可批件、标签、说明书</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水处理材料</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化学处理剂</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kern w:val="0"/>
              </w:rPr>
              <w:t>水质处理器</w:t>
            </w: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kern w:val="0"/>
              </w:rPr>
              <w:t>辖区内10个生产企业，不足的全部抽查，每个企业抽查1-2个产品</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1.生产企业符合《涉及饮用水卫生安全产品生产企业卫生规范》情况</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2.产品卫生许可批件、标签、说明书</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辖区内10个实体经营单位</w:t>
            </w:r>
            <w:r>
              <w:rPr>
                <w:rFonts w:hint="eastAsia" w:ascii="仿宋_GB2312" w:hAnsi="仿宋_GB2312" w:eastAsia="仿宋_GB2312" w:cs="仿宋_GB2312"/>
                <w:vertAlign w:val="superscript"/>
              </w:rPr>
              <w:t>(b)</w:t>
            </w:r>
            <w:r>
              <w:rPr>
                <w:rFonts w:hint="eastAsia" w:ascii="仿宋_GB2312" w:hAnsi="仿宋_GB2312" w:eastAsia="仿宋_GB2312" w:cs="仿宋_GB2312"/>
                <w:kern w:val="0"/>
              </w:rPr>
              <w:t>，含6个城市商场、超市或专营商店、4个乡镇综合或专营市场，不足的全部抽查。</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1.标签、说明书</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2.产品卫生许可批件</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辖区内50个在主要网络平台从事经销活动的网店，不足的全部抽查，检查网店所有产品。</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产品卫生许可批件</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kern w:val="0"/>
              </w:rPr>
              <w:t>进口涉水产品</w:t>
            </w: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b/>
              </w:rPr>
            </w:pPr>
            <w:r>
              <w:rPr>
                <w:rFonts w:hint="eastAsia" w:ascii="仿宋_GB2312" w:hAnsi="仿宋_GB2312" w:eastAsia="仿宋_GB2312" w:cs="仿宋_GB2312"/>
              </w:rPr>
              <w:t>辖区内10个在华责任单位</w:t>
            </w:r>
            <w:r>
              <w:rPr>
                <w:rFonts w:hint="eastAsia" w:ascii="仿宋_GB2312" w:hAnsi="仿宋_GB2312" w:eastAsia="仿宋_GB2312" w:cs="仿宋_GB2312"/>
                <w:kern w:val="0"/>
              </w:rPr>
              <w:t>，不足的全部抽查，</w:t>
            </w:r>
            <w:r>
              <w:rPr>
                <w:rFonts w:hint="eastAsia" w:ascii="仿宋_GB2312" w:hAnsi="仿宋_GB2312" w:eastAsia="仿宋_GB2312" w:cs="仿宋_GB2312"/>
              </w:rPr>
              <w:t>每个单位抽查1-3种产品</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1.标签、说明书</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2.产品卫生许可批件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现制现售饮用水</w:t>
            </w:r>
          </w:p>
          <w:p>
            <w:pPr>
              <w:jc w:val="center"/>
              <w:rPr>
                <w:rFonts w:hint="eastAsia" w:ascii="仿宋_GB2312" w:hAnsi="仿宋_GB2312" w:eastAsia="仿宋_GB2312" w:cs="仿宋_GB2312"/>
              </w:rPr>
            </w:pPr>
            <w:r>
              <w:rPr>
                <w:rFonts w:hint="eastAsia" w:ascii="仿宋_GB2312" w:hAnsi="仿宋_GB2312" w:eastAsia="仿宋_GB2312" w:cs="仿宋_GB2312"/>
                <w:kern w:val="0"/>
              </w:rPr>
              <w:t>自动售水机</w:t>
            </w:r>
          </w:p>
        </w:tc>
        <w:tc>
          <w:tcPr>
            <w:tcW w:w="467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kern w:val="0"/>
              </w:rPr>
            </w:pPr>
            <w:r>
              <w:rPr>
                <w:rFonts w:hint="eastAsia" w:ascii="仿宋_GB2312" w:hAnsi="仿宋_GB2312" w:eastAsia="仿宋_GB2312" w:cs="仿宋_GB2312"/>
              </w:rPr>
              <w:t>辖区内5个经营单位</w:t>
            </w:r>
            <w:r>
              <w:rPr>
                <w:rFonts w:hint="eastAsia" w:ascii="仿宋_GB2312" w:hAnsi="仿宋_GB2312" w:eastAsia="仿宋_GB2312" w:cs="仿宋_GB2312"/>
                <w:vertAlign w:val="superscript"/>
              </w:rPr>
              <w:t>(b)</w:t>
            </w:r>
            <w:r>
              <w:rPr>
                <w:rFonts w:hint="eastAsia" w:ascii="仿宋_GB2312" w:hAnsi="仿宋_GB2312" w:eastAsia="仿宋_GB2312" w:cs="仿宋_GB2312"/>
              </w:rPr>
              <w:t>，不足的全部抽查，每个单位抽查1-3个应用现场。</w:t>
            </w:r>
          </w:p>
        </w:tc>
        <w:tc>
          <w:tcPr>
            <w:tcW w:w="255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rPr>
                <w:rFonts w:hint="eastAsia" w:ascii="仿宋_GB2312" w:hAnsi="仿宋_GB2312" w:eastAsia="仿宋_GB2312" w:cs="仿宋_GB2312"/>
              </w:rPr>
            </w:pPr>
            <w:r>
              <w:rPr>
                <w:rFonts w:hint="eastAsia" w:ascii="仿宋_GB2312" w:hAnsi="仿宋_GB2312" w:eastAsia="仿宋_GB2312" w:cs="仿宋_GB2312"/>
              </w:rPr>
              <w:t>出水水质</w:t>
            </w:r>
            <w:r>
              <w:rPr>
                <w:rFonts w:hint="eastAsia" w:ascii="仿宋_GB2312" w:hAnsi="仿宋_GB2312" w:eastAsia="仿宋_GB2312" w:cs="仿宋_GB2312"/>
                <w:kern w:val="0"/>
              </w:rPr>
              <w:t>菌落总数、总大肠菌群、色度、浑浊度、臭和味、肉眼可见物、pH、耗氧量等</w:t>
            </w:r>
          </w:p>
        </w:tc>
      </w:tr>
    </w:tbl>
    <w:p>
      <w:pPr>
        <w:snapToGrid w:val="0"/>
        <w:spacing w:beforeLines="50"/>
        <w:jc w:val="left"/>
        <w:rPr>
          <w:rFonts w:hint="eastAsia" w:ascii="仿宋_GB2312" w:hAnsi="仿宋_GB2312" w:eastAsia="仿宋_GB2312" w:cs="仿宋_GB2312"/>
        </w:rPr>
      </w:pPr>
      <w:r>
        <w:rPr>
          <w:rFonts w:ascii="￥ﾍﾎ￦ﾖﾇ￤ﾻ﾿￥ﾮﾋ" w:hAnsi="￥ﾍﾎ￦ﾖﾇ￤ﾻ﾿￥ﾮﾋ" w:eastAsia="￥ﾍﾎ￦ﾖﾇ￤ﾻ﾿￥ﾮﾋ"/>
        </w:rPr>
        <w:t xml:space="preserve">    </w:t>
      </w:r>
      <w:r>
        <w:rPr>
          <w:rFonts w:hint="eastAsia" w:ascii="仿宋_GB2312" w:hAnsi="仿宋_GB2312" w:eastAsia="仿宋_GB2312" w:cs="仿宋_GB2312"/>
        </w:rPr>
        <w:t>a.无负压供水设备、饮用水消毒设备、大型水质处理器产品卫生安全性检测合理缺项。</w:t>
      </w:r>
    </w:p>
    <w:p>
      <w:pPr>
        <w:snapToGrid w:val="0"/>
        <w:spacing w:beforeLines="50"/>
        <w:jc w:val="left"/>
        <w:rPr>
          <w:rFonts w:hint="eastAsia" w:ascii="仿宋_GB2312" w:hAnsi="仿宋_GB2312" w:eastAsia="仿宋_GB2312" w:cs="仿宋_GB2312"/>
        </w:rPr>
      </w:pPr>
      <w:r>
        <w:rPr>
          <w:rFonts w:hint="eastAsia" w:ascii="仿宋_GB2312" w:hAnsi="仿宋_GB2312" w:eastAsia="仿宋_GB2312" w:cs="仿宋_GB2312"/>
        </w:rPr>
        <w:t xml:space="preserve">    b.各地在综合卫生监督档案及相关调查资料等信息基础上</w:t>
      </w:r>
      <w:r>
        <w:rPr>
          <w:rFonts w:hint="eastAsia" w:ascii="仿宋_GB2312" w:hAnsi="仿宋_GB2312" w:eastAsia="仿宋_GB2312" w:cs="仿宋_GB2312"/>
          <w:kern w:val="0"/>
        </w:rPr>
        <w:t>自行制定清单并实施双随机抽查</w:t>
      </w:r>
      <w:r>
        <w:rPr>
          <w:rFonts w:hint="eastAsia" w:ascii="仿宋_GB2312" w:hAnsi="仿宋_GB2312" w:eastAsia="仿宋_GB2312" w:cs="仿宋_GB2312"/>
        </w:rPr>
        <w:t>。</w:t>
      </w:r>
    </w:p>
    <w:p>
      <w:pPr>
        <w:spacing w:beforeLines="50" w:line="600" w:lineRule="exact"/>
        <w:jc w:val="center"/>
        <w:rPr>
          <w:rFonts w:hint="eastAsia" w:ascii="宋体" w:hAnsi="宋体" w:eastAsia="宋体"/>
          <w:b/>
          <w:sz w:val="44"/>
        </w:rPr>
      </w:pPr>
    </w:p>
    <w:p>
      <w:pPr>
        <w:spacing w:beforeLines="50" w:line="600" w:lineRule="exact"/>
        <w:jc w:val="center"/>
        <w:rPr>
          <w:rFonts w:hint="eastAsia" w:ascii="宋体" w:hAnsi="宋体" w:eastAsia="宋体"/>
          <w:b/>
          <w:sz w:val="44"/>
        </w:rPr>
      </w:pPr>
    </w:p>
    <w:p>
      <w:pPr>
        <w:spacing w:beforeLines="50" w:line="600" w:lineRule="exact"/>
        <w:jc w:val="center"/>
        <w:rPr>
          <w:b/>
          <w:sz w:val="44"/>
        </w:rPr>
      </w:pPr>
      <w:r>
        <w:rPr>
          <w:rFonts w:hint="eastAsia" w:ascii="宋体" w:hAnsi="宋体" w:eastAsia="宋体"/>
          <w:b/>
          <w:sz w:val="44"/>
        </w:rPr>
        <w:t>2021年餐具饮具集中消毒服务单位国家随机监督抽查工作计划表</w:t>
      </w:r>
    </w:p>
    <w:tbl>
      <w:tblPr>
        <w:tblStyle w:val="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监督检查对象</w:t>
            </w:r>
          </w:p>
        </w:tc>
        <w:tc>
          <w:tcPr>
            <w:tcW w:w="357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范围和数量</w:t>
            </w:r>
          </w:p>
        </w:tc>
        <w:tc>
          <w:tcPr>
            <w:tcW w:w="5215"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餐具饮具集中</w:t>
            </w:r>
          </w:p>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消毒服务单位</w:t>
            </w:r>
          </w:p>
        </w:tc>
        <w:tc>
          <w:tcPr>
            <w:tcW w:w="357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辖区总数20%，至少20户，不足20户的全部抽查</w:t>
            </w:r>
          </w:p>
        </w:tc>
        <w:tc>
          <w:tcPr>
            <w:tcW w:w="5215"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1.用水符合国家饮用水卫生标准情况</w:t>
            </w:r>
            <w:r>
              <w:rPr>
                <w:rFonts w:hint="eastAsia" w:ascii="仿宋_GB2312" w:hAnsi="仿宋_GB2312" w:eastAsia="仿宋_GB2312" w:cs="仿宋_GB2312"/>
                <w:kern w:val="0"/>
                <w:vertAlign w:val="superscript"/>
              </w:rPr>
              <w:t>(a)</w:t>
            </w:r>
          </w:p>
          <w:p>
            <w:pPr>
              <w:rPr>
                <w:rFonts w:hint="eastAsia" w:ascii="仿宋_GB2312" w:hAnsi="仿宋_GB2312" w:eastAsia="仿宋_GB2312" w:cs="仿宋_GB2312"/>
                <w:kern w:val="0"/>
              </w:rPr>
            </w:pPr>
            <w:r>
              <w:rPr>
                <w:rFonts w:hint="eastAsia" w:ascii="仿宋_GB2312" w:hAnsi="仿宋_GB2312" w:eastAsia="仿宋_GB2312" w:cs="仿宋_GB2312"/>
                <w:kern w:val="0"/>
              </w:rPr>
              <w:t>2.使用的洗涤剂、消毒剂符合国家食品安全标准情况</w:t>
            </w:r>
            <w:r>
              <w:rPr>
                <w:rFonts w:hint="eastAsia" w:ascii="仿宋_GB2312" w:hAnsi="仿宋_GB2312" w:eastAsia="仿宋_GB2312" w:cs="仿宋_GB2312"/>
                <w:kern w:val="0"/>
                <w:vertAlign w:val="superscript"/>
              </w:rPr>
              <w:t>(b)</w:t>
            </w:r>
          </w:p>
          <w:p>
            <w:pPr>
              <w:rPr>
                <w:rFonts w:hint="eastAsia" w:ascii="仿宋_GB2312" w:hAnsi="仿宋_GB2312" w:eastAsia="仿宋_GB2312" w:cs="仿宋_GB2312"/>
                <w:kern w:val="0"/>
              </w:rPr>
            </w:pPr>
            <w:r>
              <w:rPr>
                <w:rFonts w:hint="eastAsia" w:ascii="仿宋_GB2312" w:hAnsi="仿宋_GB2312" w:eastAsia="仿宋_GB2312" w:cs="仿宋_GB2312"/>
                <w:kern w:val="0"/>
              </w:rPr>
              <w:t>3.消毒后的餐饮具进行逐批检验情况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4.建立并遵守餐饮具出厂检验记录制度情况</w:t>
            </w:r>
            <w:r>
              <w:rPr>
                <w:rFonts w:hint="eastAsia" w:ascii="仿宋_GB2312" w:hAnsi="仿宋_GB2312" w:eastAsia="仿宋_GB2312" w:cs="仿宋_GB2312"/>
                <w:kern w:val="0"/>
                <w:vertAlign w:val="superscript"/>
              </w:rPr>
              <w:t>(c)</w:t>
            </w:r>
          </w:p>
        </w:tc>
        <w:tc>
          <w:tcPr>
            <w:tcW w:w="3392"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出厂餐饮具</w:t>
            </w:r>
          </w:p>
        </w:tc>
        <w:tc>
          <w:tcPr>
            <w:tcW w:w="357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每个企业抽查1-2个批次出厂餐饮具</w:t>
            </w:r>
          </w:p>
        </w:tc>
        <w:tc>
          <w:tcPr>
            <w:tcW w:w="5215"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1.出厂餐饮具随附消毒合格证明情况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2.出厂餐饮具按规定在独立包装上标注相关内容情况</w:t>
            </w:r>
            <w:r>
              <w:rPr>
                <w:rFonts w:hint="eastAsia" w:ascii="仿宋_GB2312" w:hAnsi="仿宋_GB2312" w:eastAsia="仿宋_GB2312" w:cs="仿宋_GB2312"/>
                <w:kern w:val="0"/>
                <w:vertAlign w:val="superscript"/>
              </w:rPr>
              <w:t>(d)</w:t>
            </w:r>
          </w:p>
        </w:tc>
        <w:tc>
          <w:tcPr>
            <w:tcW w:w="3392"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感官要求，游离性余氯、阴离子合成洗涤剂</w:t>
            </w:r>
            <w:r>
              <w:rPr>
                <w:rFonts w:hint="eastAsia" w:ascii="仿宋_GB2312" w:hAnsi="仿宋_GB2312" w:eastAsia="仿宋_GB2312" w:cs="仿宋_GB2312"/>
                <w:kern w:val="0"/>
                <w:vertAlign w:val="superscript"/>
              </w:rPr>
              <w:t>(e)</w:t>
            </w:r>
            <w:r>
              <w:rPr>
                <w:rFonts w:hint="eastAsia" w:ascii="仿宋_GB2312" w:hAnsi="仿宋_GB2312" w:eastAsia="仿宋_GB2312" w:cs="仿宋_GB2312"/>
                <w:kern w:val="0"/>
              </w:rPr>
              <w:t>，大肠菌群、沙门氏菌</w:t>
            </w:r>
          </w:p>
        </w:tc>
      </w:tr>
    </w:tbl>
    <w:p>
      <w:pPr>
        <w:keepNext w:val="0"/>
        <w:keepLines w:val="0"/>
        <w:pageBreakBefore w:val="0"/>
        <w:kinsoku/>
        <w:wordWrap/>
        <w:overflowPunct/>
        <w:topLinePunct w:val="0"/>
        <w:autoSpaceDE/>
        <w:autoSpaceDN/>
        <w:bidi w:val="0"/>
        <w:adjustRightInd/>
        <w:snapToGrid w:val="0"/>
        <w:spacing w:line="300" w:lineRule="exact"/>
        <w:ind w:firstLine="400"/>
        <w:jc w:val="left"/>
        <w:textAlignment w:val="auto"/>
        <w:rPr>
          <w:rFonts w:hint="eastAsia" w:ascii="仿宋_GB2312" w:hAnsi="仿宋_GB2312" w:eastAsia="仿宋_GB2312" w:cs="仿宋_GB2312"/>
        </w:rPr>
      </w:pPr>
      <w:r>
        <w:rPr>
          <w:rFonts w:hint="eastAsia" w:ascii="仿宋_GB2312" w:hAnsi="仿宋_GB2312" w:eastAsia="仿宋_GB2312" w:cs="仿宋_GB2312"/>
        </w:rPr>
        <w:t>a.用水由持有效卫生许可证供水单位供应的，原则上视为合规；用水为自建设施供水或其他方式供应的，检查水质检验报告，判定合规情况。</w:t>
      </w:r>
    </w:p>
    <w:p>
      <w:pPr>
        <w:keepNext w:val="0"/>
        <w:keepLines w:val="0"/>
        <w:pageBreakBefore w:val="0"/>
        <w:kinsoku/>
        <w:wordWrap/>
        <w:overflowPunct/>
        <w:topLinePunct w:val="0"/>
        <w:autoSpaceDE/>
        <w:autoSpaceDN/>
        <w:bidi w:val="0"/>
        <w:adjustRightInd/>
        <w:snapToGrid w:val="0"/>
        <w:spacing w:line="300" w:lineRule="exact"/>
        <w:ind w:firstLine="400"/>
        <w:jc w:val="left"/>
        <w:textAlignment w:val="auto"/>
        <w:rPr>
          <w:rFonts w:hint="eastAsia" w:ascii="仿宋_GB2312" w:hAnsi="仿宋_GB2312" w:eastAsia="仿宋_GB2312" w:cs="仿宋_GB2312"/>
          <w:kern w:val="0"/>
        </w:rPr>
      </w:pPr>
      <w:r>
        <w:rPr>
          <w:rFonts w:hint="eastAsia" w:ascii="仿宋_GB2312" w:hAnsi="仿宋_GB2312" w:eastAsia="仿宋_GB2312" w:cs="仿宋_GB2312"/>
        </w:rPr>
        <w:t>b.</w:t>
      </w:r>
      <w:r>
        <w:rPr>
          <w:rFonts w:hint="eastAsia" w:ascii="仿宋_GB2312" w:hAnsi="仿宋_GB2312" w:eastAsia="仿宋_GB2312" w:cs="仿宋_GB2312"/>
          <w:kern w:val="0"/>
        </w:rPr>
        <w:t>使用的洗涤剂和消毒剂均符合规定的判定为合规单位，有一项不符合规定的判定为不合规单位。</w:t>
      </w:r>
    </w:p>
    <w:p>
      <w:pPr>
        <w:keepNext w:val="0"/>
        <w:keepLines w:val="0"/>
        <w:pageBreakBefore w:val="0"/>
        <w:kinsoku/>
        <w:wordWrap/>
        <w:overflowPunct/>
        <w:topLinePunct w:val="0"/>
        <w:autoSpaceDE/>
        <w:autoSpaceDN/>
        <w:bidi w:val="0"/>
        <w:adjustRightInd/>
        <w:snapToGrid w:val="0"/>
        <w:spacing w:line="300" w:lineRule="exact"/>
        <w:ind w:firstLine="400"/>
        <w:jc w:val="left"/>
        <w:textAlignment w:val="auto"/>
        <w:rPr>
          <w:rFonts w:hint="eastAsia" w:ascii="仿宋_GB2312" w:hAnsi="仿宋_GB2312" w:eastAsia="仿宋_GB2312" w:cs="仿宋_GB2312"/>
          <w:kern w:val="0"/>
        </w:rPr>
      </w:pPr>
      <w:r>
        <w:rPr>
          <w:rFonts w:hint="eastAsia" w:ascii="仿宋_GB2312" w:hAnsi="仿宋_GB2312" w:eastAsia="仿宋_GB2312" w:cs="仿宋_GB2312"/>
        </w:rPr>
        <w:t>c.指</w:t>
      </w:r>
      <w:r>
        <w:rPr>
          <w:rFonts w:hint="eastAsia" w:ascii="仿宋_GB2312" w:hAnsi="仿宋_GB2312" w:eastAsia="仿宋_GB2312" w:cs="仿宋_GB2312"/>
          <w:kern w:val="0"/>
        </w:rPr>
        <w:t>建立出厂检验记录并记录出厂餐具饮具数量、消毒日期和批号、使用期限、出厂日期以及委托方名称、地址、联系方式等内容，缺项视为不合规。</w:t>
      </w:r>
    </w:p>
    <w:p>
      <w:pPr>
        <w:keepNext w:val="0"/>
        <w:keepLines w:val="0"/>
        <w:pageBreakBefore w:val="0"/>
        <w:kinsoku/>
        <w:wordWrap/>
        <w:overflowPunct/>
        <w:topLinePunct w:val="0"/>
        <w:autoSpaceDE/>
        <w:autoSpaceDN/>
        <w:bidi w:val="0"/>
        <w:adjustRightInd/>
        <w:snapToGrid w:val="0"/>
        <w:spacing w:line="300" w:lineRule="exact"/>
        <w:ind w:firstLine="400"/>
        <w:jc w:val="left"/>
        <w:textAlignment w:val="auto"/>
        <w:rPr>
          <w:rFonts w:hint="eastAsia" w:ascii="仿宋_GB2312" w:hAnsi="仿宋_GB2312" w:eastAsia="仿宋_GB2312" w:cs="仿宋_GB2312"/>
        </w:rPr>
      </w:pPr>
      <w:r>
        <w:rPr>
          <w:rFonts w:hint="eastAsia" w:ascii="仿宋_GB2312" w:hAnsi="仿宋_GB2312" w:eastAsia="仿宋_GB2312" w:cs="仿宋_GB2312"/>
        </w:rPr>
        <w:t>d.指消毒后的餐具饮具在独立包装上标注单位名称、地址、联系方式、消毒日期和批号以及使用期限等内容，缺项视为不合规。</w:t>
      </w:r>
    </w:p>
    <w:p>
      <w:pPr>
        <w:keepNext w:val="0"/>
        <w:keepLines w:val="0"/>
        <w:pageBreakBefore w:val="0"/>
        <w:widowControl/>
        <w:kinsoku/>
        <w:wordWrap/>
        <w:overflowPunct/>
        <w:topLinePunct w:val="0"/>
        <w:autoSpaceDE/>
        <w:autoSpaceDN/>
        <w:bidi w:val="0"/>
        <w:adjustRightInd/>
        <w:spacing w:line="30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e.仅适用于化学消毒法。使用其他消毒方式的，游离性余氯、阴离子合成洗涤剂两项指标合理缺项。</w:t>
      </w:r>
    </w:p>
    <w:p>
      <w:pPr>
        <w:widowControl/>
        <w:jc w:val="left"/>
        <w:rPr>
          <w:rFonts w:hint="eastAsia" w:ascii="￥ﾍﾎ￦ﾖﾇ￤ﾻ﾿￥ﾮﾋ" w:hAnsi="￥ﾍﾎ￦ﾖﾇ￤ﾻ﾿￥ﾮﾋ" w:eastAsia="￥ﾍﾎ￦ﾖﾇ￤ﾻ﾿￥ﾮﾋ"/>
        </w:rPr>
      </w:pPr>
    </w:p>
    <w:p>
      <w:pPr>
        <w:widowControl/>
        <w:jc w:val="left"/>
        <w:rPr>
          <w:rFonts w:hint="eastAsia" w:ascii="￥ﾍﾎ￦ﾖﾇ￤ﾻ﾿￥ﾮﾋ" w:hAnsi="￥ﾍﾎ￦ﾖﾇ￤ﾻ﾿￥ﾮﾋ" w:eastAsia="￥ﾍﾎ￦ﾖﾇ￤ﾻ﾿￥ﾮﾋ"/>
        </w:rPr>
      </w:pPr>
    </w:p>
    <w:p>
      <w:pPr>
        <w:spacing w:line="360" w:lineRule="auto"/>
        <w:jc w:val="center"/>
        <w:rPr>
          <w:rFonts w:hint="eastAsia" w:ascii="宋体" w:hAnsi="宋体" w:eastAsia="宋体"/>
          <w:b/>
          <w:sz w:val="44"/>
        </w:rPr>
      </w:pPr>
    </w:p>
    <w:p>
      <w:pPr>
        <w:spacing w:line="360" w:lineRule="auto"/>
        <w:jc w:val="center"/>
        <w:rPr>
          <w:rFonts w:hint="eastAsia" w:ascii="宋体" w:hAnsi="宋体" w:eastAsia="宋体"/>
          <w:b/>
          <w:sz w:val="44"/>
        </w:rPr>
      </w:pPr>
    </w:p>
    <w:p>
      <w:pPr>
        <w:spacing w:line="360" w:lineRule="auto"/>
        <w:jc w:val="center"/>
        <w:rPr>
          <w:rFonts w:hint="eastAsia" w:ascii="宋体" w:hAnsi="宋体" w:eastAsia="宋体"/>
          <w:b/>
          <w:sz w:val="44"/>
        </w:rPr>
      </w:pPr>
    </w:p>
    <w:p>
      <w:pPr>
        <w:spacing w:line="360" w:lineRule="auto"/>
        <w:jc w:val="center"/>
        <w:rPr>
          <w:rFonts w:hint="eastAsia" w:ascii="宋体" w:hAnsi="宋体" w:eastAsia="宋体"/>
          <w:b/>
          <w:sz w:val="44"/>
        </w:rPr>
      </w:pPr>
    </w:p>
    <w:p>
      <w:pPr>
        <w:spacing w:line="360" w:lineRule="auto"/>
        <w:jc w:val="center"/>
        <w:rPr>
          <w:rFonts w:hint="eastAsia" w:ascii="宋体" w:hAnsi="宋体" w:eastAsia="宋体"/>
          <w:b/>
          <w:sz w:val="44"/>
        </w:rPr>
      </w:pPr>
    </w:p>
    <w:p>
      <w:pPr>
        <w:spacing w:line="360" w:lineRule="auto"/>
        <w:jc w:val="center"/>
        <w:rPr>
          <w:rFonts w:ascii="宋体" w:hAnsi="宋体" w:eastAsia="宋体"/>
          <w:b/>
          <w:sz w:val="44"/>
        </w:rPr>
      </w:pPr>
      <w:r>
        <w:rPr>
          <w:rFonts w:hint="eastAsia" w:ascii="宋体" w:hAnsi="宋体" w:eastAsia="宋体"/>
          <w:b/>
          <w:sz w:val="44"/>
        </w:rPr>
        <w:t>2021年医疗机构国家监督</w:t>
      </w:r>
      <w:r>
        <w:rPr>
          <w:rFonts w:ascii="宋体" w:hAnsi="宋体" w:eastAsia="宋体"/>
          <w:b/>
          <w:sz w:val="44"/>
        </w:rPr>
        <w:t>抽查</w:t>
      </w:r>
      <w:r>
        <w:rPr>
          <w:rFonts w:hint="eastAsia" w:ascii="宋体" w:hAnsi="宋体" w:eastAsia="宋体"/>
          <w:b/>
          <w:sz w:val="44"/>
        </w:rPr>
        <w:t>工作计划表</w:t>
      </w:r>
    </w:p>
    <w:tbl>
      <w:tblPr>
        <w:tblStyle w:val="7"/>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序号</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监督检查对象</w:t>
            </w:r>
          </w:p>
        </w:tc>
        <w:tc>
          <w:tcPr>
            <w:tcW w:w="14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抽查比例</w:t>
            </w:r>
          </w:p>
        </w:tc>
        <w:tc>
          <w:tcPr>
            <w:tcW w:w="7796"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医院（含中医院）</w:t>
            </w:r>
          </w:p>
        </w:tc>
        <w:tc>
          <w:tcPr>
            <w:tcW w:w="141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12%</w:t>
            </w:r>
          </w:p>
        </w:tc>
        <w:tc>
          <w:tcPr>
            <w:tcW w:w="779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1.医疗机构资质（取得《医疗机构执业许可证》或备案情况、人员资格、诊疗活动、健康体检）管理情况；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2.医疗卫生人员管理情况；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3.药品和医疗器械（麻醉药品、精神药品、抗菌药物、医疗器械）管理情况；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4.医疗技术（医疗美容、临床基因扩增、干细胞临床研究、临床研究项目）管理情况；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5.医疗文书（处方、病历、医学证明文件）管理情况；</w:t>
            </w:r>
          </w:p>
          <w:p>
            <w:pPr>
              <w:rPr>
                <w:rFonts w:hint="eastAsia" w:ascii="仿宋_GB2312" w:hAnsi="仿宋_GB2312" w:eastAsia="仿宋_GB2312" w:cs="仿宋_GB2312"/>
                <w:kern w:val="0"/>
              </w:rPr>
            </w:pPr>
            <w:r>
              <w:rPr>
                <w:rFonts w:hint="eastAsia" w:ascii="仿宋_GB2312" w:hAnsi="仿宋_GB2312" w:eastAsia="仿宋_GB2312" w:cs="仿宋_GB2312"/>
                <w:kern w:val="0"/>
              </w:rPr>
              <w:t>6.临床用血（用血来源、管理组织和制度，血液储存，应急用血采血）管理情况。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_GB2312" w:hAnsi="仿宋_GB2312" w:eastAsia="仿宋_GB2312" w:cs="仿宋_GB2312"/>
                <w:kern w:val="0"/>
              </w:rPr>
            </w:pPr>
            <w:r>
              <w:rPr>
                <w:rFonts w:hint="eastAsia" w:ascii="仿宋_GB2312" w:hAnsi="仿宋_GB2312" w:eastAsia="仿宋_GB2312" w:cs="仿宋_GB2312"/>
                <w:kern w:val="0"/>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社区卫生服务机构</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hint="eastAsia" w:ascii="仿宋_GB2312" w:hAnsi="仿宋_GB2312" w:eastAsia="仿宋_GB2312" w:cs="仿宋_GB2312"/>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卫生院</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hint="eastAsia" w:ascii="仿宋_GB2312" w:hAnsi="仿宋_GB2312" w:eastAsia="仿宋_GB2312" w:cs="仿宋_GB2312"/>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村卫生室（所）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hint="eastAsia" w:ascii="仿宋_GB2312" w:hAnsi="仿宋_GB2312" w:eastAsia="仿宋_GB2312" w:cs="仿宋_GB2312"/>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诊  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hint="eastAsia" w:ascii="仿宋_GB2312" w:hAnsi="仿宋_GB2312" w:eastAsia="仿宋_GB2312" w:cs="仿宋_GB2312"/>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271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其他医疗机构</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hint="eastAsia" w:ascii="仿宋_GB2312" w:hAnsi="仿宋_GB2312" w:eastAsia="仿宋_GB2312" w:cs="仿宋_GB2312"/>
                <w:szCs w:val="21"/>
              </w:rPr>
            </w:pPr>
          </w:p>
        </w:tc>
      </w:tr>
    </w:tbl>
    <w:p>
      <w:pPr>
        <w:spacing w:line="560" w:lineRule="exact"/>
        <w:ind w:left="1"/>
        <w:jc w:val="center"/>
        <w:rPr>
          <w:rFonts w:hint="eastAsia" w:ascii="宋体" w:hAnsi="宋体" w:eastAsia="宋体"/>
          <w:b/>
          <w:sz w:val="44"/>
        </w:rPr>
      </w:pPr>
    </w:p>
    <w:p>
      <w:pPr>
        <w:spacing w:line="560" w:lineRule="exact"/>
        <w:ind w:left="1"/>
        <w:jc w:val="center"/>
        <w:rPr>
          <w:rFonts w:hint="eastAsia" w:ascii="宋体" w:hAnsi="宋体" w:eastAsia="宋体"/>
          <w:b/>
          <w:sz w:val="44"/>
        </w:rPr>
      </w:pPr>
    </w:p>
    <w:p>
      <w:pPr>
        <w:spacing w:line="560" w:lineRule="exact"/>
        <w:ind w:left="1"/>
        <w:jc w:val="center"/>
        <w:rPr>
          <w:rFonts w:hint="eastAsia" w:ascii="宋体" w:hAnsi="宋体" w:eastAsia="宋体"/>
          <w:b/>
          <w:sz w:val="44"/>
        </w:rPr>
      </w:pPr>
    </w:p>
    <w:p>
      <w:pPr>
        <w:spacing w:line="560" w:lineRule="exact"/>
        <w:ind w:left="1"/>
        <w:jc w:val="center"/>
        <w:rPr>
          <w:rFonts w:ascii="宋体" w:hAnsi="宋体"/>
          <w:b/>
          <w:sz w:val="44"/>
        </w:rPr>
      </w:pPr>
      <w:r>
        <w:rPr>
          <w:rFonts w:hint="eastAsia" w:ascii="宋体" w:hAnsi="宋体" w:eastAsia="宋体"/>
          <w:b/>
          <w:sz w:val="44"/>
        </w:rPr>
        <w:t>2021年消毒产品国家随机监督抽查计划表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3774"/>
        <w:gridCol w:w="3990"/>
        <w:gridCol w:w="413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抽查</w:t>
            </w:r>
          </w:p>
          <w:p>
            <w:pPr>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Autospacing="1" w:afterAutospacing="1"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抽查产品</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Autospacing="1" w:afterAutospacing="1"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检查/检验项目</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Autospacing="1" w:afterAutospacing="1"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Autospacing="1" w:afterAutospacing="1" w:line="30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全省总数≥15个</w:t>
            </w: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消毒剂</w:t>
            </w:r>
          </w:p>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灭菌剂</w:t>
            </w:r>
          </w:p>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（重点检查含氯消毒剂）</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有效成分含量检测（不能进行此项检测的做一项抗力最强微生物实验室杀灭试验）、一项抗力最强微生物实验室杀灭试验及稳定性试验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检验标准为现行有效版本</w:t>
            </w:r>
          </w:p>
          <w:p>
            <w:pPr>
              <w:spacing w:line="30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主要杀菌因子强度检测（不能进行此项检测的做一项抗力最强微生物实验室杀灭试验）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灭菌器械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实验室灭菌试验检测，其中压力蒸汽灭菌器、环氧乙烷灭菌器、过氧化氢气体等离子体低温灭菌器用生物指示物进行灭菌效果检测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生物指示物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含菌量检验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灭菌效果化学指示物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按照说明书的灭菌周期进行变色性能检测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30%抗（抑）菌剂以外的第二类消毒产品</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生产企业</w:t>
            </w: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p>
            <w:pPr>
              <w:spacing w:line="300" w:lineRule="exact"/>
              <w:jc w:val="center"/>
              <w:rPr>
                <w:rFonts w:hint="eastAsia" w:ascii="仿宋_GB2312" w:hAnsi="仿宋_GB2312" w:eastAsia="仿宋_GB2312" w:cs="仿宋_GB2312"/>
                <w:szCs w:val="21"/>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全省总数≥25个</w:t>
            </w: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医疗器械中低水平消毒剂、空气消毒剂、手消毒剂、物体表面消毒剂、游泳池水消毒剂（物表消毒剂重点检查低温消毒剂）</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检验标准为现行有效版本</w:t>
            </w:r>
          </w:p>
          <w:p>
            <w:pPr>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空气消毒器、紫外线杀菌灯、食具消毒柜、产生化学因子的其他消毒器械和中、低水平消毒器械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化学指示物（用于测定化学消毒剂浓度的化学指示物、用于测定紫外线强度的化学指示物、用于灭菌过程监测的化学指示物、B-D纸或包）、带有灭菌标示的灭菌物品包装物</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变色性能检验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全省总数≥30个</w:t>
            </w: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抗（抑）菌制剂膏、霜剂型</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禁用物质氯倍他索丙酸酯检验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参照《化妆品安全技术规范》（2015年版）</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全省总数≥10个</w:t>
            </w: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排泄物卫生用品（重点检查成人排泄物卫生用品）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《消毒技术规范》、GB15979《一次性使用卫生用品卫生标准》</w:t>
            </w:r>
          </w:p>
        </w:tc>
        <w:tc>
          <w:tcPr>
            <w:tcW w:w="1119" w:type="dxa"/>
            <w:vMerge w:val="continue"/>
            <w:tcBorders>
              <w:left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c>
          <w:tcPr>
            <w:tcW w:w="3774"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妇女经期卫生用品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noWrap/>
            <w:vAlign w:val="center"/>
          </w:tcPr>
          <w:p>
            <w:pPr>
              <w:spacing w:line="300" w:lineRule="exact"/>
              <w:jc w:val="center"/>
              <w:rPr>
                <w:rFonts w:hint="eastAsia" w:ascii="仿宋_GB2312" w:hAnsi="仿宋_GB2312" w:eastAsia="仿宋_GB2312" w:cs="仿宋_GB2312"/>
                <w:szCs w:val="21"/>
              </w:rPr>
            </w:pPr>
          </w:p>
        </w:tc>
      </w:tr>
    </w:tbl>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ﾍﾎ￦ﾖﾇ￤ﾻ﾿￥ﾮﾋ">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89"/>
    <w:rsid w:val="00733882"/>
    <w:rsid w:val="00833574"/>
    <w:rsid w:val="00890F89"/>
    <w:rsid w:val="00E07C08"/>
    <w:rsid w:val="00F5581E"/>
    <w:rsid w:val="00FD1F23"/>
    <w:rsid w:val="21C147FA"/>
    <w:rsid w:val="2659753A"/>
    <w:rsid w:val="3C62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imes New Roman" w:hAnsi="Times New Roman" w:eastAsia="仿宋_GB2312" w:cs="Times New Roman"/>
      <w:sz w:val="32"/>
      <w:szCs w:val="24"/>
    </w:rPr>
  </w:style>
  <w:style w:type="paragraph" w:styleId="3">
    <w:name w:val="Balloon Text"/>
    <w:basedOn w:val="1"/>
    <w:link w:val="14"/>
    <w:semiHidden/>
    <w:unhideWhenUsed/>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批注文字 Char"/>
    <w:basedOn w:val="8"/>
    <w:link w:val="2"/>
    <w:uiPriority w:val="99"/>
    <w:rPr>
      <w:rFonts w:ascii="Times New Roman" w:hAnsi="Times New Roman" w:eastAsia="仿宋_GB2312" w:cs="Times New Roman"/>
      <w:sz w:val="32"/>
      <w:szCs w:val="24"/>
    </w:rPr>
  </w:style>
  <w:style w:type="character" w:customStyle="1" w:styleId="14">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973</Words>
  <Characters>5548</Characters>
  <Lines>46</Lines>
  <Paragraphs>13</Paragraphs>
  <TotalTime>3</TotalTime>
  <ScaleCrop>false</ScaleCrop>
  <LinksUpToDate>false</LinksUpToDate>
  <CharactersWithSpaces>6508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2021-09-06T01:27:00Z</dcterms:created>
  <dc:creator>adminnn</dc:creator>
  <cp:lastModifiedBy>白い星砂</cp:lastModifiedBy>
  <dcterms:modified xsi:type="dcterms:W3CDTF">2021-09-13T03:57:55Z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AD528947DCE54A3585A10293CCE587AA</vt:lpwstr>
  </property>
</Properties>
</file>