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C3D595">
      <w:pPr>
        <w:rPr>
          <w:rFonts w:hint="default" w:ascii="Times New Roman" w:hAnsi="Times New Roman" w:eastAsia="宋体" w:cs="Times New Roman"/>
          <w:color w:val="auto"/>
          <w:sz w:val="36"/>
          <w:szCs w:val="36"/>
          <w:lang w:eastAsia="zh-CN"/>
        </w:rPr>
      </w:pPr>
      <w:r>
        <w:rPr>
          <w:rFonts w:hint="eastAsia" w:ascii="Times New Roman" w:hAnsi="Times New Roman" w:eastAsia="宋体" w:cs="Times New Roman"/>
          <w:color w:val="auto"/>
          <w:sz w:val="36"/>
          <w:szCs w:val="36"/>
          <w:lang w:eastAsia="zh-CN"/>
        </w:rPr>
        <w:drawing>
          <wp:anchor distT="0" distB="0" distL="114300" distR="114300" simplePos="0" relativeHeight="251663360" behindDoc="0" locked="0" layoutInCell="1" allowOverlap="1">
            <wp:simplePos x="0" y="0"/>
            <wp:positionH relativeFrom="column">
              <wp:posOffset>635</wp:posOffset>
            </wp:positionH>
            <wp:positionV relativeFrom="paragraph">
              <wp:posOffset>208280</wp:posOffset>
            </wp:positionV>
            <wp:extent cx="5737860" cy="8122285"/>
            <wp:effectExtent l="0" t="0" r="15240" b="12065"/>
            <wp:wrapNone/>
            <wp:docPr id="220" name="图片 220" descr="扫描全能王 2025-07-08 14.4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扫描全能王 2025-07-08 14.44_02"/>
                    <pic:cNvPicPr>
                      <a:picLocks noChangeAspect="1"/>
                    </pic:cNvPicPr>
                  </pic:nvPicPr>
                  <pic:blipFill>
                    <a:blip r:embed="rId11"/>
                    <a:stretch>
                      <a:fillRect/>
                    </a:stretch>
                  </pic:blipFill>
                  <pic:spPr>
                    <a:xfrm>
                      <a:off x="0" y="0"/>
                      <a:ext cx="5737860" cy="8122285"/>
                    </a:xfrm>
                    <a:prstGeom prst="rect">
                      <a:avLst/>
                    </a:prstGeom>
                  </pic:spPr>
                </pic:pic>
              </a:graphicData>
            </a:graphic>
          </wp:anchor>
        </w:drawing>
      </w:r>
    </w:p>
    <w:p w14:paraId="6A4DA378">
      <w:pPr>
        <w:rPr>
          <w:rFonts w:hint="eastAsia" w:ascii="Times New Roman" w:hAnsi="Times New Roman" w:eastAsia="宋体" w:cs="Times New Roman"/>
          <w:color w:val="auto"/>
          <w:sz w:val="36"/>
          <w:szCs w:val="36"/>
          <w:lang w:eastAsia="zh-CN"/>
        </w:rPr>
      </w:pPr>
    </w:p>
    <w:p w14:paraId="3D599D86">
      <w:pPr>
        <w:rPr>
          <w:rFonts w:hint="eastAsia" w:ascii="Times New Roman" w:hAnsi="Times New Roman" w:eastAsia="宋体" w:cs="Times New Roman"/>
          <w:color w:val="auto"/>
          <w:sz w:val="36"/>
          <w:szCs w:val="36"/>
          <w:lang w:eastAsia="zh-CN"/>
        </w:rPr>
      </w:pPr>
    </w:p>
    <w:p w14:paraId="67E23685">
      <w:pPr>
        <w:pStyle w:val="16"/>
        <w:rPr>
          <w:rFonts w:hint="eastAsia" w:ascii="Times New Roman" w:hAnsi="Times New Roman" w:eastAsia="宋体"/>
          <w:color w:val="auto"/>
          <w:lang w:eastAsia="zh-CN"/>
        </w:rPr>
      </w:pPr>
    </w:p>
    <w:p w14:paraId="694BE55F">
      <w:pPr>
        <w:rPr>
          <w:rFonts w:hint="default" w:ascii="Times New Roman" w:hAnsi="Times New Roman" w:eastAsia="宋体" w:cs="Times New Roman"/>
          <w:color w:val="auto"/>
          <w:sz w:val="36"/>
          <w:szCs w:val="36"/>
        </w:rPr>
      </w:pPr>
    </w:p>
    <w:p w14:paraId="093C42CF">
      <w:pPr>
        <w:widowControl w:val="0"/>
        <w:autoSpaceDE w:val="0"/>
        <w:autoSpaceDN w:val="0"/>
        <w:spacing w:before="0" w:after="0" w:line="240" w:lineRule="auto"/>
        <w:ind w:left="426" w:right="428"/>
        <w:jc w:val="center"/>
        <w:rPr>
          <w:rFonts w:ascii="PMingLiU" w:hAnsi="PMingLiU" w:eastAsia="PMingLiU" w:cs="PMingLiU"/>
          <w:sz w:val="72"/>
          <w:szCs w:val="72"/>
          <w:lang w:val="en-US" w:eastAsia="zh-CN" w:bidi="ar-SA"/>
        </w:rPr>
      </w:pPr>
      <w:r>
        <w:rPr>
          <w:rFonts w:ascii="PMingLiU" w:hAnsi="PMingLiU" w:eastAsia="PMingLiU" w:cs="PMingLiU"/>
          <w:spacing w:val="-1"/>
          <w:sz w:val="72"/>
          <w:szCs w:val="72"/>
          <w:lang w:val="en-US" w:eastAsia="zh-CN" w:bidi="ar-SA"/>
        </w:rPr>
        <w:t>建设项目环境影响报告表</w:t>
      </w:r>
    </w:p>
    <w:p w14:paraId="4B2148DE">
      <w:pPr>
        <w:pStyle w:val="17"/>
        <w:bidi w:val="0"/>
        <w:rPr>
          <w:rFonts w:hint="default"/>
        </w:rPr>
      </w:pPr>
    </w:p>
    <w:p w14:paraId="06DAF536">
      <w:pPr>
        <w:adjustRightInd w:val="0"/>
        <w:snapToGrid w:val="0"/>
        <w:spacing w:before="192" w:beforeLines="80"/>
        <w:jc w:val="center"/>
        <w:rPr>
          <w:rFonts w:hint="default" w:ascii="Times New Roman" w:hAnsi="Times New Roman" w:eastAsia="宋体" w:cs="Times New Roman"/>
          <w:b w:val="0"/>
          <w:bCs/>
          <w:color w:val="auto"/>
          <w:sz w:val="48"/>
          <w:szCs w:val="48"/>
        </w:rPr>
      </w:pPr>
      <w:r>
        <w:rPr>
          <w:rFonts w:hint="default" w:ascii="Times New Roman" w:hAnsi="Times New Roman" w:eastAsia="宋体" w:cs="Times New Roman"/>
          <w:b w:val="0"/>
          <w:bCs/>
          <w:color w:val="auto"/>
          <w:sz w:val="48"/>
          <w:szCs w:val="48"/>
        </w:rPr>
        <w:t>（污染影响类）</w:t>
      </w:r>
    </w:p>
    <w:p w14:paraId="5E5494DF">
      <w:pPr>
        <w:adjustRightInd w:val="0"/>
        <w:snapToGrid w:val="0"/>
        <w:spacing w:line="288" w:lineRule="auto"/>
        <w:jc w:val="center"/>
        <w:outlineLvl w:val="9"/>
        <w:rPr>
          <w:rFonts w:hint="default" w:ascii="Times New Roman" w:hAnsi="Times New Roman" w:eastAsia="宋体" w:cs="Times New Roman"/>
          <w:color w:val="auto"/>
          <w:kern w:val="44"/>
          <w:sz w:val="44"/>
          <w:szCs w:val="44"/>
        </w:rPr>
      </w:pPr>
    </w:p>
    <w:p w14:paraId="491E94F3">
      <w:pPr>
        <w:jc w:val="center"/>
        <w:rPr>
          <w:rFonts w:hint="default" w:ascii="Times New Roman" w:hAnsi="Times New Roman" w:eastAsia="宋体" w:cs="Times New Roman"/>
          <w:color w:val="auto"/>
          <w:sz w:val="52"/>
          <w:szCs w:val="52"/>
        </w:rPr>
      </w:pPr>
    </w:p>
    <w:p w14:paraId="0945E277">
      <w:pPr>
        <w:ind w:firstLine="1040"/>
        <w:rPr>
          <w:rFonts w:hint="eastAsia" w:ascii="Times New Roman" w:hAnsi="Times New Roman" w:eastAsia="宋体" w:cs="Times New Roman"/>
          <w:color w:val="auto"/>
          <w:sz w:val="44"/>
          <w:szCs w:val="44"/>
          <w:lang w:val="en-US" w:eastAsia="zh-CN"/>
        </w:rPr>
      </w:pPr>
    </w:p>
    <w:p w14:paraId="3048E198">
      <w:pPr>
        <w:ind w:firstLine="1040"/>
        <w:rPr>
          <w:rFonts w:hint="default" w:ascii="Times New Roman" w:hAnsi="Times New Roman" w:eastAsia="宋体" w:cs="Times New Roman"/>
          <w:color w:val="auto"/>
          <w:sz w:val="44"/>
          <w:szCs w:val="44"/>
        </w:rPr>
      </w:pPr>
    </w:p>
    <w:p w14:paraId="1F906E80">
      <w:pPr>
        <w:ind w:firstLine="1040"/>
        <w:rPr>
          <w:rFonts w:hint="default" w:ascii="Times New Roman" w:hAnsi="Times New Roman" w:eastAsia="宋体" w:cs="Times New Roman"/>
          <w:color w:val="auto"/>
          <w:sz w:val="44"/>
          <w:szCs w:val="44"/>
        </w:rPr>
      </w:pPr>
    </w:p>
    <w:p w14:paraId="08A10F1E">
      <w:pPr>
        <w:keepNext w:val="0"/>
        <w:keepLines w:val="0"/>
        <w:pageBreakBefore w:val="0"/>
        <w:widowControl w:val="0"/>
        <w:kinsoku/>
        <w:wordWrap/>
        <w:overflowPunct/>
        <w:topLinePunct w:val="0"/>
        <w:autoSpaceDE/>
        <w:autoSpaceDN/>
        <w:bidi w:val="0"/>
        <w:adjustRightInd w:val="0"/>
        <w:snapToGrid w:val="0"/>
        <w:spacing w:line="288" w:lineRule="auto"/>
        <w:ind w:left="2159" w:leftChars="171" w:hanging="1800" w:hangingChars="500"/>
        <w:textAlignment w:val="auto"/>
        <w:rPr>
          <w:rFonts w:hint="default" w:ascii="Times New Roman" w:hAnsi="Times New Roman" w:eastAsia="宋体" w:cs="Times New Roman"/>
          <w:color w:val="auto"/>
          <w:sz w:val="36"/>
          <w:szCs w:val="36"/>
          <w:lang w:eastAsia="zh-CN"/>
        </w:rPr>
      </w:pPr>
    </w:p>
    <w:p w14:paraId="33CF312B">
      <w:pPr>
        <w:keepNext w:val="0"/>
        <w:keepLines w:val="0"/>
        <w:pageBreakBefore w:val="0"/>
        <w:widowControl w:val="0"/>
        <w:kinsoku/>
        <w:wordWrap/>
        <w:overflowPunct/>
        <w:topLinePunct w:val="0"/>
        <w:autoSpaceDE/>
        <w:autoSpaceDN/>
        <w:bidi w:val="0"/>
        <w:adjustRightInd w:val="0"/>
        <w:snapToGrid w:val="0"/>
        <w:spacing w:line="288" w:lineRule="auto"/>
        <w:ind w:left="2159" w:leftChars="171" w:hanging="1800" w:hangingChars="500"/>
        <w:textAlignment w:val="auto"/>
        <w:rPr>
          <w:rFonts w:hint="default" w:ascii="Times New Roman" w:hAnsi="Times New Roman" w:eastAsia="宋体" w:cs="Times New Roman"/>
          <w:color w:val="auto"/>
          <w:sz w:val="36"/>
          <w:szCs w:val="36"/>
          <w:u w:val="single"/>
          <w:lang w:val="en-US" w:eastAsia="zh-CN"/>
        </w:rPr>
      </w:pPr>
      <w:r>
        <w:rPr>
          <w:rFonts w:hint="default" w:ascii="Times New Roman" w:hAnsi="Times New Roman" w:eastAsia="宋体" w:cs="Times New Roman"/>
          <w:color w:val="auto"/>
          <w:sz w:val="36"/>
          <w:szCs w:val="36"/>
          <w:lang w:eastAsia="zh-CN"/>
        </w:rPr>
        <w:t>项目</w:t>
      </w:r>
      <w:r>
        <w:rPr>
          <w:rFonts w:hint="default" w:ascii="Times New Roman" w:hAnsi="Times New Roman" w:eastAsia="宋体" w:cs="Times New Roman"/>
          <w:color w:val="auto"/>
          <w:sz w:val="36"/>
          <w:szCs w:val="36"/>
          <w:u w:val="none"/>
          <w:lang w:eastAsia="zh-CN"/>
        </w:rPr>
        <w:t>名称：</w:t>
      </w:r>
      <w:r>
        <w:rPr>
          <w:rFonts w:hint="eastAsia" w:eastAsia="宋体" w:cs="Times New Roman"/>
          <w:color w:val="auto"/>
          <w:sz w:val="36"/>
          <w:szCs w:val="36"/>
          <w:u w:val="single"/>
          <w:lang w:eastAsia="zh-CN"/>
        </w:rPr>
        <w:t>福州奇联汽车零部件有限公司年加工汽车座椅骨架10万套项目</w:t>
      </w:r>
      <w:r>
        <w:rPr>
          <w:rFonts w:hint="eastAsia" w:ascii="Times New Roman" w:hAnsi="Times New Roman" w:eastAsia="宋体" w:cs="Times New Roman"/>
          <w:color w:val="auto"/>
          <w:sz w:val="36"/>
          <w:szCs w:val="36"/>
          <w:u w:val="single"/>
          <w:lang w:val="en-US" w:eastAsia="zh-CN"/>
        </w:rPr>
        <w:t xml:space="preserve">         </w:t>
      </w:r>
      <w:r>
        <w:rPr>
          <w:rFonts w:hint="eastAsia" w:cs="Times New Roman"/>
          <w:color w:val="auto"/>
          <w:sz w:val="36"/>
          <w:szCs w:val="36"/>
          <w:u w:val="single"/>
          <w:lang w:val="en-US" w:eastAsia="zh-CN"/>
        </w:rPr>
        <w:t xml:space="preserve">            </w:t>
      </w:r>
    </w:p>
    <w:p w14:paraId="23594B72">
      <w:pPr>
        <w:keepNext w:val="0"/>
        <w:keepLines w:val="0"/>
        <w:pageBreakBefore w:val="0"/>
        <w:widowControl w:val="0"/>
        <w:kinsoku/>
        <w:wordWrap/>
        <w:overflowPunct/>
        <w:topLinePunct w:val="0"/>
        <w:autoSpaceDE/>
        <w:autoSpaceDN/>
        <w:bidi w:val="0"/>
        <w:adjustRightInd w:val="0"/>
        <w:snapToGrid w:val="0"/>
        <w:spacing w:line="288" w:lineRule="auto"/>
        <w:ind w:firstLine="360" w:firstLineChars="100"/>
        <w:textAlignment w:val="auto"/>
        <w:rPr>
          <w:rFonts w:hint="default" w:ascii="Times New Roman" w:hAnsi="Times New Roman" w:eastAsia="宋体" w:cs="Times New Roman"/>
          <w:color w:val="auto"/>
          <w:sz w:val="36"/>
          <w:szCs w:val="36"/>
          <w:u w:val="single"/>
          <w:lang w:val="en-US" w:eastAsia="zh-CN"/>
        </w:rPr>
      </w:pPr>
      <w:r>
        <w:rPr>
          <w:rFonts w:hint="default" w:ascii="Times New Roman" w:hAnsi="Times New Roman" w:eastAsia="宋体" w:cs="Times New Roman"/>
          <w:color w:val="auto"/>
          <w:sz w:val="36"/>
          <w:szCs w:val="36"/>
        </w:rPr>
        <w:t>建设单位（盖章）：</w:t>
      </w:r>
      <w:r>
        <w:rPr>
          <w:rFonts w:hint="eastAsia" w:eastAsia="宋体" w:cs="Times New Roman"/>
          <w:color w:val="auto"/>
          <w:sz w:val="36"/>
          <w:szCs w:val="36"/>
          <w:u w:val="single"/>
          <w:lang w:val="en-US" w:eastAsia="zh-CN"/>
        </w:rPr>
        <w:t>福州奇联汽车零部件有限公司</w:t>
      </w:r>
      <w:r>
        <w:rPr>
          <w:rFonts w:hint="eastAsia" w:ascii="Times New Roman" w:hAnsi="Times New Roman" w:eastAsia="宋体" w:cs="Times New Roman"/>
          <w:color w:val="auto"/>
          <w:sz w:val="36"/>
          <w:szCs w:val="36"/>
          <w:u w:val="single"/>
          <w:lang w:val="en-US" w:eastAsia="zh-CN"/>
        </w:rPr>
        <w:t xml:space="preserve"> </w:t>
      </w:r>
      <w:r>
        <w:rPr>
          <w:rFonts w:hint="eastAsia" w:cs="Times New Roman"/>
          <w:color w:val="auto"/>
          <w:sz w:val="36"/>
          <w:szCs w:val="36"/>
          <w:u w:val="single"/>
          <w:lang w:val="en-US" w:eastAsia="zh-CN"/>
        </w:rPr>
        <w:t xml:space="preserve">  </w:t>
      </w:r>
    </w:p>
    <w:p w14:paraId="6637DC41">
      <w:pPr>
        <w:keepNext w:val="0"/>
        <w:keepLines w:val="0"/>
        <w:pageBreakBefore w:val="0"/>
        <w:widowControl w:val="0"/>
        <w:kinsoku/>
        <w:wordWrap/>
        <w:overflowPunct/>
        <w:topLinePunct w:val="0"/>
        <w:autoSpaceDE/>
        <w:autoSpaceDN/>
        <w:bidi w:val="0"/>
        <w:adjustRightInd w:val="0"/>
        <w:snapToGrid w:val="0"/>
        <w:spacing w:line="288" w:lineRule="auto"/>
        <w:ind w:firstLine="360" w:firstLineChars="100"/>
        <w:textAlignment w:val="auto"/>
        <w:rPr>
          <w:rFonts w:hint="eastAsia" w:ascii="Times New Roman" w:hAnsi="Times New Roman" w:eastAsia="宋体" w:cs="Times New Roman"/>
          <w:color w:val="auto"/>
          <w:sz w:val="36"/>
          <w:szCs w:val="36"/>
          <w:u w:val="single"/>
          <w:lang w:val="en-US" w:eastAsia="zh-CN"/>
        </w:rPr>
      </w:pPr>
      <w:r>
        <w:rPr>
          <w:rFonts w:hint="default" w:ascii="Times New Roman" w:hAnsi="Times New Roman" w:eastAsia="宋体" w:cs="Times New Roman"/>
          <w:color w:val="auto"/>
          <w:sz w:val="36"/>
          <w:szCs w:val="36"/>
        </w:rPr>
        <w:t>编制日期：</w:t>
      </w:r>
      <w:r>
        <w:rPr>
          <w:rFonts w:hint="eastAsia" w:ascii="Times New Roman" w:hAnsi="Times New Roman" w:eastAsia="宋体" w:cs="Times New Roman"/>
          <w:color w:val="auto"/>
          <w:sz w:val="36"/>
          <w:szCs w:val="36"/>
          <w:highlight w:val="none"/>
          <w:u w:val="single"/>
          <w:lang w:val="en-US" w:eastAsia="zh-CN"/>
        </w:rPr>
        <w:t xml:space="preserve">               2</w:t>
      </w:r>
      <w:r>
        <w:rPr>
          <w:rFonts w:hint="default" w:ascii="Times New Roman" w:hAnsi="Times New Roman" w:eastAsia="宋体" w:cs="Times New Roman"/>
          <w:color w:val="auto"/>
          <w:sz w:val="36"/>
          <w:szCs w:val="36"/>
          <w:highlight w:val="none"/>
          <w:u w:val="single"/>
          <w:lang w:val="en-US" w:eastAsia="zh-CN"/>
        </w:rPr>
        <w:t>0</w:t>
      </w:r>
      <w:r>
        <w:rPr>
          <w:rFonts w:hint="eastAsia" w:ascii="Times New Roman" w:hAnsi="Times New Roman" w:eastAsia="宋体" w:cs="Times New Roman"/>
          <w:color w:val="auto"/>
          <w:sz w:val="36"/>
          <w:szCs w:val="36"/>
          <w:highlight w:val="none"/>
          <w:u w:val="single"/>
          <w:lang w:val="en-US" w:eastAsia="zh-CN"/>
        </w:rPr>
        <w:t>25</w:t>
      </w:r>
      <w:r>
        <w:rPr>
          <w:rFonts w:hint="default" w:ascii="Times New Roman" w:hAnsi="Times New Roman" w:eastAsia="宋体" w:cs="Times New Roman"/>
          <w:color w:val="auto"/>
          <w:sz w:val="36"/>
          <w:szCs w:val="36"/>
          <w:highlight w:val="none"/>
          <w:u w:val="single"/>
          <w:lang w:val="en-US" w:eastAsia="zh-CN"/>
        </w:rPr>
        <w:t>年</w:t>
      </w:r>
      <w:r>
        <w:rPr>
          <w:rFonts w:hint="eastAsia" w:eastAsia="宋体" w:cs="Times New Roman"/>
          <w:color w:val="auto"/>
          <w:sz w:val="36"/>
          <w:szCs w:val="36"/>
          <w:highlight w:val="none"/>
          <w:u w:val="single"/>
          <w:lang w:val="en-US" w:eastAsia="zh-CN"/>
        </w:rPr>
        <w:t>7</w:t>
      </w:r>
      <w:r>
        <w:rPr>
          <w:rFonts w:hint="default" w:ascii="Times New Roman" w:hAnsi="Times New Roman" w:eastAsia="宋体" w:cs="Times New Roman"/>
          <w:color w:val="auto"/>
          <w:sz w:val="36"/>
          <w:szCs w:val="36"/>
          <w:highlight w:val="none"/>
          <w:u w:val="single"/>
          <w:lang w:val="en-US" w:eastAsia="zh-CN"/>
        </w:rPr>
        <w:t>月</w:t>
      </w:r>
      <w:r>
        <w:rPr>
          <w:rFonts w:hint="eastAsia" w:ascii="Times New Roman" w:hAnsi="Times New Roman" w:eastAsia="宋体" w:cs="Times New Roman"/>
          <w:color w:val="auto"/>
          <w:sz w:val="36"/>
          <w:szCs w:val="36"/>
          <w:highlight w:val="none"/>
          <w:u w:val="single"/>
          <w:lang w:val="en-US" w:eastAsia="zh-CN"/>
        </w:rPr>
        <w:t xml:space="preserve">        </w:t>
      </w:r>
      <w:r>
        <w:rPr>
          <w:rFonts w:hint="default" w:ascii="Times New Roman" w:hAnsi="Times New Roman" w:eastAsia="宋体" w:cs="Times New Roman"/>
          <w:color w:val="auto"/>
          <w:sz w:val="36"/>
          <w:szCs w:val="36"/>
          <w:u w:val="single"/>
        </w:rPr>
        <w:t xml:space="preserve">   </w:t>
      </w:r>
      <w:r>
        <w:rPr>
          <w:rFonts w:hint="eastAsia" w:ascii="Times New Roman" w:hAnsi="Times New Roman" w:eastAsia="宋体" w:cs="Times New Roman"/>
          <w:color w:val="auto"/>
          <w:sz w:val="36"/>
          <w:szCs w:val="36"/>
          <w:u w:val="single"/>
          <w:lang w:val="en-US" w:eastAsia="zh-CN"/>
        </w:rPr>
        <w:t xml:space="preserve"> </w:t>
      </w:r>
    </w:p>
    <w:p w14:paraId="5FB713A6">
      <w:pPr>
        <w:adjustRightInd w:val="0"/>
        <w:snapToGrid w:val="0"/>
        <w:spacing w:line="288" w:lineRule="auto"/>
        <w:ind w:firstLine="1040"/>
        <w:rPr>
          <w:rFonts w:hint="default" w:ascii="Times New Roman" w:hAnsi="Times New Roman" w:eastAsia="宋体" w:cs="Times New Roman"/>
          <w:color w:val="auto"/>
          <w:sz w:val="36"/>
          <w:szCs w:val="36"/>
          <w:u w:val="single"/>
        </w:rPr>
      </w:pPr>
      <w:bookmarkStart w:id="0" w:name="_Hlk57884087"/>
    </w:p>
    <w:p w14:paraId="3944F45B">
      <w:pPr>
        <w:adjustRightInd w:val="0"/>
        <w:snapToGrid w:val="0"/>
        <w:spacing w:line="288" w:lineRule="auto"/>
        <w:ind w:firstLine="1040"/>
        <w:rPr>
          <w:rFonts w:hint="default" w:ascii="Times New Roman" w:hAnsi="Times New Roman" w:eastAsia="宋体" w:cs="Times New Roman"/>
          <w:color w:val="auto"/>
          <w:sz w:val="36"/>
          <w:szCs w:val="36"/>
        </w:rPr>
      </w:pPr>
    </w:p>
    <w:p w14:paraId="1A4BA946">
      <w:pPr>
        <w:adjustRightInd w:val="0"/>
        <w:snapToGrid w:val="0"/>
        <w:spacing w:line="288" w:lineRule="auto"/>
        <w:ind w:firstLine="1040"/>
        <w:rPr>
          <w:rFonts w:hint="default" w:ascii="Times New Roman" w:hAnsi="Times New Roman" w:eastAsia="宋体" w:cs="Times New Roman"/>
          <w:color w:val="auto"/>
          <w:sz w:val="36"/>
          <w:szCs w:val="36"/>
        </w:rPr>
      </w:pPr>
    </w:p>
    <w:p w14:paraId="521516D1">
      <w:pPr>
        <w:pStyle w:val="16"/>
        <w:rPr>
          <w:rFonts w:hint="default" w:ascii="Times New Roman" w:hAnsi="Times New Roman" w:eastAsia="宋体"/>
          <w:color w:val="auto"/>
        </w:rPr>
      </w:pPr>
    </w:p>
    <w:p w14:paraId="6575A4C0">
      <w:pPr>
        <w:adjustRightInd w:val="0"/>
        <w:snapToGrid w:val="0"/>
        <w:spacing w:line="288" w:lineRule="auto"/>
        <w:ind w:firstLine="1040"/>
        <w:rPr>
          <w:rFonts w:hint="default" w:ascii="Times New Roman" w:hAnsi="Times New Roman" w:eastAsia="宋体" w:cs="Times New Roman"/>
          <w:color w:val="auto"/>
          <w:sz w:val="36"/>
          <w:szCs w:val="36"/>
        </w:rPr>
      </w:pPr>
    </w:p>
    <w:bookmarkEnd w:id="0"/>
    <w:p w14:paraId="6A07B44C">
      <w:pPr>
        <w:adjustRightInd w:val="0"/>
        <w:snapToGrid w:val="0"/>
        <w:spacing w:line="288" w:lineRule="auto"/>
        <w:jc w:val="center"/>
        <w:rPr>
          <w:rFonts w:hint="default" w:ascii="Times New Roman" w:hAnsi="Times New Roman" w:eastAsia="宋体" w:cs="Times New Roman"/>
          <w:color w:val="auto"/>
          <w:sz w:val="36"/>
          <w:szCs w:val="36"/>
        </w:rPr>
      </w:pPr>
      <w:r>
        <w:rPr>
          <w:rFonts w:hint="default" w:ascii="Times New Roman" w:hAnsi="Times New Roman" w:eastAsia="宋体" w:cs="Times New Roman"/>
          <w:color w:val="auto"/>
          <w:sz w:val="36"/>
          <w:szCs w:val="36"/>
        </w:rPr>
        <w:t>中华人民共和国生态环境部制</w:t>
      </w:r>
    </w:p>
    <w:p w14:paraId="7F9800CB">
      <w:pPr>
        <w:adjustRightInd w:val="0"/>
        <w:snapToGrid w:val="0"/>
        <w:spacing w:line="288" w:lineRule="auto"/>
        <w:jc w:val="both"/>
        <w:rPr>
          <w:rFonts w:hint="eastAsia" w:ascii="Times New Roman" w:hAnsi="Times New Roman" w:eastAsia="宋体" w:cs="Times New Roman"/>
          <w:color w:val="auto"/>
          <w:sz w:val="36"/>
          <w:szCs w:val="36"/>
          <w:lang w:eastAsia="zh-CN"/>
        </w:rPr>
      </w:pPr>
    </w:p>
    <w:p w14:paraId="661D85CE">
      <w:pPr>
        <w:pStyle w:val="17"/>
        <w:bidi w:val="0"/>
        <w:rPr>
          <w:rFonts w:hint="eastAsia"/>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E2CEE6E">
      <w:pPr>
        <w:rPr>
          <w:rFonts w:eastAsia="仿宋_GB2312"/>
          <w:color w:val="000000" w:themeColor="text1"/>
          <w:highlight w:val="none"/>
          <w14:textFill>
            <w14:solidFill>
              <w14:schemeClr w14:val="tx1"/>
            </w14:solidFill>
          </w14:textFill>
        </w:rPr>
      </w:pPr>
      <w:r>
        <w:rPr>
          <w:rFonts w:eastAsia="仿宋_GB2312"/>
          <w:color w:val="000000" w:themeColor="text1"/>
          <w:highlight w:val="none"/>
          <w14:textFill>
            <w14:solidFill>
              <w14:schemeClr w14:val="tx1"/>
            </w14:solidFill>
          </w14:textFill>
        </w:rPr>
        <w:drawing>
          <wp:inline distT="0" distB="0" distL="114300" distR="114300">
            <wp:extent cx="5758815" cy="8147685"/>
            <wp:effectExtent l="0" t="0" r="13335" b="5715"/>
            <wp:docPr id="225" name="图片 225" descr="登有红_漫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登有红_漫红_02"/>
                    <pic:cNvPicPr>
                      <a:picLocks noChangeAspect="1"/>
                    </pic:cNvPicPr>
                  </pic:nvPicPr>
                  <pic:blipFill>
                    <a:blip r:embed="rId12"/>
                    <a:stretch>
                      <a:fillRect/>
                    </a:stretch>
                  </pic:blipFill>
                  <pic:spPr>
                    <a:xfrm>
                      <a:off x="0" y="0"/>
                      <a:ext cx="5758815" cy="8147685"/>
                    </a:xfrm>
                    <a:prstGeom prst="rect">
                      <a:avLst/>
                    </a:prstGeom>
                  </pic:spPr>
                </pic:pic>
              </a:graphicData>
            </a:graphic>
          </wp:inline>
        </w:drawing>
      </w:r>
      <w:r>
        <w:rPr>
          <w:rFonts w:eastAsia="仿宋_GB2312"/>
          <w:color w:val="000000" w:themeColor="text1"/>
          <w:highlight w:val="none"/>
          <w14:textFill>
            <w14:solidFill>
              <w14:schemeClr w14:val="tx1"/>
            </w14:solidFill>
          </w14:textFill>
        </w:rPr>
        <w:br w:type="page"/>
      </w:r>
    </w:p>
    <w:p w14:paraId="537FB1AF">
      <w:pPr>
        <w:rPr>
          <w:rFonts w:hint="eastAsia" w:ascii="楷体_GB2312" w:eastAsia="楷体_GB2312"/>
          <w:color w:val="000000" w:themeColor="text1"/>
          <w:sz w:val="36"/>
          <w:szCs w:val="36"/>
          <w:highlight w:val="none"/>
          <w:lang w:eastAsia="zh-CN"/>
          <w14:textFill>
            <w14:solidFill>
              <w14:schemeClr w14:val="tx1"/>
            </w14:solidFill>
          </w14:textFill>
        </w:rPr>
      </w:pPr>
      <w:r>
        <w:rPr>
          <w:rFonts w:hint="eastAsia" w:ascii="楷体_GB2312" w:eastAsia="楷体_GB2312"/>
          <w:color w:val="000000" w:themeColor="text1"/>
          <w:sz w:val="36"/>
          <w:szCs w:val="36"/>
          <w:highlight w:val="none"/>
          <w:lang w:eastAsia="zh-CN"/>
          <w14:textFill>
            <w14:solidFill>
              <w14:schemeClr w14:val="tx1"/>
            </w14:solidFill>
          </w14:textFill>
        </w:rPr>
        <w:drawing>
          <wp:inline distT="0" distB="0" distL="114300" distR="114300">
            <wp:extent cx="5758815" cy="8143240"/>
            <wp:effectExtent l="0" t="0" r="13335" b="10160"/>
            <wp:docPr id="156" name="图片 156" descr="doc0022422025070814233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doc00224220250708142335_01"/>
                    <pic:cNvPicPr>
                      <a:picLocks noChangeAspect="1"/>
                    </pic:cNvPicPr>
                  </pic:nvPicPr>
                  <pic:blipFill>
                    <a:blip r:embed="rId13"/>
                    <a:stretch>
                      <a:fillRect/>
                    </a:stretch>
                  </pic:blipFill>
                  <pic:spPr>
                    <a:xfrm>
                      <a:off x="0" y="0"/>
                      <a:ext cx="5758815" cy="8143240"/>
                    </a:xfrm>
                    <a:prstGeom prst="rect">
                      <a:avLst/>
                    </a:prstGeom>
                  </pic:spPr>
                </pic:pic>
              </a:graphicData>
            </a:graphic>
          </wp:inline>
        </w:drawing>
      </w:r>
      <w:r>
        <w:rPr>
          <w:rFonts w:hint="eastAsia" w:ascii="楷体_GB2312" w:eastAsia="楷体_GB2312"/>
          <w:color w:val="000000" w:themeColor="text1"/>
          <w:sz w:val="36"/>
          <w:szCs w:val="36"/>
          <w:highlight w:val="none"/>
          <w:lang w:eastAsia="zh-CN"/>
          <w14:textFill>
            <w14:solidFill>
              <w14:schemeClr w14:val="tx1"/>
            </w14:solidFill>
          </w14:textFill>
        </w:rPr>
        <w:drawing>
          <wp:inline distT="0" distB="0" distL="114300" distR="114300">
            <wp:extent cx="5758815" cy="8143240"/>
            <wp:effectExtent l="0" t="0" r="13335" b="10160"/>
            <wp:docPr id="141" name="图片 141" descr="doc0022422025070814233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doc00224220250708142335_03"/>
                    <pic:cNvPicPr>
                      <a:picLocks noChangeAspect="1"/>
                    </pic:cNvPicPr>
                  </pic:nvPicPr>
                  <pic:blipFill>
                    <a:blip r:embed="rId14"/>
                    <a:stretch>
                      <a:fillRect/>
                    </a:stretch>
                  </pic:blipFill>
                  <pic:spPr>
                    <a:xfrm>
                      <a:off x="0" y="0"/>
                      <a:ext cx="5758815" cy="8143240"/>
                    </a:xfrm>
                    <a:prstGeom prst="rect">
                      <a:avLst/>
                    </a:prstGeom>
                  </pic:spPr>
                </pic:pic>
              </a:graphicData>
            </a:graphic>
          </wp:inline>
        </w:drawing>
      </w:r>
      <w:r>
        <w:rPr>
          <w:rFonts w:hint="eastAsia" w:ascii="楷体_GB2312" w:eastAsia="楷体_GB2312"/>
          <w:color w:val="000000" w:themeColor="text1"/>
          <w:sz w:val="36"/>
          <w:szCs w:val="36"/>
          <w:highlight w:val="none"/>
          <w:lang w:eastAsia="zh-CN"/>
          <w14:textFill>
            <w14:solidFill>
              <w14:schemeClr w14:val="tx1"/>
            </w14:solidFill>
          </w14:textFill>
        </w:rPr>
        <w:drawing>
          <wp:inline distT="0" distB="0" distL="114300" distR="114300">
            <wp:extent cx="5758815" cy="8143240"/>
            <wp:effectExtent l="0" t="0" r="13335" b="10160"/>
            <wp:docPr id="139" name="图片 139" descr="doc00224220250708142335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doc00224220250708142335_04"/>
                    <pic:cNvPicPr>
                      <a:picLocks noChangeAspect="1"/>
                    </pic:cNvPicPr>
                  </pic:nvPicPr>
                  <pic:blipFill>
                    <a:blip r:embed="rId15"/>
                    <a:stretch>
                      <a:fillRect/>
                    </a:stretch>
                  </pic:blipFill>
                  <pic:spPr>
                    <a:xfrm>
                      <a:off x="0" y="0"/>
                      <a:ext cx="5758815" cy="8143240"/>
                    </a:xfrm>
                    <a:prstGeom prst="rect">
                      <a:avLst/>
                    </a:prstGeom>
                  </pic:spPr>
                </pic:pic>
              </a:graphicData>
            </a:graphic>
          </wp:inline>
        </w:drawing>
      </w:r>
      <w:r>
        <w:rPr>
          <w:rFonts w:hint="eastAsia" w:ascii="楷体_GB2312" w:eastAsia="楷体_GB2312"/>
          <w:color w:val="000000" w:themeColor="text1"/>
          <w:sz w:val="36"/>
          <w:szCs w:val="36"/>
          <w:highlight w:val="none"/>
          <w:lang w:eastAsia="zh-CN"/>
          <w14:textFill>
            <w14:solidFill>
              <w14:schemeClr w14:val="tx1"/>
            </w14:solidFill>
          </w14:textFill>
        </w:rPr>
        <w:drawing>
          <wp:inline distT="0" distB="0" distL="114300" distR="114300">
            <wp:extent cx="5758815" cy="8143240"/>
            <wp:effectExtent l="0" t="0" r="13335" b="10160"/>
            <wp:docPr id="171" name="图片 171" descr="doc00224220250708142335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doc00224220250708142335_05"/>
                    <pic:cNvPicPr>
                      <a:picLocks noChangeAspect="1"/>
                    </pic:cNvPicPr>
                  </pic:nvPicPr>
                  <pic:blipFill>
                    <a:blip r:embed="rId16"/>
                    <a:stretch>
                      <a:fillRect/>
                    </a:stretch>
                  </pic:blipFill>
                  <pic:spPr>
                    <a:xfrm>
                      <a:off x="0" y="0"/>
                      <a:ext cx="5758815" cy="8143240"/>
                    </a:xfrm>
                    <a:prstGeom prst="rect">
                      <a:avLst/>
                    </a:prstGeom>
                  </pic:spPr>
                </pic:pic>
              </a:graphicData>
            </a:graphic>
          </wp:inline>
        </w:drawing>
      </w:r>
      <w:r>
        <w:rPr>
          <w:rFonts w:hint="eastAsia" w:ascii="楷体_GB2312" w:eastAsia="楷体_GB2312"/>
          <w:color w:val="000000" w:themeColor="text1"/>
          <w:sz w:val="36"/>
          <w:szCs w:val="36"/>
          <w:highlight w:val="none"/>
          <w:lang w:eastAsia="zh-CN"/>
          <w14:textFill>
            <w14:solidFill>
              <w14:schemeClr w14:val="tx1"/>
            </w14:solidFill>
          </w14:textFill>
        </w:rPr>
        <w:drawing>
          <wp:inline distT="0" distB="0" distL="114300" distR="114300">
            <wp:extent cx="5758815" cy="8143240"/>
            <wp:effectExtent l="0" t="0" r="13335" b="10160"/>
            <wp:docPr id="214" name="图片 214" descr="doc00224220250708142335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doc00224220250708142335_06"/>
                    <pic:cNvPicPr>
                      <a:picLocks noChangeAspect="1"/>
                    </pic:cNvPicPr>
                  </pic:nvPicPr>
                  <pic:blipFill>
                    <a:blip r:embed="rId17"/>
                    <a:stretch>
                      <a:fillRect/>
                    </a:stretch>
                  </pic:blipFill>
                  <pic:spPr>
                    <a:xfrm>
                      <a:off x="0" y="0"/>
                      <a:ext cx="5758815" cy="8143240"/>
                    </a:xfrm>
                    <a:prstGeom prst="rect">
                      <a:avLst/>
                    </a:prstGeom>
                  </pic:spPr>
                </pic:pic>
              </a:graphicData>
            </a:graphic>
          </wp:inline>
        </w:drawing>
      </w:r>
      <w:r>
        <w:rPr>
          <w:rFonts w:hint="eastAsia" w:ascii="楷体_GB2312" w:eastAsia="楷体_GB2312"/>
          <w:color w:val="000000" w:themeColor="text1"/>
          <w:sz w:val="36"/>
          <w:szCs w:val="36"/>
          <w:highlight w:val="none"/>
          <w:lang w:eastAsia="zh-CN"/>
          <w14:textFill>
            <w14:solidFill>
              <w14:schemeClr w14:val="tx1"/>
            </w14:solidFill>
          </w14:textFill>
        </w:rPr>
        <w:drawing>
          <wp:inline distT="0" distB="0" distL="114300" distR="114300">
            <wp:extent cx="5758815" cy="8143240"/>
            <wp:effectExtent l="0" t="0" r="13335" b="10160"/>
            <wp:docPr id="216" name="图片 216" descr="doc00224220250708142335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doc00224220250708142335_07"/>
                    <pic:cNvPicPr>
                      <a:picLocks noChangeAspect="1"/>
                    </pic:cNvPicPr>
                  </pic:nvPicPr>
                  <pic:blipFill>
                    <a:blip r:embed="rId18"/>
                    <a:stretch>
                      <a:fillRect/>
                    </a:stretch>
                  </pic:blipFill>
                  <pic:spPr>
                    <a:xfrm>
                      <a:off x="0" y="0"/>
                      <a:ext cx="5758815" cy="8143240"/>
                    </a:xfrm>
                    <a:prstGeom prst="rect">
                      <a:avLst/>
                    </a:prstGeom>
                  </pic:spPr>
                </pic:pic>
              </a:graphicData>
            </a:graphic>
          </wp:inline>
        </w:drawing>
      </w:r>
      <w:r>
        <w:rPr>
          <w:rFonts w:hint="eastAsia" w:ascii="楷体_GB2312" w:eastAsia="楷体_GB2312"/>
          <w:color w:val="000000" w:themeColor="text1"/>
          <w:sz w:val="36"/>
          <w:szCs w:val="36"/>
          <w:highlight w:val="none"/>
          <w:lang w:eastAsia="zh-CN"/>
          <w14:textFill>
            <w14:solidFill>
              <w14:schemeClr w14:val="tx1"/>
            </w14:solidFill>
          </w14:textFill>
        </w:rPr>
        <w:drawing>
          <wp:inline distT="0" distB="0" distL="114300" distR="114300">
            <wp:extent cx="5758815" cy="8143240"/>
            <wp:effectExtent l="0" t="0" r="13335" b="10160"/>
            <wp:docPr id="217" name="图片 217" descr="doc00224220250708142335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doc00224220250708142335_08"/>
                    <pic:cNvPicPr>
                      <a:picLocks noChangeAspect="1"/>
                    </pic:cNvPicPr>
                  </pic:nvPicPr>
                  <pic:blipFill>
                    <a:blip r:embed="rId19"/>
                    <a:stretch>
                      <a:fillRect/>
                    </a:stretch>
                  </pic:blipFill>
                  <pic:spPr>
                    <a:xfrm>
                      <a:off x="0" y="0"/>
                      <a:ext cx="5758815" cy="8143240"/>
                    </a:xfrm>
                    <a:prstGeom prst="rect">
                      <a:avLst/>
                    </a:prstGeom>
                  </pic:spPr>
                </pic:pic>
              </a:graphicData>
            </a:graphic>
          </wp:inline>
        </w:drawing>
      </w:r>
    </w:p>
    <w:p w14:paraId="2771A83B">
      <w:pPr>
        <w:rPr>
          <w:rFonts w:ascii="宋体" w:hAnsi="宋体" w:eastAsia="宋体" w:cs="Times New Roman"/>
          <w:kern w:val="2"/>
          <w:sz w:val="21"/>
          <w:szCs w:val="24"/>
          <w:lang w:val="en-US" w:eastAsia="zh-CN" w:bidi="ar-SA"/>
        </w:rPr>
        <w:sectPr>
          <w:headerReference r:id="rId4" w:type="default"/>
          <w:footerReference r:id="rId5" w:type="default"/>
          <w:pgSz w:w="11905" w:h="16838"/>
          <w:pgMar w:top="1417" w:right="1417" w:bottom="1417" w:left="1417" w:header="851" w:footer="1077" w:gutter="0"/>
          <w:pgBorders>
            <w:top w:val="none" w:sz="0" w:space="0"/>
            <w:left w:val="none" w:sz="0" w:space="0"/>
            <w:bottom w:val="none" w:sz="0" w:space="0"/>
            <w:right w:val="none" w:sz="0" w:space="0"/>
          </w:pgBorders>
          <w:pgNumType w:fmt="decimal" w:start="1"/>
          <w:cols w:space="0" w:num="1"/>
          <w:docGrid w:linePitch="312" w:charSpace="0"/>
        </w:sectPr>
      </w:pPr>
      <w:r>
        <w:rPr>
          <w:rFonts w:hint="eastAsia" w:ascii="楷体_GB2312" w:eastAsia="楷体_GB2312"/>
          <w:color w:val="000000" w:themeColor="text1"/>
          <w:sz w:val="36"/>
          <w:szCs w:val="36"/>
          <w:highlight w:val="none"/>
          <w:lang w:eastAsia="zh-CN"/>
          <w14:textFill>
            <w14:solidFill>
              <w14:schemeClr w14:val="tx1"/>
            </w14:solidFill>
          </w14:textFill>
        </w:rPr>
        <w:br w:type="page"/>
      </w:r>
      <w:bookmarkStart w:id="1" w:name="_Toc19820"/>
      <w:bookmarkStart w:id="2" w:name="_Toc26120"/>
      <w:bookmarkStart w:id="3" w:name="_Toc3548"/>
      <w:bookmarkStart w:id="4" w:name="_Toc15935"/>
      <w:sdt>
        <w:sdtPr>
          <w:rPr>
            <w:rFonts w:ascii="宋体" w:hAnsi="宋体" w:eastAsia="宋体" w:cs="Times New Roman"/>
            <w:kern w:val="2"/>
            <w:sz w:val="21"/>
            <w:szCs w:val="24"/>
            <w:lang w:val="en-US" w:eastAsia="zh-CN" w:bidi="ar-SA"/>
          </w:rPr>
          <w:id w:val="147470745"/>
          <w15:color w:val="DBDBDB"/>
          <w:docPartObj>
            <w:docPartGallery w:val="Table of Contents"/>
            <w:docPartUnique/>
          </w:docPartObj>
        </w:sdtPr>
        <w:sdtEndPr>
          <w:rPr>
            <w:rFonts w:ascii="宋体" w:hAnsi="宋体" w:eastAsia="宋体" w:cs="Times New Roman"/>
            <w:kern w:val="2"/>
            <w:sz w:val="21"/>
            <w:szCs w:val="24"/>
            <w:lang w:val="en-US" w:eastAsia="zh-CN" w:bidi="ar-SA"/>
          </w:rPr>
        </w:sdtEndPr>
        <w:sdtContent/>
      </w:sdt>
    </w:p>
    <w:p w14:paraId="6EF0D3BE">
      <w:pPr>
        <w:pStyle w:val="2"/>
        <w:tabs>
          <w:tab w:val="left" w:pos="0"/>
          <w:tab w:val="clear" w:pos="420"/>
        </w:tabs>
        <w:bidi w:val="0"/>
        <w:spacing w:before="0" w:after="0" w:line="360" w:lineRule="auto"/>
        <w:ind w:left="432" w:leftChars="0" w:hanging="432" w:firstLineChars="0"/>
        <w:rPr>
          <w:rFonts w:ascii="Times New Roman" w:hAnsi="Times New Roman" w:eastAsia="宋体" w:cs="Times New Roman"/>
          <w:b/>
          <w:color w:val="auto"/>
          <w:highlight w:val="none"/>
        </w:rPr>
      </w:pPr>
      <w:bookmarkStart w:id="5" w:name="_Toc8499"/>
      <w:r>
        <w:rPr>
          <w:rFonts w:hint="eastAsia" w:ascii="Times New Roman" w:hAnsi="Times New Roman" w:eastAsia="宋体" w:cs="Times New Roman"/>
          <w:b/>
          <w:color w:val="auto"/>
          <w:highlight w:val="none"/>
        </w:rPr>
        <w:t>建设项目基本情况</w:t>
      </w:r>
      <w:bookmarkEnd w:id="1"/>
      <w:bookmarkEnd w:id="2"/>
      <w:bookmarkEnd w:id="3"/>
      <w:bookmarkEnd w:id="4"/>
      <w:bookmarkEnd w:id="5"/>
    </w:p>
    <w:tbl>
      <w:tblPr>
        <w:tblStyle w:val="33"/>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31"/>
        <w:gridCol w:w="2808"/>
        <w:gridCol w:w="1711"/>
        <w:gridCol w:w="2720"/>
      </w:tblGrid>
      <w:tr w14:paraId="63F58F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1" w:type="dxa"/>
            <w:tcMar>
              <w:top w:w="16" w:type="dxa"/>
              <w:left w:w="16" w:type="dxa"/>
              <w:right w:w="16" w:type="dxa"/>
            </w:tcMar>
            <w:vAlign w:val="center"/>
          </w:tcPr>
          <w:p w14:paraId="35E36B3C">
            <w:pPr>
              <w:adjustRightInd w:val="0"/>
              <w:snapToGrid w:val="0"/>
              <w:jc w:val="center"/>
              <w:rPr>
                <w:color w:val="auto"/>
                <w:highlight w:val="none"/>
              </w:rPr>
            </w:pPr>
            <w:r>
              <w:rPr>
                <w:rFonts w:hint="eastAsia"/>
                <w:color w:val="auto"/>
                <w:highlight w:val="none"/>
              </w:rPr>
              <w:t>项目名称</w:t>
            </w:r>
          </w:p>
        </w:tc>
        <w:tc>
          <w:tcPr>
            <w:tcW w:w="7239" w:type="dxa"/>
            <w:gridSpan w:val="3"/>
            <w:vAlign w:val="center"/>
          </w:tcPr>
          <w:p w14:paraId="03E97542">
            <w:pPr>
              <w:adjustRightInd w:val="0"/>
              <w:snapToGrid w:val="0"/>
              <w:jc w:val="center"/>
              <w:rPr>
                <w:rFonts w:hint="default" w:eastAsia="宋体"/>
                <w:color w:val="auto"/>
                <w:szCs w:val="21"/>
                <w:highlight w:val="none"/>
                <w:lang w:val="en-US" w:eastAsia="zh-CN"/>
              </w:rPr>
            </w:pPr>
            <w:r>
              <w:rPr>
                <w:rFonts w:hint="eastAsia"/>
                <w:color w:val="auto"/>
                <w:szCs w:val="21"/>
                <w:highlight w:val="none"/>
                <w:lang w:eastAsia="zh-CN"/>
              </w:rPr>
              <w:t>福州奇联汽车零部件有限公司年加工汽车座椅骨架10万套项目</w:t>
            </w:r>
          </w:p>
        </w:tc>
      </w:tr>
      <w:tr w14:paraId="4718FE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1" w:type="dxa"/>
            <w:tcMar>
              <w:top w:w="16" w:type="dxa"/>
              <w:left w:w="16" w:type="dxa"/>
              <w:right w:w="16" w:type="dxa"/>
            </w:tcMar>
            <w:vAlign w:val="center"/>
          </w:tcPr>
          <w:p w14:paraId="1C3AFF2F">
            <w:pPr>
              <w:adjustRightInd w:val="0"/>
              <w:snapToGrid w:val="0"/>
              <w:jc w:val="center"/>
              <w:rPr>
                <w:color w:val="auto"/>
                <w:szCs w:val="21"/>
                <w:highlight w:val="none"/>
              </w:rPr>
            </w:pPr>
            <w:r>
              <w:rPr>
                <w:color w:val="auto"/>
                <w:szCs w:val="21"/>
                <w:highlight w:val="none"/>
              </w:rPr>
              <w:t>项目代码</w:t>
            </w:r>
          </w:p>
        </w:tc>
        <w:tc>
          <w:tcPr>
            <w:tcW w:w="7239" w:type="dxa"/>
            <w:gridSpan w:val="3"/>
            <w:vAlign w:val="center"/>
          </w:tcPr>
          <w:p w14:paraId="701E2CEB">
            <w:pPr>
              <w:adjustRightInd w:val="0"/>
              <w:snapToGrid w:val="0"/>
              <w:jc w:val="center"/>
              <w:rPr>
                <w:rFonts w:hint="default" w:eastAsia="宋体"/>
                <w:color w:val="auto"/>
                <w:szCs w:val="21"/>
                <w:highlight w:val="none"/>
                <w:lang w:val="en-US" w:eastAsia="zh-CN"/>
              </w:rPr>
            </w:pPr>
            <w:r>
              <w:rPr>
                <w:rFonts w:hint="default" w:eastAsia="宋体"/>
                <w:color w:val="auto"/>
                <w:szCs w:val="21"/>
                <w:highlight w:val="none"/>
                <w:shd w:val="clear"/>
                <w:lang w:val="en-US" w:eastAsia="zh-CN"/>
              </w:rPr>
              <w:t>2507-350181-04-01-203769</w:t>
            </w:r>
          </w:p>
        </w:tc>
      </w:tr>
      <w:tr w14:paraId="14879D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1" w:type="dxa"/>
            <w:tcMar>
              <w:top w:w="16" w:type="dxa"/>
              <w:left w:w="16" w:type="dxa"/>
              <w:right w:w="16" w:type="dxa"/>
            </w:tcMar>
            <w:vAlign w:val="center"/>
          </w:tcPr>
          <w:p w14:paraId="55352E80">
            <w:pPr>
              <w:adjustRightInd w:val="0"/>
              <w:snapToGrid w:val="0"/>
              <w:jc w:val="center"/>
              <w:rPr>
                <w:color w:val="auto"/>
                <w:szCs w:val="21"/>
                <w:highlight w:val="none"/>
              </w:rPr>
            </w:pPr>
            <w:r>
              <w:rPr>
                <w:color w:val="auto"/>
                <w:szCs w:val="21"/>
                <w:highlight w:val="none"/>
              </w:rPr>
              <w:t>建设单位联系人</w:t>
            </w:r>
          </w:p>
        </w:tc>
        <w:tc>
          <w:tcPr>
            <w:tcW w:w="2808" w:type="dxa"/>
            <w:vAlign w:val="center"/>
          </w:tcPr>
          <w:p w14:paraId="239DE1E3">
            <w:pPr>
              <w:adjustRightInd w:val="0"/>
              <w:snapToGrid w:val="0"/>
              <w:jc w:val="center"/>
              <w:rPr>
                <w:rFonts w:hint="default" w:eastAsia="宋体"/>
                <w:color w:val="auto"/>
                <w:szCs w:val="21"/>
                <w:highlight w:val="none"/>
                <w:lang w:val="en-US" w:eastAsia="zh-CN"/>
              </w:rPr>
            </w:pPr>
            <w:r>
              <w:rPr>
                <w:rFonts w:hint="default" w:eastAsia="宋体"/>
                <w:color w:val="auto"/>
                <w:szCs w:val="21"/>
                <w:highlight w:val="none"/>
                <w:lang w:val="en-US" w:eastAsia="zh-CN"/>
              </w:rPr>
              <w:t>陈</w:t>
            </w:r>
            <w:r>
              <w:rPr>
                <w:rFonts w:hint="eastAsia"/>
                <w:color w:val="auto"/>
                <w:szCs w:val="21"/>
                <w:highlight w:val="none"/>
                <w:lang w:val="en-US" w:eastAsia="zh-CN"/>
              </w:rPr>
              <w:t>**</w:t>
            </w:r>
          </w:p>
        </w:tc>
        <w:tc>
          <w:tcPr>
            <w:tcW w:w="1711" w:type="dxa"/>
            <w:vAlign w:val="center"/>
          </w:tcPr>
          <w:p w14:paraId="3E59A575">
            <w:pPr>
              <w:adjustRightInd w:val="0"/>
              <w:snapToGrid w:val="0"/>
              <w:jc w:val="center"/>
              <w:rPr>
                <w:color w:val="auto"/>
                <w:szCs w:val="21"/>
                <w:highlight w:val="none"/>
              </w:rPr>
            </w:pPr>
            <w:r>
              <w:rPr>
                <w:color w:val="auto"/>
                <w:szCs w:val="21"/>
                <w:highlight w:val="none"/>
              </w:rPr>
              <w:t>联系方式</w:t>
            </w:r>
          </w:p>
        </w:tc>
        <w:tc>
          <w:tcPr>
            <w:tcW w:w="2720" w:type="dxa"/>
            <w:vAlign w:val="center"/>
          </w:tcPr>
          <w:p w14:paraId="034596D4">
            <w:pPr>
              <w:adjustRightInd w:val="0"/>
              <w:snapToGrid w:val="0"/>
              <w:jc w:val="center"/>
              <w:rPr>
                <w:color w:val="auto"/>
                <w:szCs w:val="21"/>
                <w:highlight w:val="none"/>
              </w:rPr>
            </w:pPr>
            <w:r>
              <w:rPr>
                <w:rFonts w:hint="eastAsia"/>
                <w:color w:val="auto"/>
                <w:szCs w:val="21"/>
                <w:highlight w:val="none"/>
                <w:shd w:val="clear"/>
              </w:rPr>
              <w:t>137</w:t>
            </w:r>
            <w:r>
              <w:rPr>
                <w:rFonts w:hint="eastAsia"/>
                <w:color w:val="auto"/>
                <w:szCs w:val="21"/>
                <w:highlight w:val="none"/>
                <w:shd w:val="clear"/>
                <w:lang w:val="en-US" w:eastAsia="zh-CN"/>
              </w:rPr>
              <w:t>*****</w:t>
            </w:r>
            <w:r>
              <w:rPr>
                <w:rFonts w:hint="eastAsia"/>
                <w:color w:val="auto"/>
                <w:szCs w:val="21"/>
                <w:highlight w:val="none"/>
                <w:shd w:val="clear"/>
              </w:rPr>
              <w:t>070</w:t>
            </w:r>
          </w:p>
        </w:tc>
      </w:tr>
      <w:tr w14:paraId="657E56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1" w:type="dxa"/>
            <w:tcMar>
              <w:top w:w="16" w:type="dxa"/>
              <w:left w:w="16" w:type="dxa"/>
              <w:right w:w="16" w:type="dxa"/>
            </w:tcMar>
            <w:vAlign w:val="center"/>
          </w:tcPr>
          <w:p w14:paraId="3A30E608">
            <w:pPr>
              <w:adjustRightInd w:val="0"/>
              <w:snapToGrid w:val="0"/>
              <w:jc w:val="center"/>
              <w:rPr>
                <w:color w:val="auto"/>
                <w:szCs w:val="21"/>
                <w:highlight w:val="none"/>
              </w:rPr>
            </w:pPr>
            <w:r>
              <w:rPr>
                <w:color w:val="auto"/>
                <w:szCs w:val="21"/>
                <w:highlight w:val="none"/>
              </w:rPr>
              <w:t>建设地点</w:t>
            </w:r>
          </w:p>
        </w:tc>
        <w:tc>
          <w:tcPr>
            <w:tcW w:w="7239" w:type="dxa"/>
            <w:gridSpan w:val="3"/>
            <w:vAlign w:val="center"/>
          </w:tcPr>
          <w:p w14:paraId="2BBF1204">
            <w:pPr>
              <w:adjustRightInd w:val="0"/>
              <w:snapToGrid w:val="0"/>
              <w:jc w:val="center"/>
              <w:rPr>
                <w:rFonts w:hint="default"/>
                <w:color w:val="auto"/>
                <w:szCs w:val="21"/>
                <w:highlight w:val="none"/>
                <w:lang w:val="en-US"/>
              </w:rPr>
            </w:pPr>
            <w:r>
              <w:rPr>
                <w:rFonts w:hint="eastAsia"/>
                <w:color w:val="auto"/>
                <w:szCs w:val="21"/>
                <w:highlight w:val="none"/>
                <w:lang w:eastAsia="zh-CN"/>
              </w:rPr>
              <w:t>福建省</w:t>
            </w:r>
            <w:r>
              <w:rPr>
                <w:rFonts w:hint="eastAsia"/>
                <w:color w:val="auto"/>
                <w:szCs w:val="21"/>
                <w:highlight w:val="none"/>
                <w:lang w:val="en-US" w:eastAsia="zh-CN"/>
              </w:rPr>
              <w:t>福州市</w:t>
            </w:r>
            <w:r>
              <w:rPr>
                <w:rFonts w:hint="eastAsia"/>
                <w:color w:val="auto"/>
                <w:szCs w:val="21"/>
                <w:highlight w:val="none"/>
                <w:lang w:eastAsia="zh-CN"/>
              </w:rPr>
              <w:t>福清市镜洋镇过洋39号</w:t>
            </w:r>
            <w:r>
              <w:rPr>
                <w:rFonts w:hint="eastAsia"/>
                <w:color w:val="auto"/>
                <w:lang w:val="en-US" w:eastAsia="zh-CN"/>
              </w:rPr>
              <w:t>（租赁福州清山压铸有限公司2#厂房、3#厂房）</w:t>
            </w:r>
          </w:p>
        </w:tc>
      </w:tr>
      <w:tr w14:paraId="1EBAED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1" w:type="dxa"/>
            <w:tcMar>
              <w:top w:w="16" w:type="dxa"/>
              <w:left w:w="16" w:type="dxa"/>
              <w:right w:w="16" w:type="dxa"/>
            </w:tcMar>
            <w:vAlign w:val="center"/>
          </w:tcPr>
          <w:p w14:paraId="627D86BE">
            <w:pPr>
              <w:adjustRightInd w:val="0"/>
              <w:snapToGrid w:val="0"/>
              <w:jc w:val="center"/>
              <w:rPr>
                <w:color w:val="auto"/>
                <w:szCs w:val="21"/>
                <w:highlight w:val="none"/>
              </w:rPr>
            </w:pPr>
            <w:r>
              <w:rPr>
                <w:color w:val="auto"/>
                <w:szCs w:val="21"/>
                <w:highlight w:val="none"/>
              </w:rPr>
              <w:t>地理坐标</w:t>
            </w:r>
          </w:p>
        </w:tc>
        <w:tc>
          <w:tcPr>
            <w:tcW w:w="7239" w:type="dxa"/>
            <w:gridSpan w:val="3"/>
            <w:vAlign w:val="center"/>
          </w:tcPr>
          <w:p w14:paraId="7A571539">
            <w:pPr>
              <w:jc w:val="center"/>
              <w:rPr>
                <w:color w:val="auto"/>
                <w:szCs w:val="21"/>
                <w:highlight w:val="none"/>
              </w:rPr>
            </w:pPr>
            <w:r>
              <w:rPr>
                <w:color w:val="auto"/>
                <w:szCs w:val="21"/>
                <w:highlight w:val="none"/>
              </w:rPr>
              <w:t>（</w:t>
            </w:r>
            <w:r>
              <w:rPr>
                <w:rFonts w:hint="eastAsia"/>
                <w:color w:val="auto"/>
                <w:szCs w:val="21"/>
                <w:highlight w:val="none"/>
                <w:u w:val="single"/>
                <w:lang w:val="en-US" w:eastAsia="zh-CN"/>
              </w:rPr>
              <w:t>119</w:t>
            </w:r>
            <w:r>
              <w:rPr>
                <w:color w:val="auto"/>
                <w:szCs w:val="21"/>
                <w:highlight w:val="none"/>
              </w:rPr>
              <w:t>度</w:t>
            </w:r>
            <w:r>
              <w:rPr>
                <w:rFonts w:hint="eastAsia"/>
                <w:color w:val="auto"/>
                <w:szCs w:val="21"/>
                <w:highlight w:val="none"/>
                <w:lang w:val="en-US" w:eastAsia="zh-CN"/>
              </w:rPr>
              <w:t>1</w:t>
            </w:r>
            <w:r>
              <w:rPr>
                <w:rFonts w:hint="eastAsia"/>
                <w:color w:val="auto"/>
                <w:szCs w:val="21"/>
                <w:highlight w:val="none"/>
                <w:u w:val="single"/>
                <w:lang w:val="en-US" w:eastAsia="zh-CN"/>
              </w:rPr>
              <w:t>7</w:t>
            </w:r>
            <w:r>
              <w:rPr>
                <w:color w:val="auto"/>
                <w:szCs w:val="21"/>
                <w:highlight w:val="none"/>
              </w:rPr>
              <w:t>分</w:t>
            </w:r>
            <w:r>
              <w:rPr>
                <w:rFonts w:hint="eastAsia"/>
                <w:color w:val="auto"/>
                <w:szCs w:val="21"/>
                <w:highlight w:val="none"/>
                <w:u w:val="single"/>
                <w:lang w:val="en-US" w:eastAsia="zh-CN"/>
              </w:rPr>
              <w:t>36.9942</w:t>
            </w:r>
            <w:r>
              <w:rPr>
                <w:color w:val="auto"/>
                <w:szCs w:val="21"/>
                <w:highlight w:val="none"/>
              </w:rPr>
              <w:t>秒，</w:t>
            </w:r>
            <w:r>
              <w:rPr>
                <w:rFonts w:hint="eastAsia"/>
                <w:color w:val="auto"/>
                <w:szCs w:val="21"/>
                <w:highlight w:val="none"/>
                <w:u w:val="single"/>
                <w:lang w:val="en-US" w:eastAsia="zh-CN"/>
              </w:rPr>
              <w:t>25</w:t>
            </w:r>
            <w:r>
              <w:rPr>
                <w:color w:val="auto"/>
                <w:szCs w:val="21"/>
                <w:highlight w:val="none"/>
              </w:rPr>
              <w:t>度</w:t>
            </w:r>
            <w:r>
              <w:rPr>
                <w:rFonts w:hint="eastAsia"/>
                <w:color w:val="auto"/>
                <w:szCs w:val="21"/>
                <w:highlight w:val="none"/>
                <w:lang w:val="en-US" w:eastAsia="zh-CN"/>
              </w:rPr>
              <w:t>4</w:t>
            </w:r>
            <w:r>
              <w:rPr>
                <w:rFonts w:hint="eastAsia"/>
                <w:color w:val="auto"/>
                <w:szCs w:val="21"/>
                <w:highlight w:val="none"/>
                <w:u w:val="single"/>
                <w:lang w:val="en-US" w:eastAsia="zh-CN"/>
              </w:rPr>
              <w:t>8</w:t>
            </w:r>
            <w:r>
              <w:rPr>
                <w:color w:val="auto"/>
                <w:szCs w:val="21"/>
                <w:highlight w:val="none"/>
              </w:rPr>
              <w:t>分</w:t>
            </w:r>
            <w:r>
              <w:rPr>
                <w:rFonts w:hint="eastAsia"/>
                <w:color w:val="auto"/>
                <w:szCs w:val="21"/>
                <w:highlight w:val="none"/>
                <w:u w:val="single"/>
                <w:lang w:val="en-US" w:eastAsia="zh-CN"/>
              </w:rPr>
              <w:t>23.2897</w:t>
            </w:r>
            <w:r>
              <w:rPr>
                <w:color w:val="auto"/>
                <w:szCs w:val="21"/>
                <w:highlight w:val="none"/>
              </w:rPr>
              <w:t>秒）</w:t>
            </w:r>
          </w:p>
        </w:tc>
      </w:tr>
      <w:tr w14:paraId="67C2D9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93" w:hRule="atLeast"/>
          <w:jc w:val="center"/>
        </w:trPr>
        <w:tc>
          <w:tcPr>
            <w:tcW w:w="1631" w:type="dxa"/>
            <w:tcMar>
              <w:top w:w="16" w:type="dxa"/>
              <w:left w:w="16" w:type="dxa"/>
              <w:right w:w="16" w:type="dxa"/>
            </w:tcMar>
            <w:vAlign w:val="center"/>
          </w:tcPr>
          <w:p w14:paraId="3E41BCF3">
            <w:pPr>
              <w:adjustRightInd w:val="0"/>
              <w:snapToGrid w:val="0"/>
              <w:jc w:val="center"/>
              <w:rPr>
                <w:color w:val="auto"/>
                <w:szCs w:val="21"/>
                <w:highlight w:val="none"/>
              </w:rPr>
            </w:pPr>
            <w:r>
              <w:rPr>
                <w:color w:val="auto"/>
                <w:szCs w:val="21"/>
                <w:highlight w:val="none"/>
              </w:rPr>
              <w:t>国民经济</w:t>
            </w:r>
          </w:p>
          <w:p w14:paraId="7EC46A01">
            <w:pPr>
              <w:adjustRightInd w:val="0"/>
              <w:snapToGrid w:val="0"/>
              <w:jc w:val="center"/>
              <w:rPr>
                <w:color w:val="auto"/>
                <w:szCs w:val="21"/>
                <w:highlight w:val="none"/>
              </w:rPr>
            </w:pPr>
            <w:r>
              <w:rPr>
                <w:color w:val="auto"/>
                <w:szCs w:val="21"/>
                <w:highlight w:val="none"/>
              </w:rPr>
              <w:t>行业类别</w:t>
            </w:r>
          </w:p>
        </w:tc>
        <w:tc>
          <w:tcPr>
            <w:tcW w:w="2808" w:type="dxa"/>
            <w:vAlign w:val="center"/>
          </w:tcPr>
          <w:p w14:paraId="3DD422F4">
            <w:pPr>
              <w:pStyle w:val="44"/>
              <w:spacing w:line="240" w:lineRule="auto"/>
              <w:ind w:firstLine="0" w:firstLineChars="0"/>
              <w:jc w:val="center"/>
              <w:rPr>
                <w:color w:val="auto"/>
                <w:sz w:val="21"/>
                <w:szCs w:val="21"/>
                <w:highlight w:val="none"/>
              </w:rPr>
            </w:pPr>
            <w:r>
              <w:rPr>
                <w:rFonts w:hint="eastAsia"/>
                <w:color w:val="auto"/>
                <w:sz w:val="21"/>
                <w:szCs w:val="21"/>
                <w:highlight w:val="none"/>
              </w:rPr>
              <w:t>C3670汽车零部件及配件制造</w:t>
            </w:r>
          </w:p>
        </w:tc>
        <w:tc>
          <w:tcPr>
            <w:tcW w:w="1711" w:type="dxa"/>
            <w:vAlign w:val="center"/>
          </w:tcPr>
          <w:p w14:paraId="386372C4">
            <w:pPr>
              <w:adjustRightInd w:val="0"/>
              <w:snapToGrid w:val="0"/>
              <w:jc w:val="center"/>
              <w:rPr>
                <w:color w:val="auto"/>
                <w:szCs w:val="21"/>
                <w:highlight w:val="none"/>
              </w:rPr>
            </w:pPr>
            <w:bookmarkStart w:id="6" w:name="_Hlk49843745"/>
            <w:r>
              <w:rPr>
                <w:color w:val="auto"/>
                <w:szCs w:val="21"/>
                <w:highlight w:val="none"/>
              </w:rPr>
              <w:t>建设项目</w:t>
            </w:r>
          </w:p>
          <w:p w14:paraId="5F20E5DC">
            <w:pPr>
              <w:adjustRightInd w:val="0"/>
              <w:snapToGrid w:val="0"/>
              <w:jc w:val="center"/>
              <w:rPr>
                <w:color w:val="auto"/>
                <w:szCs w:val="21"/>
                <w:highlight w:val="none"/>
              </w:rPr>
            </w:pPr>
            <w:r>
              <w:rPr>
                <w:color w:val="auto"/>
                <w:szCs w:val="21"/>
                <w:highlight w:val="none"/>
              </w:rPr>
              <w:t>行业类别</w:t>
            </w:r>
            <w:bookmarkEnd w:id="6"/>
          </w:p>
        </w:tc>
        <w:tc>
          <w:tcPr>
            <w:tcW w:w="2720" w:type="dxa"/>
            <w:vAlign w:val="center"/>
          </w:tcPr>
          <w:p w14:paraId="126DD9AB">
            <w:pPr>
              <w:pStyle w:val="44"/>
              <w:spacing w:line="240" w:lineRule="auto"/>
              <w:ind w:firstLine="0" w:firstLineChars="0"/>
              <w:rPr>
                <w:rFonts w:hint="default"/>
                <w:color w:val="auto"/>
                <w:sz w:val="21"/>
                <w:szCs w:val="21"/>
                <w:highlight w:val="none"/>
                <w:lang w:val="en-US"/>
              </w:rPr>
            </w:pPr>
            <w:r>
              <w:rPr>
                <w:rFonts w:hint="default"/>
                <w:color w:val="auto"/>
                <w:sz w:val="21"/>
                <w:szCs w:val="21"/>
                <w:highlight w:val="none"/>
                <w:lang w:val="en-US"/>
              </w:rPr>
              <w:t>三十三、汽车制造业36——71、汽车零部件及配件制造367</w:t>
            </w:r>
          </w:p>
        </w:tc>
      </w:tr>
      <w:tr w14:paraId="4085C2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31" w:type="dxa"/>
            <w:tcMar>
              <w:top w:w="16" w:type="dxa"/>
              <w:left w:w="16" w:type="dxa"/>
              <w:right w:w="16" w:type="dxa"/>
            </w:tcMar>
            <w:vAlign w:val="center"/>
          </w:tcPr>
          <w:p w14:paraId="7CDA4C2D">
            <w:pPr>
              <w:adjustRightInd w:val="0"/>
              <w:snapToGrid w:val="0"/>
              <w:jc w:val="center"/>
              <w:rPr>
                <w:color w:val="auto"/>
                <w:szCs w:val="21"/>
                <w:highlight w:val="none"/>
              </w:rPr>
            </w:pPr>
            <w:r>
              <w:rPr>
                <w:color w:val="auto"/>
                <w:szCs w:val="21"/>
                <w:highlight w:val="none"/>
              </w:rPr>
              <w:t>建设性质</w:t>
            </w:r>
          </w:p>
        </w:tc>
        <w:tc>
          <w:tcPr>
            <w:tcW w:w="2808" w:type="dxa"/>
            <w:vAlign w:val="center"/>
          </w:tcPr>
          <w:p w14:paraId="3FA414D4">
            <w:pPr>
              <w:jc w:val="left"/>
              <w:rPr>
                <w:color w:val="auto"/>
                <w:szCs w:val="21"/>
                <w:highlight w:val="none"/>
              </w:rPr>
            </w:pPr>
            <w:r>
              <w:rPr>
                <w:color w:val="auto"/>
                <w:szCs w:val="21"/>
                <w:highlight w:val="none"/>
              </w:rPr>
              <w:sym w:font="Wingdings 2" w:char="0052"/>
            </w:r>
            <w:r>
              <w:rPr>
                <w:color w:val="auto"/>
                <w:szCs w:val="21"/>
                <w:highlight w:val="none"/>
              </w:rPr>
              <w:t>新建（迁建）</w:t>
            </w:r>
          </w:p>
          <w:p w14:paraId="01B95CCB">
            <w:pPr>
              <w:jc w:val="left"/>
              <w:rPr>
                <w:color w:val="auto"/>
                <w:szCs w:val="21"/>
                <w:highlight w:val="none"/>
              </w:rPr>
            </w:pPr>
            <w:r>
              <w:rPr>
                <w:color w:val="auto"/>
                <w:szCs w:val="21"/>
                <w:highlight w:val="none"/>
              </w:rPr>
              <w:sym w:font="Wingdings 2" w:char="00A3"/>
            </w:r>
            <w:r>
              <w:rPr>
                <w:color w:val="auto"/>
                <w:szCs w:val="21"/>
                <w:highlight w:val="none"/>
              </w:rPr>
              <w:t>改建</w:t>
            </w:r>
          </w:p>
          <w:p w14:paraId="568324BA">
            <w:pPr>
              <w:jc w:val="left"/>
              <w:rPr>
                <w:color w:val="auto"/>
                <w:szCs w:val="21"/>
                <w:highlight w:val="none"/>
              </w:rPr>
            </w:pPr>
            <w:r>
              <w:rPr>
                <w:color w:val="auto"/>
                <w:szCs w:val="21"/>
                <w:highlight w:val="none"/>
              </w:rPr>
              <w:sym w:font="Wingdings 2" w:char="00A3"/>
            </w:r>
            <w:r>
              <w:rPr>
                <w:color w:val="auto"/>
                <w:szCs w:val="21"/>
                <w:highlight w:val="none"/>
              </w:rPr>
              <w:t>扩建</w:t>
            </w:r>
          </w:p>
          <w:p w14:paraId="16797507">
            <w:pPr>
              <w:jc w:val="left"/>
              <w:rPr>
                <w:color w:val="auto"/>
                <w:szCs w:val="21"/>
                <w:highlight w:val="none"/>
              </w:rPr>
            </w:pPr>
            <w:r>
              <w:rPr>
                <w:color w:val="auto"/>
                <w:szCs w:val="21"/>
                <w:highlight w:val="none"/>
              </w:rPr>
              <w:sym w:font="Wingdings 2" w:char="00A3"/>
            </w:r>
            <w:r>
              <w:rPr>
                <w:color w:val="auto"/>
                <w:szCs w:val="21"/>
                <w:highlight w:val="none"/>
              </w:rPr>
              <w:t>技术改造</w:t>
            </w:r>
          </w:p>
        </w:tc>
        <w:tc>
          <w:tcPr>
            <w:tcW w:w="1711" w:type="dxa"/>
            <w:vAlign w:val="center"/>
          </w:tcPr>
          <w:p w14:paraId="266E0165">
            <w:pPr>
              <w:adjustRightInd w:val="0"/>
              <w:snapToGrid w:val="0"/>
              <w:jc w:val="center"/>
              <w:rPr>
                <w:color w:val="auto"/>
                <w:szCs w:val="21"/>
                <w:highlight w:val="none"/>
              </w:rPr>
            </w:pPr>
            <w:r>
              <w:rPr>
                <w:color w:val="auto"/>
                <w:szCs w:val="21"/>
                <w:highlight w:val="none"/>
              </w:rPr>
              <w:t>建设项目</w:t>
            </w:r>
          </w:p>
          <w:p w14:paraId="14EE28B6">
            <w:pPr>
              <w:adjustRightInd w:val="0"/>
              <w:snapToGrid w:val="0"/>
              <w:jc w:val="center"/>
              <w:rPr>
                <w:color w:val="auto"/>
                <w:szCs w:val="21"/>
                <w:highlight w:val="none"/>
              </w:rPr>
            </w:pPr>
            <w:r>
              <w:rPr>
                <w:color w:val="auto"/>
                <w:szCs w:val="21"/>
                <w:highlight w:val="none"/>
              </w:rPr>
              <w:t>申报情形</w:t>
            </w:r>
          </w:p>
        </w:tc>
        <w:tc>
          <w:tcPr>
            <w:tcW w:w="2720" w:type="dxa"/>
            <w:vAlign w:val="center"/>
          </w:tcPr>
          <w:p w14:paraId="4FF7FF6D">
            <w:pPr>
              <w:jc w:val="left"/>
              <w:rPr>
                <w:color w:val="auto"/>
                <w:szCs w:val="21"/>
                <w:highlight w:val="none"/>
              </w:rPr>
            </w:pPr>
            <w:r>
              <w:rPr>
                <w:color w:val="auto"/>
                <w:szCs w:val="21"/>
                <w:highlight w:val="none"/>
              </w:rPr>
              <w:sym w:font="Wingdings 2" w:char="0052"/>
            </w:r>
            <w:r>
              <w:rPr>
                <w:color w:val="auto"/>
                <w:szCs w:val="21"/>
                <w:highlight w:val="none"/>
              </w:rPr>
              <w:t xml:space="preserve">首次申报项目             </w:t>
            </w:r>
          </w:p>
          <w:p w14:paraId="72DF0DCE">
            <w:pPr>
              <w:jc w:val="left"/>
              <w:rPr>
                <w:color w:val="auto"/>
                <w:szCs w:val="21"/>
                <w:highlight w:val="none"/>
              </w:rPr>
            </w:pPr>
            <w:r>
              <w:rPr>
                <w:rFonts w:hint="eastAsia"/>
                <w:color w:val="auto"/>
                <w:szCs w:val="21"/>
                <w:highlight w:val="none"/>
              </w:rPr>
              <w:t>□</w:t>
            </w:r>
            <w:r>
              <w:rPr>
                <w:color w:val="auto"/>
                <w:szCs w:val="21"/>
                <w:highlight w:val="none"/>
              </w:rPr>
              <w:t>不予批准后再次申报项目</w:t>
            </w:r>
          </w:p>
          <w:p w14:paraId="3367C71A">
            <w:pPr>
              <w:jc w:val="left"/>
              <w:rPr>
                <w:color w:val="auto"/>
                <w:szCs w:val="21"/>
                <w:highlight w:val="none"/>
              </w:rPr>
            </w:pPr>
            <w:r>
              <w:rPr>
                <w:rFonts w:hint="eastAsia"/>
                <w:color w:val="auto"/>
                <w:szCs w:val="21"/>
                <w:highlight w:val="none"/>
                <w:lang w:eastAsia="zh-CN"/>
              </w:rPr>
              <w:t>□</w:t>
            </w:r>
            <w:r>
              <w:rPr>
                <w:color w:val="auto"/>
                <w:szCs w:val="21"/>
                <w:highlight w:val="none"/>
              </w:rPr>
              <w:t xml:space="preserve">超五年重新审核项目     </w:t>
            </w:r>
          </w:p>
          <w:p w14:paraId="0EBA5B63">
            <w:pPr>
              <w:jc w:val="left"/>
              <w:rPr>
                <w:color w:val="auto"/>
                <w:szCs w:val="21"/>
                <w:highlight w:val="none"/>
              </w:rPr>
            </w:pPr>
            <w:r>
              <w:rPr>
                <w:rFonts w:hint="eastAsia"/>
                <w:color w:val="auto"/>
                <w:szCs w:val="21"/>
                <w:highlight w:val="none"/>
                <w:lang w:eastAsia="zh-CN"/>
              </w:rPr>
              <w:t>□</w:t>
            </w:r>
            <w:r>
              <w:rPr>
                <w:color w:val="auto"/>
                <w:szCs w:val="21"/>
                <w:highlight w:val="none"/>
              </w:rPr>
              <w:t>重大变动重新报批项目</w:t>
            </w:r>
          </w:p>
        </w:tc>
      </w:tr>
      <w:tr w14:paraId="3B93AF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31" w:type="dxa"/>
            <w:tcMar>
              <w:top w:w="16" w:type="dxa"/>
              <w:left w:w="16" w:type="dxa"/>
              <w:right w:w="16" w:type="dxa"/>
            </w:tcMar>
            <w:vAlign w:val="center"/>
          </w:tcPr>
          <w:p w14:paraId="760B4131">
            <w:pPr>
              <w:adjustRightInd w:val="0"/>
              <w:snapToGrid w:val="0"/>
              <w:jc w:val="center"/>
              <w:rPr>
                <w:color w:val="auto"/>
                <w:szCs w:val="21"/>
                <w:highlight w:val="none"/>
              </w:rPr>
            </w:pPr>
            <w:r>
              <w:rPr>
                <w:color w:val="auto"/>
                <w:szCs w:val="21"/>
                <w:highlight w:val="none"/>
              </w:rPr>
              <w:t>项目审批（核准/</w:t>
            </w:r>
          </w:p>
          <w:p w14:paraId="5E3E5B00">
            <w:pPr>
              <w:adjustRightInd w:val="0"/>
              <w:snapToGrid w:val="0"/>
              <w:jc w:val="both"/>
              <w:rPr>
                <w:color w:val="auto"/>
                <w:szCs w:val="21"/>
                <w:highlight w:val="none"/>
              </w:rPr>
            </w:pPr>
            <w:r>
              <w:rPr>
                <w:color w:val="auto"/>
                <w:szCs w:val="21"/>
                <w:highlight w:val="none"/>
              </w:rPr>
              <w:t>备案）部门（选填）</w:t>
            </w:r>
          </w:p>
        </w:tc>
        <w:tc>
          <w:tcPr>
            <w:tcW w:w="2808" w:type="dxa"/>
            <w:vAlign w:val="center"/>
          </w:tcPr>
          <w:p w14:paraId="700728BD">
            <w:pPr>
              <w:pStyle w:val="44"/>
              <w:ind w:firstLine="0" w:firstLineChars="0"/>
              <w:jc w:val="center"/>
              <w:rPr>
                <w:rFonts w:hint="default" w:eastAsia="宋体"/>
                <w:color w:val="auto"/>
                <w:szCs w:val="21"/>
                <w:highlight w:val="none"/>
                <w:lang w:val="en-US" w:eastAsia="zh-CN"/>
              </w:rPr>
            </w:pPr>
            <w:r>
              <w:rPr>
                <w:rFonts w:hint="eastAsia"/>
                <w:color w:val="auto"/>
                <w:sz w:val="21"/>
                <w:szCs w:val="21"/>
                <w:highlight w:val="none"/>
                <w:shd w:val="clear"/>
                <w:lang w:val="en-US" w:eastAsia="zh-CN"/>
              </w:rPr>
              <w:t>福清市发展和改革局</w:t>
            </w:r>
          </w:p>
        </w:tc>
        <w:tc>
          <w:tcPr>
            <w:tcW w:w="1711" w:type="dxa"/>
            <w:vAlign w:val="center"/>
          </w:tcPr>
          <w:p w14:paraId="14C29D4B">
            <w:pPr>
              <w:adjustRightInd w:val="0"/>
              <w:snapToGrid w:val="0"/>
              <w:jc w:val="center"/>
              <w:rPr>
                <w:color w:val="auto"/>
                <w:szCs w:val="21"/>
                <w:highlight w:val="none"/>
              </w:rPr>
            </w:pPr>
            <w:r>
              <w:rPr>
                <w:color w:val="auto"/>
                <w:szCs w:val="21"/>
                <w:highlight w:val="none"/>
              </w:rPr>
              <w:t>项目审批（核准/</w:t>
            </w:r>
          </w:p>
          <w:p w14:paraId="62A66BE3">
            <w:pPr>
              <w:adjustRightInd w:val="0"/>
              <w:snapToGrid w:val="0"/>
              <w:jc w:val="center"/>
              <w:rPr>
                <w:color w:val="auto"/>
                <w:szCs w:val="21"/>
                <w:highlight w:val="none"/>
              </w:rPr>
            </w:pPr>
            <w:r>
              <w:rPr>
                <w:color w:val="auto"/>
                <w:szCs w:val="21"/>
                <w:highlight w:val="none"/>
              </w:rPr>
              <w:t>备案）文号（选填）</w:t>
            </w:r>
          </w:p>
        </w:tc>
        <w:tc>
          <w:tcPr>
            <w:tcW w:w="2720" w:type="dxa"/>
            <w:vAlign w:val="center"/>
          </w:tcPr>
          <w:p w14:paraId="0FE2AC8F">
            <w:pPr>
              <w:adjustRightInd w:val="0"/>
              <w:snapToGrid w:val="0"/>
              <w:jc w:val="center"/>
              <w:rPr>
                <w:rFonts w:hint="eastAsia" w:eastAsia="宋体"/>
                <w:color w:val="auto"/>
                <w:szCs w:val="21"/>
                <w:highlight w:val="none"/>
                <w:lang w:eastAsia="zh-CN"/>
              </w:rPr>
            </w:pPr>
            <w:r>
              <w:rPr>
                <w:rFonts w:hint="eastAsia"/>
                <w:color w:val="auto"/>
                <w:szCs w:val="21"/>
                <w:highlight w:val="none"/>
                <w:shd w:val="clear"/>
                <w:lang w:eastAsia="zh-CN"/>
              </w:rPr>
              <w:t>闽发改备[2025]A060240号</w:t>
            </w:r>
          </w:p>
        </w:tc>
      </w:tr>
      <w:tr w14:paraId="13713C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1" w:type="dxa"/>
            <w:tcMar>
              <w:top w:w="16" w:type="dxa"/>
              <w:left w:w="16" w:type="dxa"/>
              <w:right w:w="16" w:type="dxa"/>
            </w:tcMar>
            <w:vAlign w:val="center"/>
          </w:tcPr>
          <w:p w14:paraId="23A52ABC">
            <w:pPr>
              <w:adjustRightInd w:val="0"/>
              <w:snapToGrid w:val="0"/>
              <w:jc w:val="center"/>
              <w:rPr>
                <w:color w:val="auto"/>
                <w:szCs w:val="21"/>
                <w:highlight w:val="none"/>
              </w:rPr>
            </w:pPr>
            <w:r>
              <w:rPr>
                <w:color w:val="auto"/>
                <w:szCs w:val="21"/>
                <w:highlight w:val="none"/>
              </w:rPr>
              <w:t>总投资（万元）</w:t>
            </w:r>
          </w:p>
        </w:tc>
        <w:tc>
          <w:tcPr>
            <w:tcW w:w="2808" w:type="dxa"/>
            <w:vAlign w:val="center"/>
          </w:tcPr>
          <w:p w14:paraId="2F2A147A">
            <w:pPr>
              <w:adjustRightInd w:val="0"/>
              <w:snapToGrid w:val="0"/>
              <w:jc w:val="center"/>
              <w:rPr>
                <w:rFonts w:hint="default" w:eastAsia="宋体"/>
                <w:color w:val="auto"/>
                <w:szCs w:val="21"/>
                <w:highlight w:val="none"/>
                <w:lang w:val="en-US" w:eastAsia="zh-CN"/>
              </w:rPr>
            </w:pPr>
            <w:r>
              <w:rPr>
                <w:rFonts w:hint="eastAsia"/>
                <w:color w:val="auto"/>
                <w:szCs w:val="21"/>
                <w:highlight w:val="none"/>
                <w:shd w:val="clear"/>
                <w:lang w:val="en-US" w:eastAsia="zh-CN"/>
              </w:rPr>
              <w:t>900</w:t>
            </w:r>
          </w:p>
        </w:tc>
        <w:tc>
          <w:tcPr>
            <w:tcW w:w="1711" w:type="dxa"/>
            <w:tcMar>
              <w:top w:w="16" w:type="dxa"/>
              <w:left w:w="16" w:type="dxa"/>
              <w:right w:w="16" w:type="dxa"/>
            </w:tcMar>
            <w:vAlign w:val="center"/>
          </w:tcPr>
          <w:p w14:paraId="5D1E828D">
            <w:pPr>
              <w:adjustRightInd w:val="0"/>
              <w:snapToGrid w:val="0"/>
              <w:jc w:val="center"/>
              <w:rPr>
                <w:color w:val="auto"/>
                <w:szCs w:val="21"/>
                <w:highlight w:val="none"/>
              </w:rPr>
            </w:pPr>
            <w:r>
              <w:rPr>
                <w:color w:val="auto"/>
                <w:szCs w:val="21"/>
                <w:highlight w:val="none"/>
              </w:rPr>
              <w:t>环保投资（万元）</w:t>
            </w:r>
          </w:p>
        </w:tc>
        <w:tc>
          <w:tcPr>
            <w:tcW w:w="2720" w:type="dxa"/>
            <w:vAlign w:val="center"/>
          </w:tcPr>
          <w:p w14:paraId="436197CA">
            <w:pPr>
              <w:adjustRightInd w:val="0"/>
              <w:snapToGrid w:val="0"/>
              <w:jc w:val="center"/>
              <w:rPr>
                <w:rFonts w:hint="default" w:eastAsia="宋体"/>
                <w:color w:val="auto"/>
                <w:szCs w:val="21"/>
                <w:highlight w:val="none"/>
                <w:lang w:val="en-US" w:eastAsia="zh-CN"/>
              </w:rPr>
            </w:pPr>
            <w:r>
              <w:rPr>
                <w:rFonts w:hint="eastAsia"/>
                <w:color w:val="auto"/>
                <w:szCs w:val="21"/>
                <w:highlight w:val="none"/>
                <w:shd w:val="clear"/>
                <w:lang w:val="en-US" w:eastAsia="zh-CN"/>
              </w:rPr>
              <w:t>95</w:t>
            </w:r>
          </w:p>
        </w:tc>
      </w:tr>
      <w:tr w14:paraId="67CD74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1" w:type="dxa"/>
            <w:tcMar>
              <w:top w:w="16" w:type="dxa"/>
              <w:left w:w="16" w:type="dxa"/>
              <w:right w:w="16" w:type="dxa"/>
            </w:tcMar>
            <w:vAlign w:val="center"/>
          </w:tcPr>
          <w:p w14:paraId="147EDB7B">
            <w:pPr>
              <w:adjustRightInd w:val="0"/>
              <w:snapToGrid w:val="0"/>
              <w:jc w:val="center"/>
              <w:rPr>
                <w:color w:val="auto"/>
                <w:szCs w:val="21"/>
                <w:highlight w:val="none"/>
              </w:rPr>
            </w:pPr>
            <w:r>
              <w:rPr>
                <w:color w:val="auto"/>
                <w:szCs w:val="21"/>
                <w:highlight w:val="none"/>
              </w:rPr>
              <w:t>环保投资占比（%）</w:t>
            </w:r>
          </w:p>
        </w:tc>
        <w:tc>
          <w:tcPr>
            <w:tcW w:w="2808" w:type="dxa"/>
            <w:vAlign w:val="center"/>
          </w:tcPr>
          <w:p w14:paraId="36038792">
            <w:pPr>
              <w:adjustRightInd w:val="0"/>
              <w:snapToGrid w:val="0"/>
              <w:jc w:val="center"/>
              <w:rPr>
                <w:rFonts w:hint="default"/>
                <w:color w:val="auto"/>
                <w:szCs w:val="21"/>
                <w:highlight w:val="none"/>
                <w:lang w:val="en-US" w:eastAsia="zh-CN"/>
              </w:rPr>
            </w:pPr>
            <w:r>
              <w:rPr>
                <w:rFonts w:hint="eastAsia"/>
                <w:color w:val="auto"/>
                <w:szCs w:val="21"/>
                <w:highlight w:val="none"/>
                <w:shd w:val="clear"/>
                <w:lang w:val="en-US" w:eastAsia="zh-CN"/>
              </w:rPr>
              <w:t>10.55%</w:t>
            </w:r>
          </w:p>
        </w:tc>
        <w:tc>
          <w:tcPr>
            <w:tcW w:w="1711" w:type="dxa"/>
            <w:tcMar>
              <w:top w:w="16" w:type="dxa"/>
              <w:left w:w="16" w:type="dxa"/>
              <w:right w:w="16" w:type="dxa"/>
            </w:tcMar>
            <w:vAlign w:val="center"/>
          </w:tcPr>
          <w:p w14:paraId="7A64AC6A">
            <w:pPr>
              <w:adjustRightInd w:val="0"/>
              <w:snapToGrid w:val="0"/>
              <w:jc w:val="center"/>
              <w:rPr>
                <w:color w:val="auto"/>
                <w:szCs w:val="21"/>
                <w:highlight w:val="none"/>
              </w:rPr>
            </w:pPr>
            <w:r>
              <w:rPr>
                <w:color w:val="auto"/>
                <w:szCs w:val="21"/>
                <w:highlight w:val="none"/>
              </w:rPr>
              <w:t>施工工期</w:t>
            </w:r>
          </w:p>
        </w:tc>
        <w:tc>
          <w:tcPr>
            <w:tcW w:w="2720" w:type="dxa"/>
            <w:vAlign w:val="center"/>
          </w:tcPr>
          <w:p w14:paraId="3D057DF0">
            <w:pPr>
              <w:adjustRightInd w:val="0"/>
              <w:snapToGrid w:val="0"/>
              <w:jc w:val="center"/>
              <w:rPr>
                <w:color w:val="auto"/>
                <w:szCs w:val="21"/>
                <w:highlight w:val="none"/>
              </w:rPr>
            </w:pPr>
            <w:r>
              <w:rPr>
                <w:rFonts w:hint="eastAsia"/>
                <w:color w:val="auto"/>
                <w:szCs w:val="21"/>
                <w:highlight w:val="none"/>
                <w:lang w:val="en-US" w:eastAsia="zh-CN"/>
              </w:rPr>
              <w:t>12</w:t>
            </w:r>
            <w:r>
              <w:rPr>
                <w:color w:val="auto"/>
                <w:szCs w:val="21"/>
                <w:highlight w:val="none"/>
              </w:rPr>
              <w:t>个月</w:t>
            </w:r>
          </w:p>
        </w:tc>
      </w:tr>
      <w:tr w14:paraId="5B251E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31" w:type="dxa"/>
            <w:tcMar>
              <w:top w:w="16" w:type="dxa"/>
              <w:left w:w="16" w:type="dxa"/>
              <w:right w:w="16" w:type="dxa"/>
            </w:tcMar>
            <w:vAlign w:val="center"/>
          </w:tcPr>
          <w:p w14:paraId="51006D6B">
            <w:pPr>
              <w:adjustRightInd w:val="0"/>
              <w:snapToGrid w:val="0"/>
              <w:jc w:val="center"/>
              <w:rPr>
                <w:color w:val="auto"/>
                <w:szCs w:val="21"/>
                <w:highlight w:val="none"/>
              </w:rPr>
            </w:pPr>
            <w:r>
              <w:rPr>
                <w:color w:val="auto"/>
                <w:szCs w:val="21"/>
                <w:highlight w:val="none"/>
              </w:rPr>
              <w:t>是否开工建设</w:t>
            </w:r>
          </w:p>
        </w:tc>
        <w:tc>
          <w:tcPr>
            <w:tcW w:w="2808" w:type="dxa"/>
            <w:vAlign w:val="center"/>
          </w:tcPr>
          <w:p w14:paraId="3F21AB95">
            <w:pPr>
              <w:adjustRightInd w:val="0"/>
              <w:snapToGrid w:val="0"/>
              <w:rPr>
                <w:color w:val="auto"/>
                <w:szCs w:val="21"/>
                <w:highlight w:val="none"/>
              </w:rPr>
            </w:pPr>
            <w:r>
              <w:rPr>
                <w:color w:val="auto"/>
                <w:szCs w:val="21"/>
                <w:highlight w:val="none"/>
              </w:rPr>
              <w:sym w:font="Wingdings 2" w:char="0052"/>
            </w:r>
            <w:r>
              <w:rPr>
                <w:color w:val="auto"/>
                <w:szCs w:val="21"/>
                <w:highlight w:val="none"/>
              </w:rPr>
              <w:t>否</w:t>
            </w:r>
          </w:p>
          <w:p w14:paraId="40B4D270">
            <w:pPr>
              <w:adjustRightInd w:val="0"/>
              <w:snapToGrid w:val="0"/>
              <w:rPr>
                <w:color w:val="auto"/>
                <w:szCs w:val="21"/>
                <w:highlight w:val="none"/>
              </w:rPr>
            </w:pPr>
            <w:r>
              <w:rPr>
                <w:color w:val="auto"/>
                <w:szCs w:val="21"/>
                <w:highlight w:val="none"/>
              </w:rPr>
              <w:sym w:font="Wingdings 2" w:char="00A3"/>
            </w:r>
            <w:r>
              <w:rPr>
                <w:color w:val="auto"/>
                <w:szCs w:val="21"/>
                <w:highlight w:val="none"/>
              </w:rPr>
              <w:t>是：</w:t>
            </w:r>
            <w:r>
              <w:rPr>
                <w:rFonts w:hint="eastAsia"/>
                <w:color w:val="auto"/>
                <w:szCs w:val="21"/>
                <w:highlight w:val="none"/>
                <w:u w:val="single"/>
              </w:rPr>
              <w:t xml:space="preserve">             </w:t>
            </w:r>
            <w:r>
              <w:rPr>
                <w:color w:val="auto"/>
                <w:szCs w:val="21"/>
                <w:highlight w:val="none"/>
                <w:u w:val="single"/>
              </w:rPr>
              <w:t xml:space="preserve">   </w:t>
            </w:r>
          </w:p>
        </w:tc>
        <w:tc>
          <w:tcPr>
            <w:tcW w:w="1711" w:type="dxa"/>
            <w:tcMar>
              <w:top w:w="16" w:type="dxa"/>
              <w:left w:w="16" w:type="dxa"/>
              <w:right w:w="16" w:type="dxa"/>
            </w:tcMar>
            <w:vAlign w:val="center"/>
          </w:tcPr>
          <w:p w14:paraId="7D8169C4">
            <w:pPr>
              <w:adjustRightInd w:val="0"/>
              <w:snapToGrid w:val="0"/>
              <w:jc w:val="center"/>
              <w:rPr>
                <w:color w:val="auto"/>
                <w:spacing w:val="-6"/>
                <w:szCs w:val="21"/>
                <w:highlight w:val="none"/>
              </w:rPr>
            </w:pPr>
            <w:r>
              <w:rPr>
                <w:color w:val="auto"/>
                <w:spacing w:val="-6"/>
                <w:szCs w:val="21"/>
                <w:highlight w:val="none"/>
              </w:rPr>
              <w:t>用地（用海）</w:t>
            </w:r>
          </w:p>
          <w:p w14:paraId="54C928C7">
            <w:pPr>
              <w:adjustRightInd w:val="0"/>
              <w:snapToGrid w:val="0"/>
              <w:jc w:val="center"/>
              <w:rPr>
                <w:color w:val="auto"/>
                <w:szCs w:val="21"/>
                <w:highlight w:val="none"/>
              </w:rPr>
            </w:pPr>
            <w:r>
              <w:rPr>
                <w:color w:val="auto"/>
                <w:spacing w:val="-6"/>
                <w:szCs w:val="21"/>
                <w:highlight w:val="none"/>
              </w:rPr>
              <w:t>面积（m</w:t>
            </w:r>
            <w:r>
              <w:rPr>
                <w:color w:val="auto"/>
                <w:spacing w:val="-6"/>
                <w:szCs w:val="21"/>
                <w:highlight w:val="none"/>
                <w:vertAlign w:val="superscript"/>
              </w:rPr>
              <w:t>2</w:t>
            </w:r>
            <w:r>
              <w:rPr>
                <w:color w:val="auto"/>
                <w:spacing w:val="-6"/>
                <w:szCs w:val="21"/>
                <w:highlight w:val="none"/>
              </w:rPr>
              <w:t>）</w:t>
            </w:r>
          </w:p>
        </w:tc>
        <w:tc>
          <w:tcPr>
            <w:tcW w:w="2720" w:type="dxa"/>
            <w:vAlign w:val="center"/>
          </w:tcPr>
          <w:p w14:paraId="5E087603">
            <w:pPr>
              <w:adjustRightInd w:val="0"/>
              <w:snapToGrid w:val="0"/>
              <w:jc w:val="center"/>
              <w:rPr>
                <w:rFonts w:hint="default"/>
                <w:color w:val="auto"/>
                <w:szCs w:val="21"/>
                <w:highlight w:val="none"/>
                <w:lang w:val="en-US"/>
              </w:rPr>
            </w:pPr>
            <w:r>
              <w:rPr>
                <w:rFonts w:hint="eastAsia"/>
                <w:color w:val="auto"/>
                <w:szCs w:val="21"/>
                <w:highlight w:val="none"/>
                <w:shd w:val="clear"/>
                <w:lang w:val="en-US" w:eastAsia="zh-CN"/>
              </w:rPr>
              <w:t>2030</w:t>
            </w:r>
          </w:p>
        </w:tc>
      </w:tr>
      <w:tr w14:paraId="59D815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4" w:hRule="atLeast"/>
          <w:jc w:val="center"/>
        </w:trPr>
        <w:tc>
          <w:tcPr>
            <w:tcW w:w="1631" w:type="dxa"/>
            <w:vAlign w:val="center"/>
          </w:tcPr>
          <w:p w14:paraId="5EE76A1C">
            <w:pPr>
              <w:autoSpaceDE w:val="0"/>
              <w:autoSpaceDN w:val="0"/>
              <w:adjustRightInd w:val="0"/>
              <w:snapToGrid w:val="0"/>
              <w:jc w:val="center"/>
              <w:rPr>
                <w:color w:val="auto"/>
                <w:kern w:val="0"/>
                <w:szCs w:val="21"/>
                <w:highlight w:val="none"/>
              </w:rPr>
            </w:pPr>
            <w:r>
              <w:rPr>
                <w:color w:val="auto"/>
                <w:kern w:val="0"/>
                <w:szCs w:val="21"/>
                <w:highlight w:val="none"/>
              </w:rPr>
              <w:t>专项评价设置情况</w:t>
            </w:r>
          </w:p>
        </w:tc>
        <w:tc>
          <w:tcPr>
            <w:tcW w:w="7239" w:type="dxa"/>
            <w:gridSpan w:val="3"/>
            <w:vAlign w:val="center"/>
          </w:tcPr>
          <w:p w14:paraId="6BFB93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对照《建设项目环境影响报告表编制</w:t>
            </w:r>
            <w:r>
              <w:rPr>
                <w:rFonts w:hint="eastAsia" w:ascii="Times New Roman" w:hAnsi="Times New Roman" w:eastAsia="宋体" w:cs="Times New Roman"/>
                <w:color w:val="auto"/>
                <w:sz w:val="24"/>
                <w:szCs w:val="24"/>
                <w:highlight w:val="none"/>
                <w:lang w:val="en-US" w:eastAsia="zh-CN"/>
              </w:rPr>
              <w:t>技术</w:t>
            </w:r>
            <w:r>
              <w:rPr>
                <w:rFonts w:hint="default" w:ascii="Times New Roman" w:hAnsi="Times New Roman" w:eastAsia="宋体" w:cs="Times New Roman"/>
                <w:color w:val="auto"/>
                <w:sz w:val="24"/>
                <w:szCs w:val="24"/>
                <w:highlight w:val="none"/>
              </w:rPr>
              <w:t>指南——污染影响类》专题评价设置原则表，本项目专题评价设置情况判定如下：</w:t>
            </w:r>
          </w:p>
          <w:p w14:paraId="0CA6765C">
            <w:pPr>
              <w:pStyle w:val="42"/>
              <w:keepNext/>
              <w:keepLines/>
              <w:pageBreakBefore w:val="0"/>
              <w:widowControl w:val="0"/>
              <w:kinsoku/>
              <w:wordWrap/>
              <w:overflowPunct/>
              <w:topLinePunct w:val="0"/>
              <w:autoSpaceDE/>
              <w:autoSpaceDN/>
              <w:bidi w:val="0"/>
              <w:adjustRightInd/>
              <w:snapToGrid/>
              <w:spacing w:before="157" w:beforeLines="50" w:after="0"/>
              <w:ind w:left="420" w:leftChars="0" w:firstLineChars="0"/>
              <w:jc w:val="center"/>
              <w:textAlignment w:val="auto"/>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专项评价设置原则表</w:t>
            </w:r>
          </w:p>
          <w:tbl>
            <w:tblPr>
              <w:tblStyle w:val="3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5"/>
              <w:gridCol w:w="2063"/>
              <w:gridCol w:w="3235"/>
              <w:gridCol w:w="896"/>
            </w:tblGrid>
            <w:tr w14:paraId="43865F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10" w:hRule="atLeast"/>
                <w:tblHeader/>
                <w:jc w:val="center"/>
              </w:trPr>
              <w:tc>
                <w:tcPr>
                  <w:tcW w:w="587" w:type="pct"/>
                  <w:tcBorders>
                    <w:tl2br w:val="nil"/>
                    <w:tr2bl w:val="nil"/>
                  </w:tcBorders>
                  <w:noWrap w:val="0"/>
                  <w:vAlign w:val="center"/>
                </w:tcPr>
                <w:p w14:paraId="054605F1">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专项评价类别</w:t>
                  </w:r>
                </w:p>
              </w:tc>
              <w:tc>
                <w:tcPr>
                  <w:tcW w:w="1469" w:type="pct"/>
                  <w:tcBorders>
                    <w:tl2br w:val="nil"/>
                    <w:tr2bl w:val="nil"/>
                  </w:tcBorders>
                  <w:noWrap w:val="0"/>
                  <w:vAlign w:val="center"/>
                </w:tcPr>
                <w:p w14:paraId="0E997EE1">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设置原则</w:t>
                  </w:r>
                </w:p>
              </w:tc>
              <w:tc>
                <w:tcPr>
                  <w:tcW w:w="2303" w:type="pct"/>
                  <w:tcBorders>
                    <w:tl2br w:val="nil"/>
                    <w:tr2bl w:val="nil"/>
                  </w:tcBorders>
                  <w:noWrap w:val="0"/>
                  <w:vAlign w:val="center"/>
                </w:tcPr>
                <w:p w14:paraId="6654FB80">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项目情况</w:t>
                  </w:r>
                </w:p>
              </w:tc>
              <w:tc>
                <w:tcPr>
                  <w:tcW w:w="638" w:type="pct"/>
                  <w:tcBorders>
                    <w:tl2br w:val="nil"/>
                    <w:tr2bl w:val="nil"/>
                  </w:tcBorders>
                  <w:noWrap w:val="0"/>
                  <w:vAlign w:val="center"/>
                </w:tcPr>
                <w:p w14:paraId="4F4BD79A">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是否设置专项</w:t>
                  </w:r>
                </w:p>
              </w:tc>
            </w:tr>
            <w:tr w14:paraId="75F1C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189" w:hRule="atLeast"/>
                <w:tblHeader/>
                <w:jc w:val="center"/>
              </w:trPr>
              <w:tc>
                <w:tcPr>
                  <w:tcW w:w="587" w:type="pct"/>
                  <w:tcBorders>
                    <w:tl2br w:val="nil"/>
                    <w:tr2bl w:val="nil"/>
                  </w:tcBorders>
                  <w:noWrap w:val="0"/>
                  <w:vAlign w:val="center"/>
                </w:tcPr>
                <w:p w14:paraId="2D5655F2">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1469" w:type="pct"/>
                  <w:tcBorders>
                    <w:tl2br w:val="nil"/>
                    <w:tr2bl w:val="nil"/>
                  </w:tcBorders>
                  <w:noWrap w:val="0"/>
                  <w:vAlign w:val="center"/>
                </w:tcPr>
                <w:p w14:paraId="64E5C40C">
                  <w:pPr>
                    <w:pStyle w:val="134"/>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排放废气含有毒有害污染物、二噁英、苯并芘、氰化物、氯气</w:t>
                  </w:r>
                  <w:r>
                    <w:rPr>
                      <w:rFonts w:hint="eastAsia" w:cs="Times New Roman"/>
                      <w:color w:val="auto"/>
                      <w:sz w:val="21"/>
                      <w:szCs w:val="21"/>
                      <w:highlight w:val="none"/>
                      <w:lang w:eastAsia="zh-CN"/>
                    </w:rPr>
                    <w:t>且</w:t>
                  </w:r>
                  <w:r>
                    <w:rPr>
                      <w:rFonts w:hint="default" w:ascii="Times New Roman" w:hAnsi="Times New Roman" w:eastAsia="宋体" w:cs="Times New Roman"/>
                      <w:color w:val="auto"/>
                      <w:sz w:val="21"/>
                      <w:szCs w:val="21"/>
                      <w:highlight w:val="none"/>
                    </w:rPr>
                    <w:t>厂界外500米范围内有环境空气保护目标的项目</w:t>
                  </w:r>
                </w:p>
              </w:tc>
              <w:tc>
                <w:tcPr>
                  <w:tcW w:w="2303" w:type="pct"/>
                  <w:tcBorders>
                    <w:tl2br w:val="nil"/>
                    <w:tr2bl w:val="nil"/>
                  </w:tcBorders>
                  <w:noWrap w:val="0"/>
                  <w:vAlign w:val="center"/>
                </w:tcPr>
                <w:p w14:paraId="3242DC62">
                  <w:pPr>
                    <w:pStyle w:val="134"/>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本项目排放废气</w:t>
                  </w:r>
                  <w:r>
                    <w:rPr>
                      <w:rFonts w:hint="eastAsia" w:cs="Times New Roman"/>
                      <w:color w:val="auto"/>
                      <w:sz w:val="21"/>
                      <w:szCs w:val="21"/>
                      <w:highlight w:val="none"/>
                      <w:lang w:val="en-US" w:eastAsia="zh-CN"/>
                    </w:rPr>
                    <w:t>不</w:t>
                  </w:r>
                  <w:r>
                    <w:rPr>
                      <w:rFonts w:hint="default" w:ascii="Times New Roman" w:hAnsi="Times New Roman" w:eastAsia="宋体" w:cs="Times New Roman"/>
                      <w:color w:val="auto"/>
                      <w:sz w:val="21"/>
                      <w:szCs w:val="21"/>
                      <w:highlight w:val="none"/>
                      <w:lang w:val="en-US" w:eastAsia="zh-CN"/>
                    </w:rPr>
                    <w:t>含有毒有害污染物</w:t>
                  </w:r>
                  <w:r>
                    <w:rPr>
                      <w:rFonts w:hint="eastAsia" w:cs="Times New Roman"/>
                      <w:color w:val="auto"/>
                      <w:sz w:val="21"/>
                      <w:szCs w:val="21"/>
                      <w:highlight w:val="none"/>
                      <w:lang w:val="en-US" w:eastAsia="zh-CN"/>
                    </w:rPr>
                    <w:t>且</w:t>
                  </w:r>
                  <w:r>
                    <w:rPr>
                      <w:rFonts w:hint="default" w:ascii="Times New Roman" w:hAnsi="Times New Roman" w:eastAsia="宋体" w:cs="Times New Roman"/>
                      <w:color w:val="auto"/>
                      <w:sz w:val="21"/>
                      <w:szCs w:val="21"/>
                      <w:highlight w:val="none"/>
                      <w:lang w:val="en-US" w:eastAsia="zh-CN"/>
                    </w:rPr>
                    <w:t>厂界外500米范围内</w:t>
                  </w:r>
                  <w:r>
                    <w:rPr>
                      <w:rFonts w:hint="eastAsia" w:cs="Times New Roman"/>
                      <w:color w:val="auto"/>
                      <w:sz w:val="21"/>
                      <w:szCs w:val="21"/>
                      <w:highlight w:val="none"/>
                      <w:lang w:val="en-US" w:eastAsia="zh-CN"/>
                    </w:rPr>
                    <w:t>没有</w:t>
                  </w:r>
                  <w:r>
                    <w:rPr>
                      <w:rFonts w:hint="default" w:ascii="Times New Roman" w:hAnsi="Times New Roman" w:eastAsia="宋体" w:cs="Times New Roman"/>
                      <w:color w:val="auto"/>
                      <w:sz w:val="21"/>
                      <w:szCs w:val="21"/>
                      <w:highlight w:val="none"/>
                      <w:lang w:val="en-US" w:eastAsia="zh-CN"/>
                    </w:rPr>
                    <w:t>环境空气保护目标。根据建设单位提供的</w:t>
                  </w:r>
                  <w:r>
                    <w:rPr>
                      <w:rFonts w:hint="eastAsia" w:cs="Times New Roman"/>
                      <w:color w:val="auto"/>
                      <w:sz w:val="21"/>
                      <w:szCs w:val="21"/>
                      <w:highlight w:val="none"/>
                      <w:lang w:val="en-US" w:eastAsia="zh-CN"/>
                    </w:rPr>
                    <w:t>电泳涂料</w:t>
                  </w:r>
                  <w:r>
                    <w:rPr>
                      <w:rFonts w:hint="default" w:ascii="Times New Roman" w:hAnsi="Times New Roman" w:eastAsia="宋体" w:cs="Times New Roman"/>
                      <w:color w:val="auto"/>
                      <w:sz w:val="21"/>
                      <w:szCs w:val="21"/>
                      <w:highlight w:val="none"/>
                      <w:lang w:val="en-US" w:eastAsia="zh-CN"/>
                    </w:rPr>
                    <w:t>MSDS可知，项目使用的涂料均不含甲醛成分，根据项目</w:t>
                  </w:r>
                  <w:r>
                    <w:rPr>
                      <w:rFonts w:hint="eastAsia" w:cs="Times New Roman"/>
                      <w:color w:val="auto"/>
                      <w:sz w:val="21"/>
                      <w:szCs w:val="21"/>
                      <w:highlight w:val="none"/>
                      <w:lang w:val="en-US" w:eastAsia="zh-CN"/>
                    </w:rPr>
                    <w:t>电泳涂料</w:t>
                  </w:r>
                  <w:r>
                    <w:rPr>
                      <w:rFonts w:hint="default" w:ascii="Times New Roman" w:hAnsi="Times New Roman" w:eastAsia="宋体" w:cs="Times New Roman"/>
                      <w:color w:val="auto"/>
                      <w:sz w:val="21"/>
                      <w:szCs w:val="21"/>
                      <w:highlight w:val="none"/>
                      <w:lang w:val="en-US" w:eastAsia="zh-CN"/>
                    </w:rPr>
                    <w:t>VOCs含量检测报告可知，甲醛含量为未检出，因此，本评价不考虑涂料、胶粘剂的甲醛成分；另外项目外购</w:t>
                  </w:r>
                  <w:r>
                    <w:rPr>
                      <w:rFonts w:hint="eastAsia" w:cs="Times New Roman"/>
                      <w:color w:val="auto"/>
                      <w:sz w:val="21"/>
                      <w:szCs w:val="21"/>
                      <w:highlight w:val="none"/>
                      <w:lang w:val="en-US" w:eastAsia="zh-CN"/>
                    </w:rPr>
                    <w:t>原木</w:t>
                  </w:r>
                  <w:r>
                    <w:rPr>
                      <w:rFonts w:hint="default" w:ascii="Times New Roman" w:hAnsi="Times New Roman" w:eastAsia="宋体" w:cs="Times New Roman"/>
                      <w:color w:val="auto"/>
                      <w:sz w:val="21"/>
                      <w:szCs w:val="21"/>
                      <w:highlight w:val="none"/>
                      <w:lang w:val="en-US" w:eastAsia="zh-CN"/>
                    </w:rPr>
                    <w:t>为原料，</w:t>
                  </w:r>
                  <w:r>
                    <w:rPr>
                      <w:rFonts w:hint="eastAsia" w:cs="Times New Roman"/>
                      <w:color w:val="auto"/>
                      <w:sz w:val="21"/>
                      <w:szCs w:val="21"/>
                      <w:highlight w:val="none"/>
                      <w:lang w:val="en-US" w:eastAsia="zh-CN"/>
                    </w:rPr>
                    <w:t>不涉及</w:t>
                  </w:r>
                  <w:r>
                    <w:rPr>
                      <w:rFonts w:hint="default" w:ascii="Times New Roman" w:hAnsi="Times New Roman" w:eastAsia="宋体" w:cs="Times New Roman"/>
                      <w:color w:val="auto"/>
                      <w:sz w:val="21"/>
                      <w:szCs w:val="21"/>
                      <w:highlight w:val="none"/>
                      <w:lang w:val="en-US" w:eastAsia="zh-CN"/>
                    </w:rPr>
                    <w:t>甲醛成分，本项排放的废气主要为颗粒物、非甲烷总烃等，不涉及左列</w:t>
                  </w:r>
                  <w:r>
                    <w:rPr>
                      <w:rFonts w:hint="eastAsia" w:cs="Times New Roman"/>
                      <w:color w:val="auto"/>
                      <w:sz w:val="21"/>
                      <w:szCs w:val="21"/>
                      <w:highlight w:val="none"/>
                      <w:lang w:val="en-US" w:eastAsia="zh-CN"/>
                    </w:rPr>
                    <w:t>所述</w:t>
                  </w:r>
                  <w:r>
                    <w:rPr>
                      <w:rFonts w:hint="default" w:ascii="Times New Roman" w:hAnsi="Times New Roman" w:eastAsia="宋体" w:cs="Times New Roman"/>
                      <w:color w:val="auto"/>
                      <w:sz w:val="21"/>
                      <w:szCs w:val="21"/>
                      <w:highlight w:val="none"/>
                      <w:lang w:val="en-US" w:eastAsia="zh-CN"/>
                    </w:rPr>
                    <w:t>废气污染物。</w:t>
                  </w:r>
                </w:p>
              </w:tc>
              <w:tc>
                <w:tcPr>
                  <w:tcW w:w="638" w:type="pct"/>
                  <w:tcBorders>
                    <w:tl2br w:val="nil"/>
                    <w:tr2bl w:val="nil"/>
                  </w:tcBorders>
                  <w:noWrap w:val="0"/>
                  <w:vAlign w:val="center"/>
                </w:tcPr>
                <w:p w14:paraId="2000B9A6">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否</w:t>
                  </w:r>
                </w:p>
              </w:tc>
            </w:tr>
            <w:tr w14:paraId="3D9248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587" w:type="pct"/>
                  <w:tcBorders>
                    <w:tl2br w:val="nil"/>
                    <w:tr2bl w:val="nil"/>
                  </w:tcBorders>
                  <w:noWrap w:val="0"/>
                  <w:vAlign w:val="center"/>
                </w:tcPr>
                <w:p w14:paraId="422CFAEF">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1469" w:type="pct"/>
                  <w:tcBorders>
                    <w:tl2br w:val="nil"/>
                    <w:tr2bl w:val="nil"/>
                  </w:tcBorders>
                  <w:noWrap w:val="0"/>
                  <w:vAlign w:val="center"/>
                </w:tcPr>
                <w:p w14:paraId="592CC1D2">
                  <w:pPr>
                    <w:pStyle w:val="134"/>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新增工业废水直排建设项目（槽罐车外送污水处理厂的除外），新增废水直排的污水集中处理厂</w:t>
                  </w:r>
                </w:p>
              </w:tc>
              <w:tc>
                <w:tcPr>
                  <w:tcW w:w="2303" w:type="pct"/>
                  <w:tcBorders>
                    <w:tl2br w:val="nil"/>
                    <w:tr2bl w:val="nil"/>
                  </w:tcBorders>
                  <w:noWrap w:val="0"/>
                  <w:vAlign w:val="center"/>
                </w:tcPr>
                <w:p w14:paraId="35477283">
                  <w:pPr>
                    <w:pStyle w:val="134"/>
                    <w:keepNext w:val="0"/>
                    <w:keepLines w:val="0"/>
                    <w:suppressLineNumbers w:val="0"/>
                    <w:bidi w:val="0"/>
                    <w:spacing w:before="0" w:beforeAutospacing="0" w:after="0" w:afterAutospacing="0"/>
                    <w:ind w:left="0" w:right="0"/>
                    <w:jc w:val="both"/>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本项目不涉及新增工业废水直排</w:t>
                  </w:r>
                  <w:r>
                    <w:rPr>
                      <w:rFonts w:hint="eastAsia" w:ascii="Times New Roman" w:hAnsi="Times New Roman" w:eastAsia="宋体"/>
                      <w:bCs/>
                      <w:color w:val="auto"/>
                      <w:sz w:val="21"/>
                      <w:szCs w:val="21"/>
                      <w:highlight w:val="none"/>
                      <w:lang w:eastAsia="zh-CN"/>
                    </w:rPr>
                    <w:t>。</w:t>
                  </w:r>
                </w:p>
              </w:tc>
              <w:tc>
                <w:tcPr>
                  <w:tcW w:w="638" w:type="pct"/>
                  <w:tcBorders>
                    <w:tl2br w:val="nil"/>
                    <w:tr2bl w:val="nil"/>
                  </w:tcBorders>
                  <w:noWrap w:val="0"/>
                  <w:vAlign w:val="center"/>
                </w:tcPr>
                <w:p w14:paraId="3A89AE67">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否</w:t>
                  </w:r>
                </w:p>
              </w:tc>
            </w:tr>
            <w:tr w14:paraId="4F9CA8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587" w:type="pct"/>
                  <w:tcBorders>
                    <w:tl2br w:val="nil"/>
                    <w:tr2bl w:val="nil"/>
                  </w:tcBorders>
                  <w:noWrap w:val="0"/>
                  <w:vAlign w:val="center"/>
                </w:tcPr>
                <w:p w14:paraId="632A1A9B">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w:t>
                  </w:r>
                </w:p>
                <w:p w14:paraId="35EF7179">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w:t>
                  </w:r>
                </w:p>
              </w:tc>
              <w:tc>
                <w:tcPr>
                  <w:tcW w:w="1469" w:type="pct"/>
                  <w:tcBorders>
                    <w:tl2br w:val="nil"/>
                    <w:tr2bl w:val="nil"/>
                  </w:tcBorders>
                  <w:noWrap w:val="0"/>
                  <w:vAlign w:val="center"/>
                </w:tcPr>
                <w:p w14:paraId="56955127">
                  <w:pPr>
                    <w:pStyle w:val="134"/>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有毒有害和易燃易爆危险物质存储量超过临界量的建设项目</w:t>
                  </w:r>
                </w:p>
              </w:tc>
              <w:tc>
                <w:tcPr>
                  <w:tcW w:w="2303" w:type="pct"/>
                  <w:tcBorders>
                    <w:tl2br w:val="nil"/>
                    <w:tr2bl w:val="nil"/>
                  </w:tcBorders>
                  <w:noWrap w:val="0"/>
                  <w:vAlign w:val="center"/>
                </w:tcPr>
                <w:p w14:paraId="2FBFD974">
                  <w:pPr>
                    <w:pStyle w:val="134"/>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本项目有毒有害</w:t>
                  </w:r>
                  <w:r>
                    <w:rPr>
                      <w:rFonts w:hint="eastAsia" w:ascii="Times New Roman" w:hAnsi="Times New Roman" w:eastAsia="宋体" w:cs="Times New Roman"/>
                      <w:color w:val="auto"/>
                      <w:sz w:val="21"/>
                      <w:szCs w:val="21"/>
                      <w:highlight w:val="none"/>
                      <w:lang w:val="en-US" w:eastAsia="zh-CN"/>
                    </w:rPr>
                    <w:t>和易燃易爆危险物质</w:t>
                  </w:r>
                  <w:r>
                    <w:rPr>
                      <w:rFonts w:hint="eastAsia" w:cs="Times New Roman"/>
                      <w:color w:val="auto"/>
                      <w:sz w:val="21"/>
                      <w:szCs w:val="21"/>
                      <w:highlight w:val="none"/>
                      <w:lang w:val="en-US" w:eastAsia="zh-CN"/>
                    </w:rPr>
                    <w:t>存储量不超过该临界值</w:t>
                  </w:r>
                  <w:r>
                    <w:rPr>
                      <w:rFonts w:hint="eastAsia" w:ascii="Times New Roman" w:hAnsi="Times New Roman" w:eastAsia="宋体" w:cs="Times New Roman"/>
                      <w:color w:val="auto"/>
                      <w:sz w:val="21"/>
                      <w:szCs w:val="21"/>
                      <w:highlight w:val="none"/>
                      <w:lang w:val="en-US" w:eastAsia="zh-CN"/>
                    </w:rPr>
                    <w:t>。</w:t>
                  </w:r>
                </w:p>
              </w:tc>
              <w:tc>
                <w:tcPr>
                  <w:tcW w:w="638" w:type="pct"/>
                  <w:tcBorders>
                    <w:tl2br w:val="nil"/>
                    <w:tr2bl w:val="nil"/>
                  </w:tcBorders>
                  <w:noWrap w:val="0"/>
                  <w:vAlign w:val="center"/>
                </w:tcPr>
                <w:p w14:paraId="4E66580A">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否</w:t>
                  </w:r>
                </w:p>
              </w:tc>
            </w:tr>
            <w:tr w14:paraId="3B265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587" w:type="pct"/>
                  <w:tcBorders>
                    <w:tl2br w:val="nil"/>
                    <w:tr2bl w:val="nil"/>
                  </w:tcBorders>
                  <w:noWrap w:val="0"/>
                  <w:vAlign w:val="center"/>
                </w:tcPr>
                <w:p w14:paraId="608B108F">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tc>
              <w:tc>
                <w:tcPr>
                  <w:tcW w:w="1469" w:type="pct"/>
                  <w:tcBorders>
                    <w:tl2br w:val="nil"/>
                    <w:tr2bl w:val="nil"/>
                  </w:tcBorders>
                  <w:noWrap w:val="0"/>
                  <w:vAlign w:val="center"/>
                </w:tcPr>
                <w:p w14:paraId="380CA2C2">
                  <w:pPr>
                    <w:pStyle w:val="134"/>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取水口下游500米范围内有重要水生生物的自然产卵场、索饵场、越冬场和洄游通道的新增河道取水的污染类建设项目</w:t>
                  </w:r>
                </w:p>
              </w:tc>
              <w:tc>
                <w:tcPr>
                  <w:tcW w:w="2303" w:type="pct"/>
                  <w:tcBorders>
                    <w:tl2br w:val="nil"/>
                    <w:tr2bl w:val="nil"/>
                  </w:tcBorders>
                  <w:noWrap w:val="0"/>
                  <w:vAlign w:val="center"/>
                </w:tcPr>
                <w:p w14:paraId="4EDE4C9F">
                  <w:pPr>
                    <w:pStyle w:val="134"/>
                    <w:keepNext w:val="0"/>
                    <w:keepLines w:val="0"/>
                    <w:suppressLineNumbers w:val="0"/>
                    <w:bidi w:val="0"/>
                    <w:spacing w:before="0" w:beforeAutospacing="0" w:after="0" w:afterAutospacing="0"/>
                    <w:ind w:left="0" w:right="0"/>
                    <w:jc w:val="both"/>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用水</w:t>
                  </w:r>
                  <w:r>
                    <w:rPr>
                      <w:rFonts w:hint="default" w:ascii="Times New Roman" w:hAnsi="Times New Roman" w:eastAsia="宋体" w:cs="Times New Roman"/>
                      <w:b w:val="0"/>
                      <w:bCs w:val="0"/>
                      <w:iCs/>
                      <w:color w:val="auto"/>
                      <w:kern w:val="2"/>
                      <w:sz w:val="21"/>
                      <w:szCs w:val="21"/>
                      <w:highlight w:val="none"/>
                      <w:lang w:val="en-US" w:eastAsia="zh-CN" w:bidi="ar-SA"/>
                    </w:rPr>
                    <w:t>由市政给水管</w:t>
                  </w:r>
                  <w:r>
                    <w:rPr>
                      <w:rFonts w:hint="eastAsia" w:cs="Times New Roman"/>
                      <w:b w:val="0"/>
                      <w:bCs w:val="0"/>
                      <w:iCs/>
                      <w:color w:val="auto"/>
                      <w:kern w:val="2"/>
                      <w:sz w:val="21"/>
                      <w:szCs w:val="21"/>
                      <w:highlight w:val="none"/>
                      <w:lang w:val="en-US" w:eastAsia="zh-CN" w:bidi="ar-SA"/>
                    </w:rPr>
                    <w:t>网</w:t>
                  </w:r>
                  <w:r>
                    <w:rPr>
                      <w:rFonts w:hint="default" w:ascii="Times New Roman" w:hAnsi="Times New Roman" w:eastAsia="宋体" w:cs="Times New Roman"/>
                      <w:b w:val="0"/>
                      <w:bCs w:val="0"/>
                      <w:iCs/>
                      <w:color w:val="auto"/>
                      <w:kern w:val="2"/>
                      <w:sz w:val="21"/>
                      <w:szCs w:val="21"/>
                      <w:highlight w:val="none"/>
                      <w:lang w:val="en-US" w:eastAsia="zh-CN" w:bidi="ar-SA"/>
                    </w:rPr>
                    <w:t>供给</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不</w:t>
                  </w:r>
                  <w:r>
                    <w:rPr>
                      <w:rFonts w:hint="default" w:ascii="Times New Roman" w:hAnsi="Times New Roman" w:eastAsia="宋体" w:cs="Times New Roman"/>
                      <w:color w:val="auto"/>
                      <w:sz w:val="21"/>
                      <w:szCs w:val="21"/>
                      <w:highlight w:val="none"/>
                    </w:rPr>
                    <w:t>设置取水口</w:t>
                  </w:r>
                  <w:r>
                    <w:rPr>
                      <w:rFonts w:hint="eastAsia" w:ascii="Times New Roman" w:hAnsi="Times New Roman" w:eastAsia="宋体" w:cs="Times New Roman"/>
                      <w:color w:val="auto"/>
                      <w:sz w:val="21"/>
                      <w:szCs w:val="21"/>
                      <w:highlight w:val="none"/>
                      <w:lang w:eastAsia="zh-CN"/>
                    </w:rPr>
                    <w:t>。</w:t>
                  </w:r>
                </w:p>
              </w:tc>
              <w:tc>
                <w:tcPr>
                  <w:tcW w:w="638" w:type="pct"/>
                  <w:tcBorders>
                    <w:tl2br w:val="nil"/>
                    <w:tr2bl w:val="nil"/>
                  </w:tcBorders>
                  <w:noWrap w:val="0"/>
                  <w:vAlign w:val="center"/>
                </w:tcPr>
                <w:p w14:paraId="07EB75EC">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否</w:t>
                  </w:r>
                </w:p>
              </w:tc>
            </w:tr>
            <w:tr w14:paraId="7DD7AA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64" w:hRule="atLeast"/>
                <w:tblHeader/>
                <w:jc w:val="center"/>
              </w:trPr>
              <w:tc>
                <w:tcPr>
                  <w:tcW w:w="587" w:type="pct"/>
                  <w:tcBorders>
                    <w:tl2br w:val="nil"/>
                    <w:tr2bl w:val="nil"/>
                  </w:tcBorders>
                  <w:noWrap w:val="0"/>
                  <w:vAlign w:val="center"/>
                </w:tcPr>
                <w:p w14:paraId="741DD63C">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海洋</w:t>
                  </w:r>
                </w:p>
              </w:tc>
              <w:tc>
                <w:tcPr>
                  <w:tcW w:w="1469" w:type="pct"/>
                  <w:tcBorders>
                    <w:tl2br w:val="nil"/>
                    <w:tr2bl w:val="nil"/>
                  </w:tcBorders>
                  <w:noWrap w:val="0"/>
                  <w:vAlign w:val="center"/>
                </w:tcPr>
                <w:p w14:paraId="515252BD">
                  <w:pPr>
                    <w:pStyle w:val="134"/>
                    <w:keepNext w:val="0"/>
                    <w:keepLines w:val="0"/>
                    <w:suppressLineNumbers w:val="0"/>
                    <w:bidi w:val="0"/>
                    <w:spacing w:before="0" w:beforeAutospacing="0" w:after="0" w:afterAutospacing="0"/>
                    <w:ind w:left="0" w:right="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直接向海排放污染物的海洋工程建设项目</w:t>
                  </w:r>
                </w:p>
              </w:tc>
              <w:tc>
                <w:tcPr>
                  <w:tcW w:w="2303" w:type="pct"/>
                  <w:tcBorders>
                    <w:tl2br w:val="nil"/>
                    <w:tr2bl w:val="nil"/>
                  </w:tcBorders>
                  <w:noWrap w:val="0"/>
                  <w:vAlign w:val="center"/>
                </w:tcPr>
                <w:p w14:paraId="1C55F227">
                  <w:pPr>
                    <w:pStyle w:val="134"/>
                    <w:keepNext w:val="0"/>
                    <w:keepLines w:val="0"/>
                    <w:suppressLineNumbers w:val="0"/>
                    <w:bidi w:val="0"/>
                    <w:spacing w:before="0" w:beforeAutospacing="0" w:after="0" w:afterAutospacing="0"/>
                    <w:ind w:left="0" w:right="0"/>
                    <w:jc w:val="left"/>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本项目不属于海洋工程建设项目</w:t>
                  </w:r>
                  <w:r>
                    <w:rPr>
                      <w:rFonts w:hint="eastAsia" w:ascii="Times New Roman" w:hAnsi="Times New Roman" w:eastAsia="宋体" w:cs="Times New Roman"/>
                      <w:color w:val="auto"/>
                      <w:sz w:val="21"/>
                      <w:szCs w:val="21"/>
                      <w:highlight w:val="none"/>
                      <w:lang w:eastAsia="zh-CN"/>
                    </w:rPr>
                    <w:t>。</w:t>
                  </w:r>
                </w:p>
              </w:tc>
              <w:tc>
                <w:tcPr>
                  <w:tcW w:w="638" w:type="pct"/>
                  <w:tcBorders>
                    <w:tl2br w:val="nil"/>
                    <w:tr2bl w:val="nil"/>
                  </w:tcBorders>
                  <w:noWrap w:val="0"/>
                  <w:vAlign w:val="center"/>
                </w:tcPr>
                <w:p w14:paraId="4CE3E12E">
                  <w:pPr>
                    <w:pStyle w:val="134"/>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否</w:t>
                  </w:r>
                </w:p>
              </w:tc>
            </w:tr>
          </w:tbl>
          <w:p w14:paraId="69D5C07D">
            <w:pPr>
              <w:autoSpaceDE w:val="0"/>
              <w:autoSpaceDN w:val="0"/>
              <w:adjustRightInd w:val="0"/>
              <w:snapToGrid w:val="0"/>
              <w:jc w:val="center"/>
              <w:rPr>
                <w:color w:val="auto"/>
                <w:kern w:val="0"/>
                <w:szCs w:val="21"/>
                <w:highlight w:val="none"/>
              </w:rPr>
            </w:pPr>
          </w:p>
        </w:tc>
      </w:tr>
      <w:tr w14:paraId="363C2F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5" w:hRule="atLeast"/>
          <w:jc w:val="center"/>
        </w:trPr>
        <w:tc>
          <w:tcPr>
            <w:tcW w:w="1631" w:type="dxa"/>
            <w:vAlign w:val="center"/>
          </w:tcPr>
          <w:p w14:paraId="23502DF9">
            <w:pPr>
              <w:autoSpaceDE w:val="0"/>
              <w:autoSpaceDN w:val="0"/>
              <w:adjustRightInd w:val="0"/>
              <w:snapToGrid w:val="0"/>
              <w:jc w:val="center"/>
              <w:rPr>
                <w:color w:val="auto"/>
                <w:kern w:val="0"/>
                <w:szCs w:val="21"/>
                <w:highlight w:val="none"/>
              </w:rPr>
            </w:pPr>
            <w:r>
              <w:rPr>
                <w:color w:val="auto"/>
                <w:szCs w:val="21"/>
                <w:highlight w:val="none"/>
              </w:rPr>
              <w:t>规划情况</w:t>
            </w:r>
          </w:p>
        </w:tc>
        <w:tc>
          <w:tcPr>
            <w:tcW w:w="7239" w:type="dxa"/>
            <w:gridSpan w:val="3"/>
            <w:vAlign w:val="center"/>
          </w:tcPr>
          <w:p w14:paraId="7E8EEF1D">
            <w:pPr>
              <w:pStyle w:val="44"/>
              <w:spacing w:line="360" w:lineRule="auto"/>
              <w:ind w:firstLine="0" w:firstLineChars="0"/>
              <w:rPr>
                <w:rFonts w:hint="eastAsia"/>
                <w:color w:val="auto"/>
                <w:sz w:val="24"/>
                <w:szCs w:val="24"/>
                <w:highlight w:val="none"/>
              </w:rPr>
            </w:pPr>
            <w:r>
              <w:rPr>
                <w:rFonts w:hint="eastAsia"/>
                <w:color w:val="auto"/>
                <w:sz w:val="24"/>
                <w:szCs w:val="24"/>
                <w:highlight w:val="none"/>
              </w:rPr>
              <w:t>规划名称：《福清融侨经济技术开发区总体规划</w:t>
            </w:r>
            <w:r>
              <w:rPr>
                <w:rFonts w:hint="eastAsia"/>
                <w:color w:val="auto"/>
                <w:sz w:val="24"/>
                <w:szCs w:val="24"/>
                <w:highlight w:val="none"/>
                <w:lang w:eastAsia="zh-CN"/>
              </w:rPr>
              <w:t>(</w:t>
            </w:r>
            <w:r>
              <w:rPr>
                <w:rFonts w:hint="eastAsia"/>
                <w:color w:val="auto"/>
                <w:sz w:val="24"/>
                <w:szCs w:val="24"/>
                <w:highlight w:val="none"/>
              </w:rPr>
              <w:t>2018</w:t>
            </w:r>
            <w:r>
              <w:rPr>
                <w:rFonts w:hint="eastAsia"/>
                <w:color w:val="auto"/>
                <w:sz w:val="24"/>
                <w:szCs w:val="24"/>
                <w:highlight w:val="none"/>
                <w:lang w:eastAsia="zh-CN"/>
              </w:rPr>
              <w:t>—</w:t>
            </w:r>
            <w:r>
              <w:rPr>
                <w:rFonts w:hint="eastAsia"/>
                <w:color w:val="auto"/>
                <w:sz w:val="24"/>
                <w:szCs w:val="24"/>
                <w:highlight w:val="none"/>
              </w:rPr>
              <w:t>2035年</w:t>
            </w:r>
            <w:r>
              <w:rPr>
                <w:rFonts w:hint="eastAsia"/>
                <w:color w:val="auto"/>
                <w:sz w:val="24"/>
                <w:szCs w:val="24"/>
                <w:highlight w:val="none"/>
                <w:lang w:eastAsia="zh-CN"/>
              </w:rPr>
              <w:t>)</w:t>
            </w:r>
            <w:r>
              <w:rPr>
                <w:rFonts w:hint="eastAsia"/>
                <w:color w:val="auto"/>
                <w:sz w:val="24"/>
                <w:szCs w:val="24"/>
                <w:highlight w:val="none"/>
              </w:rPr>
              <w:t>》</w:t>
            </w:r>
          </w:p>
          <w:p w14:paraId="18F52BCD">
            <w:pPr>
              <w:pStyle w:val="44"/>
              <w:spacing w:line="360" w:lineRule="auto"/>
              <w:ind w:firstLine="0" w:firstLineChars="0"/>
              <w:rPr>
                <w:rFonts w:hint="eastAsia"/>
                <w:color w:val="auto"/>
                <w:sz w:val="24"/>
                <w:szCs w:val="24"/>
                <w:highlight w:val="none"/>
                <w:lang w:val="en-US" w:eastAsia="zh-CN"/>
              </w:rPr>
            </w:pPr>
            <w:r>
              <w:rPr>
                <w:rFonts w:hint="eastAsia"/>
                <w:color w:val="auto"/>
                <w:sz w:val="24"/>
                <w:szCs w:val="24"/>
                <w:highlight w:val="none"/>
              </w:rPr>
              <w:t>审批机关：</w:t>
            </w:r>
            <w:r>
              <w:rPr>
                <w:rFonts w:hint="eastAsia"/>
                <w:color w:val="auto"/>
                <w:sz w:val="24"/>
                <w:szCs w:val="24"/>
                <w:highlight w:val="none"/>
                <w:lang w:val="en-US" w:eastAsia="zh-CN"/>
              </w:rPr>
              <w:t>福清市人民政府</w:t>
            </w:r>
          </w:p>
          <w:p w14:paraId="62217FE4">
            <w:pPr>
              <w:pStyle w:val="44"/>
              <w:spacing w:line="360" w:lineRule="auto"/>
              <w:ind w:firstLine="0" w:firstLineChars="0"/>
              <w:rPr>
                <w:rFonts w:hint="eastAsia"/>
                <w:color w:val="auto"/>
                <w:sz w:val="24"/>
                <w:szCs w:val="24"/>
                <w:highlight w:val="none"/>
                <w:lang w:val="en-US" w:eastAsia="zh-CN"/>
              </w:rPr>
            </w:pPr>
            <w:r>
              <w:rPr>
                <w:rFonts w:hint="eastAsia"/>
                <w:color w:val="auto"/>
                <w:sz w:val="24"/>
                <w:szCs w:val="24"/>
                <w:highlight w:val="none"/>
              </w:rPr>
              <w:t>审批文件名称及文号：《福清市人民政府关于同意融侨经济技术开发区总体规划</w:t>
            </w:r>
            <w:r>
              <w:rPr>
                <w:rFonts w:hint="eastAsia"/>
                <w:color w:val="auto"/>
                <w:sz w:val="24"/>
                <w:szCs w:val="24"/>
                <w:highlight w:val="none"/>
                <w:lang w:eastAsia="zh-CN"/>
              </w:rPr>
              <w:t>(</w:t>
            </w:r>
            <w:r>
              <w:rPr>
                <w:rFonts w:hint="eastAsia"/>
                <w:color w:val="auto"/>
                <w:sz w:val="24"/>
                <w:szCs w:val="24"/>
                <w:highlight w:val="none"/>
              </w:rPr>
              <w:t>2018</w:t>
            </w:r>
            <w:r>
              <w:rPr>
                <w:rFonts w:hint="eastAsia"/>
                <w:color w:val="auto"/>
                <w:sz w:val="24"/>
                <w:szCs w:val="24"/>
                <w:highlight w:val="none"/>
                <w:lang w:eastAsia="zh-CN"/>
              </w:rPr>
              <w:t>—</w:t>
            </w:r>
            <w:r>
              <w:rPr>
                <w:rFonts w:hint="eastAsia"/>
                <w:color w:val="auto"/>
                <w:sz w:val="24"/>
                <w:szCs w:val="24"/>
                <w:highlight w:val="none"/>
              </w:rPr>
              <w:t>2035年</w:t>
            </w:r>
            <w:r>
              <w:rPr>
                <w:rFonts w:hint="eastAsia"/>
                <w:color w:val="auto"/>
                <w:sz w:val="24"/>
                <w:szCs w:val="24"/>
                <w:highlight w:val="none"/>
                <w:lang w:eastAsia="zh-CN"/>
              </w:rPr>
              <w:t>)</w:t>
            </w:r>
            <w:r>
              <w:rPr>
                <w:rFonts w:hint="eastAsia"/>
                <w:color w:val="auto"/>
                <w:sz w:val="24"/>
                <w:szCs w:val="24"/>
                <w:highlight w:val="none"/>
              </w:rPr>
              <w:t>编制范围的批复》</w:t>
            </w:r>
            <w:r>
              <w:rPr>
                <w:rFonts w:hint="eastAsia"/>
                <w:color w:val="auto"/>
                <w:sz w:val="24"/>
                <w:szCs w:val="24"/>
                <w:highlight w:val="none"/>
                <w:lang w:eastAsia="zh-CN"/>
              </w:rPr>
              <w:t>(</w:t>
            </w:r>
            <w:r>
              <w:rPr>
                <w:rFonts w:hint="eastAsia"/>
                <w:color w:val="auto"/>
                <w:sz w:val="24"/>
                <w:szCs w:val="24"/>
                <w:highlight w:val="none"/>
              </w:rPr>
              <w:t>融政综〔2019〕189号</w:t>
            </w:r>
            <w:r>
              <w:rPr>
                <w:rFonts w:hint="eastAsia"/>
                <w:color w:val="auto"/>
                <w:sz w:val="24"/>
                <w:szCs w:val="24"/>
                <w:highlight w:val="none"/>
                <w:lang w:eastAsia="zh-CN"/>
              </w:rPr>
              <w:t>)</w:t>
            </w:r>
          </w:p>
        </w:tc>
      </w:tr>
      <w:tr w14:paraId="18531A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84" w:hRule="atLeast"/>
          <w:jc w:val="center"/>
        </w:trPr>
        <w:tc>
          <w:tcPr>
            <w:tcW w:w="1631" w:type="dxa"/>
            <w:vAlign w:val="center"/>
          </w:tcPr>
          <w:p w14:paraId="431F7F8B">
            <w:pPr>
              <w:adjustRightInd w:val="0"/>
              <w:snapToGrid w:val="0"/>
              <w:jc w:val="center"/>
              <w:rPr>
                <w:color w:val="auto"/>
                <w:szCs w:val="21"/>
                <w:highlight w:val="none"/>
              </w:rPr>
            </w:pPr>
            <w:r>
              <w:rPr>
                <w:color w:val="auto"/>
                <w:szCs w:val="21"/>
                <w:highlight w:val="none"/>
              </w:rPr>
              <w:t>规划环境影响</w:t>
            </w:r>
          </w:p>
          <w:p w14:paraId="5E8E89C0">
            <w:pPr>
              <w:adjustRightInd w:val="0"/>
              <w:snapToGrid w:val="0"/>
              <w:jc w:val="center"/>
              <w:rPr>
                <w:color w:val="auto"/>
                <w:kern w:val="0"/>
                <w:szCs w:val="21"/>
                <w:highlight w:val="none"/>
              </w:rPr>
            </w:pPr>
            <w:r>
              <w:rPr>
                <w:color w:val="auto"/>
                <w:szCs w:val="21"/>
                <w:highlight w:val="none"/>
              </w:rPr>
              <w:t>评价情况</w:t>
            </w:r>
          </w:p>
        </w:tc>
        <w:tc>
          <w:tcPr>
            <w:tcW w:w="7239" w:type="dxa"/>
            <w:gridSpan w:val="3"/>
            <w:vAlign w:val="center"/>
          </w:tcPr>
          <w:p w14:paraId="0C57BFBF">
            <w:pPr>
              <w:pStyle w:val="44"/>
              <w:keepNext w:val="0"/>
              <w:keepLines w:val="0"/>
              <w:pageBreakBefore w:val="0"/>
              <w:widowControl w:val="0"/>
              <w:kinsoku/>
              <w:wordWrap/>
              <w:overflowPunct/>
              <w:topLinePunct w:val="0"/>
              <w:autoSpaceDE w:val="0"/>
              <w:autoSpaceDN w:val="0"/>
              <w:bidi w:val="0"/>
              <w:adjustRightInd/>
              <w:snapToGrid/>
              <w:spacing w:line="336" w:lineRule="auto"/>
              <w:ind w:left="0" w:leftChars="0" w:firstLine="0" w:firstLineChars="0"/>
              <w:textAlignment w:val="auto"/>
              <w:rPr>
                <w:rFonts w:hint="default"/>
                <w:color w:val="auto"/>
                <w:sz w:val="24"/>
                <w:szCs w:val="24"/>
                <w:highlight w:val="none"/>
              </w:rPr>
            </w:pPr>
            <w:r>
              <w:rPr>
                <w:rFonts w:hint="default"/>
                <w:color w:val="auto"/>
                <w:sz w:val="24"/>
                <w:szCs w:val="24"/>
                <w:highlight w:val="none"/>
              </w:rPr>
              <w:t>规划环境影响评价文件名称：《福清融侨经济技术开发区总体规划</w:t>
            </w:r>
            <w:r>
              <w:rPr>
                <w:rFonts w:hint="eastAsia"/>
                <w:color w:val="auto"/>
                <w:sz w:val="24"/>
                <w:szCs w:val="24"/>
                <w:highlight w:val="none"/>
                <w:lang w:eastAsia="zh-CN"/>
              </w:rPr>
              <w:t>(</w:t>
            </w:r>
            <w:r>
              <w:rPr>
                <w:rFonts w:hint="default"/>
                <w:color w:val="auto"/>
                <w:sz w:val="24"/>
                <w:szCs w:val="24"/>
                <w:highlight w:val="none"/>
              </w:rPr>
              <w:t>2018-2035</w:t>
            </w:r>
            <w:r>
              <w:rPr>
                <w:rFonts w:hint="eastAsia"/>
                <w:color w:val="auto"/>
                <w:sz w:val="24"/>
                <w:szCs w:val="24"/>
                <w:highlight w:val="none"/>
                <w:lang w:eastAsia="zh-CN"/>
              </w:rPr>
              <w:t>)</w:t>
            </w:r>
            <w:r>
              <w:rPr>
                <w:rFonts w:hint="default"/>
                <w:color w:val="auto"/>
                <w:sz w:val="24"/>
                <w:szCs w:val="24"/>
                <w:highlight w:val="none"/>
              </w:rPr>
              <w:t>环境影响报告书》</w:t>
            </w:r>
          </w:p>
          <w:p w14:paraId="615A4FCA">
            <w:pPr>
              <w:pStyle w:val="44"/>
              <w:keepNext w:val="0"/>
              <w:keepLines w:val="0"/>
              <w:pageBreakBefore w:val="0"/>
              <w:widowControl w:val="0"/>
              <w:kinsoku/>
              <w:wordWrap/>
              <w:overflowPunct/>
              <w:topLinePunct w:val="0"/>
              <w:autoSpaceDE w:val="0"/>
              <w:autoSpaceDN w:val="0"/>
              <w:bidi w:val="0"/>
              <w:adjustRightInd/>
              <w:snapToGrid/>
              <w:spacing w:line="336" w:lineRule="auto"/>
              <w:ind w:left="0" w:leftChars="0" w:firstLine="0" w:firstLineChars="0"/>
              <w:textAlignment w:val="auto"/>
              <w:rPr>
                <w:rFonts w:hint="default"/>
                <w:color w:val="auto"/>
                <w:sz w:val="24"/>
                <w:szCs w:val="24"/>
                <w:highlight w:val="none"/>
              </w:rPr>
            </w:pPr>
            <w:r>
              <w:rPr>
                <w:rFonts w:hint="default"/>
                <w:color w:val="auto"/>
                <w:sz w:val="24"/>
                <w:szCs w:val="24"/>
                <w:highlight w:val="none"/>
              </w:rPr>
              <w:t>审查机关：</w:t>
            </w:r>
            <w:r>
              <w:rPr>
                <w:rFonts w:hint="default"/>
                <w:color w:val="auto"/>
                <w:sz w:val="24"/>
                <w:szCs w:val="24"/>
                <w:highlight w:val="none"/>
                <w:lang w:val="en-US" w:eastAsia="zh-CN"/>
              </w:rPr>
              <w:t>中华人民共和国</w:t>
            </w:r>
            <w:r>
              <w:rPr>
                <w:rFonts w:hint="default"/>
                <w:color w:val="auto"/>
                <w:sz w:val="24"/>
                <w:szCs w:val="24"/>
                <w:highlight w:val="none"/>
              </w:rPr>
              <w:t>生态环境部</w:t>
            </w:r>
          </w:p>
          <w:p w14:paraId="47662605">
            <w:pPr>
              <w:pStyle w:val="44"/>
              <w:keepNext w:val="0"/>
              <w:keepLines w:val="0"/>
              <w:pageBreakBefore w:val="0"/>
              <w:widowControl w:val="0"/>
              <w:kinsoku/>
              <w:wordWrap/>
              <w:overflowPunct/>
              <w:topLinePunct w:val="0"/>
              <w:autoSpaceDE w:val="0"/>
              <w:autoSpaceDN w:val="0"/>
              <w:bidi w:val="0"/>
              <w:adjustRightInd/>
              <w:snapToGrid/>
              <w:spacing w:line="336" w:lineRule="auto"/>
              <w:ind w:left="0" w:leftChars="0" w:firstLine="0" w:firstLineChars="0"/>
              <w:textAlignment w:val="auto"/>
              <w:rPr>
                <w:color w:val="auto"/>
                <w:sz w:val="24"/>
                <w:szCs w:val="24"/>
                <w:highlight w:val="none"/>
              </w:rPr>
            </w:pPr>
            <w:r>
              <w:rPr>
                <w:rFonts w:hint="default"/>
                <w:color w:val="auto"/>
                <w:sz w:val="24"/>
                <w:szCs w:val="24"/>
                <w:highlight w:val="none"/>
              </w:rPr>
              <w:t>审查文件名称及文号：《福清融侨经济技术开发区总体规划</w:t>
            </w:r>
            <w:r>
              <w:rPr>
                <w:rFonts w:hint="eastAsia"/>
                <w:color w:val="auto"/>
                <w:sz w:val="24"/>
                <w:szCs w:val="24"/>
                <w:highlight w:val="none"/>
                <w:lang w:eastAsia="zh-CN"/>
              </w:rPr>
              <w:t>(</w:t>
            </w:r>
            <w:r>
              <w:rPr>
                <w:rFonts w:hint="default"/>
                <w:color w:val="auto"/>
                <w:sz w:val="24"/>
                <w:szCs w:val="24"/>
                <w:highlight w:val="none"/>
              </w:rPr>
              <w:t>2018-2035</w:t>
            </w:r>
            <w:r>
              <w:rPr>
                <w:rFonts w:hint="eastAsia"/>
                <w:color w:val="auto"/>
                <w:sz w:val="24"/>
                <w:szCs w:val="24"/>
                <w:highlight w:val="none"/>
                <w:lang w:eastAsia="zh-CN"/>
              </w:rPr>
              <w:t>)</w:t>
            </w:r>
            <w:r>
              <w:rPr>
                <w:rFonts w:hint="default"/>
                <w:color w:val="auto"/>
                <w:sz w:val="24"/>
                <w:szCs w:val="24"/>
                <w:highlight w:val="none"/>
              </w:rPr>
              <w:t>环境影响报告书》</w:t>
            </w:r>
            <w:r>
              <w:rPr>
                <w:rFonts w:hint="eastAsia"/>
                <w:color w:val="auto"/>
                <w:sz w:val="24"/>
                <w:szCs w:val="24"/>
                <w:highlight w:val="none"/>
                <w:lang w:eastAsia="zh-CN"/>
              </w:rPr>
              <w:t>(</w:t>
            </w:r>
            <w:r>
              <w:rPr>
                <w:rFonts w:hint="default"/>
                <w:color w:val="auto"/>
                <w:sz w:val="24"/>
                <w:szCs w:val="24"/>
                <w:highlight w:val="none"/>
              </w:rPr>
              <w:t>环审</w:t>
            </w:r>
            <w:r>
              <w:rPr>
                <w:rFonts w:hint="eastAsia"/>
                <w:color w:val="auto"/>
                <w:sz w:val="24"/>
                <w:szCs w:val="24"/>
                <w:highlight w:val="none"/>
                <w:lang w:eastAsia="zh-CN"/>
              </w:rPr>
              <w:t>〔2020〕80号)</w:t>
            </w:r>
          </w:p>
        </w:tc>
      </w:tr>
      <w:tr w14:paraId="01940C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1" w:type="dxa"/>
            <w:vAlign w:val="center"/>
          </w:tcPr>
          <w:p w14:paraId="1E983961">
            <w:pPr>
              <w:autoSpaceDE w:val="0"/>
              <w:autoSpaceDN w:val="0"/>
              <w:adjustRightInd w:val="0"/>
              <w:snapToGrid w:val="0"/>
              <w:jc w:val="center"/>
              <w:rPr>
                <w:color w:val="auto"/>
                <w:kern w:val="0"/>
                <w:szCs w:val="21"/>
                <w:highlight w:val="none"/>
              </w:rPr>
            </w:pPr>
            <w:r>
              <w:rPr>
                <w:color w:val="auto"/>
                <w:kern w:val="0"/>
                <w:szCs w:val="21"/>
                <w:highlight w:val="none"/>
              </w:rPr>
              <w:t>规划及规划环境影响评价符合性分析</w:t>
            </w:r>
          </w:p>
        </w:tc>
        <w:tc>
          <w:tcPr>
            <w:tcW w:w="7239" w:type="dxa"/>
            <w:gridSpan w:val="3"/>
            <w:vAlign w:val="center"/>
          </w:tcPr>
          <w:p w14:paraId="695B4F54">
            <w:pPr>
              <w:pStyle w:val="3"/>
              <w:numPr>
                <w:ilvl w:val="1"/>
                <w:numId w:val="0"/>
              </w:numPr>
              <w:bidi w:val="0"/>
              <w:ind w:leftChars="0"/>
              <w:rPr>
                <w:color w:val="auto"/>
              </w:rPr>
            </w:pPr>
            <w:r>
              <w:rPr>
                <w:rFonts w:hint="eastAsia"/>
                <w:color w:val="auto"/>
                <w:lang w:val="en-US" w:eastAsia="zh-CN"/>
              </w:rPr>
              <w:t>1.1</w:t>
            </w:r>
            <w:r>
              <w:rPr>
                <w:rFonts w:hint="eastAsia"/>
                <w:color w:val="auto"/>
              </w:rPr>
              <w:t>与《福清融侨经济技术开发区总体规划</w:t>
            </w:r>
            <w:r>
              <w:rPr>
                <w:rFonts w:hint="eastAsia"/>
                <w:color w:val="auto"/>
                <w:lang w:eastAsia="zh-CN"/>
              </w:rPr>
              <w:t>(</w:t>
            </w:r>
            <w:r>
              <w:rPr>
                <w:rFonts w:hint="eastAsia"/>
                <w:color w:val="auto"/>
              </w:rPr>
              <w:t>2018</w:t>
            </w:r>
            <w:r>
              <w:rPr>
                <w:rFonts w:hint="eastAsia"/>
                <w:color w:val="auto"/>
                <w:lang w:eastAsia="zh-CN"/>
              </w:rPr>
              <w:t>—</w:t>
            </w:r>
            <w:r>
              <w:rPr>
                <w:rFonts w:hint="eastAsia"/>
                <w:color w:val="auto"/>
              </w:rPr>
              <w:t>2035年</w:t>
            </w:r>
            <w:r>
              <w:rPr>
                <w:rFonts w:hint="eastAsia"/>
                <w:color w:val="auto"/>
                <w:lang w:eastAsia="zh-CN"/>
              </w:rPr>
              <w:t>)</w:t>
            </w:r>
            <w:r>
              <w:rPr>
                <w:rFonts w:hint="eastAsia"/>
                <w:color w:val="auto"/>
              </w:rPr>
              <w:t>》符合性分析</w:t>
            </w:r>
          </w:p>
          <w:p w14:paraId="21A72AC5">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bookmarkStart w:id="7" w:name="_Ref28380"/>
            <w:r>
              <w:rPr>
                <w:rFonts w:hint="eastAsia" w:ascii="Times New Roman" w:hAnsi="Times New Roman" w:eastAsia="宋体"/>
                <w:color w:val="auto"/>
                <w:sz w:val="24"/>
                <w:highlight w:val="none"/>
                <w:lang w:val="en-US" w:eastAsia="zh-CN"/>
              </w:rPr>
              <w:t>总体规划有关内容：“</w:t>
            </w:r>
            <w:r>
              <w:rPr>
                <w:rFonts w:hint="eastAsia" w:ascii="Times New Roman" w:hAnsi="Times New Roman" w:eastAsia="宋体" w:cs="微软雅黑"/>
                <w:color w:val="auto"/>
                <w:sz w:val="24"/>
                <w:highlight w:val="none"/>
                <w:lang w:val="en-US" w:eastAsia="zh-CN"/>
              </w:rPr>
              <w:t>…</w:t>
            </w:r>
            <w:r>
              <w:rPr>
                <w:rFonts w:hint="eastAsia" w:ascii="Times New Roman" w:hAnsi="Times New Roman" w:eastAsia="宋体"/>
                <w:color w:val="auto"/>
                <w:sz w:val="24"/>
                <w:highlight w:val="none"/>
                <w:lang w:val="en-US" w:eastAsia="zh-CN"/>
              </w:rPr>
              <w:t>着力营造融侨经济技术开发区“现代生态开发区”的空间特色，规划整体形成“一区三园多组团”的空间结构。“一区”</w:t>
            </w:r>
            <w:r>
              <w:rPr>
                <w:rFonts w:hint="eastAsia"/>
                <w:color w:val="auto"/>
                <w:sz w:val="24"/>
                <w:highlight w:val="none"/>
                <w:lang w:val="en-US" w:eastAsia="zh-CN"/>
              </w:rPr>
              <w:t>即</w:t>
            </w:r>
            <w:r>
              <w:rPr>
                <w:rFonts w:hint="eastAsia" w:ascii="Times New Roman" w:hAnsi="Times New Roman" w:eastAsia="宋体"/>
                <w:color w:val="auto"/>
                <w:sz w:val="24"/>
                <w:highlight w:val="none"/>
                <w:lang w:val="en-US" w:eastAsia="zh-CN"/>
              </w:rPr>
              <w:t>融侨经济技术开发区。利用国家级开发区品牌，充分释放“五区叠加、一区毗邻”政策优势，以空间转型引领开发区的新一轮跨越发展。“三园”</w:t>
            </w:r>
            <w:r>
              <w:rPr>
                <w:rFonts w:hint="eastAsia"/>
                <w:color w:val="auto"/>
                <w:sz w:val="24"/>
                <w:highlight w:val="none"/>
                <w:lang w:val="en-US" w:eastAsia="zh-CN"/>
              </w:rPr>
              <w:t>即</w:t>
            </w:r>
            <w:r>
              <w:rPr>
                <w:rFonts w:hint="eastAsia" w:ascii="Times New Roman" w:hAnsi="Times New Roman" w:eastAsia="宋体"/>
                <w:color w:val="auto"/>
                <w:sz w:val="24"/>
                <w:highlight w:val="none"/>
                <w:lang w:val="en-US" w:eastAsia="zh-CN"/>
              </w:rPr>
              <w:t>中心产业园、城北产业园和南部产业园。其中中心产业园：重点发展电子信息、精密汽车部件等产业，配套创新研发、文化会展、商务金融、经贸交流等具有高附加值的现代服务业功能，打造成为开发区内电子信息、先进制造业核心产业基地，“双创“平台、现代服务业建设核心区，形成福清市极具影响力、辐射力和竞争力的大福清“副中心”。城北产业园：依托京东方等电子信息龙头企业优势，以电子信息、光学、机械电气为主导，科技研发为支撑，突出转型升级、创新驱动、品牌带动和对台合作，建成高聚集效应、高技术水平、高带动力的高端科技创新产业园。南部产业园：依托龙头企业的强劲动力，以及沈海高速、324国道的交通区位，重点发展与电子信息、精密汽车部件、光学相关配套上下游产业，通过校企联合、企业自主创新等方式推动园区内产业转型升级。</w:t>
            </w:r>
          </w:p>
          <w:p w14:paraId="47738A52">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本规划分为核心区和协调区2个层次。其中：</w:t>
            </w:r>
          </w:p>
          <w:p w14:paraId="5A551151">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1</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核心区</w:t>
            </w:r>
            <w:r>
              <w:rPr>
                <w:rFonts w:hint="eastAsia"/>
                <w:color w:val="auto"/>
                <w:sz w:val="24"/>
                <w:highlight w:val="none"/>
                <w:lang w:val="en-US" w:eastAsia="zh-CN"/>
              </w:rPr>
              <w:t>即</w:t>
            </w:r>
            <w:r>
              <w:rPr>
                <w:rFonts w:hint="eastAsia" w:ascii="Times New Roman" w:hAnsi="Times New Roman" w:eastAsia="宋体"/>
                <w:color w:val="auto"/>
                <w:sz w:val="24"/>
                <w:highlight w:val="none"/>
                <w:lang w:val="en-US" w:eastAsia="zh-CN"/>
              </w:rPr>
              <w:t>国家批复的融侨经济技术开发区范围。土地面积9.19平方公里，其中宏路中心区6.4平方公里，洪宽工业村2.79平方公里。</w:t>
            </w:r>
          </w:p>
          <w:p w14:paraId="677E2D83">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2</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协调区：考虑到开发区与福清城区一体化发展，结合开发区委托代管范围，以规划《福清市城市总体规划</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2017-2035</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》为依据，进一步将规划范围向外围扩展。协调区西至福厦高速，东依福长高速，北邻作坊村，南靠纵一路环线，土地面积53.2平方公里。本规划深度按协调区进行控制。</w:t>
            </w:r>
          </w:p>
          <w:p w14:paraId="1D1213B8">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根据《福清融侨经济技术开发区总体规划</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2018—2035年</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》的“产业发展</w:t>
            </w:r>
            <w:r>
              <w:rPr>
                <w:rFonts w:hint="eastAsia"/>
                <w:color w:val="auto"/>
                <w:sz w:val="24"/>
                <w:highlight w:val="none"/>
                <w:lang w:val="en-US" w:eastAsia="zh-CN"/>
              </w:rPr>
              <w:t>-</w:t>
            </w:r>
            <w:r>
              <w:rPr>
                <w:rFonts w:hint="eastAsia" w:ascii="Times New Roman" w:hAnsi="Times New Roman" w:eastAsia="宋体"/>
                <w:color w:val="auto"/>
                <w:sz w:val="24"/>
                <w:highlight w:val="none"/>
                <w:lang w:val="en-US" w:eastAsia="zh-CN"/>
              </w:rPr>
              <w:t>第二十二条构建“3+1”的产业体系：</w:t>
            </w:r>
          </w:p>
          <w:p w14:paraId="7F9A589B">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1、三大支柱产业</w:t>
            </w:r>
          </w:p>
          <w:p w14:paraId="58F5A089">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电子信息产业：显示科技、云计算、电子元器件、光电科技、计算机与智能终端设备等。</w:t>
            </w:r>
          </w:p>
          <w:p w14:paraId="2D851BEB">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精密汽车部件产业：汽车电气电子装置、动力传动装置、汽车轴承、新能源动力电池等。</w:t>
            </w:r>
          </w:p>
          <w:p w14:paraId="7F0AE89A">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光学产业：光学部件、光通讯技术、电子光学、虚拟现实 装置等。</w:t>
            </w:r>
          </w:p>
          <w:p w14:paraId="1B61EF39">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在三大支柱产业基础之上，完善与其相关的配套产业。</w:t>
            </w:r>
          </w:p>
          <w:p w14:paraId="3176A327">
            <w:pPr>
              <w:pStyle w:val="44"/>
              <w:keepNext w:val="0"/>
              <w:keepLines w:val="0"/>
              <w:pageBreakBefore w:val="0"/>
              <w:widowControl w:val="0"/>
              <w:kinsoku/>
              <w:wordWrap/>
              <w:overflowPunct/>
              <w:topLinePunct w:val="0"/>
              <w:bidi w:val="0"/>
              <w:adjustRightInd/>
              <w:snapToGrid/>
              <w:ind w:firstLine="48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2、一项新兴产业</w:t>
            </w:r>
          </w:p>
          <w:p w14:paraId="79482EC1">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现代服务业：金融商务、总部经济、科技研发、文化创意、物流展销都市型产业与服务型制造业。”</w:t>
            </w:r>
          </w:p>
          <w:p w14:paraId="3EF7A718">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olor w:val="auto"/>
                <w:sz w:val="24"/>
                <w:highlight w:val="none"/>
                <w:lang w:val="en-US" w:eastAsia="zh-CN"/>
              </w:rPr>
            </w:pPr>
            <w:r>
              <w:rPr>
                <w:rFonts w:hint="eastAsia" w:ascii="Times New Roman" w:hAnsi="Times New Roman" w:eastAsia="宋体"/>
                <w:color w:val="auto"/>
                <w:sz w:val="24"/>
                <w:highlight w:val="none"/>
                <w:lang w:val="en-US" w:eastAsia="zh-CN"/>
              </w:rPr>
              <w:t>符合性分析：本项目位于福清市镜洋镇，《关于规范融侨开发区工业企业准入产业的函》：“融侨开发区含音西 街道、宏路街道、石竹街道、阳下街道、镜洋镇......”，因此，镜洋镇已纳入福清融侨经济开发区管理</w:t>
            </w:r>
            <w:r>
              <w:rPr>
                <w:rFonts w:hint="eastAsia" w:ascii="Times New Roman" w:hAnsi="Times New Roman"/>
                <w:color w:val="auto"/>
                <w:sz w:val="24"/>
                <w:highlight w:val="none"/>
                <w:lang w:val="en-US" w:eastAsia="zh-CN"/>
              </w:rPr>
              <w:t>(</w:t>
            </w:r>
            <w:r>
              <w:rPr>
                <w:rFonts w:hint="eastAsia" w:ascii="Times New Roman" w:hAnsi="Times New Roman" w:eastAsia="宋体"/>
                <w:color w:val="auto"/>
                <w:sz w:val="24"/>
                <w:highlight w:val="none"/>
                <w:lang w:val="en-US" w:eastAsia="zh-CN"/>
              </w:rPr>
              <w:t>托管</w:t>
            </w:r>
            <w:r>
              <w:rPr>
                <w:rFonts w:hint="eastAsia" w:ascii="Times New Roman" w:hAnsi="Times New Roman"/>
                <w:color w:val="auto"/>
                <w:sz w:val="24"/>
                <w:highlight w:val="none"/>
                <w:lang w:val="en-US" w:eastAsia="zh-CN"/>
              </w:rPr>
              <w:t>),</w:t>
            </w:r>
            <w:r>
              <w:rPr>
                <w:rFonts w:hint="eastAsia" w:ascii="Times New Roman" w:hAnsi="Times New Roman" w:eastAsia="宋体"/>
                <w:color w:val="auto"/>
                <w:sz w:val="24"/>
                <w:highlight w:val="none"/>
                <w:lang w:val="en-US" w:eastAsia="zh-CN"/>
              </w:rPr>
              <w:t>应遵循福清融侨经济开发区的产业准入要求，即“工业企业准入产业为电子信息、精密汽车部件、光学三大产业”。</w:t>
            </w:r>
          </w:p>
          <w:p w14:paraId="67675923">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color w:val="auto"/>
                <w:highlight w:val="none"/>
                <w:lang w:val="en-US" w:eastAsia="zh-CN"/>
              </w:rPr>
            </w:pPr>
            <w:r>
              <w:rPr>
                <w:rFonts w:hint="eastAsia" w:ascii="Times New Roman" w:hAnsi="Times New Roman" w:eastAsia="宋体"/>
                <w:color w:val="auto"/>
                <w:sz w:val="24"/>
                <w:highlight w:val="none"/>
                <w:lang w:val="en-US" w:eastAsia="zh-CN"/>
              </w:rPr>
              <w:t>本项目产品为汽车座椅骨架，经查询《2017年国民经济行业分类注释》</w:t>
            </w:r>
            <w:r>
              <w:rPr>
                <w:rFonts w:hint="eastAsia" w:ascii="Times New Roman" w:hAnsi="Times New Roman"/>
                <w:color w:val="auto"/>
                <w:sz w:val="24"/>
                <w:highlight w:val="none"/>
                <w:lang w:val="en-US" w:eastAsia="zh-CN"/>
              </w:rPr>
              <w:t>,</w:t>
            </w:r>
            <w:r>
              <w:rPr>
                <w:rFonts w:hint="eastAsia" w:ascii="Times New Roman" w:hAnsi="Times New Roman" w:eastAsia="宋体"/>
                <w:color w:val="auto"/>
                <w:sz w:val="24"/>
                <w:highlight w:val="none"/>
                <w:lang w:val="en-US" w:eastAsia="zh-CN"/>
              </w:rPr>
              <w:t>本项目产品属于C3670汽车零部件及配件制造，符合《福清融侨经济技术开发区总体规划</w:t>
            </w:r>
            <w:r>
              <w:rPr>
                <w:rFonts w:hint="eastAsia" w:ascii="Times New Roman" w:hAnsi="Times New Roman"/>
                <w:color w:val="auto"/>
                <w:sz w:val="24"/>
                <w:highlight w:val="none"/>
                <w:lang w:val="en-US" w:eastAsia="zh-CN"/>
              </w:rPr>
              <w:t>(</w:t>
            </w:r>
            <w:r>
              <w:rPr>
                <w:rFonts w:hint="eastAsia" w:ascii="Times New Roman" w:hAnsi="Times New Roman" w:eastAsia="宋体"/>
                <w:color w:val="auto"/>
                <w:sz w:val="24"/>
                <w:highlight w:val="none"/>
                <w:lang w:val="en-US" w:eastAsia="zh-CN"/>
              </w:rPr>
              <w:t>2018—2035年</w:t>
            </w:r>
            <w:r>
              <w:rPr>
                <w:rFonts w:hint="eastAsia" w:ascii="Times New Roman" w:hAnsi="Times New Roman"/>
                <w:color w:val="auto"/>
                <w:sz w:val="24"/>
                <w:highlight w:val="none"/>
                <w:lang w:val="en-US" w:eastAsia="zh-CN"/>
              </w:rPr>
              <w:t>)</w:t>
            </w:r>
            <w:r>
              <w:rPr>
                <w:rFonts w:hint="eastAsia" w:ascii="Times New Roman" w:hAnsi="Times New Roman" w:eastAsia="宋体"/>
                <w:color w:val="auto"/>
                <w:sz w:val="24"/>
                <w:highlight w:val="none"/>
                <w:lang w:val="en-US" w:eastAsia="zh-CN"/>
              </w:rPr>
              <w:t>》产业准入要求。</w:t>
            </w:r>
          </w:p>
          <w:bookmarkEnd w:id="7"/>
          <w:p w14:paraId="332EB637">
            <w:pPr>
              <w:pStyle w:val="3"/>
              <w:bidi w:val="0"/>
              <w:rPr>
                <w:rFonts w:hint="eastAsia"/>
                <w:color w:val="auto"/>
                <w:lang w:val="en-US" w:eastAsia="zh-CN"/>
              </w:rPr>
            </w:pPr>
            <w:r>
              <w:rPr>
                <w:rFonts w:hint="eastAsia"/>
                <w:color w:val="auto"/>
                <w:lang w:val="en-US" w:eastAsia="zh-CN"/>
              </w:rPr>
              <w:t>与《福清融侨经济技术开发区总体规划(2018—2035年)环 境影响报告书》及审查意见的符合性分析</w:t>
            </w:r>
          </w:p>
          <w:p w14:paraId="3F44F602">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color w:val="auto"/>
                <w:sz w:val="24"/>
              </w:rPr>
            </w:pPr>
            <w:r>
              <w:rPr>
                <w:rFonts w:hint="eastAsia" w:ascii="Times New Roman" w:hAnsi="Times New Roman"/>
                <w:color w:val="auto"/>
                <w:sz w:val="24"/>
                <w:highlight w:val="none"/>
                <w:lang w:val="en-US" w:eastAsia="zh-CN"/>
              </w:rPr>
              <w:t>与《福清融侨经济技术开发区总体规划(2018—2035年)环境影响报告书》及审查意见的符合性分析</w:t>
            </w:r>
            <w:r>
              <w:rPr>
                <w:rFonts w:ascii="Times New Roman" w:hAnsi="Times New Roman"/>
                <w:color w:val="auto"/>
                <w:sz w:val="24"/>
              </w:rPr>
              <w:t>目准入符合性分析后汇总如下，详见表1.2</w:t>
            </w:r>
            <w:r>
              <w:rPr>
                <w:rFonts w:hint="eastAsia" w:ascii="Times New Roman" w:hAnsi="Times New Roman"/>
                <w:color w:val="auto"/>
                <w:sz w:val="24"/>
                <w:lang w:val="en-US" w:eastAsia="zh-CN"/>
              </w:rPr>
              <w:t>-1</w:t>
            </w:r>
            <w:r>
              <w:rPr>
                <w:rFonts w:ascii="Times New Roman" w:hAnsi="Times New Roman"/>
                <w:color w:val="auto"/>
                <w:sz w:val="24"/>
              </w:rPr>
              <w:t>。本项目与规划环评</w:t>
            </w:r>
            <w:r>
              <w:rPr>
                <w:rFonts w:ascii="Times New Roman" w:hAnsi="Times New Roman"/>
                <w:color w:val="auto"/>
                <w:spacing w:val="1"/>
                <w:sz w:val="24"/>
              </w:rPr>
              <w:t>审查意见的相符性分析详见表1.</w:t>
            </w:r>
            <w:r>
              <w:rPr>
                <w:rFonts w:hint="eastAsia" w:ascii="Times New Roman" w:hAnsi="Times New Roman"/>
                <w:color w:val="auto"/>
                <w:spacing w:val="1"/>
                <w:sz w:val="24"/>
                <w:lang w:val="en-US" w:eastAsia="zh-CN"/>
              </w:rPr>
              <w:t>2-2</w:t>
            </w:r>
            <w:r>
              <w:rPr>
                <w:rFonts w:ascii="Times New Roman" w:hAnsi="Times New Roman"/>
                <w:color w:val="auto"/>
                <w:spacing w:val="1"/>
                <w:sz w:val="24"/>
              </w:rPr>
              <w:t>。</w:t>
            </w:r>
          </w:p>
          <w:p w14:paraId="022BC8FC">
            <w:pPr>
              <w:pStyle w:val="42"/>
              <w:keepNext/>
              <w:keepLines/>
              <w:pageBreakBefore w:val="0"/>
              <w:widowControl w:val="0"/>
              <w:kinsoku/>
              <w:wordWrap/>
              <w:overflowPunct/>
              <w:topLinePunct w:val="0"/>
              <w:autoSpaceDE/>
              <w:autoSpaceDN/>
              <w:bidi w:val="0"/>
              <w:adjustRightInd/>
              <w:snapToGrid/>
              <w:spacing w:before="157" w:beforeLines="50" w:after="0"/>
              <w:ind w:left="420" w:leftChars="0" w:firstLineChars="0"/>
              <w:jc w:val="center"/>
              <w:textAlignment w:val="auto"/>
              <w:rPr>
                <w:rFonts w:hint="eastAsia" w:eastAsia="宋体"/>
                <w:color w:val="auto"/>
                <w:highlight w:val="none"/>
                <w:lang w:val="en-US" w:eastAsia="zh-CN"/>
              </w:rPr>
            </w:pPr>
            <w:r>
              <w:rPr>
                <w:rFonts w:hint="eastAsia" w:eastAsia="宋体"/>
                <w:color w:val="auto"/>
                <w:highlight w:val="none"/>
                <w:lang w:val="en-US" w:eastAsia="zh-CN"/>
              </w:rPr>
              <w:t>规划区主导产业环境准入符合性分析对照表</w:t>
            </w:r>
          </w:p>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8"/>
              <w:gridCol w:w="1820"/>
              <w:gridCol w:w="2520"/>
              <w:gridCol w:w="1119"/>
            </w:tblGrid>
            <w:tr w14:paraId="33118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dxa"/>
                  <w:shd w:val="clear" w:color="auto" w:fill="auto"/>
                  <w:vAlign w:val="center"/>
                </w:tcPr>
                <w:p w14:paraId="03D1ADB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9"/>
                      <w:sz w:val="21"/>
                    </w:rPr>
                    <w:t>类别</w:t>
                  </w:r>
                </w:p>
                <w:p w14:paraId="01CAB27D">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5"/>
                      <w:sz w:val="21"/>
                    </w:rPr>
                    <w:t>名称</w:t>
                  </w:r>
                </w:p>
              </w:tc>
              <w:tc>
                <w:tcPr>
                  <w:tcW w:w="1820" w:type="dxa"/>
                  <w:shd w:val="clear" w:color="auto" w:fill="auto"/>
                  <w:vAlign w:val="center"/>
                </w:tcPr>
                <w:p w14:paraId="1409A00F">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1"/>
                      <w:sz w:val="21"/>
                    </w:rPr>
                    <w:t>规划环评的约束要求</w:t>
                  </w:r>
                </w:p>
              </w:tc>
              <w:tc>
                <w:tcPr>
                  <w:tcW w:w="2520" w:type="dxa"/>
                  <w:shd w:val="clear" w:color="auto" w:fill="auto"/>
                  <w:vAlign w:val="center"/>
                </w:tcPr>
                <w:p w14:paraId="7A611F9D">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2"/>
                      <w:sz w:val="21"/>
                    </w:rPr>
                    <w:t>本项目情况</w:t>
                  </w:r>
                </w:p>
              </w:tc>
              <w:tc>
                <w:tcPr>
                  <w:tcW w:w="1119" w:type="dxa"/>
                  <w:shd w:val="clear" w:color="auto" w:fill="auto"/>
                  <w:vAlign w:val="center"/>
                </w:tcPr>
                <w:p w14:paraId="2A7E8611">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4"/>
                      <w:sz w:val="21"/>
                    </w:rPr>
                    <w:t>符合</w:t>
                  </w:r>
                  <w:r>
                    <w:rPr>
                      <w:rFonts w:ascii="Times New Roman" w:hAnsi="Times New Roman" w:eastAsia="宋体"/>
                      <w:color w:val="auto"/>
                      <w:sz w:val="21"/>
                    </w:rPr>
                    <w:t>性</w:t>
                  </w:r>
                </w:p>
              </w:tc>
            </w:tr>
            <w:tr w14:paraId="15340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dxa"/>
                  <w:shd w:val="clear" w:color="auto" w:fill="auto"/>
                  <w:vAlign w:val="center"/>
                </w:tcPr>
                <w:p w14:paraId="77BC50B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8"/>
                      <w:sz w:val="21"/>
                    </w:rPr>
                    <w:t>规划</w:t>
                  </w:r>
                </w:p>
                <w:p w14:paraId="08F65C1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6"/>
                      <w:sz w:val="21"/>
                    </w:rPr>
                    <w:t>区主</w:t>
                  </w:r>
                  <w:r>
                    <w:rPr>
                      <w:rFonts w:ascii="Times New Roman" w:hAnsi="Times New Roman" w:eastAsia="宋体"/>
                      <w:color w:val="auto"/>
                      <w:spacing w:val="7"/>
                      <w:sz w:val="21"/>
                    </w:rPr>
                    <w:t>导产</w:t>
                  </w:r>
                  <w:r>
                    <w:rPr>
                      <w:rFonts w:ascii="Times New Roman" w:hAnsi="Times New Roman" w:eastAsia="宋体"/>
                      <w:color w:val="auto"/>
                      <w:spacing w:val="-5"/>
                      <w:sz w:val="21"/>
                    </w:rPr>
                    <w:t>业环</w:t>
                  </w:r>
                  <w:r>
                    <w:rPr>
                      <w:rFonts w:ascii="Times New Roman" w:hAnsi="Times New Roman" w:eastAsia="宋体"/>
                      <w:color w:val="auto"/>
                      <w:spacing w:val="5"/>
                      <w:sz w:val="21"/>
                    </w:rPr>
                    <w:t>境准</w:t>
                  </w:r>
                  <w:r>
                    <w:rPr>
                      <w:rFonts w:ascii="Times New Roman" w:hAnsi="Times New Roman" w:eastAsia="宋体"/>
                      <w:color w:val="auto"/>
                      <w:spacing w:val="-5"/>
                      <w:sz w:val="21"/>
                    </w:rPr>
                    <w:t>入行</w:t>
                  </w:r>
                  <w:r>
                    <w:rPr>
                      <w:rFonts w:hint="eastAsia" w:ascii="Times New Roman" w:hAnsi="Times New Roman" w:eastAsia="宋体"/>
                      <w:color w:val="auto"/>
                      <w:spacing w:val="-5"/>
                      <w:sz w:val="21"/>
                      <w:lang w:val="en-US" w:eastAsia="zh-CN"/>
                    </w:rPr>
                    <w:t>业</w:t>
                  </w:r>
                </w:p>
              </w:tc>
              <w:tc>
                <w:tcPr>
                  <w:tcW w:w="1820" w:type="dxa"/>
                  <w:shd w:val="clear" w:color="auto" w:fill="auto"/>
                  <w:vAlign w:val="center"/>
                </w:tcPr>
                <w:p w14:paraId="44145F8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3"/>
                      <w:sz w:val="21"/>
                    </w:rPr>
                    <w:t>准入C29、C304、C33、</w:t>
                  </w:r>
                  <w:r>
                    <w:rPr>
                      <w:rFonts w:ascii="Times New Roman" w:hAnsi="Times New Roman" w:eastAsia="宋体"/>
                      <w:color w:val="auto"/>
                      <w:spacing w:val="-3"/>
                      <w:sz w:val="21"/>
                    </w:rPr>
                    <w:t>C34、C35、C36、C38、</w:t>
                  </w:r>
                  <w:r>
                    <w:rPr>
                      <w:rFonts w:ascii="Times New Roman" w:hAnsi="Times New Roman" w:eastAsia="宋体"/>
                      <w:color w:val="auto"/>
                      <w:sz w:val="21"/>
                    </w:rPr>
                    <w:t>C39、C40</w:t>
                  </w:r>
                  <w:r>
                    <w:rPr>
                      <w:rFonts w:hint="eastAsia" w:ascii="Times New Roman" w:hAnsi="Times New Roman"/>
                      <w:color w:val="auto"/>
                      <w:sz w:val="21"/>
                      <w:lang w:eastAsia="zh-CN"/>
                    </w:rPr>
                    <w:t>;</w:t>
                  </w:r>
                  <w:r>
                    <w:rPr>
                      <w:rFonts w:ascii="Times New Roman" w:hAnsi="Times New Roman" w:eastAsia="宋体"/>
                      <w:color w:val="auto"/>
                      <w:sz w:val="21"/>
                    </w:rPr>
                    <w:t>严禁引入C22</w:t>
                  </w:r>
                  <w:r>
                    <w:rPr>
                      <w:rFonts w:ascii="Times New Roman" w:hAnsi="Times New Roman" w:eastAsia="宋体"/>
                      <w:color w:val="auto"/>
                      <w:spacing w:val="2"/>
                      <w:sz w:val="21"/>
                    </w:rPr>
                    <w:t>造纸和纸制品业</w:t>
                  </w:r>
                  <w:r>
                    <w:rPr>
                      <w:rFonts w:hint="eastAsia" w:ascii="Times New Roman" w:hAnsi="Times New Roman"/>
                      <w:color w:val="auto"/>
                      <w:spacing w:val="2"/>
                      <w:sz w:val="21"/>
                      <w:lang w:eastAsia="zh-CN"/>
                    </w:rPr>
                    <w:t>(</w:t>
                  </w:r>
                  <w:r>
                    <w:rPr>
                      <w:rFonts w:ascii="Times New Roman" w:hAnsi="Times New Roman" w:eastAsia="宋体"/>
                      <w:color w:val="auto"/>
                      <w:spacing w:val="2"/>
                      <w:sz w:val="21"/>
                    </w:rPr>
                    <w:t>纸制</w:t>
                  </w:r>
                  <w:r>
                    <w:rPr>
                      <w:rFonts w:ascii="Times New Roman" w:hAnsi="Times New Roman" w:eastAsia="宋体"/>
                      <w:color w:val="auto"/>
                      <w:spacing w:val="9"/>
                      <w:sz w:val="21"/>
                    </w:rPr>
                    <w:t>品制造除外</w:t>
                  </w:r>
                  <w:r>
                    <w:rPr>
                      <w:rFonts w:hint="eastAsia" w:ascii="Times New Roman" w:hAnsi="Times New Roman"/>
                      <w:color w:val="auto"/>
                      <w:spacing w:val="9"/>
                      <w:sz w:val="21"/>
                      <w:lang w:eastAsia="zh-CN"/>
                    </w:rPr>
                    <w:t>)</w:t>
                  </w:r>
                </w:p>
              </w:tc>
              <w:tc>
                <w:tcPr>
                  <w:tcW w:w="2520" w:type="dxa"/>
                  <w:shd w:val="clear" w:color="auto" w:fill="auto"/>
                  <w:vAlign w:val="center"/>
                </w:tcPr>
                <w:p w14:paraId="454C619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2"/>
                      <w:sz w:val="21"/>
                    </w:rPr>
                    <w:t>本项目产品为</w:t>
                  </w:r>
                  <w:r>
                    <w:rPr>
                      <w:rFonts w:hint="eastAsia" w:ascii="Times New Roman" w:hAnsi="Times New Roman" w:eastAsia="宋体"/>
                      <w:color w:val="auto"/>
                      <w:spacing w:val="2"/>
                      <w:sz w:val="21"/>
                      <w:lang w:eastAsia="zh-CN"/>
                    </w:rPr>
                    <w:t>汽车座椅骨架</w:t>
                  </w:r>
                  <w:r>
                    <w:rPr>
                      <w:rFonts w:ascii="Times New Roman" w:hAnsi="Times New Roman" w:eastAsia="宋体"/>
                      <w:color w:val="auto"/>
                      <w:spacing w:val="2"/>
                      <w:sz w:val="21"/>
                    </w:rPr>
                    <w:t>，经查询《2017年国民经济行业分类注释》</w:t>
                  </w:r>
                  <w:r>
                    <w:rPr>
                      <w:rFonts w:hint="eastAsia" w:ascii="Times New Roman" w:hAnsi="Times New Roman"/>
                      <w:color w:val="auto"/>
                      <w:spacing w:val="2"/>
                      <w:sz w:val="21"/>
                      <w:lang w:eastAsia="zh-CN"/>
                    </w:rPr>
                    <w:t>,</w:t>
                  </w:r>
                  <w:r>
                    <w:rPr>
                      <w:rFonts w:ascii="Times New Roman" w:hAnsi="Times New Roman" w:eastAsia="宋体"/>
                      <w:color w:val="auto"/>
                      <w:spacing w:val="2"/>
                      <w:sz w:val="21"/>
                    </w:rPr>
                    <w:t>本项目产品属于C3670汽车零部件及配件制造，因此本项目属于主要产业中的C36</w:t>
                  </w:r>
                </w:p>
              </w:tc>
              <w:tc>
                <w:tcPr>
                  <w:tcW w:w="1119" w:type="dxa"/>
                  <w:shd w:val="clear" w:color="auto" w:fill="auto"/>
                  <w:vAlign w:val="center"/>
                </w:tcPr>
                <w:p w14:paraId="72DCC145">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4"/>
                      <w:sz w:val="21"/>
                    </w:rPr>
                    <w:t>符合</w:t>
                  </w:r>
                </w:p>
              </w:tc>
            </w:tr>
            <w:tr w14:paraId="66446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dxa"/>
                  <w:shd w:val="clear" w:color="auto" w:fill="auto"/>
                  <w:vAlign w:val="center"/>
                </w:tcPr>
                <w:p w14:paraId="594AFEA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3"/>
                      <w:sz w:val="21"/>
                    </w:rPr>
                    <w:t>C36的</w:t>
                  </w:r>
                  <w:r>
                    <w:rPr>
                      <w:rFonts w:ascii="Times New Roman" w:hAnsi="Times New Roman" w:eastAsia="宋体"/>
                      <w:color w:val="auto"/>
                      <w:spacing w:val="11"/>
                      <w:sz w:val="21"/>
                    </w:rPr>
                    <w:t>空间</w:t>
                  </w:r>
                </w:p>
                <w:p w14:paraId="1F5E136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10"/>
                      <w:sz w:val="21"/>
                    </w:rPr>
                    <w:t>布局</w:t>
                  </w:r>
                </w:p>
                <w:p w14:paraId="2589D097">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5"/>
                      <w:sz w:val="21"/>
                    </w:rPr>
                    <w:t>约束</w:t>
                  </w:r>
                </w:p>
              </w:tc>
              <w:tc>
                <w:tcPr>
                  <w:tcW w:w="1820" w:type="dxa"/>
                  <w:shd w:val="clear" w:color="auto" w:fill="auto"/>
                  <w:vAlign w:val="center"/>
                </w:tcPr>
                <w:p w14:paraId="70152C1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禁止新建</w:t>
                  </w:r>
                </w:p>
                <w:p w14:paraId="3C51DC6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z w:val="21"/>
                    </w:rPr>
                    <w:t>1、使用有机涂层的</w:t>
                  </w:r>
                  <w:r>
                    <w:rPr>
                      <w:rFonts w:hint="eastAsia" w:ascii="Times New Roman" w:hAnsi="Times New Roman"/>
                      <w:color w:val="auto"/>
                      <w:sz w:val="21"/>
                      <w:lang w:eastAsia="zh-CN"/>
                    </w:rPr>
                    <w:t>(</w:t>
                  </w:r>
                  <w:r>
                    <w:rPr>
                      <w:rFonts w:ascii="Times New Roman" w:hAnsi="Times New Roman" w:eastAsia="宋体"/>
                      <w:color w:val="auto"/>
                      <w:sz w:val="21"/>
                    </w:rPr>
                    <w:t>喷塑、电泳及高端项目配</w:t>
                  </w:r>
                  <w:r>
                    <w:rPr>
                      <w:rFonts w:ascii="Times New Roman" w:hAnsi="Times New Roman" w:eastAsia="宋体"/>
                      <w:color w:val="auto"/>
                      <w:spacing w:val="16"/>
                      <w:sz w:val="21"/>
                    </w:rPr>
                    <w:t>套除外</w:t>
                  </w:r>
                  <w:r>
                    <w:rPr>
                      <w:rFonts w:hint="eastAsia" w:ascii="Times New Roman" w:hAnsi="Times New Roman"/>
                      <w:color w:val="auto"/>
                      <w:spacing w:val="16"/>
                      <w:sz w:val="21"/>
                      <w:lang w:eastAsia="zh-CN"/>
                    </w:rPr>
                    <w:t>)</w:t>
                  </w:r>
                </w:p>
                <w:p w14:paraId="4ABFCD4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2、涉及熔炼、电镀工艺</w:t>
                  </w:r>
                </w:p>
                <w:p w14:paraId="01E1527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3、涉及钝化工艺的热镀</w:t>
                  </w:r>
                  <w:r>
                    <w:rPr>
                      <w:rFonts w:ascii="Times New Roman" w:hAnsi="Times New Roman" w:eastAsia="宋体"/>
                      <w:color w:val="auto"/>
                      <w:sz w:val="21"/>
                    </w:rPr>
                    <w:t>锌</w:t>
                  </w:r>
                </w:p>
                <w:p w14:paraId="5289C09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1"/>
                      <w:sz w:val="21"/>
                    </w:rPr>
                    <w:t>4、油性漆使用量超过10t/a喷漆工艺</w:t>
                  </w:r>
                </w:p>
                <w:p w14:paraId="1279DD0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6"/>
                      <w:sz w:val="21"/>
                    </w:rPr>
                    <w:t>5、使用火焰法除旧漆，</w:t>
                  </w:r>
                  <w:r>
                    <w:rPr>
                      <w:rFonts w:ascii="Times New Roman" w:hAnsi="Times New Roman" w:eastAsia="宋体"/>
                      <w:color w:val="auto"/>
                      <w:spacing w:val="-4"/>
                      <w:sz w:val="21"/>
                    </w:rPr>
                    <w:t>使用干喷砂除锈</w:t>
                  </w:r>
                </w:p>
                <w:p w14:paraId="708F6B3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6、采用煤、油、生物质</w:t>
                  </w:r>
                  <w:r>
                    <w:rPr>
                      <w:rFonts w:ascii="Times New Roman" w:hAnsi="Times New Roman" w:eastAsia="宋体"/>
                      <w:color w:val="auto"/>
                      <w:sz w:val="21"/>
                    </w:rPr>
                    <w:t>等非清洁能源</w:t>
                  </w:r>
                </w:p>
                <w:p w14:paraId="1F04B55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7、铅酸蓄电池制造</w:t>
                  </w:r>
                </w:p>
                <w:p w14:paraId="54FDA2C9">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1"/>
                      <w:sz w:val="21"/>
                    </w:rPr>
                    <w:t>8、印刷电路板(高密度印刷电路板和柔性</w:t>
                  </w:r>
                  <w:r>
                    <w:rPr>
                      <w:rFonts w:hint="eastAsia" w:ascii="Times New Roman" w:hAnsi="Times New Roman"/>
                      <w:color w:val="auto"/>
                      <w:spacing w:val="1"/>
                      <w:sz w:val="21"/>
                      <w:lang w:eastAsia="zh-CN"/>
                    </w:rPr>
                    <w:t>电子</w:t>
                  </w:r>
                </w:p>
              </w:tc>
              <w:tc>
                <w:tcPr>
                  <w:tcW w:w="2520" w:type="dxa"/>
                  <w:shd w:val="clear" w:color="auto" w:fill="auto"/>
                  <w:vAlign w:val="center"/>
                </w:tcPr>
                <w:p w14:paraId="1E5DC86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1"/>
                      <w:sz w:val="21"/>
                    </w:rPr>
                    <w:t>1、本项目不涉及有机涂</w:t>
                  </w:r>
                  <w:r>
                    <w:rPr>
                      <w:rFonts w:ascii="Times New Roman" w:hAnsi="Times New Roman" w:eastAsia="宋体"/>
                      <w:color w:val="auto"/>
                      <w:spacing w:val="21"/>
                      <w:sz w:val="21"/>
                    </w:rPr>
                    <w:t>层的使用；</w:t>
                  </w:r>
                </w:p>
                <w:p w14:paraId="18105B3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2、本项目不涉及熔炼、</w:t>
                  </w:r>
                  <w:r>
                    <w:rPr>
                      <w:rFonts w:ascii="Times New Roman" w:hAnsi="Times New Roman" w:eastAsia="宋体"/>
                      <w:color w:val="auto"/>
                      <w:spacing w:val="15"/>
                      <w:sz w:val="21"/>
                    </w:rPr>
                    <w:t>电镀工艺；</w:t>
                  </w:r>
                </w:p>
                <w:p w14:paraId="66CF19D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z w:val="21"/>
                    </w:rPr>
                    <w:t>3、本项目不涉及钝化工</w:t>
                  </w:r>
                  <w:r>
                    <w:rPr>
                      <w:rFonts w:ascii="Times New Roman" w:hAnsi="Times New Roman" w:eastAsia="宋体"/>
                      <w:color w:val="auto"/>
                      <w:spacing w:val="-8"/>
                      <w:sz w:val="21"/>
                    </w:rPr>
                    <w:t>艺；</w:t>
                  </w:r>
                </w:p>
                <w:p w14:paraId="117AA28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1"/>
                      <w:sz w:val="21"/>
                    </w:rPr>
                    <w:t>4、本项目不涉及油性漆</w:t>
                  </w:r>
                  <w:r>
                    <w:rPr>
                      <w:rFonts w:ascii="Times New Roman" w:hAnsi="Times New Roman" w:eastAsia="宋体"/>
                      <w:color w:val="auto"/>
                      <w:spacing w:val="16"/>
                      <w:sz w:val="21"/>
                    </w:rPr>
                    <w:t>等涂料的使用；</w:t>
                  </w:r>
                </w:p>
                <w:p w14:paraId="2777A45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5、本项目不涉及除漆、</w:t>
                  </w:r>
                  <w:r>
                    <w:rPr>
                      <w:rFonts w:ascii="Times New Roman" w:hAnsi="Times New Roman" w:eastAsia="宋体"/>
                      <w:color w:val="auto"/>
                      <w:spacing w:val="6"/>
                      <w:sz w:val="21"/>
                    </w:rPr>
                    <w:t>干喷除锈等工序；</w:t>
                  </w:r>
                </w:p>
                <w:p w14:paraId="264607D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hd w:val="clear" w:fill="FFFF00"/>
                    </w:rPr>
                  </w:pPr>
                  <w:r>
                    <w:rPr>
                      <w:rFonts w:ascii="Times New Roman" w:hAnsi="Times New Roman" w:eastAsia="宋体"/>
                      <w:color w:val="auto"/>
                      <w:sz w:val="21"/>
                    </w:rPr>
                    <w:t>6、</w:t>
                  </w:r>
                  <w:r>
                    <w:rPr>
                      <w:rFonts w:ascii="Times New Roman" w:hAnsi="Times New Roman" w:eastAsia="宋体"/>
                      <w:color w:val="auto"/>
                      <w:sz w:val="21"/>
                      <w:shd w:val="clear"/>
                    </w:rPr>
                    <w:t>本项目使用电能、</w:t>
                  </w:r>
                  <w:r>
                    <w:rPr>
                      <w:rFonts w:hint="eastAsia" w:ascii="Times New Roman" w:hAnsi="Times New Roman"/>
                      <w:color w:val="auto"/>
                      <w:sz w:val="21"/>
                      <w:shd w:val="clear"/>
                      <w:lang w:val="en-US" w:eastAsia="zh-CN"/>
                    </w:rPr>
                    <w:t>天然气</w:t>
                  </w:r>
                  <w:r>
                    <w:rPr>
                      <w:rFonts w:ascii="Times New Roman" w:hAnsi="Times New Roman" w:eastAsia="宋体"/>
                      <w:color w:val="auto"/>
                      <w:spacing w:val="-1"/>
                      <w:sz w:val="21"/>
                      <w:shd w:val="clear"/>
                    </w:rPr>
                    <w:t>作为燃</w:t>
                  </w:r>
                  <w:r>
                    <w:rPr>
                      <w:rFonts w:ascii="Times New Roman" w:hAnsi="Times New Roman" w:eastAsia="宋体"/>
                      <w:color w:val="auto"/>
                      <w:spacing w:val="-5"/>
                      <w:sz w:val="21"/>
                      <w:shd w:val="clear"/>
                    </w:rPr>
                    <w:t>料；</w:t>
                  </w:r>
                </w:p>
                <w:p w14:paraId="05AB588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1"/>
                      <w:sz w:val="21"/>
                    </w:rPr>
                    <w:t>7、本项目不涉及铅酸蓄</w:t>
                  </w:r>
                  <w:r>
                    <w:rPr>
                      <w:rFonts w:ascii="Times New Roman" w:hAnsi="Times New Roman" w:eastAsia="宋体"/>
                      <w:color w:val="auto"/>
                      <w:spacing w:val="23"/>
                      <w:sz w:val="21"/>
                    </w:rPr>
                    <w:t>电池制造；</w:t>
                  </w:r>
                </w:p>
                <w:p w14:paraId="3A132BB9">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1"/>
                      <w:sz w:val="21"/>
                    </w:rPr>
                    <w:t>8、本项目不涉及印刷电路板制造。</w:t>
                  </w:r>
                </w:p>
              </w:tc>
              <w:tc>
                <w:tcPr>
                  <w:tcW w:w="1119" w:type="dxa"/>
                  <w:shd w:val="clear" w:color="auto" w:fill="auto"/>
                  <w:vAlign w:val="center"/>
                </w:tcPr>
                <w:p w14:paraId="571CB6DD">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4"/>
                      <w:sz w:val="21"/>
                    </w:rPr>
                    <w:t>符合</w:t>
                  </w:r>
                </w:p>
              </w:tc>
            </w:tr>
            <w:tr w14:paraId="6B2E9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dxa"/>
                  <w:shd w:val="clear" w:color="auto" w:fill="auto"/>
                  <w:vAlign w:val="center"/>
                </w:tcPr>
                <w:p w14:paraId="689C4C03">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4"/>
                      <w:sz w:val="21"/>
                      <w:szCs w:val="22"/>
                    </w:rPr>
                    <w:t>C36的</w:t>
                  </w:r>
                  <w:r>
                    <w:rPr>
                      <w:rFonts w:ascii="Times New Roman" w:hAnsi="Times New Roman" w:eastAsia="宋体"/>
                      <w:color w:val="auto"/>
                      <w:spacing w:val="-5"/>
                      <w:sz w:val="21"/>
                      <w:szCs w:val="22"/>
                    </w:rPr>
                    <w:t>环境风险</w:t>
                  </w:r>
                  <w:r>
                    <w:rPr>
                      <w:rFonts w:ascii="Times New Roman" w:hAnsi="Times New Roman" w:eastAsia="宋体"/>
                      <w:color w:val="auto"/>
                      <w:spacing w:val="4"/>
                      <w:sz w:val="21"/>
                      <w:szCs w:val="22"/>
                    </w:rPr>
                    <w:t>防控</w:t>
                  </w:r>
                </w:p>
              </w:tc>
              <w:tc>
                <w:tcPr>
                  <w:tcW w:w="1820" w:type="dxa"/>
                  <w:shd w:val="clear" w:color="auto" w:fill="auto"/>
                  <w:vAlign w:val="center"/>
                </w:tcPr>
                <w:p w14:paraId="7E40428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1、必须规范配套应急池，建设企业、园区和</w:t>
                  </w:r>
                  <w:r>
                    <w:rPr>
                      <w:rFonts w:ascii="Times New Roman" w:hAnsi="Times New Roman" w:eastAsia="宋体"/>
                      <w:color w:val="auto"/>
                      <w:spacing w:val="-1"/>
                      <w:sz w:val="21"/>
                      <w:szCs w:val="22"/>
                    </w:rPr>
                    <w:t>周边水系三级环境风险</w:t>
                  </w:r>
                  <w:r>
                    <w:rPr>
                      <w:rFonts w:ascii="Times New Roman" w:hAnsi="Times New Roman" w:eastAsia="宋体"/>
                      <w:color w:val="auto"/>
                      <w:sz w:val="21"/>
                      <w:szCs w:val="22"/>
                    </w:rPr>
                    <w:t>防控工程，确保有效拦</w:t>
                  </w:r>
                  <w:r>
                    <w:rPr>
                      <w:rFonts w:ascii="Times New Roman" w:hAnsi="Times New Roman" w:eastAsia="宋体"/>
                      <w:color w:val="auto"/>
                      <w:spacing w:val="1"/>
                      <w:sz w:val="21"/>
                      <w:szCs w:val="22"/>
                    </w:rPr>
                    <w:t>截、降污和倒流；受园</w:t>
                  </w:r>
                  <w:r>
                    <w:rPr>
                      <w:rFonts w:ascii="Times New Roman" w:hAnsi="Times New Roman" w:eastAsia="宋体"/>
                      <w:color w:val="auto"/>
                      <w:spacing w:val="2"/>
                      <w:sz w:val="21"/>
                      <w:szCs w:val="22"/>
                    </w:rPr>
                    <w:t>区排污影响的周边水系</w:t>
                  </w:r>
                  <w:r>
                    <w:rPr>
                      <w:rFonts w:ascii="Times New Roman" w:hAnsi="Times New Roman" w:eastAsia="宋体"/>
                      <w:color w:val="auto"/>
                      <w:spacing w:val="-1"/>
                      <w:sz w:val="21"/>
                      <w:szCs w:val="22"/>
                    </w:rPr>
                    <w:t>应建设应急闸门，防止</w:t>
                  </w:r>
                  <w:r>
                    <w:rPr>
                      <w:rFonts w:ascii="Times New Roman" w:hAnsi="Times New Roman" w:eastAsia="宋体"/>
                      <w:color w:val="auto"/>
                      <w:sz w:val="21"/>
                      <w:szCs w:val="22"/>
                    </w:rPr>
                    <w:t>泄漏物和消防水等排入</w:t>
                  </w:r>
                  <w:r>
                    <w:rPr>
                      <w:rFonts w:ascii="Times New Roman" w:hAnsi="Times New Roman" w:eastAsia="宋体"/>
                      <w:color w:val="auto"/>
                      <w:spacing w:val="-1"/>
                      <w:sz w:val="21"/>
                      <w:szCs w:val="22"/>
                    </w:rPr>
                    <w:t>外环境。</w:t>
                  </w:r>
                </w:p>
                <w:p w14:paraId="55F5E25C">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z w:val="21"/>
                      <w:szCs w:val="22"/>
                    </w:rPr>
                    <w:t>2、开发区内污水处理设</w:t>
                  </w:r>
                  <w:r>
                    <w:rPr>
                      <w:rFonts w:ascii="Times New Roman" w:hAnsi="Times New Roman" w:eastAsia="宋体"/>
                      <w:color w:val="auto"/>
                      <w:spacing w:val="-1"/>
                      <w:sz w:val="21"/>
                      <w:szCs w:val="22"/>
                    </w:rPr>
                    <w:t>施应采取必要的防渗处</w:t>
                  </w:r>
                  <w:r>
                    <w:rPr>
                      <w:rFonts w:ascii="Times New Roman" w:hAnsi="Times New Roman" w:eastAsia="宋体"/>
                      <w:color w:val="auto"/>
                      <w:spacing w:val="1"/>
                      <w:sz w:val="21"/>
                      <w:szCs w:val="22"/>
                    </w:rPr>
                    <w:t>理，不得污染地下水环</w:t>
                  </w:r>
                  <w:r>
                    <w:rPr>
                      <w:rFonts w:ascii="Times New Roman" w:hAnsi="Times New Roman" w:eastAsia="宋体"/>
                      <w:color w:val="auto"/>
                      <w:spacing w:val="-1"/>
                      <w:sz w:val="21"/>
                      <w:szCs w:val="22"/>
                    </w:rPr>
                    <w:t>境。</w:t>
                  </w:r>
                </w:p>
              </w:tc>
              <w:tc>
                <w:tcPr>
                  <w:tcW w:w="2520" w:type="dxa"/>
                  <w:shd w:val="clear" w:color="auto" w:fill="auto"/>
                  <w:vAlign w:val="center"/>
                </w:tcPr>
                <w:p w14:paraId="66BFDF3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9"/>
                      <w:sz w:val="21"/>
                      <w:szCs w:val="22"/>
                    </w:rPr>
                    <w:t>1、</w:t>
                  </w:r>
                  <w:r>
                    <w:rPr>
                      <w:rFonts w:hint="eastAsia" w:ascii="Times New Roman" w:hAnsi="Times New Roman"/>
                      <w:color w:val="auto"/>
                      <w:spacing w:val="-9"/>
                      <w:sz w:val="21"/>
                      <w:szCs w:val="22"/>
                      <w:lang w:val="en-US" w:eastAsia="zh-CN"/>
                    </w:rPr>
                    <w:t>厂</w:t>
                  </w:r>
                  <w:r>
                    <w:rPr>
                      <w:rFonts w:ascii="Times New Roman" w:hAnsi="Times New Roman" w:eastAsia="宋体"/>
                      <w:color w:val="auto"/>
                      <w:spacing w:val="-9"/>
                      <w:sz w:val="21"/>
                      <w:szCs w:val="22"/>
                    </w:rPr>
                    <w:t>区将严格按照要求，</w:t>
                  </w:r>
                  <w:r>
                    <w:rPr>
                      <w:rFonts w:ascii="Times New Roman" w:hAnsi="Times New Roman" w:eastAsia="宋体"/>
                      <w:color w:val="auto"/>
                      <w:spacing w:val="-8"/>
                      <w:sz w:val="21"/>
                      <w:szCs w:val="22"/>
                    </w:rPr>
                    <w:t>统一建设事故应急池，建</w:t>
                  </w:r>
                  <w:r>
                    <w:rPr>
                      <w:rFonts w:ascii="Times New Roman" w:hAnsi="Times New Roman" w:eastAsia="宋体"/>
                      <w:color w:val="auto"/>
                      <w:spacing w:val="-7"/>
                      <w:sz w:val="21"/>
                      <w:szCs w:val="22"/>
                    </w:rPr>
                    <w:t>设企业、</w:t>
                  </w:r>
                  <w:r>
                    <w:rPr>
                      <w:rFonts w:hint="eastAsia" w:ascii="Times New Roman" w:hAnsi="Times New Roman"/>
                      <w:color w:val="auto"/>
                      <w:spacing w:val="-7"/>
                      <w:sz w:val="21"/>
                      <w:szCs w:val="22"/>
                      <w:lang w:val="en-US" w:eastAsia="zh-CN"/>
                    </w:rPr>
                    <w:t>厂</w:t>
                  </w:r>
                  <w:r>
                    <w:rPr>
                      <w:rFonts w:ascii="Times New Roman" w:hAnsi="Times New Roman" w:eastAsia="宋体"/>
                      <w:color w:val="auto"/>
                      <w:spacing w:val="-7"/>
                      <w:sz w:val="21"/>
                      <w:szCs w:val="22"/>
                    </w:rPr>
                    <w:t>区和周边水系</w:t>
                  </w:r>
                  <w:r>
                    <w:rPr>
                      <w:rFonts w:ascii="Times New Roman" w:hAnsi="Times New Roman" w:eastAsia="宋体"/>
                      <w:color w:val="auto"/>
                      <w:spacing w:val="-1"/>
                      <w:sz w:val="21"/>
                      <w:szCs w:val="22"/>
                    </w:rPr>
                    <w:t>三级环境风险防控工程，</w:t>
                  </w:r>
                  <w:r>
                    <w:rPr>
                      <w:rFonts w:ascii="Times New Roman" w:hAnsi="Times New Roman" w:eastAsia="宋体"/>
                      <w:color w:val="auto"/>
                      <w:spacing w:val="-8"/>
                      <w:sz w:val="21"/>
                      <w:szCs w:val="22"/>
                    </w:rPr>
                    <w:t>确保有效拦截、降污和</w:t>
                  </w:r>
                  <w:r>
                    <w:rPr>
                      <w:rFonts w:hint="eastAsia" w:ascii="Times New Roman" w:hAnsi="Times New Roman"/>
                      <w:color w:val="auto"/>
                      <w:spacing w:val="-8"/>
                      <w:sz w:val="21"/>
                      <w:szCs w:val="22"/>
                      <w:lang w:eastAsia="zh-CN"/>
                    </w:rPr>
                    <w:t>导流</w:t>
                  </w:r>
                  <w:r>
                    <w:rPr>
                      <w:rFonts w:ascii="Times New Roman" w:hAnsi="Times New Roman" w:eastAsia="宋体"/>
                      <w:color w:val="auto"/>
                      <w:spacing w:val="-9"/>
                      <w:sz w:val="21"/>
                      <w:szCs w:val="22"/>
                    </w:rPr>
                    <w:t>；</w:t>
                  </w:r>
                </w:p>
                <w:p w14:paraId="769CBECE">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z w:val="21"/>
                      <w:szCs w:val="22"/>
                    </w:rPr>
                    <w:t>2、本项目生产废水</w:t>
                  </w:r>
                  <w:r>
                    <w:rPr>
                      <w:rFonts w:hint="eastAsia" w:ascii="Times New Roman" w:hAnsi="Times New Roman"/>
                      <w:color w:val="auto"/>
                      <w:sz w:val="21"/>
                      <w:szCs w:val="22"/>
                      <w:lang w:val="en-US" w:eastAsia="zh-CN"/>
                    </w:rPr>
                    <w:t>经污水处理设施处理达标后经过污水管网送往福清市第二污水处理厂；</w:t>
                  </w:r>
                  <w:r>
                    <w:rPr>
                      <w:rFonts w:ascii="Times New Roman" w:hAnsi="Times New Roman" w:eastAsia="宋体"/>
                      <w:color w:val="auto"/>
                      <w:spacing w:val="1"/>
                      <w:sz w:val="21"/>
                      <w:szCs w:val="22"/>
                    </w:rPr>
                    <w:t>生活污水依托现有已建的化粪池处理后经污</w:t>
                  </w:r>
                </w:p>
                <w:p w14:paraId="7ABB0FCC">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水管网送往福清市第二</w:t>
                  </w:r>
                </w:p>
                <w:p w14:paraId="1E460FA3">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污水处理厂集中处理，污</w:t>
                  </w:r>
                  <w:r>
                    <w:rPr>
                      <w:rFonts w:ascii="Times New Roman" w:hAnsi="Times New Roman" w:eastAsia="宋体"/>
                      <w:color w:val="auto"/>
                      <w:sz w:val="21"/>
                      <w:szCs w:val="22"/>
                    </w:rPr>
                    <w:t>水不外排入附近水体</w:t>
                  </w:r>
                  <w:r>
                    <w:rPr>
                      <w:rFonts w:hint="eastAsia" w:ascii="Times New Roman" w:hAnsi="Times New Roman"/>
                      <w:color w:val="auto"/>
                      <w:sz w:val="21"/>
                      <w:szCs w:val="22"/>
                      <w:lang w:eastAsia="zh-CN"/>
                    </w:rPr>
                    <w:t>且</w:t>
                  </w:r>
                  <w:r>
                    <w:rPr>
                      <w:rFonts w:ascii="Times New Roman" w:hAnsi="Times New Roman" w:eastAsia="宋体"/>
                      <w:color w:val="auto"/>
                      <w:spacing w:val="2"/>
                      <w:sz w:val="21"/>
                      <w:szCs w:val="22"/>
                    </w:rPr>
                    <w:t>污水处理设施采取了一</w:t>
                  </w:r>
                </w:p>
                <w:p w14:paraId="410960A0">
                  <w:pPr>
                    <w:pStyle w:val="113"/>
                    <w:keepNext w:val="0"/>
                    <w:keepLines w:val="0"/>
                    <w:pageBreakBefore w:val="0"/>
                    <w:widowControl w:val="0"/>
                    <w:shd w:val="clear"/>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z w:val="21"/>
                      <w:szCs w:val="22"/>
                    </w:rPr>
                    <w:t>定的防渗措施，可以防止</w:t>
                  </w:r>
                  <w:r>
                    <w:rPr>
                      <w:rFonts w:ascii="Times New Roman" w:hAnsi="Times New Roman" w:eastAsia="宋体"/>
                      <w:color w:val="auto"/>
                      <w:spacing w:val="-1"/>
                      <w:sz w:val="21"/>
                      <w:szCs w:val="22"/>
                    </w:rPr>
                    <w:t>污染地下水环境。</w:t>
                  </w:r>
                </w:p>
              </w:tc>
              <w:tc>
                <w:tcPr>
                  <w:tcW w:w="1119" w:type="dxa"/>
                  <w:shd w:val="clear" w:color="auto" w:fill="auto"/>
                  <w:vAlign w:val="center"/>
                </w:tcPr>
                <w:p w14:paraId="2223149B">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符合</w:t>
                  </w:r>
                </w:p>
              </w:tc>
            </w:tr>
            <w:tr w14:paraId="0EB9E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dxa"/>
                  <w:shd w:val="clear" w:color="auto" w:fill="auto"/>
                  <w:vAlign w:val="center"/>
                </w:tcPr>
                <w:p w14:paraId="7EB1DB7C">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4"/>
                      <w:sz w:val="21"/>
                      <w:szCs w:val="22"/>
                    </w:rPr>
                    <w:t>C36的</w:t>
                  </w:r>
                  <w:r>
                    <w:rPr>
                      <w:rFonts w:ascii="Times New Roman" w:hAnsi="Times New Roman" w:eastAsia="宋体"/>
                      <w:color w:val="auto"/>
                      <w:spacing w:val="-6"/>
                      <w:sz w:val="21"/>
                      <w:szCs w:val="22"/>
                    </w:rPr>
                    <w:t>污染</w:t>
                  </w:r>
                  <w:r>
                    <w:rPr>
                      <w:rFonts w:ascii="Times New Roman" w:hAnsi="Times New Roman" w:eastAsia="宋体"/>
                      <w:color w:val="auto"/>
                      <w:sz w:val="21"/>
                      <w:szCs w:val="22"/>
                    </w:rPr>
                    <w:t>物排</w:t>
                  </w:r>
                  <w:r>
                    <w:rPr>
                      <w:rFonts w:ascii="Times New Roman" w:hAnsi="Times New Roman" w:eastAsia="宋体"/>
                      <w:color w:val="auto"/>
                      <w:spacing w:val="11"/>
                      <w:sz w:val="21"/>
                      <w:szCs w:val="22"/>
                    </w:rPr>
                    <w:t>放管</w:t>
                  </w:r>
                  <w:r>
                    <w:rPr>
                      <w:rFonts w:ascii="Times New Roman" w:hAnsi="Times New Roman" w:eastAsia="宋体"/>
                      <w:color w:val="auto"/>
                      <w:sz w:val="21"/>
                      <w:szCs w:val="22"/>
                    </w:rPr>
                    <w:t>控</w:t>
                  </w:r>
                </w:p>
              </w:tc>
              <w:tc>
                <w:tcPr>
                  <w:tcW w:w="1820" w:type="dxa"/>
                  <w:shd w:val="clear" w:color="auto" w:fill="auto"/>
                  <w:vAlign w:val="center"/>
                </w:tcPr>
                <w:p w14:paraId="2D9F41F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1、新、改、扩建项目新增大气污染物</w:t>
                  </w:r>
                  <w:r>
                    <w:rPr>
                      <w:rFonts w:hint="eastAsia" w:ascii="Times New Roman" w:hAnsi="Times New Roman"/>
                      <w:color w:val="auto"/>
                      <w:spacing w:val="1"/>
                      <w:sz w:val="21"/>
                      <w:szCs w:val="22"/>
                      <w:lang w:eastAsia="zh-CN"/>
                    </w:rPr>
                    <w:t>(</w:t>
                  </w:r>
                  <w:r>
                    <w:rPr>
                      <w:rFonts w:ascii="Times New Roman" w:hAnsi="Times New Roman" w:eastAsia="宋体"/>
                      <w:color w:val="auto"/>
                      <w:spacing w:val="6"/>
                      <w:sz w:val="21"/>
                      <w:szCs w:val="22"/>
                    </w:rPr>
                    <w:t>现阶段指</w:t>
                  </w:r>
                  <w:r>
                    <w:rPr>
                      <w:rFonts w:ascii="Times New Roman" w:hAnsi="Times New Roman" w:eastAsia="宋体"/>
                      <w:color w:val="auto"/>
                      <w:sz w:val="21"/>
                      <w:szCs w:val="22"/>
                    </w:rPr>
                    <w:t>SO</w:t>
                  </w:r>
                  <w:r>
                    <w:rPr>
                      <w:rFonts w:ascii="Times New Roman" w:hAnsi="Times New Roman" w:eastAsia="宋体"/>
                      <w:color w:val="auto"/>
                      <w:spacing w:val="6"/>
                      <w:sz w:val="21"/>
                      <w:szCs w:val="22"/>
                      <w:vertAlign w:val="subscript"/>
                    </w:rPr>
                    <w:t>2</w:t>
                  </w:r>
                  <w:r>
                    <w:rPr>
                      <w:rFonts w:ascii="Times New Roman" w:hAnsi="Times New Roman" w:eastAsia="宋体"/>
                      <w:color w:val="auto"/>
                      <w:spacing w:val="6"/>
                      <w:sz w:val="21"/>
                      <w:szCs w:val="22"/>
                    </w:rPr>
                    <w:t>、</w:t>
                  </w:r>
                  <w:r>
                    <w:rPr>
                      <w:rFonts w:ascii="Times New Roman" w:hAnsi="Times New Roman" w:eastAsia="宋体"/>
                      <w:color w:val="auto"/>
                      <w:sz w:val="21"/>
                      <w:szCs w:val="22"/>
                    </w:rPr>
                    <w:t>NO</w:t>
                  </w:r>
                  <w:r>
                    <w:rPr>
                      <w:rFonts w:ascii="Times New Roman" w:hAnsi="Times New Roman" w:eastAsia="宋体"/>
                      <w:color w:val="auto"/>
                      <w:sz w:val="21"/>
                      <w:szCs w:val="22"/>
                      <w:vertAlign w:val="subscript"/>
                    </w:rPr>
                    <w:t>x</w:t>
                  </w:r>
                  <w:r>
                    <w:rPr>
                      <w:rFonts w:hint="eastAsia" w:ascii="Times New Roman" w:hAnsi="Times New Roman"/>
                      <w:color w:val="auto"/>
                      <w:sz w:val="21"/>
                      <w:szCs w:val="22"/>
                      <w:vertAlign w:val="subscript"/>
                      <w:lang w:eastAsia="zh-CN"/>
                    </w:rPr>
                    <w:t>)</w:t>
                  </w:r>
                </w:p>
                <w:p w14:paraId="37FB247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排放量实行1.5倍削减</w:t>
                  </w:r>
                  <w:r>
                    <w:rPr>
                      <w:rFonts w:ascii="Times New Roman" w:hAnsi="Times New Roman" w:eastAsia="宋体"/>
                      <w:color w:val="auto"/>
                      <w:spacing w:val="3"/>
                      <w:sz w:val="21"/>
                      <w:szCs w:val="22"/>
                    </w:rPr>
                    <w:t>替代</w:t>
                  </w:r>
                  <w:r>
                    <w:rPr>
                      <w:rFonts w:hint="eastAsia" w:ascii="Times New Roman" w:hAnsi="Times New Roman"/>
                      <w:color w:val="auto"/>
                      <w:spacing w:val="3"/>
                      <w:sz w:val="21"/>
                      <w:szCs w:val="22"/>
                      <w:lang w:eastAsia="zh-CN"/>
                    </w:rPr>
                    <w:t>(</w:t>
                  </w:r>
                  <w:r>
                    <w:rPr>
                      <w:rFonts w:ascii="Times New Roman" w:hAnsi="Times New Roman" w:eastAsia="宋体"/>
                      <w:color w:val="auto"/>
                      <w:spacing w:val="3"/>
                      <w:sz w:val="21"/>
                      <w:szCs w:val="22"/>
                    </w:rPr>
                    <w:t>不含使用天然气、</w:t>
                  </w:r>
                  <w:r>
                    <w:rPr>
                      <w:rFonts w:ascii="Times New Roman" w:hAnsi="Times New Roman" w:eastAsia="宋体"/>
                      <w:color w:val="auto"/>
                      <w:spacing w:val="-8"/>
                      <w:sz w:val="21"/>
                      <w:szCs w:val="22"/>
                    </w:rPr>
                    <w:t>液化石油气等作为燃料</w:t>
                  </w:r>
                  <w:r>
                    <w:rPr>
                      <w:rFonts w:ascii="Times New Roman" w:hAnsi="Times New Roman" w:eastAsia="宋体"/>
                      <w:color w:val="auto"/>
                      <w:spacing w:val="-6"/>
                      <w:sz w:val="21"/>
                      <w:szCs w:val="22"/>
                    </w:rPr>
                    <w:t>的非火电锅炉和工业炉</w:t>
                  </w:r>
                  <w:r>
                    <w:rPr>
                      <w:rFonts w:ascii="Times New Roman" w:hAnsi="Times New Roman" w:eastAsia="宋体"/>
                      <w:color w:val="auto"/>
                      <w:spacing w:val="-3"/>
                      <w:sz w:val="21"/>
                      <w:szCs w:val="22"/>
                    </w:rPr>
                    <w:t>窑</w:t>
                  </w:r>
                  <w:r>
                    <w:rPr>
                      <w:rFonts w:hint="eastAsia" w:ascii="Times New Roman" w:hAnsi="Times New Roman"/>
                      <w:color w:val="auto"/>
                      <w:spacing w:val="-3"/>
                      <w:sz w:val="21"/>
                      <w:szCs w:val="22"/>
                      <w:lang w:eastAsia="zh-CN"/>
                    </w:rPr>
                    <w:t>)</w:t>
                  </w:r>
                  <w:r>
                    <w:rPr>
                      <w:rFonts w:ascii="Times New Roman" w:hAnsi="Times New Roman" w:eastAsia="宋体"/>
                      <w:color w:val="auto"/>
                      <w:spacing w:val="-3"/>
                      <w:sz w:val="21"/>
                      <w:szCs w:val="22"/>
                    </w:rPr>
                    <w:t>。</w:t>
                  </w:r>
                </w:p>
                <w:p w14:paraId="3390DA7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z w:val="21"/>
                      <w:szCs w:val="22"/>
                    </w:rPr>
                    <w:t>2、新、改、扩建项目新</w:t>
                  </w:r>
                  <w:r>
                    <w:rPr>
                      <w:rFonts w:ascii="Times New Roman" w:hAnsi="Times New Roman" w:eastAsia="宋体"/>
                      <w:color w:val="auto"/>
                      <w:spacing w:val="-1"/>
                      <w:sz w:val="21"/>
                      <w:szCs w:val="22"/>
                    </w:rPr>
                    <w:t>增VOCs排放量实行倍</w:t>
                  </w:r>
                </w:p>
                <w:p w14:paraId="6E77D07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z w:val="21"/>
                      <w:szCs w:val="22"/>
                    </w:rPr>
                    <w:t>量削减替代。</w:t>
                  </w:r>
                </w:p>
                <w:p w14:paraId="72085624">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1"/>
                      <w:sz w:val="21"/>
                      <w:szCs w:val="22"/>
                    </w:rPr>
                    <w:t>3、工业企业废水全部纳</w:t>
                  </w:r>
                  <w:r>
                    <w:rPr>
                      <w:rFonts w:ascii="Times New Roman" w:hAnsi="Times New Roman" w:eastAsia="宋体"/>
                      <w:color w:val="auto"/>
                      <w:sz w:val="21"/>
                      <w:szCs w:val="22"/>
                    </w:rPr>
                    <w:t>管进入</w:t>
                  </w:r>
                  <w:r>
                    <w:rPr>
                      <w:rFonts w:hint="eastAsia" w:ascii="Times New Roman" w:hAnsi="Times New Roman"/>
                      <w:color w:val="auto"/>
                      <w:sz w:val="21"/>
                      <w:szCs w:val="22"/>
                      <w:lang w:eastAsia="zh-CN"/>
                    </w:rPr>
                    <w:t>污水处理厂</w:t>
                  </w:r>
                  <w:r>
                    <w:rPr>
                      <w:rFonts w:ascii="Times New Roman" w:hAnsi="Times New Roman" w:eastAsia="宋体"/>
                      <w:color w:val="auto"/>
                      <w:sz w:val="21"/>
                      <w:szCs w:val="22"/>
                    </w:rPr>
                    <w:t>集中处理</w:t>
                  </w:r>
                  <w:r>
                    <w:rPr>
                      <w:rFonts w:ascii="Times New Roman" w:hAnsi="Times New Roman" w:eastAsia="宋体"/>
                      <w:color w:val="auto"/>
                      <w:spacing w:val="-1"/>
                      <w:sz w:val="21"/>
                      <w:szCs w:val="22"/>
                    </w:rPr>
                    <w:t>后达标排放。</w:t>
                  </w:r>
                </w:p>
              </w:tc>
              <w:tc>
                <w:tcPr>
                  <w:tcW w:w="2520" w:type="dxa"/>
                  <w:shd w:val="clear" w:color="auto" w:fill="auto"/>
                  <w:vAlign w:val="center"/>
                </w:tcPr>
                <w:p w14:paraId="1BFAAAE2">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pacing w:val="1"/>
                      <w:sz w:val="21"/>
                      <w:szCs w:val="22"/>
                    </w:rPr>
                  </w:pPr>
                  <w:r>
                    <w:rPr>
                      <w:rFonts w:ascii="Times New Roman" w:hAnsi="Times New Roman" w:eastAsia="宋体"/>
                      <w:color w:val="auto"/>
                      <w:spacing w:val="1"/>
                      <w:sz w:val="21"/>
                      <w:szCs w:val="22"/>
                    </w:rPr>
                    <w:t>1、本项目新增大气污染物SO₂、NOx</w:t>
                  </w:r>
                  <w:r>
                    <w:rPr>
                      <w:rFonts w:hint="eastAsia" w:ascii="Times New Roman" w:hAnsi="Times New Roman"/>
                      <w:color w:val="auto"/>
                      <w:spacing w:val="1"/>
                      <w:sz w:val="21"/>
                      <w:szCs w:val="22"/>
                      <w:lang w:eastAsia="zh-CN"/>
                    </w:rPr>
                    <w:t>,</w:t>
                  </w:r>
                  <w:r>
                    <w:rPr>
                      <w:rFonts w:ascii="Times New Roman" w:hAnsi="Times New Roman" w:eastAsia="宋体"/>
                      <w:color w:val="auto"/>
                      <w:spacing w:val="1"/>
                      <w:sz w:val="21"/>
                      <w:szCs w:val="22"/>
                    </w:rPr>
                    <w:t>排放量实行1.5倍削减替代；</w:t>
                  </w:r>
                </w:p>
                <w:p w14:paraId="79C4F3D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olor w:val="auto"/>
                      <w:spacing w:val="1"/>
                      <w:sz w:val="21"/>
                      <w:szCs w:val="22"/>
                      <w:lang w:eastAsia="zh-CN"/>
                    </w:rPr>
                  </w:pPr>
                  <w:r>
                    <w:rPr>
                      <w:rFonts w:ascii="Times New Roman" w:hAnsi="Times New Roman" w:eastAsia="宋体"/>
                      <w:color w:val="auto"/>
                      <w:spacing w:val="1"/>
                      <w:sz w:val="21"/>
                      <w:szCs w:val="22"/>
                    </w:rPr>
                    <w:t>2、本项目新增VOCs排放量</w:t>
                  </w:r>
                  <w:r>
                    <w:rPr>
                      <w:rFonts w:ascii="Times New Roman" w:hAnsi="Times New Roman" w:eastAsia="宋体"/>
                      <w:color w:val="auto"/>
                      <w:spacing w:val="-1"/>
                      <w:sz w:val="21"/>
                      <w:szCs w:val="22"/>
                    </w:rPr>
                    <w:t>实行倍</w:t>
                  </w:r>
                  <w:r>
                    <w:rPr>
                      <w:rFonts w:ascii="Times New Roman" w:hAnsi="Times New Roman" w:eastAsia="宋体"/>
                      <w:color w:val="auto"/>
                      <w:sz w:val="21"/>
                      <w:szCs w:val="22"/>
                    </w:rPr>
                    <w:t>量削减替代</w:t>
                  </w:r>
                  <w:r>
                    <w:rPr>
                      <w:rFonts w:hint="eastAsia" w:ascii="Times New Roman" w:hAnsi="Times New Roman"/>
                      <w:color w:val="auto"/>
                      <w:sz w:val="21"/>
                      <w:szCs w:val="22"/>
                      <w:lang w:eastAsia="zh-CN"/>
                    </w:rPr>
                    <w:t>。</w:t>
                  </w:r>
                </w:p>
                <w:p w14:paraId="1CDAF338">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pacing w:val="1"/>
                      <w:sz w:val="21"/>
                      <w:szCs w:val="22"/>
                    </w:rPr>
                  </w:pPr>
                  <w:r>
                    <w:rPr>
                      <w:rFonts w:ascii="Times New Roman" w:hAnsi="Times New Roman" w:eastAsia="宋体"/>
                      <w:color w:val="auto"/>
                      <w:spacing w:val="1"/>
                      <w:sz w:val="21"/>
                      <w:szCs w:val="22"/>
                    </w:rPr>
                    <w:t>3、本项目生产废水</w:t>
                  </w:r>
                  <w:r>
                    <w:rPr>
                      <w:rFonts w:hint="eastAsia" w:ascii="Times New Roman" w:hAnsi="Times New Roman" w:eastAsia="宋体"/>
                      <w:color w:val="auto"/>
                      <w:spacing w:val="1"/>
                      <w:sz w:val="21"/>
                      <w:szCs w:val="22"/>
                      <w:lang w:val="en-US" w:eastAsia="zh-CN"/>
                    </w:rPr>
                    <w:t>经污水处理设施处理达标后经过污水管网送往福清市第二污水处理厂；</w:t>
                  </w:r>
                  <w:r>
                    <w:rPr>
                      <w:rFonts w:ascii="Times New Roman" w:hAnsi="Times New Roman" w:eastAsia="宋体"/>
                      <w:color w:val="auto"/>
                      <w:spacing w:val="1"/>
                      <w:sz w:val="21"/>
                      <w:szCs w:val="22"/>
                    </w:rPr>
                    <w:t>生活污水依托现有已建的化粪池处理后经污</w:t>
                  </w:r>
                </w:p>
                <w:p w14:paraId="713022DB">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pacing w:val="1"/>
                      <w:sz w:val="21"/>
                      <w:szCs w:val="22"/>
                    </w:rPr>
                  </w:pPr>
                  <w:r>
                    <w:rPr>
                      <w:rFonts w:ascii="Times New Roman" w:hAnsi="Times New Roman" w:eastAsia="宋体"/>
                      <w:color w:val="auto"/>
                      <w:spacing w:val="1"/>
                      <w:sz w:val="21"/>
                      <w:szCs w:val="22"/>
                    </w:rPr>
                    <w:t>水管网送往福清市第二</w:t>
                  </w:r>
                </w:p>
                <w:p w14:paraId="1A10CA97">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olor w:val="auto"/>
                      <w:spacing w:val="1"/>
                      <w:sz w:val="21"/>
                      <w:szCs w:val="22"/>
                      <w:lang w:val="en-US" w:eastAsia="zh-CN"/>
                    </w:rPr>
                  </w:pPr>
                  <w:r>
                    <w:rPr>
                      <w:rFonts w:hint="eastAsia" w:ascii="Times New Roman" w:hAnsi="Times New Roman" w:eastAsia="宋体"/>
                      <w:color w:val="auto"/>
                      <w:spacing w:val="1"/>
                      <w:sz w:val="21"/>
                      <w:szCs w:val="22"/>
                      <w:lang w:val="en-US" w:eastAsia="zh-CN"/>
                    </w:rPr>
                    <w:t>污水处理厂集中处理。</w:t>
                  </w:r>
                </w:p>
              </w:tc>
              <w:tc>
                <w:tcPr>
                  <w:tcW w:w="1119" w:type="dxa"/>
                  <w:shd w:val="clear" w:color="auto" w:fill="auto"/>
                  <w:vAlign w:val="center"/>
                </w:tcPr>
                <w:p w14:paraId="55DA4C47">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符合</w:t>
                  </w:r>
                </w:p>
              </w:tc>
            </w:tr>
            <w:tr w14:paraId="7EBA10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18" w:type="dxa"/>
                  <w:shd w:val="clear" w:color="auto" w:fill="auto"/>
                  <w:vAlign w:val="center"/>
                </w:tcPr>
                <w:p w14:paraId="6D0B2CF2">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4"/>
                      <w:sz w:val="21"/>
                      <w:szCs w:val="22"/>
                    </w:rPr>
                    <w:t>C36的资源</w:t>
                  </w:r>
                  <w:r>
                    <w:rPr>
                      <w:rFonts w:ascii="Times New Roman" w:hAnsi="Times New Roman" w:eastAsia="宋体"/>
                      <w:color w:val="auto"/>
                      <w:spacing w:val="-5"/>
                      <w:sz w:val="21"/>
                      <w:szCs w:val="22"/>
                    </w:rPr>
                    <w:t>环境</w:t>
                  </w:r>
                  <w:r>
                    <w:rPr>
                      <w:rFonts w:ascii="Times New Roman" w:hAnsi="Times New Roman" w:eastAsia="宋体"/>
                      <w:color w:val="auto"/>
                      <w:spacing w:val="5"/>
                      <w:sz w:val="21"/>
                      <w:szCs w:val="22"/>
                    </w:rPr>
                    <w:t>效率</w:t>
                  </w:r>
                  <w:r>
                    <w:rPr>
                      <w:rFonts w:ascii="Times New Roman" w:hAnsi="Times New Roman" w:eastAsia="宋体"/>
                      <w:color w:val="auto"/>
                      <w:spacing w:val="14"/>
                      <w:sz w:val="21"/>
                      <w:szCs w:val="22"/>
                    </w:rPr>
                    <w:t>管控</w:t>
                  </w:r>
                </w:p>
              </w:tc>
              <w:tc>
                <w:tcPr>
                  <w:tcW w:w="1820" w:type="dxa"/>
                  <w:shd w:val="clear" w:color="auto" w:fill="auto"/>
                  <w:vAlign w:val="center"/>
                </w:tcPr>
                <w:p w14:paraId="6CCB2E8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z w:val="21"/>
                      <w:szCs w:val="22"/>
                    </w:rPr>
                    <w:t>1、能耗不超过0.23吨</w:t>
                  </w:r>
                  <w:r>
                    <w:rPr>
                      <w:rFonts w:ascii="Times New Roman" w:hAnsi="Times New Roman" w:eastAsia="宋体"/>
                      <w:color w:val="auto"/>
                      <w:spacing w:val="-1"/>
                      <w:sz w:val="21"/>
                      <w:szCs w:val="22"/>
                    </w:rPr>
                    <w:t>标煤/万元工业增加值</w:t>
                  </w:r>
                </w:p>
                <w:p w14:paraId="561FA82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2、水耗不超过6.90t万</w:t>
                  </w:r>
                  <w:r>
                    <w:rPr>
                      <w:rFonts w:ascii="Times New Roman" w:hAnsi="Times New Roman" w:eastAsia="宋体"/>
                      <w:color w:val="auto"/>
                      <w:spacing w:val="-2"/>
                      <w:sz w:val="21"/>
                      <w:szCs w:val="22"/>
                    </w:rPr>
                    <w:t>元工业增加值</w:t>
                  </w:r>
                </w:p>
                <w:p w14:paraId="2265BB2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z w:val="21"/>
                      <w:szCs w:val="22"/>
                    </w:rPr>
                    <w:t>3、污水排放量不超过</w:t>
                  </w:r>
                </w:p>
                <w:p w14:paraId="2EC3D40A">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z w:val="21"/>
                      <w:szCs w:val="22"/>
                    </w:rPr>
                    <w:t>5.43t万元工业增加值</w:t>
                  </w:r>
                  <w:r>
                    <w:rPr>
                      <w:rFonts w:ascii="Times New Roman" w:hAnsi="Times New Roman" w:eastAsia="宋体"/>
                      <w:color w:val="auto"/>
                      <w:spacing w:val="1"/>
                      <w:sz w:val="21"/>
                      <w:szCs w:val="22"/>
                    </w:rPr>
                    <w:t>4、</w:t>
                  </w:r>
                  <w:r>
                    <w:rPr>
                      <w:rFonts w:ascii="Times New Roman" w:hAnsi="Times New Roman" w:eastAsia="宋体"/>
                      <w:color w:val="auto"/>
                      <w:sz w:val="21"/>
                      <w:szCs w:val="22"/>
                    </w:rPr>
                    <w:t>VOCs</w:t>
                  </w:r>
                  <w:r>
                    <w:rPr>
                      <w:rFonts w:ascii="Times New Roman" w:hAnsi="Times New Roman" w:eastAsia="宋体"/>
                      <w:color w:val="auto"/>
                      <w:spacing w:val="1"/>
                      <w:sz w:val="21"/>
                      <w:szCs w:val="22"/>
                    </w:rPr>
                    <w:t>排放量不超过</w:t>
                  </w:r>
                  <w:r>
                    <w:rPr>
                      <w:rFonts w:ascii="Times New Roman" w:hAnsi="Times New Roman" w:eastAsia="宋体"/>
                      <w:color w:val="auto"/>
                      <w:spacing w:val="-1"/>
                      <w:sz w:val="21"/>
                      <w:szCs w:val="22"/>
                    </w:rPr>
                    <w:t>0.26kg万元工业增加值</w:t>
                  </w:r>
                </w:p>
              </w:tc>
              <w:tc>
                <w:tcPr>
                  <w:tcW w:w="2520" w:type="dxa"/>
                  <w:shd w:val="clear" w:color="auto" w:fill="auto"/>
                  <w:vAlign w:val="center"/>
                </w:tcPr>
                <w:p w14:paraId="2349FD4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z w:val="21"/>
                      <w:szCs w:val="22"/>
                    </w:rPr>
                    <w:t>1、</w:t>
                  </w:r>
                  <w:r>
                    <w:rPr>
                      <w:rFonts w:hint="eastAsia" w:ascii="Times New Roman" w:hAnsi="Times New Roman"/>
                      <w:color w:val="auto"/>
                      <w:sz w:val="21"/>
                      <w:szCs w:val="22"/>
                      <w:lang w:val="en-US" w:eastAsia="zh-CN"/>
                    </w:rPr>
                    <w:t>本项目</w:t>
                  </w:r>
                  <w:r>
                    <w:rPr>
                      <w:rFonts w:ascii="Times New Roman" w:hAnsi="Times New Roman" w:eastAsia="宋体"/>
                      <w:color w:val="auto"/>
                      <w:sz w:val="21"/>
                      <w:szCs w:val="22"/>
                    </w:rPr>
                    <w:t>能耗不超过0.23吨</w:t>
                  </w:r>
                  <w:r>
                    <w:rPr>
                      <w:rFonts w:ascii="Times New Roman" w:hAnsi="Times New Roman" w:eastAsia="宋体"/>
                      <w:color w:val="auto"/>
                      <w:spacing w:val="-1"/>
                      <w:sz w:val="21"/>
                      <w:szCs w:val="22"/>
                    </w:rPr>
                    <w:t>标煤/万元工业增加值</w:t>
                  </w:r>
                </w:p>
                <w:p w14:paraId="60BA90A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2、水耗不超过6.90t万</w:t>
                  </w:r>
                  <w:r>
                    <w:rPr>
                      <w:rFonts w:ascii="Times New Roman" w:hAnsi="Times New Roman" w:eastAsia="宋体"/>
                      <w:color w:val="auto"/>
                      <w:spacing w:val="-2"/>
                      <w:sz w:val="21"/>
                      <w:szCs w:val="22"/>
                    </w:rPr>
                    <w:t>元工业增加值</w:t>
                  </w:r>
                </w:p>
                <w:p w14:paraId="094C0A7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z w:val="21"/>
                      <w:szCs w:val="22"/>
                    </w:rPr>
                    <w:t>3、污水排放量不超过</w:t>
                  </w:r>
                </w:p>
                <w:p w14:paraId="3779408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z w:val="21"/>
                      <w:szCs w:val="22"/>
                    </w:rPr>
                    <w:t>5.43t万元工业增加值4、VOCs排放量不超过0.26kg万元工业增加值</w:t>
                  </w:r>
                </w:p>
              </w:tc>
              <w:tc>
                <w:tcPr>
                  <w:tcW w:w="1119" w:type="dxa"/>
                  <w:shd w:val="clear" w:color="auto" w:fill="auto"/>
                  <w:vAlign w:val="center"/>
                </w:tcPr>
                <w:p w14:paraId="300EB4AD">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符合</w:t>
                  </w:r>
                </w:p>
              </w:tc>
            </w:tr>
          </w:tbl>
          <w:p w14:paraId="110A6613">
            <w:pPr>
              <w:pStyle w:val="42"/>
              <w:keepNext/>
              <w:keepLines/>
              <w:pageBreakBefore w:val="0"/>
              <w:widowControl w:val="0"/>
              <w:kinsoku/>
              <w:wordWrap/>
              <w:overflowPunct/>
              <w:topLinePunct w:val="0"/>
              <w:autoSpaceDE/>
              <w:autoSpaceDN/>
              <w:bidi w:val="0"/>
              <w:adjustRightInd/>
              <w:snapToGrid/>
              <w:spacing w:before="157" w:beforeLines="50" w:after="0"/>
              <w:ind w:left="420" w:leftChars="0" w:firstLineChars="0"/>
              <w:jc w:val="center"/>
              <w:textAlignment w:val="auto"/>
              <w:rPr>
                <w:rFonts w:hint="eastAsia" w:eastAsia="宋体"/>
                <w:color w:val="auto"/>
                <w:highlight w:val="none"/>
                <w:lang w:val="en-US" w:eastAsia="zh-CN"/>
              </w:rPr>
            </w:pPr>
            <w:r>
              <w:rPr>
                <w:rFonts w:hint="eastAsia" w:eastAsia="宋体"/>
                <w:color w:val="auto"/>
                <w:highlight w:val="none"/>
                <w:lang w:val="en-US" w:eastAsia="zh-CN"/>
              </w:rPr>
              <w:t>审查意见符合性分析对照表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0"/>
              <w:gridCol w:w="2195"/>
              <w:gridCol w:w="2189"/>
              <w:gridCol w:w="713"/>
            </w:tblGrid>
            <w:tr w14:paraId="4DF69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75" w:type="dxa"/>
                  <w:gridSpan w:val="2"/>
                  <w:shd w:val="clear" w:color="auto" w:fill="auto"/>
                  <w:vAlign w:val="center"/>
                </w:tcPr>
                <w:p w14:paraId="6D99071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b/>
                      <w:bCs/>
                      <w:color w:val="auto"/>
                      <w:spacing w:val="-4"/>
                      <w:sz w:val="21"/>
                      <w:szCs w:val="22"/>
                    </w:rPr>
                    <w:t>关于《福清融侨经济技术开发区总体</w:t>
                  </w:r>
                </w:p>
                <w:p w14:paraId="0FC61C7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b/>
                      <w:bCs/>
                      <w:color w:val="auto"/>
                      <w:spacing w:val="-3"/>
                      <w:sz w:val="21"/>
                      <w:szCs w:val="22"/>
                    </w:rPr>
                    <w:t>规划</w:t>
                  </w:r>
                  <w:r>
                    <w:rPr>
                      <w:rFonts w:hint="eastAsia" w:ascii="Times New Roman" w:hAnsi="Times New Roman"/>
                      <w:b/>
                      <w:bCs/>
                      <w:color w:val="auto"/>
                      <w:spacing w:val="-3"/>
                      <w:sz w:val="21"/>
                      <w:szCs w:val="22"/>
                      <w:lang w:eastAsia="zh-CN"/>
                    </w:rPr>
                    <w:t>(</w:t>
                  </w:r>
                  <w:r>
                    <w:rPr>
                      <w:rFonts w:ascii="Times New Roman" w:hAnsi="Times New Roman" w:eastAsia="宋体"/>
                      <w:b/>
                      <w:bCs/>
                      <w:color w:val="auto"/>
                      <w:spacing w:val="-3"/>
                      <w:sz w:val="21"/>
                      <w:szCs w:val="22"/>
                    </w:rPr>
                    <w:t>2018</w:t>
                  </w:r>
                  <w:r>
                    <w:rPr>
                      <w:rFonts w:hint="eastAsia" w:ascii="Times New Roman" w:hAnsi="Times New Roman"/>
                      <w:b/>
                      <w:bCs/>
                      <w:color w:val="auto"/>
                      <w:spacing w:val="-3"/>
                      <w:sz w:val="21"/>
                      <w:szCs w:val="22"/>
                      <w:lang w:eastAsia="zh-CN"/>
                    </w:rPr>
                    <w:t>—</w:t>
                  </w:r>
                  <w:r>
                    <w:rPr>
                      <w:rFonts w:ascii="Times New Roman" w:hAnsi="Times New Roman" w:eastAsia="宋体"/>
                      <w:b/>
                      <w:bCs/>
                      <w:color w:val="auto"/>
                      <w:spacing w:val="-3"/>
                      <w:sz w:val="21"/>
                      <w:szCs w:val="22"/>
                    </w:rPr>
                    <w:t>2035年</w:t>
                  </w:r>
                  <w:r>
                    <w:rPr>
                      <w:rFonts w:hint="eastAsia" w:ascii="Times New Roman" w:hAnsi="Times New Roman"/>
                      <w:b/>
                      <w:bCs/>
                      <w:color w:val="auto"/>
                      <w:spacing w:val="-3"/>
                      <w:sz w:val="21"/>
                      <w:szCs w:val="22"/>
                      <w:lang w:eastAsia="zh-CN"/>
                    </w:rPr>
                    <w:t>)</w:t>
                  </w:r>
                  <w:r>
                    <w:rPr>
                      <w:rFonts w:ascii="Times New Roman" w:hAnsi="Times New Roman" w:eastAsia="宋体"/>
                      <w:b/>
                      <w:bCs/>
                      <w:color w:val="auto"/>
                      <w:spacing w:val="-3"/>
                      <w:sz w:val="21"/>
                      <w:szCs w:val="22"/>
                    </w:rPr>
                    <w:t>环境影响报告</w:t>
                  </w:r>
                </w:p>
                <w:p w14:paraId="3DC35D2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b/>
                      <w:bCs/>
                      <w:color w:val="auto"/>
                      <w:spacing w:val="-1"/>
                      <w:sz w:val="21"/>
                      <w:szCs w:val="22"/>
                    </w:rPr>
                    <w:t>书》的审查意见</w:t>
                  </w:r>
                  <w:r>
                    <w:rPr>
                      <w:rFonts w:hint="eastAsia" w:ascii="Times New Roman" w:hAnsi="Times New Roman"/>
                      <w:b/>
                      <w:bCs/>
                      <w:color w:val="auto"/>
                      <w:spacing w:val="-1"/>
                      <w:sz w:val="21"/>
                      <w:szCs w:val="22"/>
                      <w:lang w:eastAsia="zh-CN"/>
                    </w:rPr>
                    <w:t>(</w:t>
                  </w:r>
                  <w:r>
                    <w:rPr>
                      <w:rFonts w:ascii="Times New Roman" w:hAnsi="Times New Roman" w:eastAsia="宋体"/>
                      <w:b/>
                      <w:bCs/>
                      <w:color w:val="auto"/>
                      <w:spacing w:val="-1"/>
                      <w:sz w:val="21"/>
                      <w:szCs w:val="22"/>
                    </w:rPr>
                    <w:t>环审</w:t>
                  </w:r>
                  <w:r>
                    <w:rPr>
                      <w:rFonts w:hint="eastAsia" w:ascii="Times New Roman" w:hAnsi="Times New Roman"/>
                      <w:b/>
                      <w:bCs/>
                      <w:color w:val="auto"/>
                      <w:spacing w:val="-1"/>
                      <w:sz w:val="21"/>
                      <w:szCs w:val="22"/>
                      <w:lang w:eastAsia="zh-CN"/>
                    </w:rPr>
                    <w:t>〔2020〕80号)</w:t>
                  </w:r>
                </w:p>
                <w:p w14:paraId="6C30A339">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hAnsi="Times New Roman" w:eastAsia="宋体"/>
                      <w:color w:val="auto"/>
                      <w:spacing w:val="-1"/>
                      <w:sz w:val="21"/>
                      <w:szCs w:val="22"/>
                    </w:rPr>
                  </w:pPr>
                  <w:r>
                    <w:rPr>
                      <w:rFonts w:ascii="Times New Roman" w:hAnsi="Times New Roman" w:eastAsia="宋体"/>
                      <w:b/>
                      <w:bCs/>
                      <w:color w:val="auto"/>
                      <w:spacing w:val="-5"/>
                      <w:sz w:val="21"/>
                      <w:szCs w:val="22"/>
                    </w:rPr>
                    <w:t>摘录</w:t>
                  </w:r>
                </w:p>
              </w:tc>
              <w:tc>
                <w:tcPr>
                  <w:tcW w:w="2189" w:type="dxa"/>
                  <w:shd w:val="clear" w:color="auto" w:fill="auto"/>
                  <w:vAlign w:val="center"/>
                </w:tcPr>
                <w:p w14:paraId="4E075B3B">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ascii="Times New Roman" w:hAnsi="Times New Roman" w:eastAsia="宋体"/>
                      <w:color w:val="auto"/>
                      <w:spacing w:val="-7"/>
                      <w:sz w:val="21"/>
                      <w:szCs w:val="22"/>
                    </w:rPr>
                  </w:pPr>
                  <w:r>
                    <w:rPr>
                      <w:rFonts w:ascii="Times New Roman" w:hAnsi="Times New Roman" w:eastAsia="宋体"/>
                      <w:b/>
                      <w:bCs/>
                      <w:color w:val="auto"/>
                      <w:spacing w:val="-5"/>
                      <w:sz w:val="21"/>
                      <w:szCs w:val="28"/>
                    </w:rPr>
                    <w:t>本项目情况</w:t>
                  </w:r>
                </w:p>
              </w:tc>
              <w:tc>
                <w:tcPr>
                  <w:tcW w:w="713" w:type="dxa"/>
                  <w:vAlign w:val="center"/>
                </w:tcPr>
                <w:p w14:paraId="6EC431DD">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2"/>
                    </w:rPr>
                  </w:pPr>
                  <w:r>
                    <w:rPr>
                      <w:rFonts w:ascii="Times New Roman" w:hAnsi="Times New Roman" w:eastAsia="宋体"/>
                      <w:b/>
                      <w:bCs/>
                      <w:color w:val="auto"/>
                      <w:spacing w:val="-8"/>
                      <w:sz w:val="21"/>
                      <w:szCs w:val="22"/>
                    </w:rPr>
                    <w:t>符合</w:t>
                  </w:r>
                  <w:r>
                    <w:rPr>
                      <w:rFonts w:ascii="Times New Roman" w:hAnsi="Times New Roman" w:eastAsia="宋体"/>
                      <w:b/>
                      <w:bCs/>
                      <w:color w:val="auto"/>
                      <w:spacing w:val="-3"/>
                      <w:sz w:val="21"/>
                      <w:szCs w:val="22"/>
                    </w:rPr>
                    <w:t>性</w:t>
                  </w:r>
                </w:p>
              </w:tc>
            </w:tr>
            <w:tr w14:paraId="42372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80" w:type="dxa"/>
                  <w:shd w:val="clear" w:color="auto" w:fill="auto"/>
                  <w:vAlign w:val="center"/>
                </w:tcPr>
                <w:p w14:paraId="695C8BC0">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2"/>
                      <w:sz w:val="21"/>
                      <w:szCs w:val="22"/>
                    </w:rPr>
                    <w:t>坚持绿色</w:t>
                  </w:r>
                  <w:r>
                    <w:rPr>
                      <w:rFonts w:ascii="Times New Roman" w:hAnsi="Times New Roman" w:eastAsia="宋体"/>
                      <w:color w:val="auto"/>
                      <w:spacing w:val="18"/>
                      <w:sz w:val="21"/>
                      <w:szCs w:val="22"/>
                    </w:rPr>
                    <w:t>发展和协</w:t>
                  </w:r>
                  <w:r>
                    <w:rPr>
                      <w:rFonts w:ascii="Times New Roman" w:hAnsi="Times New Roman" w:eastAsia="宋体"/>
                      <w:color w:val="auto"/>
                      <w:spacing w:val="12"/>
                      <w:sz w:val="21"/>
                      <w:szCs w:val="22"/>
                    </w:rPr>
                    <w:t>调发展理</w:t>
                  </w:r>
                  <w:r>
                    <w:rPr>
                      <w:rFonts w:ascii="Times New Roman" w:hAnsi="Times New Roman" w:eastAsia="宋体"/>
                      <w:color w:val="auto"/>
                      <w:spacing w:val="-2"/>
                      <w:sz w:val="21"/>
                      <w:szCs w:val="22"/>
                    </w:rPr>
                    <w:t>念，加强规</w:t>
                  </w:r>
                  <w:r>
                    <w:rPr>
                      <w:rFonts w:ascii="Times New Roman" w:hAnsi="Times New Roman" w:eastAsia="宋体"/>
                      <w:color w:val="auto"/>
                      <w:spacing w:val="28"/>
                      <w:sz w:val="21"/>
                      <w:szCs w:val="22"/>
                    </w:rPr>
                    <w:t>划引导</w:t>
                  </w:r>
                </w:p>
              </w:tc>
              <w:tc>
                <w:tcPr>
                  <w:tcW w:w="2195" w:type="dxa"/>
                  <w:shd w:val="clear" w:color="auto" w:fill="auto"/>
                  <w:vAlign w:val="center"/>
                </w:tcPr>
                <w:p w14:paraId="0664D51C">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1"/>
                      <w:sz w:val="21"/>
                      <w:szCs w:val="22"/>
                    </w:rPr>
                    <w:t>进一步优化《规划》范</w:t>
                  </w:r>
                  <w:r>
                    <w:rPr>
                      <w:rFonts w:ascii="Times New Roman" w:hAnsi="Times New Roman" w:eastAsia="宋体"/>
                      <w:color w:val="auto"/>
                      <w:spacing w:val="3"/>
                      <w:sz w:val="21"/>
                      <w:szCs w:val="22"/>
                    </w:rPr>
                    <w:t>围、布局、发展规模和</w:t>
                  </w:r>
                  <w:r>
                    <w:rPr>
                      <w:rFonts w:ascii="Times New Roman" w:hAnsi="Times New Roman" w:eastAsia="宋体"/>
                      <w:color w:val="auto"/>
                      <w:spacing w:val="2"/>
                      <w:sz w:val="21"/>
                      <w:szCs w:val="22"/>
                    </w:rPr>
                    <w:t>产业结构等，做好与省</w:t>
                  </w:r>
                  <w:r>
                    <w:rPr>
                      <w:rFonts w:ascii="Times New Roman" w:hAnsi="Times New Roman" w:eastAsia="宋体"/>
                      <w:color w:val="auto"/>
                      <w:spacing w:val="1"/>
                      <w:sz w:val="21"/>
                      <w:szCs w:val="22"/>
                    </w:rPr>
                    <w:t>市国土空间规划和“三</w:t>
                  </w:r>
                  <w:r>
                    <w:rPr>
                      <w:rFonts w:ascii="Times New Roman" w:hAnsi="Times New Roman" w:eastAsia="宋体"/>
                      <w:color w:val="auto"/>
                      <w:spacing w:val="-2"/>
                      <w:sz w:val="21"/>
                      <w:szCs w:val="22"/>
                    </w:rPr>
                    <w:t>线一单”的协调衔接</w:t>
                  </w:r>
                </w:p>
              </w:tc>
              <w:tc>
                <w:tcPr>
                  <w:tcW w:w="2189" w:type="dxa"/>
                  <w:shd w:val="clear" w:color="auto" w:fill="auto"/>
                  <w:vAlign w:val="center"/>
                </w:tcPr>
                <w:p w14:paraId="27DD55C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项目位于福清融侨经</w:t>
                  </w:r>
                </w:p>
                <w:p w14:paraId="60B8524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Times New Roman" w:hAnsi="Times New Roman" w:eastAsia="宋体"/>
                      <w:color w:val="auto"/>
                      <w:sz w:val="21"/>
                      <w:szCs w:val="22"/>
                    </w:rPr>
                  </w:pPr>
                  <w:r>
                    <w:rPr>
                      <w:rFonts w:ascii="Times New Roman" w:hAnsi="Times New Roman" w:eastAsia="宋体"/>
                      <w:color w:val="auto"/>
                      <w:spacing w:val="-10"/>
                      <w:sz w:val="21"/>
                      <w:szCs w:val="22"/>
                    </w:rPr>
                    <w:t>济开发区范围内，项目</w:t>
                  </w:r>
                </w:p>
                <w:p w14:paraId="687670DC">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7"/>
                      <w:sz w:val="21"/>
                      <w:szCs w:val="22"/>
                    </w:rPr>
                    <w:t>符合园区产业发展定位，符合国土空间规划</w:t>
                  </w:r>
                  <w:r>
                    <w:rPr>
                      <w:rFonts w:ascii="Times New Roman" w:hAnsi="Times New Roman" w:eastAsia="宋体"/>
                      <w:color w:val="auto"/>
                      <w:spacing w:val="1"/>
                      <w:sz w:val="21"/>
                      <w:szCs w:val="22"/>
                    </w:rPr>
                    <w:t>和“三线一单”要求。</w:t>
                  </w:r>
                </w:p>
              </w:tc>
              <w:tc>
                <w:tcPr>
                  <w:tcW w:w="713" w:type="dxa"/>
                  <w:vAlign w:val="center"/>
                </w:tcPr>
                <w:p w14:paraId="24CBE227">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符合</w:t>
                  </w:r>
                </w:p>
              </w:tc>
            </w:tr>
            <w:tr w14:paraId="78B14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80" w:type="dxa"/>
                  <w:shd w:val="clear" w:color="auto" w:fill="auto"/>
                  <w:vAlign w:val="center"/>
                </w:tcPr>
                <w:p w14:paraId="51C8003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着力推动开发区结</w:t>
                  </w:r>
                  <w:r>
                    <w:rPr>
                      <w:rFonts w:ascii="Times New Roman" w:hAnsi="Times New Roman" w:eastAsia="宋体"/>
                      <w:color w:val="auto"/>
                      <w:spacing w:val="4"/>
                      <w:sz w:val="21"/>
                      <w:szCs w:val="22"/>
                    </w:rPr>
                    <w:t>构调整和</w:t>
                  </w:r>
                  <w:r>
                    <w:rPr>
                      <w:rFonts w:ascii="Times New Roman" w:hAnsi="Times New Roman" w:eastAsia="宋体"/>
                      <w:color w:val="auto"/>
                      <w:spacing w:val="3"/>
                      <w:sz w:val="21"/>
                      <w:szCs w:val="22"/>
                    </w:rPr>
                    <w:t>转型升级</w:t>
                  </w:r>
                </w:p>
              </w:tc>
              <w:tc>
                <w:tcPr>
                  <w:tcW w:w="2195" w:type="dxa"/>
                  <w:shd w:val="clear" w:color="auto" w:fill="auto"/>
                  <w:vAlign w:val="center"/>
                </w:tcPr>
                <w:p w14:paraId="2E5E90E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落实《报告书》提出的</w:t>
                  </w:r>
                  <w:r>
                    <w:rPr>
                      <w:rFonts w:ascii="Times New Roman" w:hAnsi="Times New Roman" w:eastAsia="宋体"/>
                      <w:color w:val="auto"/>
                      <w:spacing w:val="-2"/>
                      <w:sz w:val="21"/>
                      <w:szCs w:val="22"/>
                    </w:rPr>
                    <w:t>现有重污染企业和用地</w:t>
                  </w:r>
                  <w:r>
                    <w:rPr>
                      <w:rFonts w:ascii="Times New Roman" w:hAnsi="Times New Roman" w:eastAsia="宋体"/>
                      <w:color w:val="auto"/>
                      <w:sz w:val="21"/>
                      <w:szCs w:val="22"/>
                    </w:rPr>
                    <w:t>布局不合理企业的搬</w:t>
                  </w:r>
                  <w:r>
                    <w:rPr>
                      <w:rFonts w:ascii="Times New Roman" w:hAnsi="Times New Roman" w:eastAsia="宋体"/>
                      <w:color w:val="auto"/>
                      <w:spacing w:val="-1"/>
                      <w:sz w:val="21"/>
                      <w:szCs w:val="22"/>
                    </w:rPr>
                    <w:t>迁、淘汰进度，强化拟</w:t>
                  </w:r>
                  <w:r>
                    <w:rPr>
                      <w:rFonts w:ascii="Times New Roman" w:hAnsi="Times New Roman" w:eastAsia="宋体"/>
                      <w:color w:val="auto"/>
                      <w:spacing w:val="2"/>
                      <w:sz w:val="21"/>
                      <w:szCs w:val="22"/>
                    </w:rPr>
                    <w:t>退出污染企业存续期间</w:t>
                  </w:r>
                  <w:r>
                    <w:rPr>
                      <w:rFonts w:ascii="Times New Roman" w:hAnsi="Times New Roman" w:eastAsia="宋体"/>
                      <w:color w:val="auto"/>
                      <w:spacing w:val="5"/>
                      <w:sz w:val="21"/>
                      <w:szCs w:val="22"/>
                    </w:rPr>
                    <w:t>环境管控和风险防控，</w:t>
                  </w:r>
                  <w:r>
                    <w:rPr>
                      <w:rFonts w:ascii="Times New Roman" w:hAnsi="Times New Roman" w:eastAsia="宋体"/>
                      <w:color w:val="auto"/>
                      <w:spacing w:val="-1"/>
                      <w:sz w:val="21"/>
                      <w:szCs w:val="22"/>
                    </w:rPr>
                    <w:t>合理安排重污染企业腾</w:t>
                  </w:r>
                  <w:r>
                    <w:rPr>
                      <w:rFonts w:ascii="Times New Roman" w:hAnsi="Times New Roman" w:eastAsia="宋体"/>
                      <w:color w:val="auto"/>
                      <w:spacing w:val="1"/>
                      <w:sz w:val="21"/>
                      <w:szCs w:val="22"/>
                    </w:rPr>
                    <w:t>退及周边土地开发时</w:t>
                  </w:r>
                </w:p>
                <w:p w14:paraId="6AF63A5C">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both"/>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序，促进开发区</w:t>
                  </w:r>
                  <w:r>
                    <w:rPr>
                      <w:rFonts w:ascii="Times New Roman" w:hAnsi="Times New Roman" w:eastAsia="宋体"/>
                      <w:color w:val="auto"/>
                      <w:spacing w:val="-1"/>
                      <w:sz w:val="21"/>
                      <w:szCs w:val="22"/>
                    </w:rPr>
                    <w:t>产业转型升级与生态环境保护、人居环境安全</w:t>
                  </w:r>
                  <w:r>
                    <w:rPr>
                      <w:rFonts w:ascii="Times New Roman" w:hAnsi="Times New Roman" w:eastAsia="宋体"/>
                      <w:color w:val="auto"/>
                      <w:sz w:val="21"/>
                      <w:szCs w:val="22"/>
                    </w:rPr>
                    <w:t>相协调。</w:t>
                  </w:r>
                </w:p>
              </w:tc>
              <w:tc>
                <w:tcPr>
                  <w:tcW w:w="2189" w:type="dxa"/>
                  <w:shd w:val="clear" w:color="auto" w:fill="auto"/>
                  <w:vAlign w:val="center"/>
                </w:tcPr>
                <w:p w14:paraId="0D13FCB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本项目不属于规划环</w:t>
                  </w:r>
                </w:p>
                <w:p w14:paraId="5089186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both"/>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评报告书提出的“搬</w:t>
                  </w:r>
                </w:p>
                <w:p w14:paraId="7123EA2B">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1"/>
                      <w:sz w:val="21"/>
                      <w:szCs w:val="22"/>
                    </w:rPr>
                    <w:t>迁、淘汰”项目。</w:t>
                  </w:r>
                </w:p>
              </w:tc>
              <w:tc>
                <w:tcPr>
                  <w:tcW w:w="713" w:type="dxa"/>
                  <w:vAlign w:val="center"/>
                </w:tcPr>
                <w:p w14:paraId="1AAAD06E">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符合</w:t>
                  </w:r>
                </w:p>
              </w:tc>
            </w:tr>
            <w:tr w14:paraId="5D77E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80" w:type="dxa"/>
                  <w:shd w:val="clear" w:color="auto" w:fill="auto"/>
                  <w:vAlign w:val="center"/>
                </w:tcPr>
                <w:p w14:paraId="629B3E5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5"/>
                      <w:sz w:val="21"/>
                      <w:szCs w:val="22"/>
                    </w:rPr>
                    <w:t>严格空间</w:t>
                  </w:r>
                </w:p>
                <w:p w14:paraId="39427A9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管控，优化</w:t>
                  </w:r>
                </w:p>
                <w:p w14:paraId="1CAF5D8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5"/>
                      <w:sz w:val="21"/>
                      <w:szCs w:val="22"/>
                    </w:rPr>
                    <w:t>区内空间</w:t>
                  </w:r>
                </w:p>
                <w:p w14:paraId="7867D82A">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9"/>
                      <w:sz w:val="21"/>
                      <w:szCs w:val="22"/>
                    </w:rPr>
                    <w:t>布局</w:t>
                  </w:r>
                </w:p>
              </w:tc>
              <w:tc>
                <w:tcPr>
                  <w:tcW w:w="2195" w:type="dxa"/>
                  <w:shd w:val="clear" w:color="auto" w:fill="auto"/>
                  <w:vAlign w:val="center"/>
                </w:tcPr>
                <w:p w14:paraId="5569223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w:t>
                  </w:r>
                  <w:r>
                    <w:rPr>
                      <w:rFonts w:hint="eastAsia" w:ascii="Times New Roman" w:hAnsi="Times New Roman"/>
                      <w:color w:val="auto"/>
                      <w:spacing w:val="1"/>
                      <w:sz w:val="21"/>
                      <w:szCs w:val="22"/>
                      <w:lang w:eastAsia="zh-CN"/>
                    </w:rPr>
                    <w:t>,</w:t>
                  </w:r>
                  <w:r>
                    <w:rPr>
                      <w:rFonts w:ascii="Times New Roman" w:hAnsi="Times New Roman" w:eastAsia="宋体"/>
                      <w:color w:val="auto"/>
                      <w:spacing w:val="1"/>
                      <w:sz w:val="21"/>
                      <w:szCs w:val="22"/>
                    </w:rPr>
                    <w:t>进一步优化园区</w:t>
                  </w:r>
                </w:p>
                <w:p w14:paraId="10A4982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z w:val="21"/>
                      <w:szCs w:val="22"/>
                    </w:rPr>
                    <w:t>范围和空间布局，避让</w:t>
                  </w:r>
                  <w:r>
                    <w:rPr>
                      <w:rFonts w:ascii="Times New Roman" w:hAnsi="Times New Roman" w:eastAsia="宋体"/>
                      <w:color w:val="auto"/>
                      <w:spacing w:val="4"/>
                      <w:sz w:val="21"/>
                      <w:szCs w:val="22"/>
                    </w:rPr>
                    <w:t>永久基本农田</w:t>
                  </w:r>
                </w:p>
              </w:tc>
              <w:tc>
                <w:tcPr>
                  <w:tcW w:w="2189" w:type="dxa"/>
                  <w:shd w:val="clear" w:color="auto" w:fill="auto"/>
                  <w:vAlign w:val="center"/>
                </w:tcPr>
                <w:p w14:paraId="1350557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1"/>
                      <w:sz w:val="21"/>
                      <w:szCs w:val="22"/>
                    </w:rPr>
                    <w:t>项目位于</w:t>
                  </w:r>
                  <w:r>
                    <w:rPr>
                      <w:rFonts w:hint="eastAsia" w:ascii="Times New Roman" w:hAnsi="Times New Roman" w:eastAsia="宋体"/>
                      <w:color w:val="auto"/>
                      <w:spacing w:val="1"/>
                      <w:sz w:val="21"/>
                      <w:szCs w:val="22"/>
                    </w:rPr>
                    <w:t>福州清山压铸有限公司</w:t>
                  </w:r>
                  <w:r>
                    <w:rPr>
                      <w:rFonts w:ascii="Times New Roman" w:hAnsi="Times New Roman" w:eastAsia="宋体"/>
                      <w:color w:val="auto"/>
                      <w:spacing w:val="1"/>
                      <w:sz w:val="21"/>
                      <w:szCs w:val="22"/>
                    </w:rPr>
                    <w:t>现有厂房，不涉及永久基本农田</w:t>
                  </w:r>
                </w:p>
              </w:tc>
              <w:tc>
                <w:tcPr>
                  <w:tcW w:w="713" w:type="dxa"/>
                  <w:vAlign w:val="center"/>
                </w:tcPr>
                <w:p w14:paraId="10A61370">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符合</w:t>
                  </w:r>
                </w:p>
              </w:tc>
            </w:tr>
            <w:tr w14:paraId="32AF5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80" w:type="dxa"/>
                  <w:shd w:val="clear" w:color="auto" w:fill="auto"/>
                  <w:vAlign w:val="center"/>
                </w:tcPr>
                <w:p w14:paraId="32B2B27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3"/>
                      <w:sz w:val="21"/>
                      <w:szCs w:val="22"/>
                    </w:rPr>
                    <w:t>严守环境</w:t>
                  </w:r>
                  <w:r>
                    <w:rPr>
                      <w:rFonts w:ascii="Times New Roman" w:hAnsi="Times New Roman" w:eastAsia="宋体"/>
                      <w:color w:val="auto"/>
                      <w:spacing w:val="-1"/>
                      <w:sz w:val="21"/>
                      <w:szCs w:val="22"/>
                    </w:rPr>
                    <w:t>质量底线，</w:t>
                  </w:r>
                  <w:r>
                    <w:rPr>
                      <w:rFonts w:ascii="Times New Roman" w:hAnsi="Times New Roman" w:eastAsia="宋体"/>
                      <w:color w:val="auto"/>
                      <w:spacing w:val="14"/>
                      <w:sz w:val="21"/>
                      <w:szCs w:val="22"/>
                    </w:rPr>
                    <w:t>强化污染</w:t>
                  </w:r>
                </w:p>
                <w:p w14:paraId="15C05C0A">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4"/>
                      <w:sz w:val="21"/>
                      <w:szCs w:val="22"/>
                    </w:rPr>
                    <w:t>物排放总</w:t>
                  </w:r>
                  <w:r>
                    <w:rPr>
                      <w:rFonts w:ascii="Times New Roman" w:hAnsi="Times New Roman" w:eastAsia="宋体"/>
                      <w:color w:val="auto"/>
                      <w:spacing w:val="-2"/>
                      <w:sz w:val="21"/>
                      <w:szCs w:val="22"/>
                    </w:rPr>
                    <w:t>量管控</w:t>
                  </w:r>
                </w:p>
              </w:tc>
              <w:tc>
                <w:tcPr>
                  <w:tcW w:w="2195" w:type="dxa"/>
                  <w:shd w:val="clear" w:color="auto" w:fill="auto"/>
                  <w:vAlign w:val="center"/>
                </w:tcPr>
                <w:p w14:paraId="59293AE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1"/>
                      <w:sz w:val="21"/>
                      <w:szCs w:val="22"/>
                    </w:rPr>
                    <w:t>……严格重金属总量管控。采取有效措施减少</w:t>
                  </w:r>
                  <w:r>
                    <w:rPr>
                      <w:rFonts w:ascii="Times New Roman" w:hAnsi="Times New Roman" w:eastAsia="宋体"/>
                      <w:color w:val="auto"/>
                      <w:spacing w:val="-1"/>
                      <w:sz w:val="21"/>
                      <w:szCs w:val="22"/>
                    </w:rPr>
                    <w:t>主要污染物和特征污染物的排放量，确保区域环境质量持续改善、促进产业发展与城市发</w:t>
                  </w:r>
                  <w:r>
                    <w:rPr>
                      <w:rFonts w:ascii="Times New Roman" w:hAnsi="Times New Roman" w:eastAsia="宋体"/>
                      <w:color w:val="auto"/>
                      <w:spacing w:val="1"/>
                      <w:sz w:val="21"/>
                      <w:szCs w:val="22"/>
                    </w:rPr>
                    <w:t>展、生态环境保护相协</w:t>
                  </w:r>
                  <w:r>
                    <w:rPr>
                      <w:rFonts w:ascii="Times New Roman" w:hAnsi="Times New Roman" w:eastAsia="宋体"/>
                      <w:color w:val="auto"/>
                      <w:sz w:val="21"/>
                      <w:szCs w:val="22"/>
                    </w:rPr>
                    <w:t>调</w:t>
                  </w:r>
                </w:p>
              </w:tc>
              <w:tc>
                <w:tcPr>
                  <w:tcW w:w="2189" w:type="dxa"/>
                  <w:shd w:val="clear" w:color="auto" w:fill="auto"/>
                  <w:vAlign w:val="center"/>
                </w:tcPr>
                <w:p w14:paraId="0730A65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1"/>
                      <w:sz w:val="21"/>
                      <w:szCs w:val="22"/>
                    </w:rPr>
                    <w:t>项目工艺简单，不涉及</w:t>
                  </w:r>
                  <w:r>
                    <w:rPr>
                      <w:rFonts w:ascii="Times New Roman" w:hAnsi="Times New Roman" w:eastAsia="宋体"/>
                      <w:color w:val="auto"/>
                      <w:spacing w:val="-3"/>
                      <w:sz w:val="21"/>
                      <w:szCs w:val="22"/>
                    </w:rPr>
                    <w:t>重金属排放，项目为轻污染类项目。废气排放</w:t>
                  </w:r>
                  <w:r>
                    <w:rPr>
                      <w:rFonts w:ascii="Times New Roman" w:hAnsi="Times New Roman" w:eastAsia="宋体"/>
                      <w:color w:val="auto"/>
                      <w:sz w:val="21"/>
                      <w:szCs w:val="22"/>
                    </w:rPr>
                    <w:t>源强较低，对周边环境</w:t>
                  </w:r>
                  <w:r>
                    <w:rPr>
                      <w:rFonts w:ascii="Times New Roman" w:hAnsi="Times New Roman" w:eastAsia="宋体"/>
                      <w:color w:val="auto"/>
                      <w:spacing w:val="-2"/>
                      <w:sz w:val="21"/>
                      <w:szCs w:val="22"/>
                    </w:rPr>
                    <w:t>影响小；项目厂区已实</w:t>
                  </w:r>
                  <w:r>
                    <w:rPr>
                      <w:rFonts w:ascii="Times New Roman" w:hAnsi="Times New Roman" w:eastAsia="宋体"/>
                      <w:color w:val="auto"/>
                      <w:spacing w:val="3"/>
                      <w:sz w:val="21"/>
                      <w:szCs w:val="22"/>
                    </w:rPr>
                    <w:t>现“雨污分流”</w:t>
                  </w:r>
                  <w:r>
                    <w:rPr>
                      <w:rFonts w:hint="eastAsia" w:ascii="Times New Roman" w:hAnsi="Times New Roman"/>
                      <w:color w:val="auto"/>
                      <w:spacing w:val="3"/>
                      <w:sz w:val="21"/>
                      <w:szCs w:val="22"/>
                      <w:lang w:eastAsia="zh-CN"/>
                    </w:rPr>
                    <w:t>,</w:t>
                  </w:r>
                  <w:r>
                    <w:rPr>
                      <w:rFonts w:ascii="Times New Roman" w:hAnsi="Times New Roman" w:eastAsia="宋体"/>
                      <w:color w:val="auto"/>
                      <w:spacing w:val="3"/>
                      <w:sz w:val="21"/>
                      <w:szCs w:val="22"/>
                    </w:rPr>
                    <w:t>项目</w:t>
                  </w:r>
                </w:p>
                <w:p w14:paraId="1E82C3E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0"/>
                      <w:sz w:val="21"/>
                      <w:szCs w:val="22"/>
                    </w:rPr>
                    <w:t>生产废水</w:t>
                  </w:r>
                  <w:r>
                    <w:rPr>
                      <w:rFonts w:hint="eastAsia" w:ascii="Times New Roman" w:hAnsi="Times New Roman"/>
                      <w:color w:val="auto"/>
                      <w:spacing w:val="-10"/>
                      <w:sz w:val="21"/>
                      <w:szCs w:val="22"/>
                      <w:lang w:val="en-US" w:eastAsia="zh-CN"/>
                    </w:rPr>
                    <w:t>经污水处理设施处理达标后接入污水管网送往福清市第二污水处理厂；</w:t>
                  </w:r>
                </w:p>
                <w:p w14:paraId="0F28006F">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生活污水依托现有已</w:t>
                  </w:r>
                </w:p>
                <w:p w14:paraId="319FCF1A">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建的化粪池处理后经</w:t>
                  </w:r>
                </w:p>
                <w:p w14:paraId="71F19903">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1"/>
                      <w:sz w:val="21"/>
                      <w:szCs w:val="22"/>
                    </w:rPr>
                    <w:t>污水管网送往福清市</w:t>
                  </w:r>
                </w:p>
                <w:p w14:paraId="041EC61D">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szCs w:val="22"/>
                    </w:rPr>
                  </w:pPr>
                  <w:r>
                    <w:rPr>
                      <w:rFonts w:ascii="Times New Roman" w:hAnsi="Times New Roman" w:eastAsia="宋体"/>
                      <w:color w:val="auto"/>
                      <w:spacing w:val="2"/>
                      <w:sz w:val="21"/>
                      <w:szCs w:val="22"/>
                    </w:rPr>
                    <w:t>第二污水处理厂集中</w:t>
                  </w:r>
                </w:p>
                <w:p w14:paraId="3BDE7E91">
                  <w:pPr>
                    <w:pStyle w:val="113"/>
                    <w:keepNext w:val="0"/>
                    <w:keepLines w:val="0"/>
                    <w:pageBreakBefore w:val="0"/>
                    <w:widowControl w:val="0"/>
                    <w:shd w:val="clear"/>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z w:val="21"/>
                      <w:szCs w:val="22"/>
                    </w:rPr>
                    <w:t>处理；项目不涉及重金</w:t>
                  </w:r>
                  <w:r>
                    <w:rPr>
                      <w:rFonts w:ascii="Times New Roman" w:hAnsi="Times New Roman" w:eastAsia="宋体"/>
                      <w:color w:val="auto"/>
                      <w:spacing w:val="1"/>
                      <w:sz w:val="21"/>
                      <w:szCs w:val="22"/>
                    </w:rPr>
                    <w:t>属等污染物，项目将依</w:t>
                  </w:r>
                  <w:r>
                    <w:rPr>
                      <w:rFonts w:ascii="Times New Roman" w:hAnsi="Times New Roman" w:eastAsia="宋体"/>
                      <w:color w:val="auto"/>
                      <w:spacing w:val="-2"/>
                      <w:sz w:val="21"/>
                      <w:szCs w:val="22"/>
                    </w:rPr>
                    <w:t>法依规做好一般工业</w:t>
                  </w:r>
                  <w:r>
                    <w:rPr>
                      <w:rFonts w:ascii="Times New Roman" w:hAnsi="Times New Roman" w:eastAsia="宋体"/>
                      <w:color w:val="auto"/>
                      <w:spacing w:val="1"/>
                      <w:sz w:val="21"/>
                      <w:szCs w:val="22"/>
                    </w:rPr>
                    <w:t>固体废物和危险废物</w:t>
                  </w:r>
                  <w:r>
                    <w:rPr>
                      <w:rFonts w:ascii="Times New Roman" w:hAnsi="Times New Roman" w:eastAsia="宋体"/>
                      <w:color w:val="auto"/>
                      <w:spacing w:val="-12"/>
                      <w:sz w:val="21"/>
                      <w:szCs w:val="22"/>
                    </w:rPr>
                    <w:t>的</w:t>
                  </w:r>
                  <w:r>
                    <w:rPr>
                      <w:rFonts w:ascii="Times New Roman" w:hAnsi="Times New Roman" w:eastAsia="宋体"/>
                      <w:color w:val="auto"/>
                      <w:spacing w:val="-11"/>
                      <w:sz w:val="21"/>
                      <w:szCs w:val="22"/>
                    </w:rPr>
                    <w:t>分类收集、利用、</w:t>
                  </w:r>
                  <w:r>
                    <w:rPr>
                      <w:rFonts w:ascii="Times New Roman" w:hAnsi="Times New Roman" w:eastAsia="宋体"/>
                      <w:color w:val="auto"/>
                      <w:spacing w:val="-10"/>
                      <w:sz w:val="21"/>
                      <w:szCs w:val="22"/>
                    </w:rPr>
                    <w:t>处</w:t>
                  </w:r>
                  <w:r>
                    <w:rPr>
                      <w:rFonts w:ascii="Times New Roman" w:hAnsi="Times New Roman" w:eastAsia="宋体"/>
                      <w:color w:val="auto"/>
                      <w:sz w:val="21"/>
                      <w:szCs w:val="22"/>
                    </w:rPr>
                    <w:t>理处置工作。</w:t>
                  </w:r>
                </w:p>
              </w:tc>
              <w:tc>
                <w:tcPr>
                  <w:tcW w:w="713" w:type="dxa"/>
                  <w:vAlign w:val="center"/>
                </w:tcPr>
                <w:p w14:paraId="2A68E64F">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符合</w:t>
                  </w:r>
                </w:p>
              </w:tc>
            </w:tr>
            <w:tr w14:paraId="32EA7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80" w:type="dxa"/>
                  <w:shd w:val="clear" w:color="auto" w:fill="auto"/>
                  <w:vAlign w:val="center"/>
                </w:tcPr>
                <w:p w14:paraId="7A08CA27">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4"/>
                      <w:sz w:val="21"/>
                      <w:szCs w:val="22"/>
                    </w:rPr>
                    <w:t>严格入区</w:t>
                  </w:r>
                  <w:r>
                    <w:rPr>
                      <w:rFonts w:ascii="Times New Roman" w:hAnsi="Times New Roman" w:eastAsia="宋体"/>
                      <w:color w:val="auto"/>
                      <w:spacing w:val="40"/>
                      <w:sz w:val="21"/>
                      <w:szCs w:val="22"/>
                    </w:rPr>
                    <w:t>项目生态</w:t>
                  </w:r>
                  <w:r>
                    <w:rPr>
                      <w:rFonts w:ascii="Times New Roman" w:hAnsi="Times New Roman" w:eastAsia="宋体"/>
                      <w:color w:val="auto"/>
                      <w:spacing w:val="-1"/>
                      <w:sz w:val="21"/>
                      <w:szCs w:val="22"/>
                    </w:rPr>
                    <w:t>环境准入，</w:t>
                  </w:r>
                  <w:r>
                    <w:rPr>
                      <w:rFonts w:ascii="Times New Roman" w:hAnsi="Times New Roman" w:eastAsia="宋体"/>
                      <w:color w:val="auto"/>
                      <w:spacing w:val="21"/>
                      <w:sz w:val="21"/>
                      <w:szCs w:val="22"/>
                    </w:rPr>
                    <w:t>推动高质</w:t>
                  </w:r>
                  <w:r>
                    <w:rPr>
                      <w:rFonts w:ascii="Times New Roman" w:hAnsi="Times New Roman" w:eastAsia="宋体"/>
                      <w:color w:val="auto"/>
                      <w:spacing w:val="4"/>
                      <w:sz w:val="21"/>
                      <w:szCs w:val="22"/>
                    </w:rPr>
                    <w:t>量发展</w:t>
                  </w:r>
                </w:p>
              </w:tc>
              <w:tc>
                <w:tcPr>
                  <w:tcW w:w="2195" w:type="dxa"/>
                  <w:shd w:val="clear" w:color="auto" w:fill="auto"/>
                  <w:vAlign w:val="center"/>
                </w:tcPr>
                <w:p w14:paraId="7B7107B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宋体"/>
                      <w:color w:val="auto"/>
                      <w:spacing w:val="1"/>
                      <w:sz w:val="21"/>
                      <w:szCs w:val="22"/>
                    </w:rPr>
                  </w:pPr>
                  <w:r>
                    <w:rPr>
                      <w:rFonts w:ascii="Times New Roman" w:hAnsi="Times New Roman" w:eastAsia="宋体" w:cs="宋体"/>
                      <w:color w:val="auto"/>
                      <w:spacing w:val="1"/>
                      <w:sz w:val="21"/>
                      <w:szCs w:val="22"/>
                    </w:rPr>
                    <w:t>落实《报告书》生态环境准入要求，强化现有及入区企业挥发性有机物排放控制，禁止新增排放涉重金属污染物</w:t>
                  </w:r>
                  <w:r>
                    <w:rPr>
                      <w:rFonts w:hint="eastAsia" w:ascii="Times New Roman" w:hAnsi="Times New Roman" w:cs="宋体"/>
                      <w:color w:val="auto"/>
                      <w:spacing w:val="1"/>
                      <w:sz w:val="21"/>
                      <w:szCs w:val="22"/>
                      <w:lang w:eastAsia="zh-CN"/>
                    </w:rPr>
                    <w:t>项目</w:t>
                  </w:r>
                  <w:r>
                    <w:rPr>
                      <w:rFonts w:ascii="Times New Roman" w:hAnsi="Times New Roman" w:eastAsia="宋体" w:cs="宋体"/>
                      <w:color w:val="auto"/>
                      <w:spacing w:val="1"/>
                      <w:sz w:val="21"/>
                      <w:szCs w:val="22"/>
                    </w:rPr>
                    <w:t>入区，禁止与主导产业不相关且污染物排放量大的项目入区。..执行最严格的行业废水、废气排放控制指标，引进项目的生产工艺、</w:t>
                  </w:r>
                </w:p>
                <w:p w14:paraId="56A017C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s="宋体"/>
                      <w:color w:val="auto"/>
                      <w:spacing w:val="1"/>
                      <w:sz w:val="21"/>
                      <w:szCs w:val="22"/>
                    </w:rPr>
                    <w:t>设备，以及单位产品能耗、污染物排放和资源利用效率等均需达到同行业国际先进水平</w:t>
                  </w:r>
                </w:p>
              </w:tc>
              <w:tc>
                <w:tcPr>
                  <w:tcW w:w="2189" w:type="dxa"/>
                  <w:shd w:val="clear" w:color="auto" w:fill="auto"/>
                  <w:vAlign w:val="center"/>
                </w:tcPr>
                <w:p w14:paraId="0E3B149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宋体"/>
                      <w:color w:val="auto"/>
                      <w:spacing w:val="1"/>
                      <w:sz w:val="21"/>
                      <w:szCs w:val="22"/>
                    </w:rPr>
                  </w:pPr>
                  <w:r>
                    <w:rPr>
                      <w:rFonts w:ascii="Times New Roman" w:hAnsi="Times New Roman" w:eastAsia="宋体" w:cs="宋体"/>
                      <w:color w:val="auto"/>
                      <w:spacing w:val="1"/>
                      <w:sz w:val="21"/>
                      <w:szCs w:val="22"/>
                    </w:rPr>
                    <w:t>项目符合园区产业规划，不属</w:t>
                  </w:r>
                  <w:r>
                    <w:rPr>
                      <w:rFonts w:hint="eastAsia" w:ascii="Times New Roman" w:hAnsi="Times New Roman" w:cs="宋体"/>
                      <w:color w:val="auto"/>
                      <w:spacing w:val="1"/>
                      <w:sz w:val="21"/>
                      <w:szCs w:val="22"/>
                      <w:lang w:val="en-US" w:eastAsia="zh-CN"/>
                    </w:rPr>
                    <w:t>于</w:t>
                  </w:r>
                  <w:r>
                    <w:rPr>
                      <w:rFonts w:ascii="Times New Roman" w:hAnsi="Times New Roman" w:eastAsia="宋体" w:cs="宋体"/>
                      <w:color w:val="auto"/>
                      <w:spacing w:val="1"/>
                      <w:sz w:val="21"/>
                      <w:szCs w:val="22"/>
                    </w:rPr>
                    <w:t>福州市环境总体规划</w:t>
                  </w:r>
                  <w:r>
                    <w:rPr>
                      <w:rFonts w:hint="eastAsia" w:ascii="Times New Roman" w:hAnsi="Times New Roman" w:cs="宋体"/>
                      <w:color w:val="auto"/>
                      <w:spacing w:val="1"/>
                      <w:sz w:val="21"/>
                      <w:szCs w:val="22"/>
                      <w:lang w:eastAsia="zh-CN"/>
                    </w:rPr>
                    <w:t>(</w:t>
                  </w:r>
                  <w:r>
                    <w:rPr>
                      <w:rFonts w:ascii="Times New Roman" w:hAnsi="Times New Roman" w:eastAsia="宋体" w:cs="宋体"/>
                      <w:color w:val="auto"/>
                      <w:spacing w:val="1"/>
                      <w:sz w:val="21"/>
                      <w:szCs w:val="22"/>
                    </w:rPr>
                    <w:t>2013-2030</w:t>
                  </w:r>
                  <w:r>
                    <w:rPr>
                      <w:rFonts w:hint="eastAsia" w:ascii="Times New Roman" w:hAnsi="Times New Roman" w:cs="宋体"/>
                      <w:color w:val="auto"/>
                      <w:spacing w:val="1"/>
                      <w:sz w:val="21"/>
                      <w:szCs w:val="22"/>
                      <w:lang w:eastAsia="zh-CN"/>
                    </w:rPr>
                    <w:t>)</w:t>
                  </w:r>
                  <w:r>
                    <w:rPr>
                      <w:rFonts w:ascii="Times New Roman" w:hAnsi="Times New Roman" w:eastAsia="宋体" w:cs="宋体"/>
                      <w:color w:val="auto"/>
                      <w:spacing w:val="1"/>
                      <w:sz w:val="21"/>
                      <w:szCs w:val="22"/>
                    </w:rPr>
                    <w:t>关于禁止大气污染型项目；项目严格执行行业</w:t>
                  </w:r>
                </w:p>
                <w:p w14:paraId="61D6C79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s="宋体"/>
                      <w:color w:val="auto"/>
                      <w:spacing w:val="1"/>
                      <w:sz w:val="21"/>
                      <w:szCs w:val="22"/>
                    </w:rPr>
                    <w:t>废水、废气排放控制指标，项目生产工艺、技术装备、污染治理水平以及单位产品能耗、物耗等可以</w:t>
                  </w:r>
                  <w:r>
                    <w:rPr>
                      <w:rFonts w:hint="eastAsia" w:ascii="Times New Roman" w:hAnsi="Times New Roman" w:cs="宋体"/>
                      <w:color w:val="auto"/>
                      <w:spacing w:val="1"/>
                      <w:sz w:val="21"/>
                      <w:szCs w:val="22"/>
                      <w:lang w:eastAsia="zh-CN"/>
                    </w:rPr>
                    <w:t>达到</w:t>
                  </w:r>
                  <w:r>
                    <w:rPr>
                      <w:rFonts w:ascii="Times New Roman" w:hAnsi="Times New Roman" w:eastAsia="宋体" w:cs="宋体"/>
                      <w:color w:val="auto"/>
                      <w:spacing w:val="1"/>
                      <w:sz w:val="21"/>
                      <w:szCs w:val="22"/>
                    </w:rPr>
                    <w:t>同行业国际先进水平。</w:t>
                  </w:r>
                </w:p>
              </w:tc>
              <w:tc>
                <w:tcPr>
                  <w:tcW w:w="713" w:type="dxa"/>
                  <w:vAlign w:val="center"/>
                </w:tcPr>
                <w:p w14:paraId="1A6BFC09">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2"/>
                      <w:lang w:val="en-US" w:eastAsia="zh-CN" w:bidi="ar-SA"/>
                    </w:rPr>
                  </w:pPr>
                  <w:r>
                    <w:rPr>
                      <w:rFonts w:ascii="Times New Roman" w:hAnsi="Times New Roman" w:eastAsia="宋体"/>
                      <w:color w:val="auto"/>
                      <w:spacing w:val="-3"/>
                      <w:sz w:val="21"/>
                      <w:szCs w:val="22"/>
                    </w:rPr>
                    <w:t>符合</w:t>
                  </w:r>
                </w:p>
              </w:tc>
            </w:tr>
          </w:tbl>
          <w:p w14:paraId="35F9370B">
            <w:pPr>
              <w:pStyle w:val="44"/>
              <w:ind w:firstLine="480"/>
              <w:rPr>
                <w:rFonts w:hint="eastAsia"/>
                <w:color w:val="auto"/>
                <w:highlight w:val="none"/>
                <w:lang w:val="en-US" w:eastAsia="zh-CN"/>
              </w:rPr>
            </w:pPr>
          </w:p>
        </w:tc>
      </w:tr>
      <w:tr w14:paraId="49CEAC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52" w:hRule="atLeast"/>
          <w:jc w:val="center"/>
        </w:trPr>
        <w:tc>
          <w:tcPr>
            <w:tcW w:w="1631" w:type="dxa"/>
            <w:vAlign w:val="center"/>
          </w:tcPr>
          <w:p w14:paraId="663D4CDF">
            <w:pPr>
              <w:autoSpaceDE w:val="0"/>
              <w:autoSpaceDN w:val="0"/>
              <w:adjustRightInd w:val="0"/>
              <w:snapToGrid w:val="0"/>
              <w:jc w:val="center"/>
              <w:rPr>
                <w:color w:val="auto"/>
                <w:kern w:val="0"/>
                <w:szCs w:val="21"/>
                <w:highlight w:val="none"/>
              </w:rPr>
            </w:pPr>
            <w:r>
              <w:rPr>
                <w:color w:val="auto"/>
                <w:kern w:val="0"/>
                <w:szCs w:val="21"/>
                <w:highlight w:val="none"/>
              </w:rPr>
              <w:t>其他符合性分析</w:t>
            </w:r>
          </w:p>
        </w:tc>
        <w:tc>
          <w:tcPr>
            <w:tcW w:w="7239" w:type="dxa"/>
            <w:gridSpan w:val="3"/>
            <w:vAlign w:val="center"/>
          </w:tcPr>
          <w:p w14:paraId="59C69952">
            <w:pPr>
              <w:pStyle w:val="3"/>
              <w:bidi w:val="0"/>
              <w:rPr>
                <w:color w:val="auto"/>
              </w:rPr>
            </w:pPr>
            <w:r>
              <w:rPr>
                <w:rFonts w:hint="eastAsia"/>
                <w:color w:val="auto"/>
              </w:rPr>
              <w:t>产业政策</w:t>
            </w:r>
            <w:r>
              <w:rPr>
                <w:color w:val="auto"/>
              </w:rPr>
              <w:t>项目符合性分析</w:t>
            </w:r>
          </w:p>
          <w:p w14:paraId="4A3C79B9">
            <w:pPr>
              <w:spacing w:line="360" w:lineRule="auto"/>
              <w:ind w:firstLine="480" w:firstLineChars="200"/>
              <w:rPr>
                <w:color w:val="auto"/>
                <w:sz w:val="24"/>
                <w:highlight w:val="none"/>
              </w:rPr>
            </w:pPr>
            <w:r>
              <w:rPr>
                <w:color w:val="auto"/>
                <w:sz w:val="24"/>
                <w:highlight w:val="none"/>
              </w:rPr>
              <w:t>项目主要</w:t>
            </w:r>
            <w:r>
              <w:rPr>
                <w:color w:val="auto"/>
                <w:sz w:val="24"/>
                <w:highlight w:val="none"/>
                <w:shd w:val="clear"/>
              </w:rPr>
              <w:t>从事</w:t>
            </w:r>
            <w:r>
              <w:rPr>
                <w:rFonts w:hint="eastAsia"/>
                <w:color w:val="auto"/>
                <w:sz w:val="24"/>
                <w:highlight w:val="none"/>
                <w:shd w:val="clear"/>
                <w:lang w:eastAsia="zh-CN"/>
              </w:rPr>
              <w:t>汽车座椅骨架</w:t>
            </w:r>
            <w:r>
              <w:rPr>
                <w:color w:val="auto"/>
                <w:sz w:val="24"/>
                <w:highlight w:val="none"/>
              </w:rPr>
              <w:t>的加工生产，项目不属于《产业结构调整指导目录</w:t>
            </w:r>
            <w:r>
              <w:rPr>
                <w:rFonts w:hint="eastAsia"/>
                <w:color w:val="auto"/>
                <w:sz w:val="24"/>
                <w:highlight w:val="none"/>
                <w:lang w:eastAsia="zh-CN"/>
              </w:rPr>
              <w:t>(</w:t>
            </w:r>
            <w:r>
              <w:rPr>
                <w:color w:val="auto"/>
                <w:sz w:val="24"/>
                <w:highlight w:val="none"/>
              </w:rPr>
              <w:t>2024年本</w:t>
            </w:r>
            <w:r>
              <w:rPr>
                <w:rFonts w:hint="eastAsia"/>
                <w:color w:val="auto"/>
                <w:sz w:val="24"/>
                <w:highlight w:val="none"/>
                <w:lang w:eastAsia="zh-CN"/>
              </w:rPr>
              <w:t>)</w:t>
            </w:r>
            <w:r>
              <w:rPr>
                <w:color w:val="auto"/>
                <w:sz w:val="24"/>
                <w:highlight w:val="none"/>
              </w:rPr>
              <w:t>》中限制和淘汰类的项目，属于允许类</w:t>
            </w:r>
            <w:r>
              <w:rPr>
                <w:rFonts w:hint="eastAsia"/>
                <w:color w:val="auto"/>
                <w:sz w:val="24"/>
                <w:highlight w:val="none"/>
                <w:lang w:eastAsia="zh-CN"/>
              </w:rPr>
              <w:t>且</w:t>
            </w:r>
            <w:r>
              <w:rPr>
                <w:color w:val="auto"/>
                <w:sz w:val="24"/>
                <w:highlight w:val="none"/>
              </w:rPr>
              <w:t>该项目</w:t>
            </w:r>
            <w:r>
              <w:rPr>
                <w:color w:val="auto"/>
                <w:sz w:val="24"/>
                <w:highlight w:val="none"/>
                <w:shd w:val="clear"/>
              </w:rPr>
              <w:t>于202</w:t>
            </w:r>
            <w:r>
              <w:rPr>
                <w:rFonts w:hint="eastAsia"/>
                <w:color w:val="auto"/>
                <w:sz w:val="24"/>
                <w:highlight w:val="none"/>
                <w:shd w:val="clear"/>
                <w:lang w:val="en-US" w:eastAsia="zh-CN"/>
              </w:rPr>
              <w:t>5</w:t>
            </w:r>
            <w:r>
              <w:rPr>
                <w:color w:val="auto"/>
                <w:sz w:val="24"/>
                <w:highlight w:val="none"/>
                <w:shd w:val="clear"/>
              </w:rPr>
              <w:t>年</w:t>
            </w:r>
            <w:r>
              <w:rPr>
                <w:rFonts w:hint="eastAsia"/>
                <w:color w:val="auto"/>
                <w:sz w:val="24"/>
                <w:highlight w:val="none"/>
                <w:shd w:val="clear"/>
                <w:lang w:val="en-US" w:eastAsia="zh-CN"/>
              </w:rPr>
              <w:t>7</w:t>
            </w:r>
            <w:r>
              <w:rPr>
                <w:color w:val="auto"/>
                <w:sz w:val="24"/>
                <w:highlight w:val="none"/>
                <w:shd w:val="clear"/>
              </w:rPr>
              <w:t>月</w:t>
            </w:r>
            <w:r>
              <w:rPr>
                <w:rFonts w:hint="eastAsia"/>
                <w:color w:val="auto"/>
                <w:sz w:val="24"/>
                <w:highlight w:val="none"/>
                <w:shd w:val="clear"/>
                <w:lang w:val="en-US" w:eastAsia="zh-CN"/>
              </w:rPr>
              <w:t>1</w:t>
            </w:r>
            <w:r>
              <w:rPr>
                <w:color w:val="auto"/>
                <w:sz w:val="24"/>
                <w:highlight w:val="none"/>
                <w:shd w:val="clear"/>
              </w:rPr>
              <w:t>日通过了福清市发展和改革局的备案</w:t>
            </w:r>
            <w:r>
              <w:rPr>
                <w:rFonts w:hint="eastAsia"/>
                <w:color w:val="auto"/>
                <w:sz w:val="24"/>
                <w:highlight w:val="none"/>
                <w:shd w:val="clear"/>
                <w:lang w:eastAsia="zh-CN"/>
              </w:rPr>
              <w:t>(</w:t>
            </w:r>
            <w:r>
              <w:rPr>
                <w:rFonts w:hint="eastAsia"/>
                <w:color w:val="auto"/>
                <w:sz w:val="24"/>
                <w:highlight w:val="none"/>
                <w:shd w:val="clear"/>
              </w:rPr>
              <w:t>闽发改备[2025]A060240号</w:t>
            </w:r>
            <w:r>
              <w:rPr>
                <w:color w:val="auto"/>
                <w:sz w:val="24"/>
                <w:highlight w:val="none"/>
                <w:shd w:val="clear"/>
              </w:rPr>
              <w:t>，详见附件</w:t>
            </w:r>
            <w:r>
              <w:rPr>
                <w:rFonts w:hint="eastAsia"/>
                <w:color w:val="auto"/>
                <w:sz w:val="24"/>
                <w:highlight w:val="none"/>
                <w:shd w:val="clear"/>
                <w:lang w:val="en-US" w:eastAsia="zh-CN"/>
              </w:rPr>
              <w:t>2),</w:t>
            </w:r>
            <w:r>
              <w:rPr>
                <w:color w:val="auto"/>
                <w:sz w:val="24"/>
                <w:highlight w:val="none"/>
              </w:rPr>
              <w:t>因此项目的建设内容符合当前国家和地方的产业政策。</w:t>
            </w:r>
          </w:p>
          <w:p w14:paraId="3F1657F4">
            <w:pPr>
              <w:pStyle w:val="3"/>
              <w:bidi w:val="0"/>
              <w:rPr>
                <w:color w:val="auto"/>
              </w:rPr>
            </w:pPr>
            <w:r>
              <w:rPr>
                <w:color w:val="auto"/>
              </w:rPr>
              <w:t>与城市土地利用规划符合性分析</w:t>
            </w:r>
          </w:p>
          <w:p w14:paraId="7C175C5E">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color w:val="auto"/>
                <w:sz w:val="24"/>
                <w:szCs w:val="24"/>
              </w:rPr>
            </w:pPr>
            <w:r>
              <w:rPr>
                <w:rFonts w:ascii="Times New Roman" w:hAnsi="Times New Roman"/>
                <w:color w:val="auto"/>
                <w:sz w:val="24"/>
                <w:szCs w:val="24"/>
              </w:rPr>
              <w:t>本项目位于福清市镜洋镇</w:t>
            </w:r>
            <w:r>
              <w:rPr>
                <w:rFonts w:hint="eastAsia" w:ascii="Times New Roman" w:hAnsi="Times New Roman"/>
                <w:color w:val="auto"/>
                <w:sz w:val="24"/>
                <w:szCs w:val="24"/>
                <w:lang w:val="en-US" w:eastAsia="zh-CN"/>
              </w:rPr>
              <w:t>过</w:t>
            </w:r>
            <w:r>
              <w:rPr>
                <w:rFonts w:hint="eastAsia" w:ascii="Times New Roman" w:hAnsi="Times New Roman"/>
                <w:color w:val="auto"/>
                <w:sz w:val="24"/>
                <w:szCs w:val="24"/>
              </w:rPr>
              <w:t>洋39号</w:t>
            </w:r>
            <w:r>
              <w:rPr>
                <w:rFonts w:ascii="Times New Roman" w:hAnsi="Times New Roman"/>
                <w:color w:val="auto"/>
                <w:sz w:val="24"/>
                <w:szCs w:val="24"/>
              </w:rPr>
              <w:t>，根据《关于规范融侨开</w:t>
            </w:r>
            <w:r>
              <w:rPr>
                <w:rFonts w:ascii="Times New Roman" w:hAnsi="Times New Roman"/>
                <w:color w:val="auto"/>
                <w:spacing w:val="5"/>
                <w:sz w:val="24"/>
                <w:szCs w:val="24"/>
              </w:rPr>
              <w:t>发区工业企业准入产业的函》</w:t>
            </w:r>
            <w:r>
              <w:rPr>
                <w:rFonts w:hint="eastAsia" w:ascii="Times New Roman" w:hAnsi="Times New Roman"/>
                <w:color w:val="auto"/>
                <w:spacing w:val="5"/>
                <w:sz w:val="24"/>
                <w:szCs w:val="24"/>
                <w:lang w:eastAsia="zh-CN"/>
              </w:rPr>
              <w:t>:</w:t>
            </w:r>
            <w:r>
              <w:rPr>
                <w:rFonts w:ascii="Times New Roman" w:hAnsi="Times New Roman"/>
                <w:color w:val="auto"/>
                <w:spacing w:val="5"/>
                <w:sz w:val="24"/>
                <w:szCs w:val="24"/>
              </w:rPr>
              <w:t>“融侨开发区含音西街道、宏</w:t>
            </w:r>
            <w:r>
              <w:rPr>
                <w:rFonts w:ascii="Times New Roman" w:hAnsi="Times New Roman"/>
                <w:color w:val="auto"/>
                <w:spacing w:val="-11"/>
                <w:sz w:val="24"/>
                <w:szCs w:val="24"/>
              </w:rPr>
              <w:t>路街道、石竹街道、阳下街道、镜洋镇</w:t>
            </w:r>
            <w:r>
              <w:rPr>
                <w:rFonts w:hint="eastAsia" w:ascii="微软雅黑" w:hAnsi="微软雅黑" w:eastAsia="微软雅黑" w:cs="微软雅黑"/>
                <w:color w:val="auto"/>
                <w:spacing w:val="-11"/>
                <w:sz w:val="24"/>
                <w:szCs w:val="24"/>
              </w:rPr>
              <w:t>…</w:t>
            </w:r>
            <w:r>
              <w:rPr>
                <w:rFonts w:ascii="Times New Roman" w:hAnsi="Times New Roman"/>
                <w:color w:val="auto"/>
                <w:spacing w:val="-11"/>
                <w:sz w:val="24"/>
                <w:szCs w:val="24"/>
              </w:rPr>
              <w:t>”</w:t>
            </w:r>
            <w:r>
              <w:rPr>
                <w:rFonts w:hint="eastAsia" w:ascii="Times New Roman" w:hAnsi="Times New Roman"/>
                <w:color w:val="auto"/>
                <w:spacing w:val="-11"/>
                <w:sz w:val="24"/>
                <w:szCs w:val="24"/>
                <w:lang w:eastAsia="zh-CN"/>
              </w:rPr>
              <w:t>,</w:t>
            </w:r>
            <w:r>
              <w:rPr>
                <w:rFonts w:ascii="Times New Roman" w:hAnsi="Times New Roman"/>
                <w:color w:val="auto"/>
                <w:spacing w:val="-11"/>
                <w:sz w:val="24"/>
                <w:szCs w:val="24"/>
              </w:rPr>
              <w:t>因此镜洋镇已</w:t>
            </w:r>
            <w:r>
              <w:rPr>
                <w:rFonts w:ascii="Times New Roman" w:hAnsi="Times New Roman"/>
                <w:color w:val="auto"/>
                <w:spacing w:val="5"/>
                <w:sz w:val="24"/>
                <w:szCs w:val="24"/>
              </w:rPr>
              <w:t>纳入福清融侨经济开发区管理</w:t>
            </w:r>
            <w:r>
              <w:rPr>
                <w:rFonts w:hint="eastAsia" w:ascii="Times New Roman" w:hAnsi="Times New Roman"/>
                <w:color w:val="auto"/>
                <w:spacing w:val="5"/>
                <w:sz w:val="24"/>
                <w:szCs w:val="24"/>
                <w:lang w:eastAsia="zh-CN"/>
              </w:rPr>
              <w:t>(</w:t>
            </w:r>
            <w:r>
              <w:rPr>
                <w:rFonts w:ascii="Times New Roman" w:hAnsi="Times New Roman"/>
                <w:color w:val="auto"/>
                <w:spacing w:val="5"/>
                <w:sz w:val="24"/>
                <w:szCs w:val="24"/>
              </w:rPr>
              <w:t>托管</w:t>
            </w:r>
            <w:r>
              <w:rPr>
                <w:rFonts w:hint="eastAsia" w:ascii="Times New Roman" w:hAnsi="Times New Roman"/>
                <w:color w:val="auto"/>
                <w:spacing w:val="5"/>
                <w:sz w:val="24"/>
                <w:szCs w:val="24"/>
                <w:lang w:eastAsia="zh-CN"/>
              </w:rPr>
              <w:t>),</w:t>
            </w:r>
            <w:r>
              <w:rPr>
                <w:rFonts w:hint="eastAsia" w:ascii="Times New Roman" w:hAnsi="Times New Roman"/>
                <w:color w:val="auto"/>
                <w:spacing w:val="5"/>
                <w:sz w:val="24"/>
                <w:szCs w:val="24"/>
                <w:lang w:val="en-US" w:eastAsia="zh-CN"/>
              </w:rPr>
              <w:t>故</w:t>
            </w:r>
            <w:r>
              <w:rPr>
                <w:rFonts w:ascii="Times New Roman" w:hAnsi="Times New Roman"/>
                <w:color w:val="auto"/>
                <w:spacing w:val="4"/>
                <w:sz w:val="24"/>
                <w:szCs w:val="24"/>
              </w:rPr>
              <w:t>本项目位于福清融</w:t>
            </w:r>
            <w:r>
              <w:rPr>
                <w:rFonts w:ascii="Times New Roman" w:hAnsi="Times New Roman"/>
                <w:color w:val="auto"/>
                <w:spacing w:val="3"/>
                <w:sz w:val="24"/>
                <w:szCs w:val="24"/>
              </w:rPr>
              <w:t>侨经济技术开发区内</w:t>
            </w:r>
            <w:r>
              <w:rPr>
                <w:rFonts w:hint="eastAsia" w:ascii="Times New Roman" w:hAnsi="Times New Roman"/>
                <w:color w:val="auto"/>
                <w:spacing w:val="3"/>
                <w:sz w:val="24"/>
                <w:szCs w:val="24"/>
                <w:lang w:eastAsia="zh-CN"/>
              </w:rPr>
              <w:t>且</w:t>
            </w:r>
            <w:r>
              <w:rPr>
                <w:rFonts w:ascii="Times New Roman" w:hAnsi="Times New Roman"/>
                <w:color w:val="auto"/>
                <w:spacing w:val="3"/>
                <w:sz w:val="24"/>
                <w:szCs w:val="24"/>
              </w:rPr>
              <w:t>租赁</w:t>
            </w:r>
            <w:r>
              <w:rPr>
                <w:rFonts w:hint="eastAsia" w:ascii="Times New Roman" w:hAnsi="Times New Roman"/>
                <w:color w:val="auto"/>
                <w:spacing w:val="3"/>
                <w:sz w:val="24"/>
                <w:szCs w:val="24"/>
              </w:rPr>
              <w:t>福州清山压铸有限公</w:t>
            </w:r>
            <w:r>
              <w:rPr>
                <w:rFonts w:hint="eastAsia" w:ascii="Times New Roman" w:hAnsi="Times New Roman"/>
                <w:color w:val="auto"/>
                <w:spacing w:val="3"/>
                <w:sz w:val="24"/>
                <w:szCs w:val="24"/>
                <w:shd w:val="clear"/>
              </w:rPr>
              <w:t>司</w:t>
            </w:r>
            <w:r>
              <w:rPr>
                <w:rFonts w:ascii="Times New Roman" w:hAnsi="Times New Roman"/>
                <w:color w:val="auto"/>
                <w:spacing w:val="8"/>
                <w:sz w:val="24"/>
                <w:szCs w:val="24"/>
                <w:shd w:val="clear"/>
              </w:rPr>
              <w:t>的</w:t>
            </w:r>
            <w:r>
              <w:rPr>
                <w:rFonts w:hint="eastAsia" w:ascii="Times New Roman" w:hAnsi="Times New Roman"/>
                <w:color w:val="auto"/>
                <w:spacing w:val="8"/>
                <w:sz w:val="24"/>
                <w:szCs w:val="24"/>
                <w:shd w:val="clear"/>
                <w:lang w:val="en-US" w:eastAsia="zh-CN"/>
              </w:rPr>
              <w:t>现有</w:t>
            </w:r>
            <w:r>
              <w:rPr>
                <w:rFonts w:ascii="Times New Roman" w:hAnsi="Times New Roman"/>
                <w:color w:val="auto"/>
                <w:spacing w:val="8"/>
                <w:sz w:val="24"/>
                <w:szCs w:val="24"/>
                <w:shd w:val="clear"/>
              </w:rPr>
              <w:t>厂房，</w:t>
            </w:r>
            <w:r>
              <w:rPr>
                <w:rFonts w:ascii="Times New Roman" w:hAnsi="Times New Roman"/>
                <w:color w:val="auto"/>
                <w:spacing w:val="8"/>
                <w:sz w:val="24"/>
                <w:szCs w:val="24"/>
              </w:rPr>
              <w:t>未新增用地，根据出租方提供的</w:t>
            </w:r>
            <w:r>
              <w:rPr>
                <w:rFonts w:ascii="Times New Roman" w:hAnsi="Times New Roman"/>
                <w:color w:val="auto"/>
                <w:spacing w:val="7"/>
                <w:sz w:val="24"/>
                <w:szCs w:val="24"/>
              </w:rPr>
              <w:t>不动产权证</w:t>
            </w:r>
            <w:r>
              <w:rPr>
                <w:rFonts w:hint="eastAsia" w:ascii="Times New Roman" w:hAnsi="Times New Roman"/>
                <w:color w:val="auto"/>
                <w:spacing w:val="7"/>
                <w:sz w:val="24"/>
                <w:szCs w:val="24"/>
                <w:lang w:val="en-US" w:eastAsia="zh-CN"/>
              </w:rPr>
              <w:t>和施工许可证(</w:t>
            </w:r>
            <w:r>
              <w:rPr>
                <w:rFonts w:ascii="Times New Roman" w:hAnsi="Times New Roman"/>
                <w:color w:val="auto"/>
                <w:sz w:val="24"/>
                <w:szCs w:val="24"/>
              </w:rPr>
              <w:t>详见</w:t>
            </w:r>
            <w:r>
              <w:rPr>
                <w:rFonts w:ascii="Times New Roman" w:hAnsi="Times New Roman"/>
                <w:b w:val="0"/>
                <w:bCs w:val="0"/>
                <w:color w:val="auto"/>
                <w:sz w:val="24"/>
                <w:szCs w:val="24"/>
              </w:rPr>
              <w:t>附件</w:t>
            </w:r>
            <w:r>
              <w:rPr>
                <w:rFonts w:hint="eastAsia" w:ascii="Times New Roman" w:hAnsi="Times New Roman"/>
                <w:b w:val="0"/>
                <w:bCs w:val="0"/>
                <w:color w:val="auto"/>
                <w:sz w:val="24"/>
                <w:szCs w:val="24"/>
                <w:lang w:val="en-US" w:eastAsia="zh-CN"/>
              </w:rPr>
              <w:t>4)，以及福清融侨经济技术开发区管理委员会发的</w:t>
            </w:r>
            <w:r>
              <w:rPr>
                <w:rFonts w:hint="eastAsia" w:ascii="微软雅黑" w:hAnsi="微软雅黑" w:eastAsia="微软雅黑" w:cs="微软雅黑"/>
                <w:b w:val="0"/>
                <w:bCs w:val="0"/>
                <w:color w:val="auto"/>
                <w:sz w:val="24"/>
                <w:szCs w:val="24"/>
                <w:lang w:val="en-US" w:eastAsia="zh-CN"/>
              </w:rPr>
              <w:t>〈</w:t>
            </w:r>
            <w:r>
              <w:rPr>
                <w:rFonts w:hint="eastAsia" w:ascii="Times New Roman" w:hAnsi="Times New Roman"/>
                <w:b w:val="0"/>
                <w:bCs w:val="0"/>
                <w:color w:val="auto"/>
                <w:sz w:val="24"/>
                <w:szCs w:val="24"/>
                <w:lang w:val="en-US" w:eastAsia="zh-CN"/>
              </w:rPr>
              <w:t>关于协助福州奇联汽车零部件有限公司先行办理环评手续的函</w:t>
            </w:r>
            <w:r>
              <w:rPr>
                <w:rFonts w:hint="eastAsia" w:ascii="微软雅黑" w:hAnsi="微软雅黑" w:eastAsia="微软雅黑" w:cs="微软雅黑"/>
                <w:b w:val="0"/>
                <w:bCs w:val="0"/>
                <w:color w:val="auto"/>
                <w:sz w:val="24"/>
                <w:szCs w:val="24"/>
                <w:lang w:val="en-US" w:eastAsia="zh-CN"/>
              </w:rPr>
              <w:t>〉</w:t>
            </w:r>
            <w:r>
              <w:rPr>
                <w:rFonts w:ascii="Times New Roman" w:hAnsi="Times New Roman"/>
                <w:color w:val="auto"/>
                <w:sz w:val="24"/>
                <w:szCs w:val="24"/>
              </w:rPr>
              <w:t>可知</w:t>
            </w:r>
            <w:r>
              <w:rPr>
                <w:rFonts w:hint="eastAsia" w:ascii="Times New Roman" w:hAnsi="Times New Roman"/>
                <w:color w:val="auto"/>
                <w:spacing w:val="7"/>
                <w:sz w:val="24"/>
                <w:szCs w:val="24"/>
                <w:lang w:val="en-US" w:eastAsia="zh-CN"/>
              </w:rPr>
              <w:t>(</w:t>
            </w:r>
            <w:r>
              <w:rPr>
                <w:rFonts w:ascii="Times New Roman" w:hAnsi="Times New Roman"/>
                <w:color w:val="auto"/>
                <w:sz w:val="24"/>
                <w:szCs w:val="24"/>
              </w:rPr>
              <w:t>详见</w:t>
            </w:r>
            <w:r>
              <w:rPr>
                <w:rFonts w:ascii="Times New Roman" w:hAnsi="Times New Roman"/>
                <w:b w:val="0"/>
                <w:bCs w:val="0"/>
                <w:color w:val="auto"/>
                <w:sz w:val="24"/>
                <w:szCs w:val="24"/>
              </w:rPr>
              <w:t>附件</w:t>
            </w:r>
            <w:r>
              <w:rPr>
                <w:rFonts w:hint="eastAsia" w:ascii="Times New Roman" w:hAnsi="Times New Roman"/>
                <w:b w:val="0"/>
                <w:bCs w:val="0"/>
                <w:color w:val="auto"/>
                <w:sz w:val="24"/>
                <w:szCs w:val="24"/>
                <w:lang w:val="en-US" w:eastAsia="zh-CN"/>
              </w:rPr>
              <w:t>24)</w:t>
            </w:r>
            <w:r>
              <w:rPr>
                <w:rFonts w:ascii="Times New Roman" w:hAnsi="Times New Roman"/>
                <w:color w:val="auto"/>
                <w:sz w:val="24"/>
                <w:szCs w:val="24"/>
              </w:rPr>
              <w:t>，该厂</w:t>
            </w:r>
            <w:r>
              <w:rPr>
                <w:rFonts w:ascii="Times New Roman" w:hAnsi="Times New Roman"/>
                <w:color w:val="auto"/>
                <w:spacing w:val="3"/>
                <w:sz w:val="24"/>
                <w:szCs w:val="24"/>
              </w:rPr>
              <w:t>区用地为工业用地，厂房为工业厂房，本项</w:t>
            </w:r>
            <w:r>
              <w:rPr>
                <w:rFonts w:ascii="Times New Roman" w:hAnsi="Times New Roman"/>
                <w:color w:val="auto"/>
                <w:spacing w:val="2"/>
                <w:sz w:val="24"/>
                <w:szCs w:val="24"/>
              </w:rPr>
              <w:t>目从事</w:t>
            </w:r>
            <w:r>
              <w:rPr>
                <w:rFonts w:hint="eastAsia" w:ascii="Times New Roman" w:hAnsi="Times New Roman"/>
                <w:color w:val="auto"/>
                <w:sz w:val="24"/>
                <w:highlight w:val="none"/>
                <w:shd w:val="clear"/>
                <w:lang w:eastAsia="zh-CN"/>
              </w:rPr>
              <w:t>汽车座椅骨架</w:t>
            </w:r>
            <w:r>
              <w:rPr>
                <w:rFonts w:ascii="Times New Roman" w:hAnsi="Times New Roman"/>
                <w:color w:val="auto"/>
                <w:sz w:val="24"/>
                <w:highlight w:val="none"/>
              </w:rPr>
              <w:t>的加工生产</w:t>
            </w:r>
            <w:r>
              <w:rPr>
                <w:rFonts w:ascii="Times New Roman" w:hAnsi="Times New Roman"/>
                <w:color w:val="auto"/>
                <w:sz w:val="24"/>
                <w:szCs w:val="24"/>
              </w:rPr>
              <w:t>，属于工业企</w:t>
            </w:r>
            <w:r>
              <w:rPr>
                <w:rFonts w:ascii="Times New Roman" w:hAnsi="Times New Roman"/>
                <w:color w:val="auto"/>
                <w:spacing w:val="-1"/>
                <w:sz w:val="24"/>
                <w:szCs w:val="24"/>
              </w:rPr>
              <w:t>业，</w:t>
            </w:r>
            <w:r>
              <w:rPr>
                <w:rFonts w:ascii="Times New Roman" w:hAnsi="Times New Roman"/>
                <w:color w:val="auto"/>
                <w:sz w:val="24"/>
                <w:szCs w:val="24"/>
              </w:rPr>
              <w:t>因此，项目选址符合当地土地利用规划</w:t>
            </w:r>
            <w:r>
              <w:rPr>
                <w:color w:val="auto"/>
                <w:sz w:val="24"/>
                <w:szCs w:val="24"/>
              </w:rPr>
              <w:t>。</w:t>
            </w:r>
          </w:p>
          <w:p w14:paraId="7504CEAA">
            <w:pPr>
              <w:pStyle w:val="3"/>
              <w:bidi w:val="0"/>
              <w:rPr>
                <w:rFonts w:hint="eastAsia"/>
                <w:color w:val="auto"/>
              </w:rPr>
            </w:pPr>
            <w:r>
              <w:rPr>
                <w:rFonts w:hint="eastAsia"/>
                <w:color w:val="auto"/>
                <w:lang w:val="en-US" w:eastAsia="zh-CN"/>
              </w:rPr>
              <w:t>环境功能区划符合性分析</w:t>
            </w:r>
          </w:p>
          <w:p w14:paraId="52634986">
            <w:pPr>
              <w:pStyle w:val="113"/>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eastAsia" w:ascii="Times New Roman" w:hAnsi="Times New Roman" w:eastAsia="宋体" w:cs="宋体"/>
                <w:snapToGrid w:val="0"/>
                <w:color w:val="auto"/>
                <w:kern w:val="18"/>
                <w:sz w:val="24"/>
                <w:szCs w:val="20"/>
                <w:u w:val="none"/>
                <w:shd w:val="clear"/>
                <w:lang w:val="en-US" w:eastAsia="zh-CN" w:bidi="ar-SA"/>
              </w:rPr>
            </w:pPr>
            <w:r>
              <w:rPr>
                <w:rFonts w:hint="eastAsia" w:ascii="Times New Roman" w:hAnsi="Times New Roman" w:eastAsia="宋体" w:cs="宋体"/>
                <w:snapToGrid w:val="0"/>
                <w:color w:val="auto"/>
                <w:kern w:val="18"/>
                <w:sz w:val="24"/>
                <w:szCs w:val="20"/>
                <w:u w:val="none"/>
                <w:lang w:val="en-US" w:eastAsia="zh-CN" w:bidi="ar-SA"/>
              </w:rPr>
              <w:t>项目运营期环境空气污染排放源强很低，对周围环境空气不会产生显著影响，符合《环境空气质量标准》</w:t>
            </w:r>
            <w:r>
              <w:rPr>
                <w:rFonts w:hint="eastAsia" w:ascii="Times New Roman" w:hAnsi="Times New Roman" w:cs="宋体"/>
                <w:snapToGrid w:val="0"/>
                <w:color w:val="auto"/>
                <w:kern w:val="18"/>
                <w:sz w:val="24"/>
                <w:szCs w:val="20"/>
                <w:u w:val="none"/>
                <w:lang w:val="en-US" w:eastAsia="zh-CN" w:bidi="ar-SA"/>
              </w:rPr>
              <w:t>(</w:t>
            </w:r>
            <w:r>
              <w:rPr>
                <w:rFonts w:hint="eastAsia" w:ascii="Times New Roman" w:hAnsi="Times New Roman" w:eastAsia="宋体" w:cs="宋体"/>
                <w:snapToGrid w:val="0"/>
                <w:color w:val="auto"/>
                <w:kern w:val="18"/>
                <w:sz w:val="24"/>
                <w:szCs w:val="20"/>
                <w:u w:val="none"/>
                <w:lang w:val="en-US" w:eastAsia="zh-CN" w:bidi="ar-SA"/>
              </w:rPr>
              <w:t>GB3095-2012</w:t>
            </w:r>
            <w:r>
              <w:rPr>
                <w:rFonts w:hint="eastAsia" w:ascii="Times New Roman" w:hAnsi="Times New Roman" w:cs="宋体"/>
                <w:snapToGrid w:val="0"/>
                <w:color w:val="auto"/>
                <w:kern w:val="18"/>
                <w:sz w:val="24"/>
                <w:szCs w:val="20"/>
                <w:u w:val="none"/>
                <w:lang w:val="en-US" w:eastAsia="zh-CN" w:bidi="ar-SA"/>
              </w:rPr>
              <w:t>)</w:t>
            </w:r>
            <w:r>
              <w:rPr>
                <w:rFonts w:hint="eastAsia" w:ascii="Times New Roman" w:hAnsi="Times New Roman" w:eastAsia="宋体" w:cs="宋体"/>
                <w:snapToGrid w:val="0"/>
                <w:color w:val="auto"/>
                <w:kern w:val="18"/>
                <w:sz w:val="24"/>
                <w:szCs w:val="20"/>
                <w:u w:val="none"/>
                <w:lang w:val="en-US" w:eastAsia="zh-CN" w:bidi="ar-SA"/>
              </w:rPr>
              <w:t>及其修改单中二级标准；</w:t>
            </w:r>
            <w:r>
              <w:rPr>
                <w:rFonts w:hint="eastAsia" w:ascii="Times New Roman" w:hAnsi="Times New Roman" w:eastAsia="宋体" w:cs="宋体"/>
                <w:snapToGrid w:val="0"/>
                <w:color w:val="auto"/>
                <w:kern w:val="18"/>
                <w:sz w:val="24"/>
                <w:szCs w:val="20"/>
                <w:u w:val="none"/>
                <w:shd w:val="clear"/>
                <w:lang w:val="en-US" w:eastAsia="zh-CN" w:bidi="ar-SA"/>
              </w:rPr>
              <w:t>本项目运营期产生生活污水</w:t>
            </w:r>
            <w:r>
              <w:rPr>
                <w:rFonts w:hint="eastAsia" w:ascii="Times New Roman" w:hAnsi="Times New Roman" w:cs="宋体"/>
                <w:snapToGrid w:val="0"/>
                <w:color w:val="auto"/>
                <w:kern w:val="18"/>
                <w:sz w:val="24"/>
                <w:szCs w:val="20"/>
                <w:u w:val="none"/>
                <w:shd w:val="clear"/>
                <w:lang w:val="en-US" w:eastAsia="zh-CN" w:bidi="ar-SA"/>
              </w:rPr>
              <w:t>且</w:t>
            </w:r>
            <w:r>
              <w:rPr>
                <w:rFonts w:hint="eastAsia" w:ascii="Times New Roman" w:hAnsi="Times New Roman" w:eastAsia="宋体" w:cs="宋体"/>
                <w:snapToGrid w:val="0"/>
                <w:color w:val="auto"/>
                <w:kern w:val="18"/>
                <w:sz w:val="24"/>
                <w:szCs w:val="20"/>
                <w:u w:val="none"/>
                <w:shd w:val="clear"/>
                <w:lang w:val="en-US" w:eastAsia="zh-CN" w:bidi="ar-SA"/>
              </w:rPr>
              <w:t>生活污水依托出租方的化粪池处理后进入市政污水管网</w:t>
            </w:r>
            <w:r>
              <w:rPr>
                <w:rFonts w:hint="eastAsia" w:ascii="Times New Roman" w:hAnsi="Times New Roman" w:cs="宋体"/>
                <w:snapToGrid w:val="0"/>
                <w:color w:val="auto"/>
                <w:kern w:val="18"/>
                <w:sz w:val="24"/>
                <w:szCs w:val="20"/>
                <w:u w:val="none"/>
                <w:shd w:val="clear"/>
                <w:lang w:val="en-US" w:eastAsia="zh-CN" w:bidi="ar-SA"/>
              </w:rPr>
              <w:t>（排水证明见附件13）</w:t>
            </w:r>
            <w:r>
              <w:rPr>
                <w:rFonts w:hint="eastAsia" w:ascii="Times New Roman" w:hAnsi="Times New Roman" w:eastAsia="宋体" w:cs="宋体"/>
                <w:snapToGrid w:val="0"/>
                <w:color w:val="auto"/>
                <w:kern w:val="18"/>
                <w:sz w:val="24"/>
                <w:szCs w:val="20"/>
                <w:u w:val="none"/>
                <w:shd w:val="clear"/>
                <w:lang w:val="en-US" w:eastAsia="zh-CN" w:bidi="ar-SA"/>
              </w:rPr>
              <w:t>，最终排入福清市第二污水处理厂统一处理后达标排放，不直接排入周边地表水体，纳污水域龙江符合《地表水环境质量标准》</w:t>
            </w:r>
            <w:r>
              <w:rPr>
                <w:rFonts w:hint="eastAsia" w:ascii="Times New Roman" w:hAnsi="Times New Roman" w:cs="宋体"/>
                <w:snapToGrid w:val="0"/>
                <w:color w:val="auto"/>
                <w:kern w:val="18"/>
                <w:sz w:val="24"/>
                <w:szCs w:val="20"/>
                <w:u w:val="none"/>
                <w:shd w:val="clear"/>
                <w:lang w:val="en-US" w:eastAsia="zh-CN" w:bidi="ar-SA"/>
              </w:rPr>
              <w:t>(</w:t>
            </w:r>
            <w:r>
              <w:rPr>
                <w:rFonts w:hint="eastAsia" w:ascii="Times New Roman" w:hAnsi="Times New Roman" w:eastAsia="宋体" w:cs="宋体"/>
                <w:snapToGrid w:val="0"/>
                <w:color w:val="auto"/>
                <w:kern w:val="18"/>
                <w:sz w:val="24"/>
                <w:szCs w:val="20"/>
                <w:u w:val="none"/>
                <w:shd w:val="clear"/>
                <w:lang w:val="en-US" w:eastAsia="zh-CN" w:bidi="ar-SA"/>
              </w:rPr>
              <w:t>GB3838-2002)V类标准；项目在采取一定的噪声污染防治措施后，项目产生的噪声不会对周围环境产生显著影响，项目所在区域的环境噪声符合《声环境质量标准》</w:t>
            </w:r>
            <w:r>
              <w:rPr>
                <w:rFonts w:hint="eastAsia" w:ascii="Times New Roman" w:hAnsi="Times New Roman" w:cs="宋体"/>
                <w:snapToGrid w:val="0"/>
                <w:color w:val="auto"/>
                <w:kern w:val="18"/>
                <w:sz w:val="24"/>
                <w:szCs w:val="20"/>
                <w:u w:val="none"/>
                <w:shd w:val="clear"/>
                <w:lang w:val="en-US" w:eastAsia="zh-CN" w:bidi="ar-SA"/>
              </w:rPr>
              <w:t>(</w:t>
            </w:r>
            <w:r>
              <w:rPr>
                <w:rFonts w:hint="eastAsia" w:ascii="Times New Roman" w:hAnsi="Times New Roman" w:eastAsia="宋体" w:cs="宋体"/>
                <w:snapToGrid w:val="0"/>
                <w:color w:val="auto"/>
                <w:kern w:val="18"/>
                <w:sz w:val="24"/>
                <w:szCs w:val="20"/>
                <w:u w:val="none"/>
                <w:shd w:val="clear"/>
                <w:lang w:val="en-US" w:eastAsia="zh-CN" w:bidi="ar-SA"/>
              </w:rPr>
              <w:t>GB3096-2008</w:t>
            </w:r>
            <w:r>
              <w:rPr>
                <w:rFonts w:hint="eastAsia" w:ascii="Times New Roman" w:hAnsi="Times New Roman" w:cs="宋体"/>
                <w:snapToGrid w:val="0"/>
                <w:color w:val="auto"/>
                <w:kern w:val="18"/>
                <w:sz w:val="24"/>
                <w:szCs w:val="20"/>
                <w:u w:val="none"/>
                <w:shd w:val="clear"/>
                <w:lang w:val="en-US" w:eastAsia="zh-CN" w:bidi="ar-SA"/>
              </w:rPr>
              <w:t>)</w:t>
            </w:r>
            <w:r>
              <w:rPr>
                <w:rFonts w:hint="eastAsia" w:ascii="Times New Roman" w:hAnsi="Times New Roman" w:eastAsia="宋体" w:cs="宋体"/>
                <w:snapToGrid w:val="0"/>
                <w:color w:val="auto"/>
                <w:kern w:val="18"/>
                <w:sz w:val="24"/>
                <w:szCs w:val="20"/>
                <w:u w:val="none"/>
                <w:shd w:val="clear"/>
                <w:lang w:val="en-US" w:eastAsia="zh-CN" w:bidi="ar-SA"/>
              </w:rPr>
              <w:t>的</w:t>
            </w:r>
            <w:r>
              <w:rPr>
                <w:rFonts w:hint="eastAsia" w:ascii="Times New Roman" w:hAnsi="Times New Roman" w:cs="宋体"/>
                <w:snapToGrid w:val="0"/>
                <w:color w:val="auto"/>
                <w:kern w:val="18"/>
                <w:sz w:val="24"/>
                <w:szCs w:val="20"/>
                <w:u w:val="none"/>
                <w:shd w:val="clear"/>
                <w:lang w:val="en-US" w:eastAsia="zh-CN" w:bidi="ar-SA"/>
              </w:rPr>
              <w:t>3</w:t>
            </w:r>
            <w:r>
              <w:rPr>
                <w:rFonts w:hint="eastAsia" w:ascii="Times New Roman" w:hAnsi="Times New Roman" w:eastAsia="宋体" w:cs="宋体"/>
                <w:snapToGrid w:val="0"/>
                <w:color w:val="auto"/>
                <w:kern w:val="18"/>
                <w:sz w:val="24"/>
                <w:szCs w:val="20"/>
                <w:u w:val="none"/>
                <w:shd w:val="clear"/>
                <w:lang w:val="en-US" w:eastAsia="zh-CN" w:bidi="ar-SA"/>
              </w:rPr>
              <w:t>类区标准，因此，项目建设符合环境功能规划。</w:t>
            </w:r>
          </w:p>
          <w:p w14:paraId="7B768040">
            <w:pPr>
              <w:pStyle w:val="3"/>
              <w:bidi w:val="0"/>
              <w:rPr>
                <w:rFonts w:hint="eastAsia" w:eastAsia="宋体"/>
                <w:color w:val="auto"/>
                <w:lang w:val="en-US" w:eastAsia="zh-CN"/>
              </w:rPr>
            </w:pPr>
            <w:r>
              <w:rPr>
                <w:rFonts w:hint="eastAsia" w:eastAsia="宋体"/>
                <w:color w:val="auto"/>
                <w:lang w:val="en-US" w:eastAsia="zh-CN"/>
              </w:rPr>
              <w:t>与挥发性有机物污染防治相关政策符合性分析</w:t>
            </w:r>
          </w:p>
          <w:p w14:paraId="28AED3B8">
            <w:pPr>
              <w:pStyle w:val="132"/>
              <w:spacing w:before="97" w:line="220" w:lineRule="auto"/>
              <w:ind w:left="601"/>
              <w:rPr>
                <w:rFonts w:hint="eastAsia" w:ascii="Times New Roman" w:hAnsi="Times New Roman" w:eastAsia="宋体" w:cs="宋体"/>
                <w:b w:val="0"/>
                <w:snapToGrid w:val="0"/>
                <w:color w:val="auto"/>
                <w:kern w:val="18"/>
                <w:sz w:val="24"/>
                <w:szCs w:val="20"/>
                <w:u w:val="none"/>
                <w:shd w:val="clear"/>
                <w:lang w:val="en-US" w:eastAsia="zh-CN" w:bidi="ar-SA"/>
              </w:rPr>
            </w:pPr>
            <w:r>
              <w:rPr>
                <w:rFonts w:hint="eastAsia" w:ascii="Times New Roman" w:hAnsi="Times New Roman" w:eastAsia="宋体" w:cs="宋体"/>
                <w:b w:val="0"/>
                <w:snapToGrid w:val="0"/>
                <w:color w:val="auto"/>
                <w:kern w:val="18"/>
                <w:sz w:val="24"/>
                <w:szCs w:val="20"/>
                <w:u w:val="none"/>
                <w:shd w:val="clear"/>
                <w:lang w:val="en-US" w:eastAsia="zh-CN" w:bidi="ar-SA"/>
              </w:rPr>
              <w:t>本项目与挥发性有机物污染防治工作的符合性分析见下表。</w:t>
            </w:r>
          </w:p>
          <w:p w14:paraId="38480F8E">
            <w:pPr>
              <w:pStyle w:val="42"/>
              <w:keepNext/>
              <w:keepLines/>
              <w:pageBreakBefore w:val="0"/>
              <w:widowControl w:val="0"/>
              <w:kinsoku/>
              <w:wordWrap/>
              <w:overflowPunct/>
              <w:topLinePunct w:val="0"/>
              <w:autoSpaceDE/>
              <w:autoSpaceDN/>
              <w:bidi w:val="0"/>
              <w:adjustRightInd/>
              <w:snapToGrid/>
              <w:spacing w:before="157" w:beforeLines="50" w:after="0"/>
              <w:ind w:left="420" w:leftChars="0" w:firstLineChars="0"/>
              <w:jc w:val="center"/>
              <w:textAlignment w:val="auto"/>
              <w:rPr>
                <w:rFonts w:hint="eastAsia" w:eastAsia="宋体"/>
                <w:color w:val="auto"/>
                <w:highlight w:val="none"/>
                <w:lang w:val="en-US" w:eastAsia="zh-CN"/>
              </w:rPr>
            </w:pPr>
            <w:r>
              <w:rPr>
                <w:rFonts w:hint="eastAsia" w:eastAsia="宋体"/>
                <w:color w:val="auto"/>
                <w:highlight w:val="none"/>
                <w:lang w:val="en-US" w:eastAsia="zh-CN"/>
              </w:rPr>
              <w:t>与挥发性有机物工作的符合性分析</w:t>
            </w:r>
          </w:p>
          <w:tbl>
            <w:tblPr>
              <w:tblStyle w:val="84"/>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24"/>
              <w:gridCol w:w="1785"/>
              <w:gridCol w:w="2850"/>
              <w:gridCol w:w="1568"/>
              <w:gridCol w:w="392"/>
            </w:tblGrid>
            <w:tr w14:paraId="09B964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18" w:hRule="atLeast"/>
                <w:jc w:val="center"/>
              </w:trPr>
              <w:tc>
                <w:tcPr>
                  <w:tcW w:w="302" w:type="pct"/>
                  <w:tcBorders>
                    <w:tl2br w:val="nil"/>
                    <w:tr2bl w:val="nil"/>
                  </w:tcBorders>
                  <w:tcMar>
                    <w:top w:w="0" w:type="dxa"/>
                    <w:left w:w="57" w:type="dxa"/>
                    <w:bottom w:w="0" w:type="dxa"/>
                    <w:right w:w="57" w:type="dxa"/>
                  </w:tcMar>
                  <w:vAlign w:val="center"/>
                </w:tcPr>
                <w:p w14:paraId="70A33E39">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序号</w:t>
                  </w:r>
                </w:p>
              </w:tc>
              <w:tc>
                <w:tcPr>
                  <w:tcW w:w="1271" w:type="pct"/>
                  <w:tcBorders>
                    <w:tl2br w:val="nil"/>
                    <w:tr2bl w:val="nil"/>
                  </w:tcBorders>
                  <w:tcMar>
                    <w:top w:w="0" w:type="dxa"/>
                    <w:left w:w="57" w:type="dxa"/>
                    <w:bottom w:w="0" w:type="dxa"/>
                    <w:right w:w="57" w:type="dxa"/>
                  </w:tcMar>
                  <w:vAlign w:val="center"/>
                </w:tcPr>
                <w:p w14:paraId="3AE31606">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法律、政策</w:t>
                  </w:r>
                </w:p>
              </w:tc>
              <w:tc>
                <w:tcPr>
                  <w:tcW w:w="2030" w:type="pct"/>
                  <w:tcBorders>
                    <w:tl2br w:val="nil"/>
                    <w:tr2bl w:val="nil"/>
                  </w:tcBorders>
                  <w:tcMar>
                    <w:top w:w="0" w:type="dxa"/>
                    <w:left w:w="57" w:type="dxa"/>
                    <w:bottom w:w="0" w:type="dxa"/>
                    <w:right w:w="57" w:type="dxa"/>
                  </w:tcMar>
                  <w:vAlign w:val="center"/>
                </w:tcPr>
                <w:p w14:paraId="57A99BC2">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工作要求</w:t>
                  </w:r>
                </w:p>
              </w:tc>
              <w:tc>
                <w:tcPr>
                  <w:tcW w:w="1116" w:type="pct"/>
                  <w:tcBorders>
                    <w:tl2br w:val="nil"/>
                    <w:tr2bl w:val="nil"/>
                  </w:tcBorders>
                  <w:tcMar>
                    <w:top w:w="0" w:type="dxa"/>
                    <w:left w:w="57" w:type="dxa"/>
                    <w:bottom w:w="0" w:type="dxa"/>
                    <w:right w:w="57" w:type="dxa"/>
                  </w:tcMar>
                  <w:vAlign w:val="center"/>
                </w:tcPr>
                <w:p w14:paraId="636E07AB">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企业建设内容</w:t>
                  </w:r>
                </w:p>
              </w:tc>
              <w:tc>
                <w:tcPr>
                  <w:tcW w:w="279" w:type="pct"/>
                  <w:tcBorders>
                    <w:tl2br w:val="nil"/>
                    <w:tr2bl w:val="nil"/>
                  </w:tcBorders>
                  <w:tcMar>
                    <w:top w:w="0" w:type="dxa"/>
                    <w:left w:w="57" w:type="dxa"/>
                    <w:bottom w:w="0" w:type="dxa"/>
                    <w:right w:w="57" w:type="dxa"/>
                  </w:tcMar>
                  <w:vAlign w:val="center"/>
                </w:tcPr>
                <w:p w14:paraId="26EF83B9">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相符性</w:t>
                  </w:r>
                </w:p>
              </w:tc>
            </w:tr>
            <w:tr w14:paraId="066982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03" w:hRule="atLeast"/>
                <w:jc w:val="center"/>
              </w:trPr>
              <w:tc>
                <w:tcPr>
                  <w:tcW w:w="302" w:type="pct"/>
                  <w:tcBorders>
                    <w:tl2br w:val="nil"/>
                    <w:tr2bl w:val="nil"/>
                  </w:tcBorders>
                  <w:tcMar>
                    <w:top w:w="0" w:type="dxa"/>
                    <w:left w:w="57" w:type="dxa"/>
                    <w:bottom w:w="0" w:type="dxa"/>
                    <w:right w:w="57" w:type="dxa"/>
                  </w:tcMar>
                  <w:vAlign w:val="center"/>
                </w:tcPr>
                <w:p w14:paraId="2F9CB465">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1</w:t>
                  </w:r>
                </w:p>
              </w:tc>
              <w:tc>
                <w:tcPr>
                  <w:tcW w:w="1271" w:type="pct"/>
                  <w:tcBorders>
                    <w:tl2br w:val="nil"/>
                    <w:tr2bl w:val="nil"/>
                  </w:tcBorders>
                  <w:tcMar>
                    <w:top w:w="0" w:type="dxa"/>
                    <w:left w:w="57" w:type="dxa"/>
                    <w:bottom w:w="0" w:type="dxa"/>
                    <w:right w:w="57" w:type="dxa"/>
                  </w:tcMar>
                  <w:vAlign w:val="center"/>
                </w:tcPr>
                <w:p w14:paraId="57302043">
                  <w:pPr>
                    <w:pStyle w:val="89"/>
                    <w:spacing w:line="240" w:lineRule="auto"/>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大气污染防治法</w:t>
                  </w:r>
                </w:p>
              </w:tc>
              <w:tc>
                <w:tcPr>
                  <w:tcW w:w="2030" w:type="pct"/>
                  <w:tcBorders>
                    <w:tl2br w:val="nil"/>
                    <w:tr2bl w:val="nil"/>
                  </w:tcBorders>
                  <w:tcMar>
                    <w:top w:w="0" w:type="dxa"/>
                    <w:left w:w="57" w:type="dxa"/>
                    <w:bottom w:w="0" w:type="dxa"/>
                    <w:right w:w="57" w:type="dxa"/>
                  </w:tcMar>
                  <w:vAlign w:val="center"/>
                </w:tcPr>
                <w:p w14:paraId="5A9A30C2">
                  <w:pPr>
                    <w:pStyle w:val="89"/>
                    <w:spacing w:line="240" w:lineRule="auto"/>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第四十五条规定：产生含会发现有机废气的生产和服务活动，应当在密闭空间或者设备中进行，并按照规定安装、使用污染防治设施；无法密闭的，应当采取措施减少废气排放</w:t>
                  </w:r>
                </w:p>
              </w:tc>
              <w:tc>
                <w:tcPr>
                  <w:tcW w:w="1116" w:type="pct"/>
                  <w:tcBorders>
                    <w:tl2br w:val="nil"/>
                    <w:tr2bl w:val="nil"/>
                  </w:tcBorders>
                  <w:tcMar>
                    <w:top w:w="0" w:type="dxa"/>
                    <w:left w:w="57" w:type="dxa"/>
                    <w:bottom w:w="0" w:type="dxa"/>
                    <w:right w:w="57" w:type="dxa"/>
                  </w:tcMar>
                  <w:vAlign w:val="center"/>
                </w:tcPr>
                <w:p w14:paraId="5152BC6D">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highlight w:val="none"/>
                    </w:rPr>
                  </w:pPr>
                  <w:r>
                    <w:rPr>
                      <w:rFonts w:hint="eastAsia" w:eastAsia="宋体"/>
                      <w:color w:val="auto"/>
                      <w:kern w:val="2"/>
                      <w:sz w:val="21"/>
                      <w:highlight w:val="none"/>
                      <w:lang w:val="en-US" w:eastAsia="zh-CN"/>
                    </w:rPr>
                    <w:t>本项目为汽车零部件及配件制造</w:t>
                  </w:r>
                  <w:r>
                    <w:rPr>
                      <w:rFonts w:hint="eastAsia"/>
                      <w:color w:val="auto"/>
                      <w:kern w:val="2"/>
                      <w:sz w:val="21"/>
                      <w:highlight w:val="none"/>
                      <w:lang w:val="en-US" w:eastAsia="zh-CN"/>
                    </w:rPr>
                    <w:t>项目</w:t>
                  </w:r>
                  <w:r>
                    <w:rPr>
                      <w:rFonts w:hint="eastAsia" w:eastAsia="宋体"/>
                      <w:color w:val="auto"/>
                      <w:kern w:val="2"/>
                      <w:sz w:val="21"/>
                      <w:highlight w:val="none"/>
                      <w:lang w:val="en-US" w:eastAsia="zh-CN"/>
                    </w:rPr>
                    <w:t>，</w:t>
                  </w:r>
                  <w:r>
                    <w:rPr>
                      <w:rFonts w:hint="default" w:eastAsia="宋体"/>
                      <w:color w:val="auto"/>
                      <w:kern w:val="2"/>
                      <w:sz w:val="21"/>
                      <w:highlight w:val="none"/>
                      <w:lang w:val="en-US" w:eastAsia="zh-CN"/>
                    </w:rPr>
                    <w:t>生产工艺无法做到完全密闭，在产生有机废气部位</w:t>
                  </w:r>
                  <w:r>
                    <w:rPr>
                      <w:rFonts w:hint="eastAsia" w:eastAsia="宋体"/>
                      <w:color w:val="auto"/>
                      <w:kern w:val="2"/>
                      <w:sz w:val="21"/>
                      <w:highlight w:val="none"/>
                      <w:lang w:val="en-US" w:eastAsia="zh-CN"/>
                    </w:rPr>
                    <w:t>安装了VOCs收集及治理措施</w:t>
                  </w:r>
                  <w:r>
                    <w:rPr>
                      <w:rFonts w:hint="default" w:eastAsia="宋体"/>
                      <w:color w:val="auto"/>
                      <w:kern w:val="2"/>
                      <w:sz w:val="21"/>
                      <w:highlight w:val="none"/>
                      <w:lang w:val="en-US" w:eastAsia="zh-CN"/>
                    </w:rPr>
                    <w:t>，</w:t>
                  </w:r>
                  <w:r>
                    <w:rPr>
                      <w:rFonts w:ascii="Times New Roman" w:hAnsi="Times New Roman" w:eastAsia="宋体"/>
                      <w:color w:val="auto"/>
                      <w:spacing w:val="-2"/>
                      <w:sz w:val="21"/>
                      <w:szCs w:val="21"/>
                      <w:highlight w:val="none"/>
                    </w:rPr>
                    <w:t>电泳、烘干废气经</w:t>
                  </w:r>
                  <w:r>
                    <w:rPr>
                      <w:rFonts w:hint="eastAsia" w:ascii="Times New Roman" w:hAnsi="Times New Roman"/>
                      <w:color w:val="auto"/>
                      <w:spacing w:val="-2"/>
                      <w:sz w:val="21"/>
                      <w:szCs w:val="21"/>
                      <w:highlight w:val="none"/>
                      <w:lang w:eastAsia="zh-CN"/>
                    </w:rPr>
                    <w:t>喷淋＋二级活性炭吸附</w:t>
                  </w:r>
                  <w:r>
                    <w:rPr>
                      <w:rFonts w:ascii="Times New Roman" w:hAnsi="Times New Roman" w:eastAsia="宋体"/>
                      <w:color w:val="auto"/>
                      <w:spacing w:val="5"/>
                      <w:position w:val="1"/>
                      <w:sz w:val="21"/>
                      <w:szCs w:val="21"/>
                      <w:highlight w:val="none"/>
                    </w:rPr>
                    <w:t>处理后，通过</w:t>
                  </w:r>
                  <w:r>
                    <w:rPr>
                      <w:rFonts w:ascii="Times New Roman" w:hAnsi="Times New Roman" w:eastAsia="宋体" w:cs="Times New Roman"/>
                      <w:color w:val="auto"/>
                      <w:spacing w:val="5"/>
                      <w:position w:val="1"/>
                      <w:sz w:val="21"/>
                      <w:szCs w:val="21"/>
                      <w:highlight w:val="none"/>
                    </w:rPr>
                    <w:t>1</w:t>
                  </w:r>
                  <w:r>
                    <w:rPr>
                      <w:rFonts w:ascii="Times New Roman" w:hAnsi="Times New Roman" w:eastAsia="宋体"/>
                      <w:color w:val="auto"/>
                      <w:spacing w:val="5"/>
                      <w:position w:val="1"/>
                      <w:sz w:val="21"/>
                      <w:szCs w:val="21"/>
                      <w:highlight w:val="none"/>
                    </w:rPr>
                    <w:t>根</w:t>
                  </w:r>
                  <w:r>
                    <w:rPr>
                      <w:rFonts w:hint="eastAsia" w:ascii="Times New Roman" w:hAnsi="Times New Roman" w:cs="Times New Roman"/>
                      <w:color w:val="auto"/>
                      <w:spacing w:val="6"/>
                      <w:position w:val="1"/>
                      <w:sz w:val="21"/>
                      <w:szCs w:val="21"/>
                      <w:highlight w:val="none"/>
                      <w:lang w:eastAsia="zh-CN"/>
                    </w:rPr>
                    <w:t>23m</w:t>
                  </w:r>
                  <w:r>
                    <w:rPr>
                      <w:rFonts w:ascii="Times New Roman" w:hAnsi="Times New Roman" w:eastAsia="宋体"/>
                      <w:color w:val="auto"/>
                      <w:spacing w:val="6"/>
                      <w:position w:val="1"/>
                      <w:sz w:val="21"/>
                      <w:szCs w:val="21"/>
                      <w:highlight w:val="none"/>
                    </w:rPr>
                    <w:t>高排气筒达标排放</w:t>
                  </w:r>
                </w:p>
                <w:p w14:paraId="4040E422">
                  <w:pPr>
                    <w:pStyle w:val="89"/>
                    <w:spacing w:line="240" w:lineRule="auto"/>
                    <w:rPr>
                      <w:rFonts w:hint="default" w:eastAsia="宋体"/>
                      <w:color w:val="auto"/>
                      <w:kern w:val="2"/>
                      <w:sz w:val="21"/>
                      <w:highlight w:val="none"/>
                      <w:lang w:val="en-US" w:eastAsia="zh-CN"/>
                    </w:rPr>
                  </w:pPr>
                  <w:r>
                    <w:rPr>
                      <w:rFonts w:hint="eastAsia"/>
                      <w:color w:val="auto"/>
                      <w:spacing w:val="6"/>
                      <w:position w:val="1"/>
                      <w:sz w:val="21"/>
                      <w:szCs w:val="21"/>
                      <w:highlight w:val="none"/>
                      <w:lang w:eastAsia="zh-CN"/>
                    </w:rPr>
                    <w:t>（</w:t>
                  </w:r>
                  <w:r>
                    <w:rPr>
                      <w:rFonts w:ascii="Times New Roman" w:hAnsi="Times New Roman" w:eastAsia="宋体" w:cs="Times New Roman"/>
                      <w:color w:val="auto"/>
                      <w:position w:val="1"/>
                      <w:sz w:val="21"/>
                      <w:szCs w:val="21"/>
                      <w:highlight w:val="none"/>
                    </w:rPr>
                    <w:t>DA</w:t>
                  </w:r>
                  <w:r>
                    <w:rPr>
                      <w:rFonts w:ascii="Times New Roman" w:hAnsi="Times New Roman" w:eastAsia="宋体" w:cs="Times New Roman"/>
                      <w:color w:val="auto"/>
                      <w:spacing w:val="6"/>
                      <w:position w:val="1"/>
                      <w:sz w:val="21"/>
                      <w:szCs w:val="21"/>
                      <w:highlight w:val="none"/>
                    </w:rPr>
                    <w:t>001</w:t>
                  </w:r>
                  <w:r>
                    <w:rPr>
                      <w:rFonts w:hint="eastAsia" w:cs="Times New Roman"/>
                      <w:color w:val="auto"/>
                      <w:spacing w:val="6"/>
                      <w:position w:val="1"/>
                      <w:sz w:val="21"/>
                      <w:szCs w:val="21"/>
                      <w:highlight w:val="none"/>
                      <w:lang w:eastAsia="zh-CN"/>
                    </w:rPr>
                    <w:t>）</w:t>
                  </w:r>
                </w:p>
              </w:tc>
              <w:tc>
                <w:tcPr>
                  <w:tcW w:w="279" w:type="pct"/>
                  <w:tcBorders>
                    <w:tl2br w:val="nil"/>
                    <w:tr2bl w:val="nil"/>
                  </w:tcBorders>
                  <w:tcMar>
                    <w:top w:w="0" w:type="dxa"/>
                    <w:left w:w="57" w:type="dxa"/>
                    <w:bottom w:w="0" w:type="dxa"/>
                    <w:right w:w="57" w:type="dxa"/>
                  </w:tcMar>
                  <w:vAlign w:val="center"/>
                </w:tcPr>
                <w:p w14:paraId="2199133D">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符合</w:t>
                  </w:r>
                </w:p>
              </w:tc>
            </w:tr>
            <w:tr w14:paraId="17CC2C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88" w:hRule="atLeast"/>
                <w:jc w:val="center"/>
              </w:trPr>
              <w:tc>
                <w:tcPr>
                  <w:tcW w:w="302" w:type="pct"/>
                  <w:tcBorders>
                    <w:tl2br w:val="nil"/>
                    <w:tr2bl w:val="nil"/>
                  </w:tcBorders>
                  <w:tcMar>
                    <w:top w:w="0" w:type="dxa"/>
                    <w:left w:w="57" w:type="dxa"/>
                    <w:bottom w:w="0" w:type="dxa"/>
                    <w:right w:w="57" w:type="dxa"/>
                  </w:tcMar>
                  <w:vAlign w:val="center"/>
                </w:tcPr>
                <w:p w14:paraId="4421CEEB">
                  <w:pPr>
                    <w:pStyle w:val="89"/>
                    <w:spacing w:line="240" w:lineRule="auto"/>
                    <w:rPr>
                      <w:rFonts w:hint="eastAsia" w:eastAsia="宋体"/>
                      <w:color w:val="auto"/>
                      <w:kern w:val="2"/>
                      <w:sz w:val="21"/>
                      <w:highlight w:val="none"/>
                      <w:lang w:val="en-US" w:eastAsia="zh-CN"/>
                    </w:rPr>
                  </w:pPr>
                  <w:r>
                    <w:rPr>
                      <w:rFonts w:hint="eastAsia" w:eastAsia="宋体"/>
                      <w:color w:val="auto"/>
                      <w:kern w:val="2"/>
                      <w:sz w:val="21"/>
                      <w:highlight w:val="none"/>
                      <w:lang w:val="en-US" w:eastAsia="zh-CN"/>
                    </w:rPr>
                    <w:t>2</w:t>
                  </w:r>
                </w:p>
              </w:tc>
              <w:tc>
                <w:tcPr>
                  <w:tcW w:w="1271" w:type="pct"/>
                  <w:tcBorders>
                    <w:tl2br w:val="nil"/>
                    <w:tr2bl w:val="nil"/>
                  </w:tcBorders>
                  <w:tcMar>
                    <w:top w:w="0" w:type="dxa"/>
                    <w:left w:w="57" w:type="dxa"/>
                    <w:bottom w:w="0" w:type="dxa"/>
                    <w:right w:w="57" w:type="dxa"/>
                  </w:tcMar>
                  <w:vAlign w:val="center"/>
                </w:tcPr>
                <w:p w14:paraId="6EF7F540">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福建省大气污染防治条例</w:t>
                  </w:r>
                </w:p>
              </w:tc>
              <w:tc>
                <w:tcPr>
                  <w:tcW w:w="2030" w:type="pct"/>
                  <w:tcBorders>
                    <w:tl2br w:val="nil"/>
                    <w:tr2bl w:val="nil"/>
                  </w:tcBorders>
                  <w:tcMar>
                    <w:top w:w="0" w:type="dxa"/>
                    <w:left w:w="57" w:type="dxa"/>
                    <w:bottom w:w="0" w:type="dxa"/>
                    <w:right w:w="57" w:type="dxa"/>
                  </w:tcMar>
                  <w:vAlign w:val="center"/>
                </w:tcPr>
                <w:p w14:paraId="09552575">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第四十二条以下产生含挥发性有机物废气的生产和服务活动，应当在密闭空间或者设备中进行，并按照规定安装、使用污染防治设施；无法密闭的，应当采取措施减少废气排放：（一）石油炼制与石油化工、煤炭加工与转化等含挥发性有机物原料的生产；（二）燃油、溶剂的储存、运输和销售；（三）涂料、油墨、胶粘剂、农药等以挥发性有机物为原料的生产；（四）涂装、印刷、粘合、工业清洗等含挥发性有机物的产品使用；（五）其他产生含挥发性有机物废气的生产和服务活动。禁止在人口集中地区从事露天喷漆、喷涂、喷砂、制作玻璃钢以及其他散发有毒有害气体的作业。</w:t>
                  </w:r>
                </w:p>
              </w:tc>
              <w:tc>
                <w:tcPr>
                  <w:tcW w:w="1116" w:type="pct"/>
                  <w:tcBorders>
                    <w:tl2br w:val="nil"/>
                    <w:tr2bl w:val="nil"/>
                  </w:tcBorders>
                  <w:tcMar>
                    <w:top w:w="0" w:type="dxa"/>
                    <w:left w:w="57" w:type="dxa"/>
                    <w:bottom w:w="0" w:type="dxa"/>
                    <w:right w:w="57" w:type="dxa"/>
                  </w:tcMar>
                  <w:vAlign w:val="center"/>
                </w:tcPr>
                <w:p w14:paraId="32939C26">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highlight w:val="none"/>
                    </w:rPr>
                  </w:pPr>
                  <w:r>
                    <w:rPr>
                      <w:rFonts w:hint="eastAsia" w:eastAsia="宋体"/>
                      <w:color w:val="auto"/>
                      <w:kern w:val="2"/>
                      <w:sz w:val="21"/>
                      <w:highlight w:val="none"/>
                      <w:lang w:val="en-US" w:eastAsia="zh-CN"/>
                    </w:rPr>
                    <w:t>本项目为汽车零部件及配件制造项目，</w:t>
                  </w:r>
                  <w:r>
                    <w:rPr>
                      <w:rFonts w:hint="default" w:eastAsia="宋体"/>
                      <w:color w:val="auto"/>
                      <w:kern w:val="2"/>
                      <w:sz w:val="21"/>
                      <w:highlight w:val="none"/>
                      <w:lang w:val="en-US" w:eastAsia="zh-CN"/>
                    </w:rPr>
                    <w:t>生产工艺无法做到完全密闭，在产生有机废气部位</w:t>
                  </w:r>
                  <w:r>
                    <w:rPr>
                      <w:rFonts w:hint="eastAsia" w:eastAsia="宋体"/>
                      <w:color w:val="auto"/>
                      <w:kern w:val="2"/>
                      <w:sz w:val="21"/>
                      <w:highlight w:val="none"/>
                      <w:lang w:val="en-US" w:eastAsia="zh-CN"/>
                    </w:rPr>
                    <w:t>安装了VOCs收集及治理措施</w:t>
                  </w:r>
                  <w:r>
                    <w:rPr>
                      <w:rFonts w:hint="default" w:eastAsia="宋体"/>
                      <w:color w:val="auto"/>
                      <w:kern w:val="2"/>
                      <w:sz w:val="21"/>
                      <w:highlight w:val="none"/>
                      <w:lang w:val="en-US" w:eastAsia="zh-CN"/>
                    </w:rPr>
                    <w:t>，</w:t>
                  </w:r>
                  <w:r>
                    <w:rPr>
                      <w:rFonts w:ascii="Times New Roman" w:hAnsi="Times New Roman" w:eastAsia="宋体"/>
                      <w:color w:val="auto"/>
                      <w:spacing w:val="-2"/>
                      <w:sz w:val="21"/>
                      <w:szCs w:val="21"/>
                      <w:highlight w:val="none"/>
                    </w:rPr>
                    <w:t>电泳、烘干废气经</w:t>
                  </w:r>
                  <w:r>
                    <w:rPr>
                      <w:rFonts w:hint="eastAsia" w:ascii="Times New Roman" w:hAnsi="Times New Roman"/>
                      <w:color w:val="auto"/>
                      <w:spacing w:val="-2"/>
                      <w:sz w:val="21"/>
                      <w:szCs w:val="21"/>
                      <w:highlight w:val="none"/>
                      <w:lang w:eastAsia="zh-CN"/>
                    </w:rPr>
                    <w:t>喷淋＋二级活性炭吸附</w:t>
                  </w:r>
                  <w:r>
                    <w:rPr>
                      <w:rFonts w:ascii="Times New Roman" w:hAnsi="Times New Roman" w:eastAsia="宋体"/>
                      <w:color w:val="auto"/>
                      <w:spacing w:val="5"/>
                      <w:position w:val="1"/>
                      <w:sz w:val="21"/>
                      <w:szCs w:val="21"/>
                      <w:highlight w:val="none"/>
                    </w:rPr>
                    <w:t>处理后，通过</w:t>
                  </w:r>
                  <w:r>
                    <w:rPr>
                      <w:rFonts w:ascii="Times New Roman" w:hAnsi="Times New Roman" w:eastAsia="宋体" w:cs="Times New Roman"/>
                      <w:color w:val="auto"/>
                      <w:spacing w:val="5"/>
                      <w:position w:val="1"/>
                      <w:sz w:val="21"/>
                      <w:szCs w:val="21"/>
                      <w:highlight w:val="none"/>
                    </w:rPr>
                    <w:t>1</w:t>
                  </w:r>
                  <w:r>
                    <w:rPr>
                      <w:rFonts w:ascii="Times New Roman" w:hAnsi="Times New Roman" w:eastAsia="宋体"/>
                      <w:color w:val="auto"/>
                      <w:spacing w:val="5"/>
                      <w:position w:val="1"/>
                      <w:sz w:val="21"/>
                      <w:szCs w:val="21"/>
                      <w:highlight w:val="none"/>
                    </w:rPr>
                    <w:t>根</w:t>
                  </w:r>
                  <w:r>
                    <w:rPr>
                      <w:rFonts w:hint="eastAsia" w:ascii="Times New Roman" w:hAnsi="Times New Roman" w:cs="Times New Roman"/>
                      <w:color w:val="auto"/>
                      <w:spacing w:val="6"/>
                      <w:position w:val="1"/>
                      <w:sz w:val="21"/>
                      <w:szCs w:val="21"/>
                      <w:highlight w:val="none"/>
                      <w:lang w:eastAsia="zh-CN"/>
                    </w:rPr>
                    <w:t>23m</w:t>
                  </w:r>
                  <w:r>
                    <w:rPr>
                      <w:rFonts w:ascii="Times New Roman" w:hAnsi="Times New Roman" w:eastAsia="宋体"/>
                      <w:color w:val="auto"/>
                      <w:spacing w:val="6"/>
                      <w:position w:val="1"/>
                      <w:sz w:val="21"/>
                      <w:szCs w:val="21"/>
                      <w:highlight w:val="none"/>
                    </w:rPr>
                    <w:t>高排气筒达标排放</w:t>
                  </w:r>
                </w:p>
                <w:p w14:paraId="12332F3C">
                  <w:pPr>
                    <w:pStyle w:val="89"/>
                    <w:spacing w:line="240" w:lineRule="auto"/>
                    <w:rPr>
                      <w:rFonts w:hint="eastAsia" w:eastAsia="宋体"/>
                      <w:color w:val="auto"/>
                      <w:kern w:val="2"/>
                      <w:sz w:val="21"/>
                      <w:highlight w:val="none"/>
                      <w:lang w:val="en-US" w:eastAsia="zh-CN"/>
                    </w:rPr>
                  </w:pPr>
                  <w:r>
                    <w:rPr>
                      <w:rFonts w:hint="eastAsia"/>
                      <w:color w:val="auto"/>
                      <w:spacing w:val="6"/>
                      <w:position w:val="1"/>
                      <w:sz w:val="21"/>
                      <w:szCs w:val="21"/>
                      <w:highlight w:val="none"/>
                      <w:lang w:eastAsia="zh-CN"/>
                    </w:rPr>
                    <w:t>（</w:t>
                  </w:r>
                  <w:r>
                    <w:rPr>
                      <w:rFonts w:ascii="Times New Roman" w:hAnsi="Times New Roman" w:eastAsia="宋体" w:cs="Times New Roman"/>
                      <w:color w:val="auto"/>
                      <w:position w:val="1"/>
                      <w:sz w:val="21"/>
                      <w:szCs w:val="21"/>
                      <w:highlight w:val="none"/>
                    </w:rPr>
                    <w:t>DA</w:t>
                  </w:r>
                  <w:r>
                    <w:rPr>
                      <w:rFonts w:ascii="Times New Roman" w:hAnsi="Times New Roman" w:eastAsia="宋体" w:cs="Times New Roman"/>
                      <w:color w:val="auto"/>
                      <w:spacing w:val="6"/>
                      <w:position w:val="1"/>
                      <w:sz w:val="21"/>
                      <w:szCs w:val="21"/>
                      <w:highlight w:val="none"/>
                    </w:rPr>
                    <w:t>001</w:t>
                  </w:r>
                  <w:r>
                    <w:rPr>
                      <w:rFonts w:hint="eastAsia" w:cs="Times New Roman"/>
                      <w:color w:val="auto"/>
                      <w:spacing w:val="6"/>
                      <w:position w:val="1"/>
                      <w:sz w:val="21"/>
                      <w:szCs w:val="21"/>
                      <w:highlight w:val="none"/>
                      <w:lang w:eastAsia="zh-CN"/>
                    </w:rPr>
                    <w:t>）。</w:t>
                  </w:r>
                </w:p>
              </w:tc>
              <w:tc>
                <w:tcPr>
                  <w:tcW w:w="279" w:type="pct"/>
                  <w:tcBorders>
                    <w:tl2br w:val="nil"/>
                    <w:tr2bl w:val="nil"/>
                  </w:tcBorders>
                  <w:tcMar>
                    <w:top w:w="0" w:type="dxa"/>
                    <w:left w:w="57" w:type="dxa"/>
                    <w:bottom w:w="0" w:type="dxa"/>
                    <w:right w:w="57" w:type="dxa"/>
                  </w:tcMar>
                  <w:vAlign w:val="center"/>
                </w:tcPr>
                <w:p w14:paraId="3D7DB96B">
                  <w:pPr>
                    <w:pStyle w:val="89"/>
                    <w:spacing w:line="240" w:lineRule="auto"/>
                    <w:rPr>
                      <w:rFonts w:hint="eastAsia" w:eastAsia="宋体"/>
                      <w:color w:val="auto"/>
                      <w:kern w:val="2"/>
                      <w:sz w:val="21"/>
                      <w:highlight w:val="none"/>
                      <w:lang w:val="en-US" w:eastAsia="zh-CN"/>
                    </w:rPr>
                  </w:pPr>
                  <w:r>
                    <w:rPr>
                      <w:rFonts w:hint="eastAsia" w:eastAsia="宋体"/>
                      <w:color w:val="auto"/>
                      <w:kern w:val="2"/>
                      <w:sz w:val="21"/>
                      <w:highlight w:val="none"/>
                      <w:lang w:val="en-US" w:eastAsia="zh-CN"/>
                    </w:rPr>
                    <w:t>符合</w:t>
                  </w:r>
                </w:p>
              </w:tc>
            </w:tr>
            <w:tr w14:paraId="1A9357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80" w:hRule="atLeast"/>
                <w:jc w:val="center"/>
              </w:trPr>
              <w:tc>
                <w:tcPr>
                  <w:tcW w:w="302" w:type="pct"/>
                  <w:tcBorders>
                    <w:tl2br w:val="nil"/>
                    <w:tr2bl w:val="nil"/>
                  </w:tcBorders>
                  <w:tcMar>
                    <w:top w:w="0" w:type="dxa"/>
                    <w:left w:w="57" w:type="dxa"/>
                    <w:bottom w:w="0" w:type="dxa"/>
                    <w:right w:w="57" w:type="dxa"/>
                  </w:tcMar>
                  <w:vAlign w:val="center"/>
                </w:tcPr>
                <w:p w14:paraId="3158CF61">
                  <w:pPr>
                    <w:pStyle w:val="89"/>
                    <w:spacing w:line="240" w:lineRule="auto"/>
                    <w:rPr>
                      <w:rFonts w:hint="eastAsia" w:eastAsia="宋体"/>
                      <w:color w:val="auto"/>
                      <w:kern w:val="2"/>
                      <w:sz w:val="21"/>
                      <w:highlight w:val="none"/>
                      <w:lang w:val="en-US" w:eastAsia="zh-CN"/>
                    </w:rPr>
                  </w:pPr>
                  <w:r>
                    <w:rPr>
                      <w:rFonts w:hint="eastAsia" w:eastAsia="宋体"/>
                      <w:color w:val="auto"/>
                      <w:kern w:val="2"/>
                      <w:sz w:val="21"/>
                      <w:highlight w:val="none"/>
                      <w:lang w:val="en-US" w:eastAsia="zh-CN"/>
                    </w:rPr>
                    <w:t>3</w:t>
                  </w:r>
                </w:p>
              </w:tc>
              <w:tc>
                <w:tcPr>
                  <w:tcW w:w="1271" w:type="pct"/>
                  <w:tcBorders>
                    <w:tl2br w:val="nil"/>
                    <w:tr2bl w:val="nil"/>
                  </w:tcBorders>
                  <w:tcMar>
                    <w:top w:w="0" w:type="dxa"/>
                    <w:left w:w="57" w:type="dxa"/>
                    <w:bottom w:w="0" w:type="dxa"/>
                    <w:right w:w="57" w:type="dxa"/>
                  </w:tcMar>
                  <w:vAlign w:val="center"/>
                </w:tcPr>
                <w:p w14:paraId="39E8B1EE">
                  <w:pPr>
                    <w:pStyle w:val="89"/>
                    <w:spacing w:line="240" w:lineRule="auto"/>
                    <w:rPr>
                      <w:rFonts w:hint="eastAsia"/>
                      <w:color w:val="auto"/>
                      <w:kern w:val="2"/>
                      <w:sz w:val="21"/>
                      <w:highlight w:val="none"/>
                    </w:rPr>
                  </w:pPr>
                  <w:r>
                    <w:rPr>
                      <w:rFonts w:hint="eastAsia"/>
                      <w:color w:val="auto"/>
                      <w:kern w:val="2"/>
                      <w:sz w:val="21"/>
                      <w:highlight w:val="none"/>
                    </w:rPr>
                    <w:t>《福建省“十四五”空气质量改善规划》（2022</w:t>
                  </w:r>
                </w:p>
                <w:p w14:paraId="307BBE06">
                  <w:pPr>
                    <w:pStyle w:val="89"/>
                    <w:spacing w:line="240" w:lineRule="auto"/>
                    <w:rPr>
                      <w:rFonts w:hint="eastAsia" w:eastAsia="宋体"/>
                      <w:color w:val="auto"/>
                      <w:kern w:val="2"/>
                      <w:sz w:val="21"/>
                      <w:highlight w:val="none"/>
                      <w:lang w:val="en-US" w:eastAsia="zh-CN"/>
                    </w:rPr>
                  </w:pPr>
                  <w:r>
                    <w:rPr>
                      <w:rFonts w:hint="eastAsia"/>
                      <w:color w:val="auto"/>
                      <w:kern w:val="2"/>
                      <w:sz w:val="21"/>
                      <w:highlight w:val="none"/>
                    </w:rPr>
                    <w:t>年）</w:t>
                  </w:r>
                </w:p>
              </w:tc>
              <w:tc>
                <w:tcPr>
                  <w:tcW w:w="2030" w:type="pct"/>
                  <w:tcBorders>
                    <w:tl2br w:val="nil"/>
                    <w:tr2bl w:val="nil"/>
                  </w:tcBorders>
                  <w:tcMar>
                    <w:top w:w="0" w:type="dxa"/>
                    <w:left w:w="57" w:type="dxa"/>
                    <w:bottom w:w="0" w:type="dxa"/>
                    <w:right w:w="57" w:type="dxa"/>
                  </w:tcMar>
                  <w:vAlign w:val="center"/>
                </w:tcPr>
                <w:p w14:paraId="33F49F6C">
                  <w:pPr>
                    <w:pStyle w:val="89"/>
                    <w:spacing w:line="240" w:lineRule="auto"/>
                    <w:rPr>
                      <w:rFonts w:hint="eastAsia" w:eastAsia="宋体"/>
                      <w:color w:val="auto"/>
                      <w:kern w:val="2"/>
                      <w:sz w:val="21"/>
                      <w:highlight w:val="none"/>
                      <w:lang w:val="en-US" w:eastAsia="zh-CN"/>
                    </w:rPr>
                  </w:pPr>
                  <w:r>
                    <w:rPr>
                      <w:rFonts w:hint="eastAsia" w:eastAsia="宋体"/>
                      <w:color w:val="auto"/>
                      <w:kern w:val="2"/>
                      <w:sz w:val="21"/>
                      <w:highlight w:val="none"/>
                      <w:lang w:val="en-US" w:eastAsia="zh-CN"/>
                    </w:rPr>
                    <w:t>对家具、汽修、机电等涂装类产业集群，重点推进低（无）VOCs含量涂料替代，鼓励建设集中喷涂中心。.....推广使用水性、高固体分、无溶剂。粉末等低VOCs含量涂料，......木质家具制造、汽车零部件、工程机械使用比例达50%以上；......严格执行涂料、油墨、胶粘剂、清洗剂VOCs含量限值标准，加大抽检力度，确保生产、销售、进口、使用符合标准的产品。严格涉 VOCs建设项目环境影响评价，VOCs排放实行区域内等量替代，福州、厦门、漳州、泉州、莆田、宁德实施VOCs 倍量替代。.....按照“应收尽收、分质收集”原则，将无组织排放转变为有组织排放，进行集中处理。</w:t>
                  </w:r>
                </w:p>
              </w:tc>
              <w:tc>
                <w:tcPr>
                  <w:tcW w:w="1116" w:type="pct"/>
                  <w:tcBorders>
                    <w:tl2br w:val="nil"/>
                    <w:tr2bl w:val="nil"/>
                  </w:tcBorders>
                  <w:tcMar>
                    <w:top w:w="0" w:type="dxa"/>
                    <w:left w:w="57" w:type="dxa"/>
                    <w:bottom w:w="0" w:type="dxa"/>
                    <w:right w:w="57" w:type="dxa"/>
                  </w:tcMar>
                  <w:vAlign w:val="center"/>
                </w:tcPr>
                <w:p w14:paraId="29C9AEA3">
                  <w:pPr>
                    <w:pStyle w:val="89"/>
                    <w:spacing w:line="240" w:lineRule="auto"/>
                    <w:rPr>
                      <w:rFonts w:hint="eastAsia" w:eastAsia="宋体"/>
                      <w:color w:val="auto"/>
                      <w:kern w:val="2"/>
                      <w:sz w:val="21"/>
                      <w:highlight w:val="none"/>
                      <w:lang w:val="en-US" w:eastAsia="zh-CN"/>
                    </w:rPr>
                  </w:pPr>
                  <w:r>
                    <w:rPr>
                      <w:rFonts w:hint="eastAsia" w:eastAsia="宋体"/>
                      <w:color w:val="auto"/>
                      <w:kern w:val="2"/>
                      <w:sz w:val="21"/>
                      <w:highlight w:val="none"/>
                      <w:lang w:val="en-US" w:eastAsia="zh-CN"/>
                    </w:rPr>
                    <w:t>本项目</w:t>
                  </w:r>
                  <w:r>
                    <w:rPr>
                      <w:rFonts w:hint="eastAsia"/>
                      <w:color w:val="auto"/>
                      <w:kern w:val="2"/>
                      <w:sz w:val="21"/>
                      <w:highlight w:val="none"/>
                      <w:lang w:val="en-US" w:eastAsia="zh-CN"/>
                    </w:rPr>
                    <w:t>电泳工序使用均为低VOCs涂料</w:t>
                  </w:r>
                  <w:r>
                    <w:rPr>
                      <w:rFonts w:hint="eastAsia" w:eastAsia="宋体"/>
                      <w:color w:val="auto"/>
                      <w:kern w:val="2"/>
                      <w:sz w:val="21"/>
                      <w:highlight w:val="none"/>
                      <w:lang w:val="en-US" w:eastAsia="zh-CN"/>
                    </w:rPr>
                    <w:t>；产生的VOCs经收集处理后可实现达标高空排放，VOCs排放实行区域内等量替代</w:t>
                  </w:r>
                  <w:r>
                    <w:rPr>
                      <w:rFonts w:hint="eastAsia"/>
                      <w:color w:val="auto"/>
                      <w:kern w:val="2"/>
                      <w:sz w:val="21"/>
                      <w:highlight w:val="none"/>
                      <w:lang w:val="en-US" w:eastAsia="zh-CN"/>
                    </w:rPr>
                    <w:t>。</w:t>
                  </w:r>
                </w:p>
              </w:tc>
              <w:tc>
                <w:tcPr>
                  <w:tcW w:w="279" w:type="pct"/>
                  <w:tcBorders>
                    <w:tl2br w:val="nil"/>
                    <w:tr2bl w:val="nil"/>
                  </w:tcBorders>
                  <w:tcMar>
                    <w:top w:w="0" w:type="dxa"/>
                    <w:left w:w="57" w:type="dxa"/>
                    <w:bottom w:w="0" w:type="dxa"/>
                    <w:right w:w="57" w:type="dxa"/>
                  </w:tcMar>
                  <w:vAlign w:val="center"/>
                </w:tcPr>
                <w:p w14:paraId="023846A4">
                  <w:pPr>
                    <w:pStyle w:val="89"/>
                    <w:spacing w:line="240" w:lineRule="auto"/>
                    <w:rPr>
                      <w:rFonts w:hint="eastAsia" w:eastAsia="宋体"/>
                      <w:color w:val="auto"/>
                      <w:kern w:val="2"/>
                      <w:sz w:val="21"/>
                      <w:highlight w:val="none"/>
                      <w:lang w:val="en-US" w:eastAsia="zh-CN"/>
                    </w:rPr>
                  </w:pPr>
                  <w:r>
                    <w:rPr>
                      <w:rFonts w:hint="eastAsia" w:eastAsia="宋体"/>
                      <w:color w:val="auto"/>
                      <w:kern w:val="2"/>
                      <w:sz w:val="21"/>
                      <w:highlight w:val="none"/>
                      <w:lang w:val="en-US" w:eastAsia="zh-CN"/>
                    </w:rPr>
                    <w:t>符合</w:t>
                  </w:r>
                </w:p>
              </w:tc>
            </w:tr>
            <w:tr w14:paraId="5E7594D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663" w:hRule="atLeast"/>
                <w:jc w:val="center"/>
              </w:trPr>
              <w:tc>
                <w:tcPr>
                  <w:tcW w:w="302" w:type="pct"/>
                  <w:vMerge w:val="restart"/>
                  <w:tcBorders>
                    <w:tl2br w:val="nil"/>
                    <w:tr2bl w:val="nil"/>
                  </w:tcBorders>
                  <w:tcMar>
                    <w:top w:w="0" w:type="dxa"/>
                    <w:left w:w="57" w:type="dxa"/>
                    <w:bottom w:w="0" w:type="dxa"/>
                    <w:right w:w="57" w:type="dxa"/>
                  </w:tcMar>
                  <w:vAlign w:val="center"/>
                </w:tcPr>
                <w:p w14:paraId="77858CDD">
                  <w:pPr>
                    <w:pStyle w:val="89"/>
                    <w:spacing w:line="240" w:lineRule="auto"/>
                    <w:rPr>
                      <w:rFonts w:hint="default" w:eastAsia="宋体"/>
                      <w:color w:val="auto"/>
                      <w:kern w:val="2"/>
                      <w:sz w:val="21"/>
                      <w:highlight w:val="none"/>
                      <w:lang w:val="en-US" w:eastAsia="zh-CN"/>
                    </w:rPr>
                  </w:pPr>
                  <w:r>
                    <w:rPr>
                      <w:rFonts w:hint="eastAsia"/>
                      <w:color w:val="auto"/>
                      <w:kern w:val="2"/>
                      <w:sz w:val="21"/>
                      <w:highlight w:val="none"/>
                      <w:lang w:val="en-US" w:eastAsia="zh-CN"/>
                    </w:rPr>
                    <w:t>4</w:t>
                  </w:r>
                </w:p>
              </w:tc>
              <w:tc>
                <w:tcPr>
                  <w:tcW w:w="1271" w:type="pct"/>
                  <w:vMerge w:val="restart"/>
                  <w:tcBorders>
                    <w:tl2br w:val="nil"/>
                    <w:tr2bl w:val="nil"/>
                  </w:tcBorders>
                  <w:tcMar>
                    <w:top w:w="0" w:type="dxa"/>
                    <w:left w:w="57" w:type="dxa"/>
                    <w:bottom w:w="0" w:type="dxa"/>
                    <w:right w:w="57" w:type="dxa"/>
                  </w:tcMar>
                  <w:vAlign w:val="center"/>
                </w:tcPr>
                <w:p w14:paraId="02004858">
                  <w:pPr>
                    <w:pStyle w:val="89"/>
                    <w:spacing w:line="240" w:lineRule="auto"/>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挥发性有机物</w:t>
                  </w:r>
                  <w:r>
                    <w:rPr>
                      <w:rFonts w:hint="eastAsia"/>
                      <w:color w:val="auto"/>
                      <w:kern w:val="2"/>
                      <w:sz w:val="21"/>
                      <w:highlight w:val="none"/>
                      <w:lang w:val="en-US" w:eastAsia="zh-CN"/>
                    </w:rPr>
                    <w:t>(</w:t>
                  </w:r>
                  <w:r>
                    <w:rPr>
                      <w:rFonts w:hint="default" w:eastAsia="宋体"/>
                      <w:color w:val="auto"/>
                      <w:kern w:val="2"/>
                      <w:sz w:val="21"/>
                      <w:highlight w:val="none"/>
                      <w:lang w:val="en-US" w:eastAsia="zh-CN"/>
                    </w:rPr>
                    <w:t>VOCs</w:t>
                  </w:r>
                  <w:r>
                    <w:rPr>
                      <w:rFonts w:hint="eastAsia"/>
                      <w:color w:val="auto"/>
                      <w:kern w:val="2"/>
                      <w:sz w:val="21"/>
                      <w:highlight w:val="none"/>
                      <w:lang w:val="en-US" w:eastAsia="zh-CN"/>
                    </w:rPr>
                    <w:t>)</w:t>
                  </w:r>
                  <w:r>
                    <w:rPr>
                      <w:rFonts w:hint="default" w:eastAsia="宋体"/>
                      <w:color w:val="auto"/>
                      <w:kern w:val="2"/>
                      <w:sz w:val="21"/>
                      <w:highlight w:val="none"/>
                      <w:lang w:val="en-US" w:eastAsia="zh-CN"/>
                    </w:rPr>
                    <w:t>污染防治技术政策</w:t>
                  </w:r>
                  <w:r>
                    <w:rPr>
                      <w:rFonts w:hint="eastAsia"/>
                      <w:color w:val="auto"/>
                      <w:kern w:val="2"/>
                      <w:sz w:val="21"/>
                      <w:highlight w:val="none"/>
                      <w:lang w:val="en-US" w:eastAsia="zh-CN"/>
                    </w:rPr>
                    <w:t>(</w:t>
                  </w:r>
                  <w:r>
                    <w:rPr>
                      <w:rFonts w:hint="default" w:eastAsia="宋体"/>
                      <w:color w:val="auto"/>
                      <w:kern w:val="2"/>
                      <w:sz w:val="21"/>
                      <w:highlight w:val="none"/>
                      <w:lang w:val="en-US" w:eastAsia="zh-CN"/>
                    </w:rPr>
                    <w:t>公告2013年第31号</w:t>
                  </w:r>
                  <w:r>
                    <w:rPr>
                      <w:rFonts w:hint="eastAsia"/>
                      <w:color w:val="auto"/>
                      <w:kern w:val="2"/>
                      <w:sz w:val="21"/>
                      <w:highlight w:val="none"/>
                      <w:lang w:val="en-US" w:eastAsia="zh-CN"/>
                    </w:rPr>
                    <w:t>)</w:t>
                  </w:r>
                </w:p>
              </w:tc>
              <w:tc>
                <w:tcPr>
                  <w:tcW w:w="2030" w:type="pct"/>
                  <w:tcBorders>
                    <w:tl2br w:val="nil"/>
                    <w:tr2bl w:val="nil"/>
                  </w:tcBorders>
                  <w:tcMar>
                    <w:top w:w="0" w:type="dxa"/>
                    <w:left w:w="57" w:type="dxa"/>
                    <w:bottom w:w="0" w:type="dxa"/>
                    <w:right w:w="57" w:type="dxa"/>
                  </w:tcMar>
                  <w:vAlign w:val="center"/>
                </w:tcPr>
                <w:p w14:paraId="495D89B0">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源头和过程控制含VOCs产品的使用过程中，应采取废气收集措施，提高废气收集效率，减少废气的无组织排放与逸散，并对收集后的废气进行回收或处理后达标排放。</w:t>
                  </w:r>
                </w:p>
              </w:tc>
              <w:tc>
                <w:tcPr>
                  <w:tcW w:w="1116" w:type="pct"/>
                  <w:tcBorders>
                    <w:tl2br w:val="nil"/>
                    <w:tr2bl w:val="nil"/>
                  </w:tcBorders>
                  <w:tcMar>
                    <w:top w:w="0" w:type="dxa"/>
                    <w:left w:w="57" w:type="dxa"/>
                    <w:bottom w:w="0" w:type="dxa"/>
                    <w:right w:w="57" w:type="dxa"/>
                  </w:tcMar>
                  <w:vAlign w:val="center"/>
                </w:tcPr>
                <w:p w14:paraId="3238451C">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highlight w:val="none"/>
                    </w:rPr>
                  </w:pPr>
                  <w:r>
                    <w:rPr>
                      <w:rFonts w:hint="eastAsia" w:eastAsia="宋体"/>
                      <w:color w:val="auto"/>
                      <w:kern w:val="2"/>
                      <w:sz w:val="21"/>
                      <w:highlight w:val="none"/>
                      <w:lang w:val="en-US" w:eastAsia="zh-CN"/>
                    </w:rPr>
                    <w:t>本项目为汽车零部件及配件制造项目，</w:t>
                  </w:r>
                  <w:r>
                    <w:rPr>
                      <w:rFonts w:hint="default" w:eastAsia="宋体"/>
                      <w:color w:val="auto"/>
                      <w:kern w:val="2"/>
                      <w:sz w:val="21"/>
                      <w:highlight w:val="none"/>
                      <w:lang w:val="en-US" w:eastAsia="zh-CN"/>
                    </w:rPr>
                    <w:t>生产工艺无法做到完全密闭，在产生有机废气部位</w:t>
                  </w:r>
                  <w:r>
                    <w:rPr>
                      <w:rFonts w:hint="eastAsia" w:eastAsia="宋体"/>
                      <w:color w:val="auto"/>
                      <w:kern w:val="2"/>
                      <w:sz w:val="21"/>
                      <w:highlight w:val="none"/>
                      <w:lang w:val="en-US" w:eastAsia="zh-CN"/>
                    </w:rPr>
                    <w:t>安装了VOCs收集及治理措施</w:t>
                  </w:r>
                  <w:r>
                    <w:rPr>
                      <w:rFonts w:hint="default" w:eastAsia="宋体"/>
                      <w:color w:val="auto"/>
                      <w:kern w:val="2"/>
                      <w:sz w:val="21"/>
                      <w:highlight w:val="none"/>
                      <w:lang w:val="en-US" w:eastAsia="zh-CN"/>
                    </w:rPr>
                    <w:t>，</w:t>
                  </w:r>
                  <w:r>
                    <w:rPr>
                      <w:rFonts w:ascii="Times New Roman" w:hAnsi="Times New Roman" w:eastAsia="宋体"/>
                      <w:color w:val="auto"/>
                      <w:spacing w:val="-2"/>
                      <w:sz w:val="21"/>
                      <w:szCs w:val="21"/>
                      <w:highlight w:val="none"/>
                    </w:rPr>
                    <w:t>电泳、烘干废气经</w:t>
                  </w:r>
                  <w:r>
                    <w:rPr>
                      <w:rFonts w:hint="eastAsia" w:ascii="Times New Roman" w:hAnsi="Times New Roman"/>
                      <w:color w:val="auto"/>
                      <w:spacing w:val="-2"/>
                      <w:sz w:val="21"/>
                      <w:szCs w:val="21"/>
                      <w:highlight w:val="none"/>
                      <w:lang w:eastAsia="zh-CN"/>
                    </w:rPr>
                    <w:t>喷淋＋二级活性炭吸附</w:t>
                  </w:r>
                  <w:r>
                    <w:rPr>
                      <w:rFonts w:ascii="Times New Roman" w:hAnsi="Times New Roman" w:eastAsia="宋体"/>
                      <w:color w:val="auto"/>
                      <w:spacing w:val="5"/>
                      <w:position w:val="1"/>
                      <w:sz w:val="21"/>
                      <w:szCs w:val="21"/>
                      <w:highlight w:val="none"/>
                    </w:rPr>
                    <w:t>处理后，通过</w:t>
                  </w:r>
                  <w:r>
                    <w:rPr>
                      <w:rFonts w:ascii="Times New Roman" w:hAnsi="Times New Roman" w:eastAsia="宋体" w:cs="Times New Roman"/>
                      <w:color w:val="auto"/>
                      <w:spacing w:val="5"/>
                      <w:position w:val="1"/>
                      <w:sz w:val="21"/>
                      <w:szCs w:val="21"/>
                      <w:highlight w:val="none"/>
                    </w:rPr>
                    <w:t>1</w:t>
                  </w:r>
                  <w:r>
                    <w:rPr>
                      <w:rFonts w:ascii="Times New Roman" w:hAnsi="Times New Roman" w:eastAsia="宋体"/>
                      <w:color w:val="auto"/>
                      <w:spacing w:val="5"/>
                      <w:position w:val="1"/>
                      <w:sz w:val="21"/>
                      <w:szCs w:val="21"/>
                      <w:highlight w:val="none"/>
                    </w:rPr>
                    <w:t>根</w:t>
                  </w:r>
                  <w:r>
                    <w:rPr>
                      <w:rFonts w:hint="eastAsia" w:ascii="Times New Roman" w:hAnsi="Times New Roman" w:cs="Times New Roman"/>
                      <w:color w:val="auto"/>
                      <w:spacing w:val="6"/>
                      <w:position w:val="1"/>
                      <w:sz w:val="21"/>
                      <w:szCs w:val="21"/>
                      <w:highlight w:val="none"/>
                      <w:lang w:eastAsia="zh-CN"/>
                    </w:rPr>
                    <w:t>23m</w:t>
                  </w:r>
                  <w:r>
                    <w:rPr>
                      <w:rFonts w:ascii="Times New Roman" w:hAnsi="Times New Roman" w:eastAsia="宋体"/>
                      <w:color w:val="auto"/>
                      <w:spacing w:val="6"/>
                      <w:position w:val="1"/>
                      <w:sz w:val="21"/>
                      <w:szCs w:val="21"/>
                      <w:highlight w:val="none"/>
                    </w:rPr>
                    <w:t>高排气筒达标排放</w:t>
                  </w:r>
                </w:p>
                <w:p w14:paraId="1EC13DA1">
                  <w:pPr>
                    <w:pStyle w:val="89"/>
                    <w:spacing w:line="240" w:lineRule="auto"/>
                    <w:jc w:val="center"/>
                    <w:rPr>
                      <w:rFonts w:hint="default" w:eastAsia="宋体"/>
                      <w:color w:val="auto"/>
                      <w:kern w:val="2"/>
                      <w:sz w:val="21"/>
                      <w:highlight w:val="none"/>
                      <w:lang w:val="en-US" w:eastAsia="zh-CN"/>
                    </w:rPr>
                  </w:pPr>
                  <w:r>
                    <w:rPr>
                      <w:rFonts w:hint="eastAsia"/>
                      <w:color w:val="auto"/>
                      <w:spacing w:val="6"/>
                      <w:position w:val="1"/>
                      <w:sz w:val="21"/>
                      <w:szCs w:val="21"/>
                      <w:highlight w:val="none"/>
                      <w:lang w:eastAsia="zh-CN"/>
                    </w:rPr>
                    <w:t>（</w:t>
                  </w:r>
                  <w:r>
                    <w:rPr>
                      <w:rFonts w:ascii="Times New Roman" w:hAnsi="Times New Roman" w:eastAsia="宋体" w:cs="Times New Roman"/>
                      <w:color w:val="auto"/>
                      <w:position w:val="1"/>
                      <w:sz w:val="21"/>
                      <w:szCs w:val="21"/>
                      <w:highlight w:val="none"/>
                    </w:rPr>
                    <w:t>DA</w:t>
                  </w:r>
                  <w:r>
                    <w:rPr>
                      <w:rFonts w:ascii="Times New Roman" w:hAnsi="Times New Roman" w:eastAsia="宋体" w:cs="Times New Roman"/>
                      <w:color w:val="auto"/>
                      <w:spacing w:val="6"/>
                      <w:position w:val="1"/>
                      <w:sz w:val="21"/>
                      <w:szCs w:val="21"/>
                      <w:highlight w:val="none"/>
                    </w:rPr>
                    <w:t>001</w:t>
                  </w:r>
                  <w:r>
                    <w:rPr>
                      <w:rFonts w:hint="eastAsia" w:cs="Times New Roman"/>
                      <w:color w:val="auto"/>
                      <w:spacing w:val="6"/>
                      <w:position w:val="1"/>
                      <w:sz w:val="21"/>
                      <w:szCs w:val="21"/>
                      <w:highlight w:val="none"/>
                      <w:lang w:eastAsia="zh-CN"/>
                    </w:rPr>
                    <w:t>）。</w:t>
                  </w:r>
                </w:p>
              </w:tc>
              <w:tc>
                <w:tcPr>
                  <w:tcW w:w="279" w:type="pct"/>
                  <w:tcBorders>
                    <w:tl2br w:val="nil"/>
                    <w:tr2bl w:val="nil"/>
                  </w:tcBorders>
                  <w:tcMar>
                    <w:top w:w="0" w:type="dxa"/>
                    <w:left w:w="57" w:type="dxa"/>
                    <w:bottom w:w="0" w:type="dxa"/>
                    <w:right w:w="57" w:type="dxa"/>
                  </w:tcMar>
                  <w:vAlign w:val="center"/>
                </w:tcPr>
                <w:p w14:paraId="660146F4">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符合</w:t>
                  </w:r>
                </w:p>
              </w:tc>
            </w:tr>
            <w:tr w14:paraId="5FEC9C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381" w:hRule="atLeast"/>
                <w:jc w:val="center"/>
              </w:trPr>
              <w:tc>
                <w:tcPr>
                  <w:tcW w:w="302" w:type="pct"/>
                  <w:vMerge w:val="continue"/>
                  <w:tcBorders>
                    <w:tl2br w:val="nil"/>
                    <w:tr2bl w:val="nil"/>
                  </w:tcBorders>
                  <w:tcMar>
                    <w:top w:w="0" w:type="dxa"/>
                    <w:left w:w="57" w:type="dxa"/>
                    <w:bottom w:w="0" w:type="dxa"/>
                    <w:right w:w="57" w:type="dxa"/>
                  </w:tcMar>
                  <w:vAlign w:val="center"/>
                </w:tcPr>
                <w:p w14:paraId="0E3AC958">
                  <w:pPr>
                    <w:pStyle w:val="89"/>
                    <w:spacing w:line="240" w:lineRule="auto"/>
                    <w:rPr>
                      <w:rFonts w:hint="default" w:eastAsia="宋体"/>
                      <w:color w:val="auto"/>
                      <w:kern w:val="2"/>
                      <w:sz w:val="21"/>
                      <w:highlight w:val="none"/>
                      <w:lang w:val="en-US" w:eastAsia="zh-CN"/>
                    </w:rPr>
                  </w:pPr>
                </w:p>
              </w:tc>
              <w:tc>
                <w:tcPr>
                  <w:tcW w:w="1271" w:type="pct"/>
                  <w:vMerge w:val="continue"/>
                  <w:tcBorders>
                    <w:tl2br w:val="nil"/>
                    <w:tr2bl w:val="nil"/>
                  </w:tcBorders>
                  <w:tcMar>
                    <w:top w:w="0" w:type="dxa"/>
                    <w:left w:w="57" w:type="dxa"/>
                    <w:bottom w:w="0" w:type="dxa"/>
                    <w:right w:w="57" w:type="dxa"/>
                  </w:tcMar>
                  <w:vAlign w:val="center"/>
                </w:tcPr>
                <w:p w14:paraId="01F8C98F">
                  <w:pPr>
                    <w:pStyle w:val="89"/>
                    <w:spacing w:line="240" w:lineRule="auto"/>
                    <w:rPr>
                      <w:rFonts w:hint="default" w:eastAsia="宋体"/>
                      <w:color w:val="auto"/>
                      <w:kern w:val="2"/>
                      <w:sz w:val="21"/>
                      <w:highlight w:val="none"/>
                      <w:lang w:val="en-US" w:eastAsia="zh-CN"/>
                    </w:rPr>
                  </w:pPr>
                </w:p>
              </w:tc>
              <w:tc>
                <w:tcPr>
                  <w:tcW w:w="2030" w:type="pct"/>
                  <w:tcBorders>
                    <w:tl2br w:val="nil"/>
                    <w:tr2bl w:val="nil"/>
                  </w:tcBorders>
                  <w:tcMar>
                    <w:top w:w="0" w:type="dxa"/>
                    <w:left w:w="57" w:type="dxa"/>
                    <w:bottom w:w="0" w:type="dxa"/>
                    <w:right w:w="57" w:type="dxa"/>
                  </w:tcMar>
                  <w:vAlign w:val="center"/>
                </w:tcPr>
                <w:p w14:paraId="0C321A42">
                  <w:pPr>
                    <w:pStyle w:val="89"/>
                    <w:spacing w:line="240" w:lineRule="auto"/>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三、末端治理与综合利用</w:t>
                  </w:r>
                  <w:r>
                    <w:rPr>
                      <w:rFonts w:hint="eastAsia"/>
                      <w:color w:val="auto"/>
                      <w:kern w:val="2"/>
                      <w:sz w:val="21"/>
                      <w:highlight w:val="none"/>
                      <w:lang w:val="en-US" w:eastAsia="zh-CN"/>
                    </w:rPr>
                    <w:t>(</w:t>
                  </w:r>
                  <w:r>
                    <w:rPr>
                      <w:rFonts w:hint="default" w:eastAsia="宋体"/>
                      <w:color w:val="auto"/>
                      <w:kern w:val="2"/>
                      <w:sz w:val="21"/>
                      <w:highlight w:val="none"/>
                      <w:lang w:val="en-US" w:eastAsia="zh-CN"/>
                    </w:rPr>
                    <w:t>十五</w:t>
                  </w:r>
                  <w:r>
                    <w:rPr>
                      <w:rFonts w:hint="eastAsia"/>
                      <w:color w:val="auto"/>
                      <w:kern w:val="2"/>
                      <w:sz w:val="21"/>
                      <w:highlight w:val="none"/>
                      <w:lang w:val="en-US" w:eastAsia="zh-CN"/>
                    </w:rPr>
                    <w:t>)</w:t>
                  </w:r>
                  <w:r>
                    <w:rPr>
                      <w:rFonts w:hint="default" w:eastAsia="宋体"/>
                      <w:color w:val="auto"/>
                      <w:kern w:val="2"/>
                      <w:sz w:val="21"/>
                      <w:highlight w:val="none"/>
                      <w:lang w:val="en-US" w:eastAsia="zh-CN"/>
                    </w:rPr>
                    <w:t>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1116" w:type="pct"/>
                  <w:tcBorders>
                    <w:tl2br w:val="nil"/>
                    <w:tr2bl w:val="nil"/>
                  </w:tcBorders>
                  <w:tcMar>
                    <w:top w:w="0" w:type="dxa"/>
                    <w:left w:w="57" w:type="dxa"/>
                    <w:bottom w:w="0" w:type="dxa"/>
                    <w:right w:w="57" w:type="dxa"/>
                  </w:tcMar>
                  <w:vAlign w:val="center"/>
                </w:tcPr>
                <w:p w14:paraId="2413B016">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本项目有机废气浓度较低，采用</w:t>
                  </w:r>
                  <w:r>
                    <w:rPr>
                      <w:rFonts w:hint="eastAsia"/>
                      <w:color w:val="auto"/>
                      <w:kern w:val="2"/>
                      <w:sz w:val="21"/>
                      <w:highlight w:val="none"/>
                      <w:lang w:val="en-US" w:eastAsia="zh-CN"/>
                    </w:rPr>
                    <w:t>喷淋＋二级活性炭吸附</w:t>
                  </w:r>
                  <w:r>
                    <w:rPr>
                      <w:rFonts w:hint="default" w:eastAsia="宋体"/>
                      <w:color w:val="auto"/>
                      <w:kern w:val="2"/>
                      <w:sz w:val="21"/>
                      <w:highlight w:val="none"/>
                      <w:lang w:val="en-US" w:eastAsia="zh-CN"/>
                    </w:rPr>
                    <w:t>装置+</w:t>
                  </w:r>
                  <w:r>
                    <w:rPr>
                      <w:rFonts w:hint="eastAsia"/>
                      <w:color w:val="auto"/>
                      <w:kern w:val="2"/>
                      <w:sz w:val="21"/>
                      <w:highlight w:val="none"/>
                      <w:lang w:val="en-US" w:eastAsia="zh-CN"/>
                    </w:rPr>
                    <w:t>23m</w:t>
                  </w:r>
                  <w:r>
                    <w:rPr>
                      <w:rFonts w:hint="default" w:eastAsia="宋体"/>
                      <w:color w:val="auto"/>
                      <w:kern w:val="2"/>
                      <w:sz w:val="21"/>
                      <w:highlight w:val="none"/>
                      <w:lang w:val="en-US" w:eastAsia="zh-CN"/>
                    </w:rPr>
                    <w:t>排气筒外排</w:t>
                  </w:r>
                  <w:r>
                    <w:rPr>
                      <w:rFonts w:hint="eastAsia" w:eastAsia="宋体"/>
                      <w:color w:val="auto"/>
                      <w:kern w:val="2"/>
                      <w:sz w:val="21"/>
                      <w:highlight w:val="none"/>
                      <w:lang w:val="en-US" w:eastAsia="zh-CN"/>
                    </w:rPr>
                    <w:t>。</w:t>
                  </w:r>
                </w:p>
              </w:tc>
              <w:tc>
                <w:tcPr>
                  <w:tcW w:w="279" w:type="pct"/>
                  <w:tcBorders>
                    <w:tl2br w:val="nil"/>
                    <w:tr2bl w:val="nil"/>
                  </w:tcBorders>
                  <w:tcMar>
                    <w:top w:w="0" w:type="dxa"/>
                    <w:left w:w="57" w:type="dxa"/>
                    <w:bottom w:w="0" w:type="dxa"/>
                    <w:right w:w="57" w:type="dxa"/>
                  </w:tcMar>
                  <w:vAlign w:val="center"/>
                </w:tcPr>
                <w:p w14:paraId="1EFEB93E">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符合</w:t>
                  </w:r>
                </w:p>
              </w:tc>
            </w:tr>
            <w:tr w14:paraId="2BDBE4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8" w:hRule="atLeast"/>
                <w:jc w:val="center"/>
              </w:trPr>
              <w:tc>
                <w:tcPr>
                  <w:tcW w:w="302" w:type="pct"/>
                  <w:vMerge w:val="continue"/>
                  <w:tcBorders>
                    <w:tl2br w:val="nil"/>
                    <w:tr2bl w:val="nil"/>
                  </w:tcBorders>
                  <w:tcMar>
                    <w:top w:w="0" w:type="dxa"/>
                    <w:left w:w="57" w:type="dxa"/>
                    <w:bottom w:w="0" w:type="dxa"/>
                    <w:right w:w="57" w:type="dxa"/>
                  </w:tcMar>
                  <w:vAlign w:val="center"/>
                </w:tcPr>
                <w:p w14:paraId="45449154">
                  <w:pPr>
                    <w:pStyle w:val="89"/>
                    <w:spacing w:line="240" w:lineRule="auto"/>
                    <w:rPr>
                      <w:rFonts w:hint="default" w:eastAsia="宋体"/>
                      <w:color w:val="auto"/>
                      <w:kern w:val="2"/>
                      <w:sz w:val="21"/>
                      <w:highlight w:val="none"/>
                      <w:lang w:val="en-US" w:eastAsia="zh-CN"/>
                    </w:rPr>
                  </w:pPr>
                </w:p>
              </w:tc>
              <w:tc>
                <w:tcPr>
                  <w:tcW w:w="1271" w:type="pct"/>
                  <w:vMerge w:val="continue"/>
                  <w:tcBorders>
                    <w:tl2br w:val="nil"/>
                    <w:tr2bl w:val="nil"/>
                  </w:tcBorders>
                  <w:tcMar>
                    <w:top w:w="0" w:type="dxa"/>
                    <w:left w:w="57" w:type="dxa"/>
                    <w:bottom w:w="0" w:type="dxa"/>
                    <w:right w:w="57" w:type="dxa"/>
                  </w:tcMar>
                  <w:vAlign w:val="center"/>
                </w:tcPr>
                <w:p w14:paraId="29C77E66">
                  <w:pPr>
                    <w:pStyle w:val="89"/>
                    <w:spacing w:line="240" w:lineRule="auto"/>
                    <w:rPr>
                      <w:rFonts w:hint="default" w:eastAsia="宋体"/>
                      <w:color w:val="auto"/>
                      <w:kern w:val="2"/>
                      <w:sz w:val="21"/>
                      <w:highlight w:val="none"/>
                      <w:lang w:val="en-US" w:eastAsia="zh-CN"/>
                    </w:rPr>
                  </w:pPr>
                </w:p>
              </w:tc>
              <w:tc>
                <w:tcPr>
                  <w:tcW w:w="2030" w:type="pct"/>
                  <w:tcBorders>
                    <w:tl2br w:val="nil"/>
                    <w:tr2bl w:val="nil"/>
                  </w:tcBorders>
                  <w:tcMar>
                    <w:top w:w="0" w:type="dxa"/>
                    <w:left w:w="57" w:type="dxa"/>
                    <w:bottom w:w="0" w:type="dxa"/>
                    <w:right w:w="57" w:type="dxa"/>
                  </w:tcMar>
                  <w:vAlign w:val="center"/>
                </w:tcPr>
                <w:p w14:paraId="62FAB837">
                  <w:pPr>
                    <w:pStyle w:val="89"/>
                    <w:spacing w:line="240" w:lineRule="auto"/>
                    <w:rPr>
                      <w:rFonts w:hint="default" w:eastAsia="宋体"/>
                      <w:color w:val="auto"/>
                      <w:kern w:val="2"/>
                      <w:sz w:val="21"/>
                      <w:highlight w:val="none"/>
                      <w:lang w:val="en-US" w:eastAsia="zh-CN"/>
                    </w:rPr>
                  </w:pPr>
                  <w:r>
                    <w:rPr>
                      <w:rFonts w:hint="eastAsia"/>
                      <w:color w:val="auto"/>
                      <w:kern w:val="2"/>
                      <w:sz w:val="21"/>
                      <w:highlight w:val="none"/>
                      <w:lang w:val="en-US" w:eastAsia="zh-CN"/>
                    </w:rPr>
                    <w:t>(</w:t>
                  </w:r>
                  <w:r>
                    <w:rPr>
                      <w:rFonts w:hint="default" w:eastAsia="宋体"/>
                      <w:color w:val="auto"/>
                      <w:kern w:val="2"/>
                      <w:sz w:val="21"/>
                      <w:highlight w:val="none"/>
                      <w:lang w:val="en-US" w:eastAsia="zh-CN"/>
                    </w:rPr>
                    <w:t>二十</w:t>
                  </w:r>
                  <w:r>
                    <w:rPr>
                      <w:rFonts w:hint="eastAsia"/>
                      <w:color w:val="auto"/>
                      <w:kern w:val="2"/>
                      <w:sz w:val="21"/>
                      <w:highlight w:val="none"/>
                      <w:lang w:val="en-US" w:eastAsia="zh-CN"/>
                    </w:rPr>
                    <w:t>)</w:t>
                  </w:r>
                  <w:r>
                    <w:rPr>
                      <w:rFonts w:hint="default" w:eastAsia="宋体"/>
                      <w:color w:val="auto"/>
                      <w:kern w:val="2"/>
                      <w:sz w:val="21"/>
                      <w:highlight w:val="none"/>
                      <w:lang w:val="en-US" w:eastAsia="zh-CN"/>
                    </w:rPr>
                    <w:t>对于不能再生的过滤材料、吸附剂及催化剂等净化材料，应按照国家固体废物管理的相关规定处理处置。</w:t>
                  </w:r>
                </w:p>
              </w:tc>
              <w:tc>
                <w:tcPr>
                  <w:tcW w:w="1116" w:type="pct"/>
                  <w:tcBorders>
                    <w:tl2br w:val="nil"/>
                    <w:tr2bl w:val="nil"/>
                  </w:tcBorders>
                  <w:tcMar>
                    <w:top w:w="0" w:type="dxa"/>
                    <w:left w:w="57" w:type="dxa"/>
                    <w:bottom w:w="0" w:type="dxa"/>
                    <w:right w:w="57" w:type="dxa"/>
                  </w:tcMar>
                  <w:vAlign w:val="center"/>
                </w:tcPr>
                <w:p w14:paraId="2CA5806F">
                  <w:pPr>
                    <w:pStyle w:val="89"/>
                    <w:spacing w:line="240" w:lineRule="auto"/>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本项目废气处理设施中产生的废活性炭委托有资质的单位进行处置</w:t>
                  </w:r>
                  <w:r>
                    <w:rPr>
                      <w:rFonts w:hint="eastAsia" w:eastAsia="宋体"/>
                      <w:color w:val="auto"/>
                      <w:kern w:val="2"/>
                      <w:sz w:val="21"/>
                      <w:highlight w:val="none"/>
                      <w:lang w:val="en-US" w:eastAsia="zh-CN"/>
                    </w:rPr>
                    <w:t>。</w:t>
                  </w:r>
                </w:p>
              </w:tc>
              <w:tc>
                <w:tcPr>
                  <w:tcW w:w="279" w:type="pct"/>
                  <w:tcBorders>
                    <w:tl2br w:val="nil"/>
                    <w:tr2bl w:val="nil"/>
                  </w:tcBorders>
                  <w:tcMar>
                    <w:top w:w="0" w:type="dxa"/>
                    <w:left w:w="57" w:type="dxa"/>
                    <w:bottom w:w="0" w:type="dxa"/>
                    <w:right w:w="57" w:type="dxa"/>
                  </w:tcMar>
                  <w:vAlign w:val="center"/>
                </w:tcPr>
                <w:p w14:paraId="212C4F7D">
                  <w:pPr>
                    <w:pStyle w:val="89"/>
                    <w:spacing w:line="240" w:lineRule="auto"/>
                    <w:rPr>
                      <w:rFonts w:hint="default" w:eastAsia="宋体"/>
                      <w:color w:val="auto"/>
                      <w:kern w:val="2"/>
                      <w:sz w:val="21"/>
                      <w:highlight w:val="none"/>
                      <w:lang w:val="en-US" w:eastAsia="zh-CN"/>
                    </w:rPr>
                  </w:pPr>
                  <w:r>
                    <w:rPr>
                      <w:rFonts w:hint="eastAsia" w:eastAsia="宋体"/>
                      <w:color w:val="auto"/>
                      <w:kern w:val="2"/>
                      <w:sz w:val="21"/>
                      <w:highlight w:val="none"/>
                      <w:lang w:val="en-US" w:eastAsia="zh-CN"/>
                    </w:rPr>
                    <w:t>符合</w:t>
                  </w:r>
                </w:p>
              </w:tc>
            </w:tr>
            <w:tr w14:paraId="44F5F8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8" w:hRule="atLeast"/>
                <w:jc w:val="center"/>
              </w:trPr>
              <w:tc>
                <w:tcPr>
                  <w:tcW w:w="302" w:type="pct"/>
                  <w:tcBorders>
                    <w:tl2br w:val="nil"/>
                    <w:tr2bl w:val="nil"/>
                  </w:tcBorders>
                  <w:tcMar>
                    <w:top w:w="0" w:type="dxa"/>
                    <w:left w:w="57" w:type="dxa"/>
                    <w:bottom w:w="0" w:type="dxa"/>
                    <w:right w:w="57" w:type="dxa"/>
                  </w:tcMar>
                  <w:vAlign w:val="center"/>
                </w:tcPr>
                <w:p w14:paraId="41175F5C">
                  <w:pPr>
                    <w:pStyle w:val="89"/>
                    <w:spacing w:line="240" w:lineRule="auto"/>
                    <w:rPr>
                      <w:rFonts w:hint="default" w:eastAsia="宋体"/>
                      <w:color w:val="auto"/>
                      <w:kern w:val="2"/>
                      <w:sz w:val="21"/>
                      <w:highlight w:val="none"/>
                      <w:lang w:val="en-US" w:eastAsia="zh-CN"/>
                    </w:rPr>
                  </w:pPr>
                  <w:r>
                    <w:rPr>
                      <w:rFonts w:hint="eastAsia"/>
                      <w:color w:val="auto"/>
                      <w:kern w:val="2"/>
                      <w:sz w:val="21"/>
                      <w:highlight w:val="none"/>
                      <w:lang w:val="en-US" w:eastAsia="zh-CN"/>
                    </w:rPr>
                    <w:t>5</w:t>
                  </w:r>
                </w:p>
              </w:tc>
              <w:tc>
                <w:tcPr>
                  <w:tcW w:w="1271" w:type="pct"/>
                  <w:tcBorders>
                    <w:tl2br w:val="nil"/>
                    <w:tr2bl w:val="nil"/>
                  </w:tcBorders>
                  <w:tcMar>
                    <w:top w:w="0" w:type="dxa"/>
                    <w:left w:w="57" w:type="dxa"/>
                    <w:bottom w:w="0" w:type="dxa"/>
                    <w:right w:w="57" w:type="dxa"/>
                  </w:tcMar>
                  <w:vAlign w:val="center"/>
                </w:tcPr>
                <w:p w14:paraId="586B2888">
                  <w:pPr>
                    <w:pStyle w:val="89"/>
                    <w:spacing w:line="240" w:lineRule="auto"/>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《挥发性有机物无组织排放控制标准》（GB37822-2019）</w:t>
                  </w:r>
                </w:p>
              </w:tc>
              <w:tc>
                <w:tcPr>
                  <w:tcW w:w="2030" w:type="pct"/>
                  <w:tcBorders>
                    <w:tl2br w:val="nil"/>
                    <w:tr2bl w:val="nil"/>
                  </w:tcBorders>
                  <w:tcMar>
                    <w:top w:w="0" w:type="dxa"/>
                    <w:left w:w="57" w:type="dxa"/>
                    <w:bottom w:w="0" w:type="dxa"/>
                    <w:right w:w="57" w:type="dxa"/>
                  </w:tcMar>
                  <w:vAlign w:val="center"/>
                </w:tcPr>
                <w:p w14:paraId="228EDA7B">
                  <w:pPr>
                    <w:pStyle w:val="89"/>
                    <w:spacing w:line="240" w:lineRule="auto"/>
                    <w:jc w:val="left"/>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7 工艺工程VOCs无组织排放控制要求</w:t>
                  </w:r>
                </w:p>
                <w:p w14:paraId="1AB73995">
                  <w:pPr>
                    <w:pStyle w:val="89"/>
                    <w:spacing w:line="240" w:lineRule="auto"/>
                    <w:jc w:val="left"/>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7.2.1 VOCs质量占比大于等于10%的含VOCs产品，其使用过程应采用密闭设备或在密闭空间内操作，废气应排至VOCs废气收集处理系统；无法密闭的，应采取局部气体收集措施，废气应排至VOCs废气收集处理系统。</w:t>
                  </w:r>
                </w:p>
                <w:p w14:paraId="6BFAD331">
                  <w:pPr>
                    <w:pStyle w:val="89"/>
                    <w:spacing w:line="240" w:lineRule="auto"/>
                    <w:jc w:val="left"/>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10 VOCs无组织排放废气收集处理系统要求</w:t>
                  </w:r>
                </w:p>
                <w:p w14:paraId="5DC94A09">
                  <w:pPr>
                    <w:pStyle w:val="89"/>
                    <w:spacing w:line="240" w:lineRule="auto"/>
                    <w:jc w:val="left"/>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10.1VOCs废气收集处理系统应与生产工艺设备同步运行。VOCs 废气收集处理系统发生故障或检修时，对应的生产工艺设备应停止运行，待检修完毕后同步投入使用；生产工艺设备不能停止运行或不能及时停止运行的，应设置废气应急处理设施或采取其他替代措施。</w:t>
                  </w:r>
                </w:p>
                <w:p w14:paraId="310BCDC8">
                  <w:pPr>
                    <w:pStyle w:val="89"/>
                    <w:spacing w:line="240" w:lineRule="auto"/>
                    <w:jc w:val="left"/>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10.2企业应考虑生产工艺、操作方式、废气性质、处理方法等因素，对VOCs废气进行分类收集。废气收集系统排风罩</w:t>
                  </w:r>
                  <w:r>
                    <w:rPr>
                      <w:rFonts w:hint="eastAsia"/>
                      <w:color w:val="auto"/>
                      <w:kern w:val="2"/>
                      <w:sz w:val="21"/>
                      <w:highlight w:val="none"/>
                      <w:lang w:val="en-US" w:eastAsia="zh-CN"/>
                    </w:rPr>
                    <w:t>(</w:t>
                  </w:r>
                  <w:r>
                    <w:rPr>
                      <w:rFonts w:hint="default" w:eastAsia="宋体"/>
                      <w:color w:val="auto"/>
                      <w:kern w:val="2"/>
                      <w:sz w:val="21"/>
                      <w:highlight w:val="none"/>
                      <w:lang w:val="en-US" w:eastAsia="zh-CN"/>
                    </w:rPr>
                    <w:t>集气罩</w:t>
                  </w:r>
                  <w:r>
                    <w:rPr>
                      <w:rFonts w:hint="eastAsia"/>
                      <w:color w:val="auto"/>
                      <w:kern w:val="2"/>
                      <w:sz w:val="21"/>
                      <w:highlight w:val="none"/>
                      <w:lang w:val="en-US" w:eastAsia="zh-CN"/>
                    </w:rPr>
                    <w:t>)</w:t>
                  </w:r>
                  <w:r>
                    <w:rPr>
                      <w:rFonts w:hint="default" w:eastAsia="宋体"/>
                      <w:color w:val="auto"/>
                      <w:kern w:val="2"/>
                      <w:sz w:val="21"/>
                      <w:highlight w:val="none"/>
                      <w:lang w:val="en-US" w:eastAsia="zh-CN"/>
                    </w:rPr>
                    <w:t>的设置应符合GB/T16758的规定。</w:t>
                  </w:r>
                </w:p>
                <w:p w14:paraId="651F4BB9">
                  <w:pPr>
                    <w:pStyle w:val="89"/>
                    <w:spacing w:line="240" w:lineRule="auto"/>
                    <w:jc w:val="left"/>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10.3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tc>
              <w:tc>
                <w:tcPr>
                  <w:tcW w:w="1116" w:type="pct"/>
                  <w:tcBorders>
                    <w:tl2br w:val="nil"/>
                    <w:tr2bl w:val="nil"/>
                  </w:tcBorders>
                  <w:tcMar>
                    <w:top w:w="0" w:type="dxa"/>
                    <w:left w:w="57" w:type="dxa"/>
                    <w:bottom w:w="0" w:type="dxa"/>
                    <w:right w:w="57" w:type="dxa"/>
                  </w:tcMar>
                  <w:vAlign w:val="center"/>
                </w:tcPr>
                <w:p w14:paraId="05DC372E">
                  <w:pPr>
                    <w:pStyle w:val="89"/>
                    <w:spacing w:line="240" w:lineRule="auto"/>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项目使用VOCs物料</w:t>
                  </w:r>
                  <w:r>
                    <w:rPr>
                      <w:rFonts w:hint="eastAsia"/>
                      <w:color w:val="auto"/>
                      <w:kern w:val="2"/>
                      <w:sz w:val="21"/>
                      <w:highlight w:val="none"/>
                      <w:lang w:val="en-US" w:eastAsia="zh-CN"/>
                    </w:rPr>
                    <w:t>均</w:t>
                  </w:r>
                  <w:r>
                    <w:rPr>
                      <w:rFonts w:hint="default" w:eastAsia="宋体"/>
                      <w:color w:val="auto"/>
                      <w:kern w:val="2"/>
                      <w:sz w:val="21"/>
                      <w:highlight w:val="none"/>
                      <w:lang w:val="en-US" w:eastAsia="zh-CN"/>
                    </w:rPr>
                    <w:t>储存于密封桶内并放置于化学品仓库中</w:t>
                  </w:r>
                  <w:r>
                    <w:rPr>
                      <w:rFonts w:hint="eastAsia"/>
                      <w:color w:val="auto"/>
                      <w:kern w:val="2"/>
                      <w:sz w:val="21"/>
                      <w:highlight w:val="none"/>
                      <w:lang w:val="en-US" w:eastAsia="zh-CN"/>
                    </w:rPr>
                    <w:t>且</w:t>
                  </w:r>
                  <w:r>
                    <w:rPr>
                      <w:rFonts w:hint="default" w:eastAsia="宋体"/>
                      <w:color w:val="auto"/>
                      <w:kern w:val="2"/>
                      <w:sz w:val="21"/>
                      <w:highlight w:val="none"/>
                      <w:lang w:val="en-US" w:eastAsia="zh-CN"/>
                    </w:rPr>
                    <w:t>项目产生的有机废气均通过配套的集气罩进行收集，减少了废气无组织排放与逸散，废气收集处理系统与生产工艺设备同步进行，废气经集气罩集中收集后通过活性炭吸附装置处理后</w:t>
                  </w:r>
                  <w:r>
                    <w:rPr>
                      <w:rFonts w:hint="eastAsia"/>
                      <w:color w:val="auto"/>
                      <w:kern w:val="2"/>
                      <w:sz w:val="21"/>
                      <w:highlight w:val="none"/>
                      <w:lang w:val="en-US" w:eastAsia="zh-CN"/>
                    </w:rPr>
                    <w:t>通过排气筒排放</w:t>
                  </w:r>
                  <w:r>
                    <w:rPr>
                      <w:rFonts w:hint="default" w:eastAsia="宋体"/>
                      <w:color w:val="auto"/>
                      <w:kern w:val="2"/>
                      <w:sz w:val="21"/>
                      <w:highlight w:val="none"/>
                      <w:lang w:val="en-US" w:eastAsia="zh-CN"/>
                    </w:rPr>
                    <w:t>，能够实现达标</w:t>
                  </w:r>
                </w:p>
              </w:tc>
              <w:tc>
                <w:tcPr>
                  <w:tcW w:w="279" w:type="pct"/>
                  <w:tcBorders>
                    <w:tl2br w:val="nil"/>
                    <w:tr2bl w:val="nil"/>
                  </w:tcBorders>
                  <w:tcMar>
                    <w:top w:w="0" w:type="dxa"/>
                    <w:left w:w="57" w:type="dxa"/>
                    <w:bottom w:w="0" w:type="dxa"/>
                    <w:right w:w="57" w:type="dxa"/>
                  </w:tcMar>
                  <w:vAlign w:val="center"/>
                </w:tcPr>
                <w:p w14:paraId="53026F22">
                  <w:pPr>
                    <w:pStyle w:val="89"/>
                    <w:spacing w:line="240" w:lineRule="auto"/>
                    <w:rPr>
                      <w:rFonts w:hint="eastAsia" w:eastAsia="宋体"/>
                      <w:color w:val="auto"/>
                      <w:kern w:val="2"/>
                      <w:sz w:val="21"/>
                      <w:highlight w:val="none"/>
                      <w:lang w:val="en-US" w:eastAsia="zh-CN"/>
                    </w:rPr>
                  </w:pPr>
                  <w:r>
                    <w:rPr>
                      <w:rFonts w:hint="eastAsia" w:eastAsia="宋体"/>
                      <w:color w:val="auto"/>
                      <w:kern w:val="2"/>
                      <w:sz w:val="21"/>
                      <w:highlight w:val="none"/>
                      <w:lang w:val="en-US" w:eastAsia="zh-CN"/>
                    </w:rPr>
                    <w:t>符合</w:t>
                  </w:r>
                </w:p>
              </w:tc>
            </w:tr>
            <w:tr w14:paraId="24B461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8" w:hRule="atLeast"/>
                <w:jc w:val="center"/>
              </w:trPr>
              <w:tc>
                <w:tcPr>
                  <w:tcW w:w="302" w:type="pct"/>
                  <w:tcBorders>
                    <w:tl2br w:val="nil"/>
                    <w:tr2bl w:val="nil"/>
                  </w:tcBorders>
                  <w:tcMar>
                    <w:top w:w="0" w:type="dxa"/>
                    <w:left w:w="57" w:type="dxa"/>
                    <w:bottom w:w="0" w:type="dxa"/>
                    <w:right w:w="57" w:type="dxa"/>
                  </w:tcMar>
                  <w:vAlign w:val="center"/>
                </w:tcPr>
                <w:p w14:paraId="79D2E5DF">
                  <w:pPr>
                    <w:pStyle w:val="89"/>
                    <w:spacing w:line="240" w:lineRule="auto"/>
                    <w:rPr>
                      <w:rFonts w:hint="default"/>
                      <w:color w:val="auto"/>
                      <w:kern w:val="2"/>
                      <w:sz w:val="21"/>
                      <w:highlight w:val="none"/>
                      <w:lang w:val="en-US" w:eastAsia="zh-CN"/>
                    </w:rPr>
                  </w:pPr>
                  <w:r>
                    <w:rPr>
                      <w:rFonts w:hint="eastAsia"/>
                      <w:color w:val="auto"/>
                      <w:kern w:val="2"/>
                      <w:sz w:val="21"/>
                      <w:highlight w:val="none"/>
                      <w:lang w:val="en-US" w:eastAsia="zh-CN"/>
                    </w:rPr>
                    <w:t>6</w:t>
                  </w:r>
                </w:p>
              </w:tc>
              <w:tc>
                <w:tcPr>
                  <w:tcW w:w="1271" w:type="pct"/>
                  <w:tcBorders>
                    <w:tl2br w:val="nil"/>
                    <w:tr2bl w:val="nil"/>
                  </w:tcBorders>
                  <w:shd w:val="clear" w:color="auto" w:fill="auto"/>
                  <w:tcMar>
                    <w:top w:w="0" w:type="dxa"/>
                    <w:left w:w="57" w:type="dxa"/>
                    <w:bottom w:w="0" w:type="dxa"/>
                    <w:right w:w="57" w:type="dxa"/>
                  </w:tcMar>
                  <w:vAlign w:val="center"/>
                </w:tcPr>
                <w:p w14:paraId="1F7129B1">
                  <w:pPr>
                    <w:pStyle w:val="89"/>
                    <w:spacing w:line="240" w:lineRule="auto"/>
                    <w:jc w:val="both"/>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《福州市生态环境局关于开展福州市重点行业挥发性有机物综合治理工作</w:t>
                  </w:r>
                  <w:r>
                    <w:rPr>
                      <w:rFonts w:hint="eastAsia"/>
                      <w:color w:val="auto"/>
                      <w:kern w:val="2"/>
                      <w:sz w:val="21"/>
                      <w:highlight w:val="none"/>
                      <w:lang w:val="en-US" w:eastAsia="zh-CN"/>
                    </w:rPr>
                    <w:t>(</w:t>
                  </w:r>
                  <w:r>
                    <w:rPr>
                      <w:rFonts w:hint="default" w:eastAsia="宋体"/>
                      <w:color w:val="auto"/>
                      <w:kern w:val="2"/>
                      <w:sz w:val="21"/>
                      <w:highlight w:val="none"/>
                      <w:lang w:val="en-US" w:eastAsia="zh-CN"/>
                    </w:rPr>
                    <w:t>VOCs2.0</w:t>
                  </w:r>
                  <w:r>
                    <w:rPr>
                      <w:rFonts w:hint="eastAsia"/>
                      <w:color w:val="auto"/>
                      <w:kern w:val="2"/>
                      <w:sz w:val="21"/>
                      <w:highlight w:val="none"/>
                      <w:lang w:val="en-US" w:eastAsia="zh-CN"/>
                    </w:rPr>
                    <w:t>)</w:t>
                  </w:r>
                  <w:r>
                    <w:rPr>
                      <w:rFonts w:hint="default" w:eastAsia="宋体"/>
                      <w:color w:val="auto"/>
                      <w:kern w:val="2"/>
                      <w:sz w:val="21"/>
                      <w:highlight w:val="none"/>
                      <w:lang w:val="en-US" w:eastAsia="zh-CN"/>
                    </w:rPr>
                    <w:t>的通知》</w:t>
                  </w:r>
                </w:p>
              </w:tc>
              <w:tc>
                <w:tcPr>
                  <w:tcW w:w="2030" w:type="pct"/>
                  <w:tcBorders>
                    <w:tl2br w:val="nil"/>
                    <w:tr2bl w:val="nil"/>
                  </w:tcBorders>
                  <w:shd w:val="clear" w:color="auto" w:fill="auto"/>
                  <w:tcMar>
                    <w:top w:w="0" w:type="dxa"/>
                    <w:left w:w="57" w:type="dxa"/>
                    <w:bottom w:w="0" w:type="dxa"/>
                    <w:right w:w="57" w:type="dxa"/>
                  </w:tcMar>
                  <w:vAlign w:val="top"/>
                </w:tcPr>
                <w:p w14:paraId="72AD3B17">
                  <w:pPr>
                    <w:pStyle w:val="89"/>
                    <w:spacing w:line="240" w:lineRule="auto"/>
                    <w:jc w:val="left"/>
                    <w:rPr>
                      <w:rFonts w:hint="default" w:eastAsia="宋体"/>
                      <w:color w:val="auto"/>
                      <w:kern w:val="2"/>
                      <w:sz w:val="21"/>
                      <w:highlight w:val="none"/>
                      <w:lang w:val="en-US" w:eastAsia="zh-CN"/>
                    </w:rPr>
                  </w:pPr>
                  <w:r>
                    <w:rPr>
                      <w:rFonts w:hint="eastAsia"/>
                      <w:color w:val="auto"/>
                      <w:kern w:val="2"/>
                      <w:sz w:val="21"/>
                      <w:highlight w:val="none"/>
                      <w:lang w:val="en-US" w:eastAsia="zh-CN"/>
                    </w:rPr>
                    <w:t>(</w:t>
                  </w:r>
                  <w:r>
                    <w:rPr>
                      <w:rFonts w:hint="default" w:eastAsia="宋体"/>
                      <w:color w:val="auto"/>
                      <w:kern w:val="2"/>
                      <w:sz w:val="21"/>
                      <w:highlight w:val="none"/>
                      <w:lang w:val="en-US" w:eastAsia="zh-CN"/>
                    </w:rPr>
                    <w:t>三</w:t>
                  </w:r>
                  <w:r>
                    <w:rPr>
                      <w:rFonts w:hint="eastAsia"/>
                      <w:color w:val="auto"/>
                      <w:kern w:val="2"/>
                      <w:sz w:val="21"/>
                      <w:highlight w:val="none"/>
                      <w:lang w:val="en-US" w:eastAsia="zh-CN"/>
                    </w:rPr>
                    <w:t>)</w:t>
                  </w:r>
                  <w:r>
                    <w:rPr>
                      <w:rFonts w:hint="default" w:eastAsia="宋体"/>
                      <w:color w:val="auto"/>
                      <w:kern w:val="2"/>
                      <w:sz w:val="21"/>
                      <w:highlight w:val="none"/>
                      <w:lang w:val="en-US" w:eastAsia="zh-CN"/>
                    </w:rPr>
                    <w:t>严格审批，加强管控1.严格涉挥发性有机物建设项目环境</w:t>
                  </w:r>
                </w:p>
                <w:p w14:paraId="5C394EC7">
                  <w:pPr>
                    <w:pStyle w:val="89"/>
                    <w:spacing w:line="240" w:lineRule="auto"/>
                    <w:jc w:val="left"/>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影响评价审批。新、改、扩建排放挥发性有机物的建设项目实行倍量替代。鼓励使用低</w:t>
                  </w:r>
                  <w:r>
                    <w:rPr>
                      <w:rFonts w:hint="eastAsia"/>
                      <w:color w:val="auto"/>
                      <w:kern w:val="2"/>
                      <w:sz w:val="21"/>
                      <w:highlight w:val="none"/>
                      <w:lang w:val="en-US" w:eastAsia="zh-CN"/>
                    </w:rPr>
                    <w:t>(</w:t>
                  </w:r>
                  <w:r>
                    <w:rPr>
                      <w:rFonts w:hint="default" w:eastAsia="宋体"/>
                      <w:color w:val="auto"/>
                      <w:kern w:val="2"/>
                      <w:sz w:val="21"/>
                      <w:highlight w:val="none"/>
                      <w:lang w:val="en-US" w:eastAsia="zh-CN"/>
                    </w:rPr>
                    <w:t>无</w:t>
                  </w:r>
                  <w:r>
                    <w:rPr>
                      <w:rFonts w:hint="eastAsia"/>
                      <w:color w:val="auto"/>
                      <w:kern w:val="2"/>
                      <w:sz w:val="21"/>
                      <w:highlight w:val="none"/>
                      <w:lang w:val="en-US" w:eastAsia="zh-CN"/>
                    </w:rPr>
                    <w:t>)</w:t>
                  </w:r>
                  <w:r>
                    <w:rPr>
                      <w:rFonts w:hint="default" w:eastAsia="宋体"/>
                      <w:color w:val="auto"/>
                      <w:kern w:val="2"/>
                      <w:sz w:val="21"/>
                      <w:highlight w:val="none"/>
                      <w:lang w:val="en-US" w:eastAsia="zh-CN"/>
                    </w:rPr>
                    <w:t>挥发性有机物含量的原辅材料</w:t>
                  </w:r>
                  <w:r>
                    <w:rPr>
                      <w:rFonts w:hint="eastAsia"/>
                      <w:color w:val="auto"/>
                      <w:kern w:val="2"/>
                      <w:sz w:val="21"/>
                      <w:highlight w:val="none"/>
                      <w:lang w:val="en-US" w:eastAsia="zh-CN"/>
                    </w:rPr>
                    <w:t>。</w:t>
                  </w:r>
                </w:p>
              </w:tc>
              <w:tc>
                <w:tcPr>
                  <w:tcW w:w="1116" w:type="pct"/>
                  <w:tcBorders>
                    <w:tl2br w:val="nil"/>
                    <w:tr2bl w:val="nil"/>
                  </w:tcBorders>
                  <w:shd w:val="clear" w:color="auto" w:fill="auto"/>
                  <w:tcMar>
                    <w:top w:w="0" w:type="dxa"/>
                    <w:left w:w="57" w:type="dxa"/>
                    <w:bottom w:w="0" w:type="dxa"/>
                    <w:right w:w="57" w:type="dxa"/>
                  </w:tcMar>
                  <w:vAlign w:val="top"/>
                </w:tcPr>
                <w:p w14:paraId="1C59AEDA">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1、挥发性有机物的排放实行倍量替代</w:t>
                  </w:r>
                  <w:r>
                    <w:rPr>
                      <w:rFonts w:hint="eastAsia"/>
                      <w:color w:val="auto"/>
                      <w:kern w:val="2"/>
                      <w:sz w:val="21"/>
                      <w:highlight w:val="none"/>
                      <w:lang w:val="en-US" w:eastAsia="zh-CN"/>
                    </w:rPr>
                    <w:t>；</w:t>
                  </w:r>
                </w:p>
                <w:p w14:paraId="13BE7070">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2、项目拟使用的原料均为低VOCs原料</w:t>
                  </w:r>
                </w:p>
              </w:tc>
              <w:tc>
                <w:tcPr>
                  <w:tcW w:w="279" w:type="pct"/>
                  <w:tcBorders>
                    <w:tl2br w:val="nil"/>
                    <w:tr2bl w:val="nil"/>
                  </w:tcBorders>
                  <w:tcMar>
                    <w:top w:w="0" w:type="dxa"/>
                    <w:left w:w="57" w:type="dxa"/>
                    <w:bottom w:w="0" w:type="dxa"/>
                    <w:right w:w="57" w:type="dxa"/>
                  </w:tcMar>
                  <w:vAlign w:val="center"/>
                </w:tcPr>
                <w:p w14:paraId="71832C90">
                  <w:pPr>
                    <w:pStyle w:val="89"/>
                    <w:spacing w:line="240" w:lineRule="auto"/>
                    <w:rPr>
                      <w:rFonts w:hint="default" w:eastAsia="宋体"/>
                      <w:color w:val="auto"/>
                      <w:kern w:val="2"/>
                      <w:sz w:val="21"/>
                      <w:highlight w:val="none"/>
                      <w:lang w:val="en-US" w:eastAsia="zh-CN"/>
                    </w:rPr>
                  </w:pPr>
                  <w:r>
                    <w:rPr>
                      <w:rFonts w:hint="eastAsia"/>
                      <w:color w:val="auto"/>
                      <w:kern w:val="2"/>
                      <w:sz w:val="21"/>
                      <w:highlight w:val="none"/>
                      <w:lang w:val="en-US" w:eastAsia="zh-CN"/>
                    </w:rPr>
                    <w:t>符合</w:t>
                  </w:r>
                </w:p>
              </w:tc>
            </w:tr>
            <w:tr w14:paraId="1C8866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8" w:hRule="atLeast"/>
                <w:jc w:val="center"/>
              </w:trPr>
              <w:tc>
                <w:tcPr>
                  <w:tcW w:w="302" w:type="pct"/>
                  <w:tcBorders>
                    <w:tl2br w:val="nil"/>
                    <w:tr2bl w:val="nil"/>
                  </w:tcBorders>
                  <w:tcMar>
                    <w:top w:w="0" w:type="dxa"/>
                    <w:left w:w="57" w:type="dxa"/>
                    <w:bottom w:w="0" w:type="dxa"/>
                    <w:right w:w="57" w:type="dxa"/>
                  </w:tcMar>
                  <w:vAlign w:val="center"/>
                </w:tcPr>
                <w:p w14:paraId="5909B5A6">
                  <w:pPr>
                    <w:pStyle w:val="89"/>
                    <w:spacing w:line="240" w:lineRule="auto"/>
                    <w:rPr>
                      <w:rFonts w:hint="default"/>
                      <w:color w:val="auto"/>
                      <w:kern w:val="2"/>
                      <w:sz w:val="21"/>
                      <w:highlight w:val="none"/>
                      <w:lang w:val="en-US" w:eastAsia="zh-CN"/>
                    </w:rPr>
                  </w:pPr>
                  <w:r>
                    <w:rPr>
                      <w:rFonts w:hint="eastAsia"/>
                      <w:color w:val="auto"/>
                      <w:kern w:val="2"/>
                      <w:sz w:val="21"/>
                      <w:highlight w:val="none"/>
                      <w:lang w:val="en-US" w:eastAsia="zh-CN"/>
                    </w:rPr>
                    <w:t>7</w:t>
                  </w:r>
                </w:p>
              </w:tc>
              <w:tc>
                <w:tcPr>
                  <w:tcW w:w="1271" w:type="pct"/>
                  <w:tcBorders>
                    <w:tl2br w:val="nil"/>
                    <w:tr2bl w:val="nil"/>
                  </w:tcBorders>
                  <w:shd w:val="clear" w:color="auto" w:fill="auto"/>
                  <w:tcMar>
                    <w:top w:w="0" w:type="dxa"/>
                    <w:left w:w="57" w:type="dxa"/>
                    <w:bottom w:w="0" w:type="dxa"/>
                    <w:right w:w="57" w:type="dxa"/>
                  </w:tcMar>
                  <w:vAlign w:val="top"/>
                </w:tcPr>
                <w:p w14:paraId="740FD6EC">
                  <w:pPr>
                    <w:pStyle w:val="89"/>
                    <w:spacing w:line="240" w:lineRule="auto"/>
                    <w:jc w:val="both"/>
                    <w:rPr>
                      <w:rFonts w:hint="default" w:eastAsia="宋体"/>
                      <w:color w:val="auto"/>
                      <w:kern w:val="2"/>
                      <w:sz w:val="21"/>
                      <w:highlight w:val="none"/>
                      <w:lang w:val="en-US" w:eastAsia="zh-CN"/>
                    </w:rPr>
                  </w:pPr>
                </w:p>
                <w:p w14:paraId="36B8BD59">
                  <w:pPr>
                    <w:pStyle w:val="89"/>
                    <w:spacing w:line="240" w:lineRule="auto"/>
                    <w:jc w:val="both"/>
                    <w:rPr>
                      <w:rFonts w:hint="default" w:eastAsia="宋体"/>
                      <w:color w:val="auto"/>
                      <w:kern w:val="2"/>
                      <w:sz w:val="21"/>
                      <w:highlight w:val="none"/>
                      <w:lang w:val="en-US" w:eastAsia="zh-CN"/>
                    </w:rPr>
                  </w:pPr>
                </w:p>
                <w:p w14:paraId="4FCA8B94">
                  <w:pPr>
                    <w:pStyle w:val="89"/>
                    <w:spacing w:line="240" w:lineRule="auto"/>
                    <w:jc w:val="both"/>
                    <w:rPr>
                      <w:rFonts w:hint="default" w:eastAsia="宋体"/>
                      <w:color w:val="auto"/>
                      <w:kern w:val="2"/>
                      <w:sz w:val="21"/>
                      <w:highlight w:val="none"/>
                      <w:lang w:val="en-US" w:eastAsia="zh-CN"/>
                    </w:rPr>
                  </w:pPr>
                </w:p>
                <w:p w14:paraId="57FEC7A7">
                  <w:pPr>
                    <w:pStyle w:val="89"/>
                    <w:spacing w:line="240" w:lineRule="auto"/>
                    <w:jc w:val="both"/>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《福州市“十四五”生态环境保护规划》</w:t>
                  </w:r>
                  <w:r>
                    <w:rPr>
                      <w:rFonts w:hint="eastAsia"/>
                      <w:color w:val="auto"/>
                      <w:kern w:val="2"/>
                      <w:sz w:val="21"/>
                      <w:highlight w:val="none"/>
                      <w:lang w:val="en-US" w:eastAsia="zh-CN"/>
                    </w:rPr>
                    <w:t>(</w:t>
                  </w:r>
                  <w:r>
                    <w:rPr>
                      <w:rFonts w:hint="default" w:eastAsia="宋体"/>
                      <w:color w:val="auto"/>
                      <w:kern w:val="2"/>
                      <w:sz w:val="21"/>
                      <w:highlight w:val="none"/>
                      <w:lang w:val="en-US" w:eastAsia="zh-CN"/>
                    </w:rPr>
                    <w:t>榕政办〔2021〕123号</w:t>
                  </w:r>
                  <w:r>
                    <w:rPr>
                      <w:rFonts w:hint="eastAsia"/>
                      <w:color w:val="auto"/>
                      <w:kern w:val="2"/>
                      <w:sz w:val="21"/>
                      <w:highlight w:val="none"/>
                      <w:lang w:val="en-US" w:eastAsia="zh-CN"/>
                    </w:rPr>
                    <w:t>)</w:t>
                  </w:r>
                </w:p>
              </w:tc>
              <w:tc>
                <w:tcPr>
                  <w:tcW w:w="2030" w:type="pct"/>
                  <w:tcBorders>
                    <w:tl2br w:val="nil"/>
                    <w:tr2bl w:val="nil"/>
                  </w:tcBorders>
                  <w:shd w:val="clear" w:color="auto" w:fill="auto"/>
                  <w:tcMar>
                    <w:top w:w="0" w:type="dxa"/>
                    <w:left w:w="57" w:type="dxa"/>
                    <w:bottom w:w="0" w:type="dxa"/>
                    <w:right w:w="57" w:type="dxa"/>
                  </w:tcMar>
                  <w:vAlign w:val="top"/>
                </w:tcPr>
                <w:p w14:paraId="7CD84C54">
                  <w:pPr>
                    <w:pStyle w:val="89"/>
                    <w:spacing w:line="240" w:lineRule="auto"/>
                    <w:jc w:val="both"/>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强化挥发性有机物整治。实行挥发性有机物排放倍量替代。加大涉VOCs企业源头替代力度，推广使用低</w:t>
                  </w:r>
                  <w:r>
                    <w:rPr>
                      <w:rFonts w:hint="eastAsia"/>
                      <w:color w:val="auto"/>
                      <w:kern w:val="2"/>
                      <w:sz w:val="21"/>
                      <w:highlight w:val="none"/>
                      <w:lang w:val="en-US" w:eastAsia="zh-CN"/>
                    </w:rPr>
                    <w:t>(</w:t>
                  </w:r>
                  <w:r>
                    <w:rPr>
                      <w:rFonts w:hint="default" w:eastAsia="宋体"/>
                      <w:color w:val="auto"/>
                      <w:kern w:val="2"/>
                      <w:sz w:val="21"/>
                      <w:highlight w:val="none"/>
                      <w:lang w:val="en-US" w:eastAsia="zh-CN"/>
                    </w:rPr>
                    <w:t>无</w:t>
                  </w:r>
                  <w:r>
                    <w:rPr>
                      <w:rFonts w:hint="eastAsia"/>
                      <w:color w:val="auto"/>
                      <w:kern w:val="2"/>
                      <w:sz w:val="21"/>
                      <w:highlight w:val="none"/>
                      <w:lang w:val="en-US" w:eastAsia="zh-CN"/>
                    </w:rPr>
                    <w:t>)</w:t>
                  </w:r>
                  <w:r>
                    <w:rPr>
                      <w:rFonts w:hint="default" w:eastAsia="宋体"/>
                      <w:color w:val="auto"/>
                      <w:kern w:val="2"/>
                      <w:sz w:val="21"/>
                      <w:highlight w:val="none"/>
                      <w:lang w:val="en-US" w:eastAsia="zh-CN"/>
                    </w:rPr>
                    <w:t>VOCs原辅材料替代，禁止生产高VOCs含量有机溶剂型涂料、油墨和胶黏剂的新、改、扩建项目，推进重点企业“油改水”治理，提高有机溶剂回收率。”</w:t>
                  </w:r>
                </w:p>
              </w:tc>
              <w:tc>
                <w:tcPr>
                  <w:tcW w:w="1116" w:type="pct"/>
                  <w:tcBorders>
                    <w:tl2br w:val="nil"/>
                    <w:tr2bl w:val="nil"/>
                  </w:tcBorders>
                  <w:shd w:val="clear" w:color="auto" w:fill="auto"/>
                  <w:tcMar>
                    <w:top w:w="0" w:type="dxa"/>
                    <w:left w:w="57" w:type="dxa"/>
                    <w:bottom w:w="0" w:type="dxa"/>
                    <w:right w:w="57" w:type="dxa"/>
                  </w:tcMar>
                  <w:vAlign w:val="top"/>
                </w:tcPr>
                <w:p w14:paraId="30B2861D">
                  <w:pPr>
                    <w:pStyle w:val="89"/>
                    <w:spacing w:line="240" w:lineRule="auto"/>
                    <w:jc w:val="both"/>
                    <w:rPr>
                      <w:rFonts w:hint="default" w:eastAsia="宋体"/>
                      <w:color w:val="auto"/>
                      <w:kern w:val="2"/>
                      <w:sz w:val="21"/>
                      <w:highlight w:val="none"/>
                      <w:lang w:val="en-US" w:eastAsia="zh-CN"/>
                    </w:rPr>
                  </w:pPr>
                </w:p>
                <w:p w14:paraId="5788A7B0">
                  <w:pPr>
                    <w:pStyle w:val="89"/>
                    <w:spacing w:line="240" w:lineRule="auto"/>
                    <w:jc w:val="both"/>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项目排放的VOCS拟实行区域内倍量替代；项目使用低VOCs</w:t>
                  </w:r>
                  <w:r>
                    <w:rPr>
                      <w:rFonts w:hint="eastAsia"/>
                      <w:color w:val="auto"/>
                      <w:kern w:val="2"/>
                      <w:sz w:val="21"/>
                      <w:highlight w:val="none"/>
                      <w:lang w:val="en-US" w:eastAsia="zh-CN"/>
                    </w:rPr>
                    <w:t>电泳涂料</w:t>
                  </w:r>
                  <w:r>
                    <w:rPr>
                      <w:rFonts w:hint="default" w:eastAsia="宋体"/>
                      <w:color w:val="auto"/>
                      <w:kern w:val="2"/>
                      <w:sz w:val="21"/>
                      <w:highlight w:val="none"/>
                      <w:lang w:val="en-US" w:eastAsia="zh-CN"/>
                    </w:rPr>
                    <w:t>等原辅料，项目不涉及所需的VOCs原料的生产，全部外购。</w:t>
                  </w:r>
                </w:p>
              </w:tc>
              <w:tc>
                <w:tcPr>
                  <w:tcW w:w="279" w:type="pct"/>
                  <w:tcBorders>
                    <w:tl2br w:val="nil"/>
                    <w:tr2bl w:val="nil"/>
                  </w:tcBorders>
                  <w:shd w:val="clear" w:color="auto" w:fill="auto"/>
                  <w:tcMar>
                    <w:top w:w="0" w:type="dxa"/>
                    <w:left w:w="57" w:type="dxa"/>
                    <w:bottom w:w="0" w:type="dxa"/>
                    <w:right w:w="57" w:type="dxa"/>
                  </w:tcMar>
                  <w:vAlign w:val="top"/>
                </w:tcPr>
                <w:p w14:paraId="714FF614">
                  <w:pPr>
                    <w:pStyle w:val="89"/>
                    <w:spacing w:line="240" w:lineRule="auto"/>
                    <w:jc w:val="both"/>
                    <w:rPr>
                      <w:rFonts w:hint="default" w:eastAsia="宋体"/>
                      <w:color w:val="auto"/>
                      <w:kern w:val="2"/>
                      <w:sz w:val="21"/>
                      <w:highlight w:val="none"/>
                      <w:lang w:val="en-US" w:eastAsia="zh-CN"/>
                    </w:rPr>
                  </w:pPr>
                </w:p>
                <w:p w14:paraId="6F5A5BA3">
                  <w:pPr>
                    <w:pStyle w:val="89"/>
                    <w:spacing w:line="240" w:lineRule="auto"/>
                    <w:jc w:val="both"/>
                    <w:rPr>
                      <w:rFonts w:hint="default" w:eastAsia="宋体"/>
                      <w:color w:val="auto"/>
                      <w:kern w:val="2"/>
                      <w:sz w:val="21"/>
                      <w:highlight w:val="none"/>
                      <w:lang w:val="en-US" w:eastAsia="zh-CN"/>
                    </w:rPr>
                  </w:pPr>
                </w:p>
                <w:p w14:paraId="7B5925E7">
                  <w:pPr>
                    <w:pStyle w:val="89"/>
                    <w:spacing w:line="240" w:lineRule="auto"/>
                    <w:jc w:val="both"/>
                    <w:rPr>
                      <w:rFonts w:hint="default" w:eastAsia="宋体"/>
                      <w:color w:val="auto"/>
                      <w:kern w:val="2"/>
                      <w:sz w:val="21"/>
                      <w:highlight w:val="none"/>
                      <w:lang w:val="en-US" w:eastAsia="zh-CN"/>
                    </w:rPr>
                  </w:pPr>
                </w:p>
                <w:p w14:paraId="358A3461">
                  <w:pPr>
                    <w:pStyle w:val="89"/>
                    <w:spacing w:line="240" w:lineRule="auto"/>
                    <w:jc w:val="both"/>
                    <w:rPr>
                      <w:rFonts w:hint="default" w:eastAsia="宋体"/>
                      <w:color w:val="auto"/>
                      <w:kern w:val="2"/>
                      <w:sz w:val="21"/>
                      <w:highlight w:val="none"/>
                      <w:lang w:val="en-US" w:eastAsia="zh-CN"/>
                    </w:rPr>
                  </w:pPr>
                </w:p>
                <w:p w14:paraId="4DB73FFC">
                  <w:pPr>
                    <w:pStyle w:val="89"/>
                    <w:spacing w:line="240" w:lineRule="auto"/>
                    <w:jc w:val="both"/>
                    <w:rPr>
                      <w:rFonts w:hint="default" w:eastAsia="宋体"/>
                      <w:color w:val="auto"/>
                      <w:kern w:val="2"/>
                      <w:sz w:val="21"/>
                      <w:highlight w:val="none"/>
                      <w:lang w:val="en-US" w:eastAsia="zh-CN"/>
                    </w:rPr>
                  </w:pPr>
                </w:p>
                <w:p w14:paraId="4A630062">
                  <w:pPr>
                    <w:pStyle w:val="89"/>
                    <w:spacing w:line="240" w:lineRule="auto"/>
                    <w:jc w:val="both"/>
                    <w:rPr>
                      <w:rFonts w:hint="default" w:eastAsia="宋体"/>
                      <w:color w:val="auto"/>
                      <w:kern w:val="2"/>
                      <w:sz w:val="21"/>
                      <w:highlight w:val="none"/>
                      <w:lang w:val="en-US" w:eastAsia="zh-CN"/>
                    </w:rPr>
                  </w:pPr>
                </w:p>
                <w:p w14:paraId="46092C07">
                  <w:pPr>
                    <w:pStyle w:val="89"/>
                    <w:spacing w:line="240" w:lineRule="auto"/>
                    <w:jc w:val="both"/>
                    <w:rPr>
                      <w:rFonts w:hint="eastAsia" w:eastAsia="宋体"/>
                      <w:color w:val="auto"/>
                      <w:kern w:val="2"/>
                      <w:sz w:val="21"/>
                      <w:highlight w:val="none"/>
                      <w:lang w:val="en-US" w:eastAsia="zh-CN"/>
                    </w:rPr>
                  </w:pPr>
                  <w:r>
                    <w:rPr>
                      <w:rFonts w:hint="default" w:eastAsia="宋体"/>
                      <w:color w:val="auto"/>
                      <w:kern w:val="2"/>
                      <w:sz w:val="21"/>
                      <w:highlight w:val="none"/>
                      <w:lang w:val="en-US" w:eastAsia="zh-CN"/>
                    </w:rPr>
                    <w:t>符合</w:t>
                  </w:r>
                </w:p>
              </w:tc>
            </w:tr>
            <w:tr w14:paraId="069D2D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218" w:hRule="atLeast"/>
                <w:jc w:val="center"/>
              </w:trPr>
              <w:tc>
                <w:tcPr>
                  <w:tcW w:w="302" w:type="pct"/>
                  <w:tcBorders>
                    <w:tl2br w:val="nil"/>
                    <w:tr2bl w:val="nil"/>
                  </w:tcBorders>
                  <w:tcMar>
                    <w:top w:w="0" w:type="dxa"/>
                    <w:left w:w="57" w:type="dxa"/>
                    <w:bottom w:w="0" w:type="dxa"/>
                    <w:right w:w="57" w:type="dxa"/>
                  </w:tcMar>
                  <w:vAlign w:val="center"/>
                </w:tcPr>
                <w:p w14:paraId="33518DCC">
                  <w:pPr>
                    <w:pStyle w:val="89"/>
                    <w:spacing w:line="240" w:lineRule="auto"/>
                    <w:rPr>
                      <w:rFonts w:hint="default"/>
                      <w:color w:val="auto"/>
                      <w:kern w:val="2"/>
                      <w:sz w:val="21"/>
                      <w:highlight w:val="none"/>
                      <w:lang w:val="en-US" w:eastAsia="zh-CN"/>
                    </w:rPr>
                  </w:pPr>
                  <w:r>
                    <w:rPr>
                      <w:rFonts w:hint="eastAsia"/>
                      <w:color w:val="auto"/>
                      <w:kern w:val="2"/>
                      <w:sz w:val="21"/>
                      <w:highlight w:val="none"/>
                      <w:lang w:val="en-US" w:eastAsia="zh-CN"/>
                    </w:rPr>
                    <w:t>8</w:t>
                  </w:r>
                </w:p>
              </w:tc>
              <w:tc>
                <w:tcPr>
                  <w:tcW w:w="1271" w:type="pct"/>
                  <w:tcBorders>
                    <w:tl2br w:val="nil"/>
                    <w:tr2bl w:val="nil"/>
                  </w:tcBorders>
                  <w:shd w:val="clear" w:color="auto" w:fill="auto"/>
                  <w:tcMar>
                    <w:top w:w="0" w:type="dxa"/>
                    <w:left w:w="57" w:type="dxa"/>
                    <w:bottom w:w="0" w:type="dxa"/>
                    <w:right w:w="57" w:type="dxa"/>
                  </w:tcMar>
                  <w:vAlign w:val="top"/>
                </w:tcPr>
                <w:p w14:paraId="1BF15FF5">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《福州市生态环境保护委员会办公室关于印发2022年度福州市蓝天碧海净土保卫战行动计划通知》</w:t>
                  </w:r>
                  <w:r>
                    <w:rPr>
                      <w:rFonts w:hint="eastAsia"/>
                      <w:color w:val="auto"/>
                      <w:kern w:val="2"/>
                      <w:sz w:val="21"/>
                      <w:highlight w:val="none"/>
                      <w:lang w:val="en-US" w:eastAsia="zh-CN"/>
                    </w:rPr>
                    <w:t>(</w:t>
                  </w:r>
                  <w:r>
                    <w:rPr>
                      <w:rFonts w:hint="default" w:eastAsia="宋体"/>
                      <w:color w:val="auto"/>
                      <w:kern w:val="2"/>
                      <w:sz w:val="21"/>
                      <w:highlight w:val="none"/>
                      <w:lang w:val="en-US" w:eastAsia="zh-CN"/>
                    </w:rPr>
                    <w:t>榕环委办</w:t>
                  </w:r>
                </w:p>
                <w:p w14:paraId="3BA42698">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[2022]49号</w:t>
                  </w:r>
                  <w:r>
                    <w:rPr>
                      <w:rFonts w:hint="eastAsia"/>
                      <w:color w:val="auto"/>
                      <w:kern w:val="2"/>
                      <w:sz w:val="21"/>
                      <w:highlight w:val="none"/>
                      <w:lang w:val="en-US" w:eastAsia="zh-CN"/>
                    </w:rPr>
                    <w:t>)</w:t>
                  </w:r>
                </w:p>
              </w:tc>
              <w:tc>
                <w:tcPr>
                  <w:tcW w:w="2030" w:type="pct"/>
                  <w:tcBorders>
                    <w:tl2br w:val="nil"/>
                    <w:tr2bl w:val="nil"/>
                  </w:tcBorders>
                  <w:shd w:val="clear" w:color="auto" w:fill="auto"/>
                  <w:tcMar>
                    <w:top w:w="0" w:type="dxa"/>
                    <w:left w:w="57" w:type="dxa"/>
                    <w:bottom w:w="0" w:type="dxa"/>
                    <w:right w:w="57" w:type="dxa"/>
                  </w:tcMar>
                  <w:vAlign w:val="top"/>
                </w:tcPr>
                <w:p w14:paraId="7F1EBA51">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四是严格涉VOCs建设项目环境影响评价审批。新、改、扩建涉</w:t>
                  </w:r>
                </w:p>
                <w:p w14:paraId="11BB0552">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VOCs排放项目，应使用低</w:t>
                  </w:r>
                  <w:r>
                    <w:rPr>
                      <w:rFonts w:hint="eastAsia"/>
                      <w:color w:val="auto"/>
                      <w:kern w:val="2"/>
                      <w:sz w:val="21"/>
                      <w:highlight w:val="none"/>
                      <w:lang w:val="en-US" w:eastAsia="zh-CN"/>
                    </w:rPr>
                    <w:t>(</w:t>
                  </w:r>
                  <w:r>
                    <w:rPr>
                      <w:rFonts w:hint="default" w:eastAsia="宋体"/>
                      <w:color w:val="auto"/>
                      <w:kern w:val="2"/>
                      <w:sz w:val="21"/>
                      <w:highlight w:val="none"/>
                      <w:lang w:val="en-US" w:eastAsia="zh-CN"/>
                    </w:rPr>
                    <w:t>无</w:t>
                  </w:r>
                  <w:r>
                    <w:rPr>
                      <w:rFonts w:hint="eastAsia"/>
                      <w:color w:val="auto"/>
                      <w:kern w:val="2"/>
                      <w:sz w:val="21"/>
                      <w:highlight w:val="none"/>
                      <w:lang w:val="en-US" w:eastAsia="zh-CN"/>
                    </w:rPr>
                    <w:t>)</w:t>
                  </w:r>
                  <w:r>
                    <w:rPr>
                      <w:rFonts w:hint="default" w:eastAsia="宋体"/>
                      <w:color w:val="auto"/>
                      <w:kern w:val="2"/>
                      <w:sz w:val="21"/>
                      <w:highlight w:val="none"/>
                      <w:lang w:val="en-US" w:eastAsia="zh-CN"/>
                    </w:rPr>
                    <w:t>VOCs涂料、胶粘剂等，实施新建项目VOCs排放区域内1.2及以上倍量替代。VOCs年排放量大于5吨的新建项目投运前应安装VOCs在线监控设备，并接</w:t>
                  </w:r>
                </w:p>
                <w:p w14:paraId="5BD50B71">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入市生态云平台。</w:t>
                  </w:r>
                </w:p>
              </w:tc>
              <w:tc>
                <w:tcPr>
                  <w:tcW w:w="1116" w:type="pct"/>
                  <w:tcBorders>
                    <w:tl2br w:val="nil"/>
                    <w:tr2bl w:val="nil"/>
                  </w:tcBorders>
                  <w:shd w:val="clear" w:color="auto" w:fill="auto"/>
                  <w:tcMar>
                    <w:top w:w="0" w:type="dxa"/>
                    <w:left w:w="57" w:type="dxa"/>
                    <w:bottom w:w="0" w:type="dxa"/>
                    <w:right w:w="57" w:type="dxa"/>
                  </w:tcMar>
                  <w:vAlign w:val="top"/>
                </w:tcPr>
                <w:p w14:paraId="4B6D383C">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项目采用低VOCs原</w:t>
                  </w:r>
                </w:p>
                <w:p w14:paraId="09DB0D70">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料，项目VOCs排放拟实行区域内倍量替代，项目VOCs年排放量远小于5吨，不需安装VOCs在线监控设备。</w:t>
                  </w:r>
                </w:p>
              </w:tc>
              <w:tc>
                <w:tcPr>
                  <w:tcW w:w="279" w:type="pct"/>
                  <w:tcBorders>
                    <w:tl2br w:val="nil"/>
                    <w:tr2bl w:val="nil"/>
                  </w:tcBorders>
                  <w:shd w:val="clear" w:color="auto" w:fill="auto"/>
                  <w:tcMar>
                    <w:top w:w="0" w:type="dxa"/>
                    <w:left w:w="57" w:type="dxa"/>
                    <w:bottom w:w="0" w:type="dxa"/>
                    <w:right w:w="57" w:type="dxa"/>
                  </w:tcMar>
                  <w:vAlign w:val="top"/>
                </w:tcPr>
                <w:p w14:paraId="11348BD3">
                  <w:pPr>
                    <w:pStyle w:val="89"/>
                    <w:spacing w:line="240" w:lineRule="auto"/>
                    <w:jc w:val="center"/>
                    <w:rPr>
                      <w:rFonts w:hint="default" w:eastAsia="宋体"/>
                      <w:color w:val="auto"/>
                      <w:kern w:val="2"/>
                      <w:sz w:val="21"/>
                      <w:highlight w:val="none"/>
                      <w:lang w:val="en-US" w:eastAsia="zh-CN"/>
                    </w:rPr>
                  </w:pPr>
                  <w:r>
                    <w:rPr>
                      <w:rFonts w:hint="default" w:eastAsia="宋体"/>
                      <w:color w:val="auto"/>
                      <w:kern w:val="2"/>
                      <w:sz w:val="21"/>
                      <w:highlight w:val="none"/>
                      <w:lang w:val="en-US" w:eastAsia="zh-CN"/>
                    </w:rPr>
                    <w:t>符合</w:t>
                  </w:r>
                </w:p>
              </w:tc>
            </w:tr>
          </w:tbl>
          <w:p w14:paraId="1CD67838">
            <w:pPr>
              <w:rPr>
                <w:rFonts w:hint="eastAsia"/>
                <w:color w:val="auto"/>
                <w:lang w:val="en-US" w:eastAsia="zh-CN"/>
              </w:rPr>
            </w:pPr>
          </w:p>
          <w:p w14:paraId="4F5864E7">
            <w:pPr>
              <w:pStyle w:val="3"/>
              <w:bidi w:val="0"/>
              <w:rPr>
                <w:rFonts w:hint="eastAsia"/>
                <w:color w:val="auto"/>
                <w:lang w:val="en-US" w:eastAsia="zh-CN"/>
              </w:rPr>
            </w:pPr>
            <w:r>
              <w:rPr>
                <w:rFonts w:hint="eastAsia"/>
                <w:color w:val="auto"/>
                <w:lang w:val="en-US" w:eastAsia="zh-CN"/>
              </w:rPr>
              <w:t>与周边相容性分析</w:t>
            </w:r>
          </w:p>
          <w:p w14:paraId="22F43C9E">
            <w:pPr>
              <w:pStyle w:val="113"/>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ascii="Times New Roman" w:hAnsi="Times New Roman"/>
                <w:color w:val="auto"/>
                <w:sz w:val="25"/>
                <w:szCs w:val="25"/>
              </w:rPr>
            </w:pPr>
            <w:r>
              <w:rPr>
                <w:rFonts w:hint="eastAsia" w:ascii="Times New Roman" w:hAnsi="Times New Roman" w:eastAsia="宋体" w:cs="宋体"/>
                <w:color w:val="auto"/>
                <w:kern w:val="0"/>
                <w:sz w:val="24"/>
                <w:szCs w:val="20"/>
                <w:highlight w:val="none"/>
                <w:lang w:val="zh-CN" w:eastAsia="zh-CN" w:bidi="ar-SA"/>
              </w:rPr>
              <w:t>本项目位</w:t>
            </w:r>
            <w:r>
              <w:rPr>
                <w:rFonts w:hint="eastAsia" w:ascii="Times New Roman" w:hAnsi="Times New Roman" w:eastAsia="宋体" w:cs="宋体"/>
                <w:color w:val="auto"/>
                <w:kern w:val="0"/>
                <w:sz w:val="24"/>
                <w:szCs w:val="20"/>
                <w:highlight w:val="none"/>
                <w:shd w:val="clear"/>
                <w:lang w:val="zh-CN" w:eastAsia="zh-CN" w:bidi="ar-SA"/>
              </w:rPr>
              <w:t>于福清融侨经济技术开发区福建省福州市福清市镜洋镇过洋39号（租赁福州清山压铸有限公司2#厂房、3#厂房）</w:t>
            </w:r>
            <w:r>
              <w:rPr>
                <w:rFonts w:hint="eastAsia" w:ascii="Times New Roman" w:hAnsi="Times New Roman" w:eastAsia="宋体" w:cs="宋体"/>
                <w:color w:val="auto"/>
                <w:kern w:val="0"/>
                <w:sz w:val="24"/>
                <w:szCs w:val="20"/>
                <w:highlight w:val="none"/>
                <w:lang w:val="zh-CN" w:eastAsia="zh-CN" w:bidi="ar-SA"/>
              </w:rPr>
              <w:t>，根据现场勘查，周边以工业企业为主，项目周边</w:t>
            </w:r>
            <w:r>
              <w:rPr>
                <w:rFonts w:hint="eastAsia" w:ascii="Times New Roman" w:hAnsi="Times New Roman" w:eastAsia="宋体" w:cs="宋体"/>
                <w:color w:val="auto"/>
                <w:kern w:val="0"/>
                <w:sz w:val="24"/>
                <w:szCs w:val="20"/>
                <w:highlight w:val="none"/>
                <w:shd w:val="clear"/>
                <w:lang w:val="zh-CN" w:eastAsia="zh-CN" w:bidi="ar-SA"/>
              </w:rPr>
              <w:t>环境现</w:t>
            </w:r>
            <w:r>
              <w:rPr>
                <w:rFonts w:hint="eastAsia" w:ascii="Times New Roman" w:hAnsi="Times New Roman" w:cs="宋体"/>
                <w:color w:val="auto"/>
                <w:kern w:val="0"/>
                <w:sz w:val="24"/>
                <w:szCs w:val="20"/>
                <w:highlight w:val="none"/>
                <w:shd w:val="clear"/>
                <w:lang w:val="en-US" w:eastAsia="zh-CN" w:bidi="ar-SA"/>
              </w:rPr>
              <w:t>状</w:t>
            </w:r>
            <w:r>
              <w:rPr>
                <w:rFonts w:hint="eastAsia" w:ascii="Times New Roman" w:hAnsi="Times New Roman" w:eastAsia="宋体" w:cs="宋体"/>
                <w:color w:val="auto"/>
                <w:kern w:val="0"/>
                <w:sz w:val="24"/>
                <w:szCs w:val="20"/>
                <w:highlight w:val="none"/>
                <w:shd w:val="clear"/>
                <w:lang w:val="zh-CN" w:eastAsia="zh-CN" w:bidi="ar-SA"/>
              </w:rPr>
              <w:t>示意图详见附图2</w:t>
            </w:r>
            <w:r>
              <w:rPr>
                <w:rFonts w:hint="eastAsia" w:ascii="Times New Roman" w:hAnsi="Times New Roman" w:cs="宋体"/>
                <w:color w:val="auto"/>
                <w:kern w:val="0"/>
                <w:sz w:val="24"/>
                <w:szCs w:val="20"/>
                <w:highlight w:val="none"/>
                <w:shd w:val="clear"/>
                <w:lang w:val="zh-CN" w:eastAsia="zh-CN" w:bidi="ar-SA"/>
              </w:rPr>
              <w:t>,</w:t>
            </w:r>
            <w:r>
              <w:rPr>
                <w:rFonts w:hint="eastAsia" w:ascii="Times New Roman" w:hAnsi="Times New Roman" w:eastAsia="宋体" w:cs="宋体"/>
                <w:color w:val="auto"/>
                <w:kern w:val="0"/>
                <w:sz w:val="24"/>
                <w:szCs w:val="20"/>
                <w:highlight w:val="none"/>
                <w:shd w:val="clear"/>
                <w:lang w:val="zh-CN" w:eastAsia="zh-CN" w:bidi="ar-SA"/>
              </w:rPr>
              <w:t>项目周边环境现状拍摄图详见附图3</w:t>
            </w:r>
            <w:r>
              <w:rPr>
                <w:rFonts w:hint="eastAsia" w:ascii="Times New Roman" w:hAnsi="Times New Roman" w:cs="宋体"/>
                <w:color w:val="auto"/>
                <w:kern w:val="0"/>
                <w:sz w:val="24"/>
                <w:szCs w:val="20"/>
                <w:highlight w:val="none"/>
                <w:shd w:val="clear"/>
                <w:lang w:val="zh-CN" w:eastAsia="zh-CN" w:bidi="ar-SA"/>
              </w:rPr>
              <w:t>;</w:t>
            </w:r>
            <w:r>
              <w:rPr>
                <w:rFonts w:hint="eastAsia" w:ascii="Times New Roman" w:hAnsi="Times New Roman" w:eastAsia="宋体" w:cs="宋体"/>
                <w:color w:val="auto"/>
                <w:kern w:val="0"/>
                <w:sz w:val="24"/>
                <w:szCs w:val="20"/>
                <w:highlight w:val="none"/>
                <w:lang w:val="zh-CN" w:eastAsia="zh-CN" w:bidi="ar-SA"/>
              </w:rPr>
              <w:t>建设单位在确实落实本评价提出的各项污染治理措施的前提下，可实现污染物达标排放</w:t>
            </w:r>
            <w:r>
              <w:rPr>
                <w:rFonts w:hint="eastAsia" w:ascii="Times New Roman" w:hAnsi="Times New Roman" w:cs="宋体"/>
                <w:color w:val="auto"/>
                <w:kern w:val="0"/>
                <w:sz w:val="24"/>
                <w:szCs w:val="20"/>
                <w:highlight w:val="none"/>
                <w:lang w:val="zh-CN" w:eastAsia="zh-CN" w:bidi="ar-SA"/>
              </w:rPr>
              <w:t>且</w:t>
            </w:r>
            <w:r>
              <w:rPr>
                <w:rFonts w:hint="eastAsia" w:ascii="Times New Roman" w:hAnsi="Times New Roman" w:eastAsia="宋体" w:cs="宋体"/>
                <w:color w:val="auto"/>
                <w:kern w:val="0"/>
                <w:sz w:val="24"/>
                <w:szCs w:val="20"/>
                <w:highlight w:val="none"/>
                <w:lang w:val="zh-CN" w:eastAsia="zh-CN" w:bidi="ar-SA"/>
              </w:rPr>
              <w:t>各污染物排放源强较低，运营期产生的“三废”及噪声对周边环境影响不明显，因此，项目建设与周边环境基本相容。</w:t>
            </w:r>
          </w:p>
          <w:p w14:paraId="1BBE1A27">
            <w:pPr>
              <w:pStyle w:val="3"/>
              <w:bidi w:val="0"/>
              <w:rPr>
                <w:rFonts w:hint="eastAsia"/>
                <w:color w:val="auto"/>
              </w:rPr>
            </w:pPr>
            <w:r>
              <w:rPr>
                <w:rFonts w:hint="eastAsia"/>
                <w:color w:val="auto"/>
              </w:rPr>
              <w:t>“三线一单”控制要求符合性分析</w:t>
            </w:r>
          </w:p>
          <w:p w14:paraId="412B4B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color w:val="auto"/>
              </w:rPr>
            </w:pPr>
            <w:r>
              <w:rPr>
                <w:rFonts w:hint="eastAsia" w:ascii="Times New Roman" w:hAnsi="Times New Roman" w:eastAsia="宋体" w:cs="宋体"/>
                <w:color w:val="auto"/>
                <w:kern w:val="0"/>
                <w:sz w:val="24"/>
                <w:szCs w:val="20"/>
                <w:highlight w:val="none"/>
                <w:lang w:val="zh-CN" w:eastAsia="zh-CN" w:bidi="ar-SA"/>
              </w:rPr>
              <w:t>根据《关于以改善环境质量为核心加强环境影响评价管理的通知》</w:t>
            </w:r>
            <w:r>
              <w:rPr>
                <w:rFonts w:hint="eastAsia" w:cs="宋体"/>
                <w:color w:val="auto"/>
                <w:kern w:val="0"/>
                <w:sz w:val="24"/>
                <w:szCs w:val="20"/>
                <w:highlight w:val="none"/>
                <w:lang w:val="zh-CN" w:eastAsia="zh-CN" w:bidi="ar-SA"/>
              </w:rPr>
              <w:t>(</w:t>
            </w:r>
            <w:r>
              <w:rPr>
                <w:rFonts w:hint="eastAsia" w:ascii="Times New Roman" w:hAnsi="Times New Roman" w:eastAsia="宋体" w:cs="宋体"/>
                <w:color w:val="auto"/>
                <w:kern w:val="0"/>
                <w:sz w:val="24"/>
                <w:szCs w:val="20"/>
                <w:highlight w:val="none"/>
                <w:lang w:val="zh-CN" w:eastAsia="zh-CN" w:bidi="ar-SA"/>
              </w:rPr>
              <w:t>环评〔2016〕150号</w:t>
            </w:r>
            <w:r>
              <w:rPr>
                <w:rFonts w:hint="eastAsia" w:cs="宋体"/>
                <w:color w:val="auto"/>
                <w:kern w:val="0"/>
                <w:sz w:val="24"/>
                <w:szCs w:val="20"/>
                <w:highlight w:val="none"/>
                <w:lang w:val="zh-CN" w:eastAsia="zh-CN" w:bidi="ar-SA"/>
              </w:rPr>
              <w:t>),</w:t>
            </w:r>
            <w:r>
              <w:rPr>
                <w:rFonts w:hint="eastAsia" w:ascii="Times New Roman" w:hAnsi="Times New Roman" w:eastAsia="宋体" w:cs="宋体"/>
                <w:color w:val="auto"/>
                <w:kern w:val="0"/>
                <w:sz w:val="24"/>
                <w:szCs w:val="20"/>
                <w:highlight w:val="none"/>
                <w:lang w:val="zh-CN" w:eastAsia="zh-CN" w:bidi="ar-SA"/>
              </w:rPr>
              <w:t>“三线一单”即：“生态保护红线、环境质量底线、资源利用上线和生态环境准入清单”</w:t>
            </w:r>
            <w:r>
              <w:rPr>
                <w:rFonts w:hint="eastAsia" w:cs="宋体"/>
                <w:color w:val="auto"/>
                <w:kern w:val="0"/>
                <w:sz w:val="24"/>
                <w:szCs w:val="20"/>
                <w:highlight w:val="none"/>
                <w:lang w:val="zh-CN" w:eastAsia="zh-CN" w:bidi="ar-SA"/>
              </w:rPr>
              <w:t>,</w:t>
            </w:r>
            <w:r>
              <w:rPr>
                <w:rFonts w:hint="eastAsia" w:ascii="Times New Roman" w:hAnsi="Times New Roman" w:eastAsia="宋体" w:cs="宋体"/>
                <w:color w:val="auto"/>
                <w:kern w:val="0"/>
                <w:sz w:val="24"/>
                <w:szCs w:val="20"/>
                <w:highlight w:val="none"/>
                <w:lang w:val="zh-CN" w:eastAsia="zh-CN" w:bidi="ar-SA"/>
              </w:rPr>
              <w:t>项目建设应强化“三线一单”约束作用。</w:t>
            </w:r>
          </w:p>
          <w:p w14:paraId="4BCED536">
            <w:pPr>
              <w:pStyle w:val="4"/>
              <w:bidi w:val="0"/>
              <w:ind w:left="720" w:leftChars="0" w:hanging="720" w:firstLineChars="0"/>
              <w:rPr>
                <w:color w:val="auto"/>
                <w:highlight w:val="none"/>
              </w:rPr>
            </w:pPr>
            <w:r>
              <w:rPr>
                <w:color w:val="auto"/>
                <w:highlight w:val="none"/>
              </w:rPr>
              <w:t>生态保护红线</w:t>
            </w:r>
          </w:p>
          <w:p w14:paraId="62CB61AA">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eastAsia" w:eastAsia="宋体" w:cs="宋体"/>
                <w:color w:val="auto"/>
              </w:rPr>
            </w:pPr>
            <w:r>
              <w:rPr>
                <w:rFonts w:hint="eastAsia" w:eastAsia="宋体" w:cs="宋体"/>
                <w:color w:val="auto"/>
              </w:rPr>
              <w:t>对照《福建省生态保护红线划定方案》及其调整方案、《福清市生态功能区划》</w:t>
            </w:r>
            <w:r>
              <w:rPr>
                <w:rFonts w:hint="eastAsia" w:cs="宋体"/>
                <w:color w:val="auto"/>
                <w:lang w:eastAsia="zh-CN"/>
              </w:rPr>
              <w:t>(</w:t>
            </w:r>
            <w:r>
              <w:rPr>
                <w:rFonts w:hint="eastAsia" w:eastAsia="宋体" w:cs="宋体"/>
                <w:color w:val="auto"/>
              </w:rPr>
              <w:t>2003年</w:t>
            </w:r>
            <w:r>
              <w:rPr>
                <w:rFonts w:hint="eastAsia" w:cs="宋体"/>
                <w:color w:val="auto"/>
                <w:lang w:eastAsia="zh-CN"/>
              </w:rPr>
              <w:t>),</w:t>
            </w:r>
            <w:r>
              <w:rPr>
                <w:rFonts w:hint="eastAsia" w:eastAsia="宋体" w:cs="宋体"/>
                <w:color w:val="auto"/>
              </w:rPr>
              <w:t>本项目位于福清市镜洋镇。项目周边无国家公园、自然保护区、森林公园的生态保育区和核心景观区、风景名胜区的核心景区、地质公园的地质遗迹保护区、世界自然遗产的核心区和缓冲区、湿地公园的湿地保育区和恢复重建区、饮用水水源的一级保护区、水产种质资源保护区的核心区和其他需要特别保护或法律法规禁止开发建设的区域。</w:t>
            </w:r>
          </w:p>
          <w:p w14:paraId="31972C98">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textAlignment w:val="auto"/>
              <w:rPr>
                <w:rFonts w:hint="eastAsia" w:eastAsia="宋体" w:cs="宋体"/>
                <w:color w:val="auto"/>
              </w:rPr>
            </w:pPr>
            <w:r>
              <w:rPr>
                <w:rFonts w:hint="eastAsia" w:eastAsia="宋体" w:cs="宋体"/>
                <w:color w:val="auto"/>
              </w:rPr>
              <w:t>因此，项目建设符合生态红线控制的要求。</w:t>
            </w:r>
          </w:p>
          <w:p w14:paraId="3CDD148D">
            <w:pPr>
              <w:pStyle w:val="4"/>
              <w:bidi w:val="0"/>
              <w:ind w:left="720" w:leftChars="0" w:hanging="720" w:firstLineChars="0"/>
              <w:rPr>
                <w:color w:val="auto"/>
                <w:highlight w:val="none"/>
              </w:rPr>
            </w:pPr>
            <w:r>
              <w:rPr>
                <w:color w:val="auto"/>
                <w:highlight w:val="none"/>
              </w:rPr>
              <w:t>环境质量底线</w:t>
            </w:r>
          </w:p>
          <w:p w14:paraId="4EAA7E06">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eastAsia="宋体" w:cs="宋体"/>
                <w:color w:val="auto"/>
                <w:highlight w:val="none"/>
                <w:lang w:val="en-US" w:eastAsia="zh-CN"/>
              </w:rPr>
            </w:pPr>
            <w:r>
              <w:rPr>
                <w:rFonts w:hint="eastAsia" w:eastAsia="宋体" w:cs="宋体"/>
                <w:color w:val="auto"/>
                <w:highlight w:val="none"/>
                <w:lang w:val="en-US" w:eastAsia="zh-CN"/>
              </w:rPr>
              <w:t>目前，</w:t>
            </w:r>
            <w:r>
              <w:rPr>
                <w:rFonts w:hint="eastAsia" w:eastAsia="宋体" w:cs="宋体"/>
                <w:color w:val="auto"/>
                <w:highlight w:val="none"/>
                <w:shd w:val="clear"/>
                <w:lang w:val="en-US" w:eastAsia="zh-CN"/>
              </w:rPr>
              <w:t>龙江水质符合GB3838-2002《地表水环境质量标准》中V类标准；项目所在区域的环境空气质量现状符合《环境空气质量标准》</w:t>
            </w:r>
            <w:r>
              <w:rPr>
                <w:rFonts w:hint="eastAsia" w:cs="宋体"/>
                <w:color w:val="auto"/>
                <w:highlight w:val="none"/>
                <w:shd w:val="clear"/>
                <w:lang w:val="en-US" w:eastAsia="zh-CN"/>
              </w:rPr>
              <w:t>(</w:t>
            </w:r>
            <w:r>
              <w:rPr>
                <w:rFonts w:hint="eastAsia" w:eastAsia="宋体" w:cs="宋体"/>
                <w:color w:val="auto"/>
                <w:highlight w:val="none"/>
                <w:shd w:val="clear"/>
                <w:lang w:val="en-US" w:eastAsia="zh-CN"/>
              </w:rPr>
              <w:t>GB3095-2012</w:t>
            </w:r>
            <w:r>
              <w:rPr>
                <w:rFonts w:hint="eastAsia" w:cs="宋体"/>
                <w:color w:val="auto"/>
                <w:highlight w:val="none"/>
                <w:shd w:val="clear"/>
                <w:lang w:val="en-US" w:eastAsia="zh-CN"/>
              </w:rPr>
              <w:t>)</w:t>
            </w:r>
            <w:r>
              <w:rPr>
                <w:rFonts w:hint="eastAsia" w:eastAsia="宋体" w:cs="宋体"/>
                <w:color w:val="auto"/>
                <w:highlight w:val="none"/>
                <w:shd w:val="clear"/>
                <w:lang w:val="en-US" w:eastAsia="zh-CN"/>
              </w:rPr>
              <w:t>及2018年修改单中二级标准，</w:t>
            </w:r>
            <w:r>
              <w:rPr>
                <w:rFonts w:hint="eastAsia" w:eastAsia="宋体" w:cs="宋体"/>
                <w:color w:val="auto"/>
                <w:highlight w:val="none"/>
                <w:lang w:val="en-US" w:eastAsia="zh-CN"/>
              </w:rPr>
              <w:t>属于达标区；项目所在区域声环境质量现状</w:t>
            </w:r>
            <w:r>
              <w:rPr>
                <w:rFonts w:hint="eastAsia" w:eastAsia="宋体" w:cs="宋体"/>
                <w:color w:val="auto"/>
                <w:highlight w:val="none"/>
                <w:shd w:val="clear"/>
                <w:lang w:val="en-US" w:eastAsia="zh-CN"/>
              </w:rPr>
              <w:t>符合《声环境质量标准》</w:t>
            </w:r>
            <w:r>
              <w:rPr>
                <w:rFonts w:hint="eastAsia" w:cs="宋体"/>
                <w:color w:val="auto"/>
                <w:highlight w:val="none"/>
                <w:shd w:val="clear"/>
                <w:lang w:val="en-US" w:eastAsia="zh-CN"/>
              </w:rPr>
              <w:t>(</w:t>
            </w:r>
            <w:r>
              <w:rPr>
                <w:rFonts w:hint="eastAsia" w:eastAsia="宋体" w:cs="宋体"/>
                <w:color w:val="auto"/>
                <w:highlight w:val="none"/>
                <w:shd w:val="clear"/>
                <w:lang w:val="en-US" w:eastAsia="zh-CN"/>
              </w:rPr>
              <w:t>GB3096-2008</w:t>
            </w:r>
            <w:r>
              <w:rPr>
                <w:rFonts w:hint="eastAsia" w:cs="宋体"/>
                <w:color w:val="auto"/>
                <w:highlight w:val="none"/>
                <w:shd w:val="clear"/>
                <w:lang w:val="en-US" w:eastAsia="zh-CN"/>
              </w:rPr>
              <w:t>)</w:t>
            </w:r>
            <w:r>
              <w:rPr>
                <w:rFonts w:hint="eastAsia" w:eastAsia="宋体" w:cs="宋体"/>
                <w:color w:val="auto"/>
                <w:highlight w:val="none"/>
                <w:shd w:val="clear"/>
                <w:lang w:val="en-US" w:eastAsia="zh-CN"/>
              </w:rPr>
              <w:t>中</w:t>
            </w:r>
            <w:r>
              <w:rPr>
                <w:rFonts w:hint="eastAsia" w:cs="宋体"/>
                <w:color w:val="auto"/>
                <w:highlight w:val="none"/>
                <w:shd w:val="clear"/>
                <w:lang w:val="en-US" w:eastAsia="zh-CN"/>
              </w:rPr>
              <w:t>3</w:t>
            </w:r>
            <w:r>
              <w:rPr>
                <w:rFonts w:hint="eastAsia" w:eastAsia="宋体" w:cs="宋体"/>
                <w:color w:val="auto"/>
                <w:highlight w:val="none"/>
                <w:shd w:val="clear"/>
                <w:lang w:val="en-US" w:eastAsia="zh-CN"/>
              </w:rPr>
              <w:t>类标准。</w:t>
            </w:r>
            <w:r>
              <w:rPr>
                <w:rFonts w:hint="eastAsia" w:eastAsia="宋体" w:cs="宋体"/>
                <w:color w:val="auto"/>
                <w:highlight w:val="none"/>
                <w:lang w:val="en-US" w:eastAsia="zh-CN"/>
              </w:rPr>
              <w:t>因此，项目所在区域环境现状质量良好。</w:t>
            </w:r>
          </w:p>
          <w:p w14:paraId="00A0FA9B">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eastAsia="宋体" w:cs="宋体"/>
                <w:color w:val="auto"/>
                <w:highlight w:val="none"/>
                <w:lang w:val="en-US" w:eastAsia="zh-CN"/>
              </w:rPr>
            </w:pPr>
            <w:r>
              <w:rPr>
                <w:rFonts w:hint="eastAsia" w:eastAsia="宋体" w:cs="宋体"/>
                <w:color w:val="auto"/>
                <w:highlight w:val="none"/>
                <w:lang w:val="en-US" w:eastAsia="zh-CN"/>
              </w:rPr>
              <w:t>本项目运营</w:t>
            </w:r>
            <w:r>
              <w:rPr>
                <w:rFonts w:hint="eastAsia" w:eastAsia="宋体" w:cs="宋体"/>
                <w:color w:val="auto"/>
                <w:highlight w:val="none"/>
                <w:shd w:val="clear"/>
                <w:lang w:val="en-US" w:eastAsia="zh-CN"/>
              </w:rPr>
              <w:t>期</w:t>
            </w:r>
            <w:r>
              <w:rPr>
                <w:rFonts w:hint="eastAsia" w:cs="宋体"/>
                <w:color w:val="auto"/>
                <w:highlight w:val="none"/>
                <w:shd w:val="clear"/>
                <w:lang w:val="en-US" w:eastAsia="zh-CN"/>
              </w:rPr>
              <w:t>生产废水经过污水处理设施处理达标后排入市政污水管网进入福清市第二污水处理厂；</w:t>
            </w:r>
            <w:r>
              <w:rPr>
                <w:rFonts w:hint="eastAsia" w:eastAsia="宋体" w:cs="宋体"/>
                <w:color w:val="auto"/>
                <w:highlight w:val="none"/>
                <w:shd w:val="clear"/>
                <w:lang w:val="en-US" w:eastAsia="zh-CN"/>
              </w:rPr>
              <w:t>生活污水经化粪池处理后排入市政污水管网进入福清市第二污水处理厂；</w:t>
            </w:r>
            <w:r>
              <w:rPr>
                <w:rFonts w:hint="eastAsia" w:eastAsia="宋体" w:cs="宋体"/>
                <w:color w:val="auto"/>
                <w:highlight w:val="none"/>
                <w:lang w:val="en-US" w:eastAsia="zh-CN"/>
              </w:rPr>
              <w:t>项目废气经处理达标后对周围大气环境影响较小；各生产设备产生的噪声经隔声、减振等降噪措施处理后也不会对周边声环境造成重大影响。综上分析，项目在采取本环评提出的防治措施后，运营期排放的污染物不会对区域环境质量底线造成冲击。</w:t>
            </w:r>
          </w:p>
          <w:p w14:paraId="7094E5F5">
            <w:pPr>
              <w:pStyle w:val="4"/>
              <w:bidi w:val="0"/>
              <w:ind w:left="720" w:leftChars="0" w:hanging="720" w:firstLineChars="0"/>
              <w:rPr>
                <w:color w:val="auto"/>
                <w:highlight w:val="none"/>
              </w:rPr>
            </w:pPr>
            <w:r>
              <w:rPr>
                <w:color w:val="auto"/>
                <w:highlight w:val="none"/>
              </w:rPr>
              <w:t>资源利用上线</w:t>
            </w:r>
          </w:p>
          <w:p w14:paraId="4E277837">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rPr>
              <w:t>项目用水、用电为区域集中供应，项目运行过程通过内部管理、设备选择、原辅材料的选用和管理、废物回收利用、污染治理等多方面采取合理可行的防治措施，以“节能、降耗、减污”为目标，有效</w:t>
            </w:r>
            <w:r>
              <w:rPr>
                <w:rFonts w:hint="eastAsia"/>
                <w:color w:val="auto"/>
                <w:highlight w:val="none"/>
                <w:lang w:eastAsia="zh-CN"/>
              </w:rPr>
              <w:t>地</w:t>
            </w:r>
            <w:r>
              <w:rPr>
                <w:rFonts w:hint="eastAsia"/>
                <w:color w:val="auto"/>
                <w:highlight w:val="none"/>
              </w:rPr>
              <w:t>控制污染。项目运营期水、原料等资源利用不会突破区域的资源利用上线。</w:t>
            </w:r>
          </w:p>
          <w:p w14:paraId="0864FF36">
            <w:pPr>
              <w:pStyle w:val="4"/>
              <w:bidi w:val="0"/>
              <w:ind w:left="720" w:leftChars="0" w:hanging="720" w:firstLineChars="0"/>
              <w:rPr>
                <w:color w:val="auto"/>
                <w:highlight w:val="none"/>
              </w:rPr>
            </w:pPr>
            <w:r>
              <w:rPr>
                <w:rFonts w:hint="eastAsia"/>
                <w:color w:val="auto"/>
                <w:highlight w:val="none"/>
              </w:rPr>
              <w:t>与生态环境准入清单要求符合性分析</w:t>
            </w:r>
          </w:p>
          <w:p w14:paraId="47D8BB27">
            <w:pPr>
              <w:pStyle w:val="44"/>
              <w:ind w:firstLine="480"/>
              <w:rPr>
                <w:rFonts w:hint="default" w:ascii="Times New Roman" w:hAnsi="Times New Roman" w:eastAsia="宋体" w:cs="宋体"/>
                <w:color w:val="auto"/>
                <w:kern w:val="0"/>
                <w:szCs w:val="21"/>
                <w:highlight w:val="none"/>
              </w:rPr>
            </w:pPr>
            <w:r>
              <w:rPr>
                <w:rFonts w:hint="eastAsia" w:ascii="Times New Roman" w:hAnsi="Times New Roman" w:eastAsia="宋体" w:cs="宋体"/>
                <w:color w:val="auto"/>
                <w:kern w:val="0"/>
                <w:szCs w:val="21"/>
                <w:highlight w:val="none"/>
              </w:rPr>
              <w:t>本项目不属于《产业结构调整指导目录</w:t>
            </w:r>
            <w:r>
              <w:rPr>
                <w:rFonts w:hint="eastAsia" w:cs="宋体"/>
                <w:color w:val="auto"/>
                <w:kern w:val="0"/>
                <w:szCs w:val="21"/>
                <w:highlight w:val="none"/>
                <w:lang w:eastAsia="zh-CN"/>
              </w:rPr>
              <w:t>(</w:t>
            </w:r>
            <w:r>
              <w:rPr>
                <w:rFonts w:hint="eastAsia" w:ascii="Times New Roman" w:hAnsi="Times New Roman" w:eastAsia="宋体" w:cs="宋体"/>
                <w:color w:val="auto"/>
                <w:kern w:val="0"/>
                <w:szCs w:val="21"/>
                <w:highlight w:val="none"/>
              </w:rPr>
              <w:t>2024</w:t>
            </w:r>
            <w:r>
              <w:rPr>
                <w:rFonts w:hint="eastAsia" w:cs="宋体"/>
                <w:color w:val="auto"/>
                <w:kern w:val="0"/>
                <w:szCs w:val="21"/>
                <w:highlight w:val="none"/>
                <w:lang w:eastAsia="zh-CN"/>
              </w:rPr>
              <w:t>)</w:t>
            </w:r>
            <w:r>
              <w:rPr>
                <w:rFonts w:hint="eastAsia" w:ascii="Times New Roman" w:hAnsi="Times New Roman" w:eastAsia="宋体" w:cs="宋体"/>
                <w:color w:val="auto"/>
                <w:kern w:val="0"/>
                <w:szCs w:val="21"/>
                <w:highlight w:val="none"/>
              </w:rPr>
              <w:t>》中限制或淘汰类；满足《市场准入负面清单草案</w:t>
            </w:r>
            <w:r>
              <w:rPr>
                <w:rFonts w:hint="eastAsia" w:cs="宋体"/>
                <w:color w:val="auto"/>
                <w:kern w:val="0"/>
                <w:szCs w:val="21"/>
                <w:highlight w:val="none"/>
                <w:lang w:eastAsia="zh-CN"/>
              </w:rPr>
              <w:t>(</w:t>
            </w:r>
            <w:r>
              <w:rPr>
                <w:rFonts w:hint="eastAsia" w:ascii="Times New Roman" w:hAnsi="Times New Roman" w:eastAsia="宋体" w:cs="宋体"/>
                <w:color w:val="auto"/>
                <w:kern w:val="0"/>
                <w:szCs w:val="21"/>
                <w:highlight w:val="none"/>
              </w:rPr>
              <w:t>试点版</w:t>
            </w:r>
            <w:r>
              <w:rPr>
                <w:rFonts w:hint="eastAsia" w:cs="宋体"/>
                <w:color w:val="auto"/>
                <w:kern w:val="0"/>
                <w:szCs w:val="21"/>
                <w:highlight w:val="none"/>
                <w:lang w:eastAsia="zh-CN"/>
              </w:rPr>
              <w:t>)</w:t>
            </w:r>
            <w:r>
              <w:rPr>
                <w:rFonts w:hint="eastAsia" w:ascii="Times New Roman" w:hAnsi="Times New Roman" w:eastAsia="宋体" w:cs="宋体"/>
                <w:color w:val="auto"/>
                <w:kern w:val="0"/>
                <w:szCs w:val="21"/>
                <w:highlight w:val="none"/>
              </w:rPr>
              <w:t>》</w:t>
            </w:r>
            <w:r>
              <w:rPr>
                <w:rFonts w:hint="eastAsia" w:cs="宋体"/>
                <w:color w:val="auto"/>
                <w:kern w:val="0"/>
                <w:szCs w:val="21"/>
                <w:highlight w:val="none"/>
                <w:lang w:eastAsia="zh-CN"/>
              </w:rPr>
              <w:t>(</w:t>
            </w:r>
            <w:r>
              <w:rPr>
                <w:rFonts w:hint="eastAsia" w:ascii="Times New Roman" w:hAnsi="Times New Roman" w:eastAsia="宋体" w:cs="宋体"/>
                <w:color w:val="auto"/>
                <w:kern w:val="0"/>
                <w:szCs w:val="21"/>
                <w:highlight w:val="none"/>
              </w:rPr>
              <w:t>发改经体〔2016〕442号</w:t>
            </w:r>
            <w:r>
              <w:rPr>
                <w:rFonts w:hint="eastAsia" w:cs="宋体"/>
                <w:color w:val="auto"/>
                <w:kern w:val="0"/>
                <w:szCs w:val="21"/>
                <w:highlight w:val="none"/>
                <w:lang w:eastAsia="zh-CN"/>
              </w:rPr>
              <w:t>);</w:t>
            </w:r>
            <w:r>
              <w:rPr>
                <w:rFonts w:hint="eastAsia" w:ascii="Times New Roman" w:hAnsi="Times New Roman" w:eastAsia="宋体" w:cs="宋体"/>
                <w:color w:val="auto"/>
                <w:kern w:val="0"/>
                <w:szCs w:val="21"/>
                <w:highlight w:val="none"/>
              </w:rPr>
              <w:t>项目无行业准入条件；不属于福建省人民政府关于加强重点流域水环境</w:t>
            </w:r>
            <w:r>
              <w:rPr>
                <w:rFonts w:hint="eastAsia" w:cs="宋体"/>
                <w:color w:val="auto"/>
                <w:kern w:val="0"/>
                <w:szCs w:val="21"/>
                <w:highlight w:val="none"/>
                <w:lang w:eastAsia="zh-CN"/>
              </w:rPr>
              <w:t>综合</w:t>
            </w:r>
            <w:r>
              <w:rPr>
                <w:rFonts w:hint="eastAsia" w:ascii="Times New Roman" w:hAnsi="Times New Roman" w:eastAsia="宋体" w:cs="宋体"/>
                <w:color w:val="auto"/>
                <w:kern w:val="0"/>
                <w:szCs w:val="21"/>
                <w:highlight w:val="none"/>
              </w:rPr>
              <w:t>整治的意见</w:t>
            </w:r>
            <w:r>
              <w:rPr>
                <w:rFonts w:hint="eastAsia" w:cs="宋体"/>
                <w:color w:val="auto"/>
                <w:kern w:val="0"/>
                <w:szCs w:val="21"/>
                <w:highlight w:val="none"/>
                <w:lang w:eastAsia="zh-CN"/>
              </w:rPr>
              <w:t>中</w:t>
            </w:r>
            <w:r>
              <w:rPr>
                <w:rFonts w:hint="eastAsia" w:ascii="Times New Roman" w:hAnsi="Times New Roman" w:eastAsia="宋体" w:cs="宋体"/>
                <w:color w:val="auto"/>
                <w:kern w:val="0"/>
                <w:szCs w:val="21"/>
                <w:highlight w:val="none"/>
              </w:rPr>
              <w:t>禁止的产业；满足《福建省工业建设项目投资强度控制指标》相关要求；</w:t>
            </w:r>
            <w:r>
              <w:rPr>
                <w:rFonts w:hint="default" w:ascii="Times New Roman" w:hAnsi="Times New Roman" w:eastAsia="宋体" w:cs="宋体"/>
                <w:color w:val="auto"/>
                <w:kern w:val="0"/>
                <w:szCs w:val="21"/>
                <w:highlight w:val="none"/>
              </w:rPr>
              <w:t>项目符合国家产业政策，符合《福建省人民政府关于实施“三线一单”生态环境分区管控的通知(闽政〔2020〕12号》全省生态环境总体准入要求及《福州市人民政府关于实施“三线一单”生态分区管控的通知》</w:t>
            </w:r>
            <w:r>
              <w:rPr>
                <w:rFonts w:hint="eastAsia" w:cs="宋体"/>
                <w:color w:val="auto"/>
                <w:kern w:val="0"/>
                <w:szCs w:val="21"/>
                <w:highlight w:val="none"/>
                <w:lang w:eastAsia="zh-CN"/>
              </w:rPr>
              <w:t>(</w:t>
            </w:r>
            <w:r>
              <w:rPr>
                <w:rFonts w:hint="default" w:ascii="Times New Roman" w:hAnsi="Times New Roman" w:eastAsia="宋体" w:cs="宋体"/>
                <w:color w:val="auto"/>
                <w:kern w:val="0"/>
                <w:szCs w:val="21"/>
                <w:highlight w:val="none"/>
              </w:rPr>
              <w:t>榕政综〔2021〕178号</w:t>
            </w:r>
            <w:r>
              <w:rPr>
                <w:rFonts w:hint="eastAsia" w:cs="宋体"/>
                <w:color w:val="auto"/>
                <w:kern w:val="0"/>
                <w:szCs w:val="21"/>
                <w:highlight w:val="none"/>
                <w:lang w:eastAsia="zh-CN"/>
              </w:rPr>
              <w:t>)</w:t>
            </w:r>
            <w:r>
              <w:rPr>
                <w:rFonts w:hint="default" w:ascii="Times New Roman" w:hAnsi="Times New Roman" w:eastAsia="宋体" w:cs="宋体"/>
                <w:color w:val="auto"/>
                <w:kern w:val="0"/>
                <w:szCs w:val="21"/>
                <w:highlight w:val="none"/>
              </w:rPr>
              <w:t>、《福州市生态环境准入清单</w:t>
            </w:r>
            <w:r>
              <w:rPr>
                <w:rFonts w:hint="eastAsia" w:cs="宋体"/>
                <w:color w:val="auto"/>
                <w:kern w:val="0"/>
                <w:szCs w:val="21"/>
                <w:highlight w:val="none"/>
                <w:lang w:eastAsia="zh-CN"/>
              </w:rPr>
              <w:t>(</w:t>
            </w:r>
            <w:r>
              <w:rPr>
                <w:rFonts w:hint="default" w:ascii="Times New Roman" w:hAnsi="Times New Roman" w:eastAsia="宋体" w:cs="宋体"/>
                <w:color w:val="auto"/>
                <w:kern w:val="0"/>
                <w:szCs w:val="21"/>
                <w:highlight w:val="none"/>
              </w:rPr>
              <w:t>2024版</w:t>
            </w:r>
            <w:r>
              <w:rPr>
                <w:rFonts w:hint="eastAsia" w:cs="宋体"/>
                <w:color w:val="auto"/>
                <w:kern w:val="0"/>
                <w:szCs w:val="21"/>
                <w:highlight w:val="none"/>
                <w:lang w:eastAsia="zh-CN"/>
              </w:rPr>
              <w:t>)</w:t>
            </w:r>
            <w:r>
              <w:rPr>
                <w:rFonts w:hint="default" w:ascii="Times New Roman" w:hAnsi="Times New Roman" w:eastAsia="宋体" w:cs="宋体"/>
                <w:color w:val="auto"/>
                <w:kern w:val="0"/>
                <w:szCs w:val="21"/>
                <w:highlight w:val="none"/>
              </w:rPr>
              <w:t>》的要求；不属于《市场准入负面清单》</w:t>
            </w:r>
            <w:r>
              <w:rPr>
                <w:rFonts w:hint="eastAsia" w:cs="宋体"/>
                <w:color w:val="auto"/>
                <w:kern w:val="0"/>
                <w:szCs w:val="21"/>
                <w:highlight w:val="none"/>
                <w:lang w:eastAsia="zh-CN"/>
              </w:rPr>
              <w:t>(</w:t>
            </w:r>
            <w:r>
              <w:rPr>
                <w:rFonts w:hint="default" w:ascii="Times New Roman" w:hAnsi="Times New Roman" w:eastAsia="宋体" w:cs="宋体"/>
                <w:color w:val="auto"/>
                <w:kern w:val="0"/>
                <w:szCs w:val="21"/>
                <w:highlight w:val="none"/>
              </w:rPr>
              <w:t>2025年版</w:t>
            </w:r>
            <w:r>
              <w:rPr>
                <w:rFonts w:hint="eastAsia" w:cs="宋体"/>
                <w:color w:val="auto"/>
                <w:kern w:val="0"/>
                <w:szCs w:val="21"/>
                <w:highlight w:val="none"/>
                <w:lang w:eastAsia="zh-CN"/>
              </w:rPr>
              <w:t>)</w:t>
            </w:r>
            <w:r>
              <w:rPr>
                <w:rFonts w:hint="default" w:ascii="Times New Roman" w:hAnsi="Times New Roman" w:eastAsia="宋体" w:cs="宋体"/>
                <w:color w:val="auto"/>
                <w:kern w:val="0"/>
                <w:szCs w:val="21"/>
                <w:highlight w:val="none"/>
              </w:rPr>
              <w:t>中禁止准入类的项目。</w:t>
            </w:r>
          </w:p>
          <w:p w14:paraId="0AEB5B9E">
            <w:pPr>
              <w:pStyle w:val="4"/>
              <w:bidi w:val="0"/>
              <w:ind w:left="720" w:leftChars="0" w:hanging="720" w:firstLineChars="0"/>
              <w:rPr>
                <w:rFonts w:hint="default" w:eastAsia="宋体"/>
                <w:color w:val="auto"/>
                <w:highlight w:val="none"/>
              </w:rPr>
            </w:pPr>
            <w:r>
              <w:rPr>
                <w:rFonts w:hint="default" w:eastAsia="宋体"/>
                <w:color w:val="auto"/>
                <w:highlight w:val="none"/>
              </w:rPr>
              <w:t>与</w:t>
            </w:r>
            <w:r>
              <w:rPr>
                <w:rFonts w:hint="eastAsia"/>
                <w:color w:val="auto"/>
                <w:highlight w:val="none"/>
                <w:lang w:val="en-US" w:eastAsia="zh-CN"/>
              </w:rPr>
              <w:t>福建省</w:t>
            </w:r>
            <w:r>
              <w:rPr>
                <w:rFonts w:hint="default" w:eastAsia="宋体"/>
                <w:color w:val="auto"/>
                <w:highlight w:val="none"/>
              </w:rPr>
              <w:t>生态环境分区管控的要求符合性分析</w:t>
            </w:r>
          </w:p>
          <w:p w14:paraId="313A1816">
            <w:pPr>
              <w:pStyle w:val="44"/>
              <w:ind w:firstLine="480"/>
              <w:rPr>
                <w:rFonts w:hint="eastAsia" w:ascii="Times New Roman" w:hAnsi="Times New Roman" w:eastAsia="宋体" w:cs="宋体"/>
                <w:color w:val="auto"/>
                <w:kern w:val="0"/>
                <w:szCs w:val="21"/>
                <w:highlight w:val="none"/>
                <w:lang w:val="en-US" w:eastAsia="zh-CN"/>
              </w:rPr>
            </w:pPr>
            <w:r>
              <w:rPr>
                <w:rFonts w:hint="eastAsia"/>
                <w:color w:val="auto"/>
                <w:kern w:val="0"/>
                <w:szCs w:val="21"/>
                <w:highlight w:val="none"/>
              </w:rPr>
              <w:t>根据《福州市人民政府办公厅关于印发福州市生态环境分区管控方案</w:t>
            </w:r>
            <w:r>
              <w:rPr>
                <w:rFonts w:hint="eastAsia"/>
                <w:color w:val="auto"/>
                <w:kern w:val="0"/>
                <w:szCs w:val="21"/>
                <w:highlight w:val="none"/>
                <w:lang w:eastAsia="zh-CN"/>
              </w:rPr>
              <w:t>(</w:t>
            </w:r>
            <w:r>
              <w:rPr>
                <w:rFonts w:hint="eastAsia"/>
                <w:color w:val="auto"/>
                <w:kern w:val="0"/>
                <w:szCs w:val="21"/>
                <w:highlight w:val="none"/>
              </w:rPr>
              <w:t>2023年更新</w:t>
            </w:r>
            <w:r>
              <w:rPr>
                <w:rFonts w:hint="eastAsia"/>
                <w:color w:val="auto"/>
                <w:kern w:val="0"/>
                <w:szCs w:val="21"/>
                <w:highlight w:val="none"/>
                <w:lang w:eastAsia="zh-CN"/>
              </w:rPr>
              <w:t>)的通知》(</w:t>
            </w:r>
            <w:r>
              <w:rPr>
                <w:rFonts w:hint="eastAsia"/>
                <w:color w:val="auto"/>
                <w:kern w:val="0"/>
                <w:szCs w:val="21"/>
                <w:highlight w:val="none"/>
              </w:rPr>
              <w:t>榕政办规</w:t>
            </w:r>
            <w:r>
              <w:rPr>
                <w:rFonts w:hint="eastAsia"/>
                <w:color w:val="auto"/>
                <w:kern w:val="0"/>
                <w:szCs w:val="21"/>
                <w:highlight w:val="none"/>
                <w:lang w:eastAsia="zh-CN"/>
              </w:rPr>
              <w:t>〔2024〕20号)</w:t>
            </w:r>
            <w:r>
              <w:rPr>
                <w:rFonts w:hint="eastAsia"/>
                <w:color w:val="auto"/>
                <w:kern w:val="0"/>
                <w:szCs w:val="21"/>
                <w:highlight w:val="none"/>
              </w:rPr>
              <w:t>及</w:t>
            </w:r>
            <w:r>
              <w:rPr>
                <w:rFonts w:hint="eastAsia"/>
                <w:color w:val="auto"/>
                <w:sz w:val="24"/>
                <w:szCs w:val="24"/>
                <w:lang w:val="en-US" w:eastAsia="zh-CN"/>
              </w:rPr>
              <w:t>福建省生态环境分区管控综合查询报告</w:t>
            </w:r>
            <w:r>
              <w:rPr>
                <w:rFonts w:hint="eastAsia"/>
                <w:color w:val="auto"/>
                <w:kern w:val="0"/>
                <w:szCs w:val="21"/>
                <w:highlight w:val="none"/>
                <w:shd w:val="clear"/>
              </w:rPr>
              <w:t>（附件</w:t>
            </w:r>
            <w:r>
              <w:rPr>
                <w:rFonts w:hint="eastAsia"/>
                <w:color w:val="auto"/>
                <w:kern w:val="0"/>
                <w:szCs w:val="21"/>
                <w:highlight w:val="none"/>
                <w:shd w:val="clear"/>
                <w:lang w:val="en-US" w:eastAsia="zh-CN"/>
              </w:rPr>
              <w:t>5</w:t>
            </w:r>
            <w:r>
              <w:rPr>
                <w:rFonts w:hint="eastAsia"/>
                <w:color w:val="auto"/>
                <w:kern w:val="0"/>
                <w:szCs w:val="21"/>
                <w:highlight w:val="none"/>
                <w:shd w:val="clear"/>
              </w:rPr>
              <w:t>）</w:t>
            </w:r>
            <w:r>
              <w:rPr>
                <w:rFonts w:hint="eastAsia"/>
                <w:color w:val="auto"/>
                <w:kern w:val="0"/>
                <w:szCs w:val="21"/>
                <w:highlight w:val="none"/>
              </w:rPr>
              <w:t>，本项目所在地管控单位类别为重点管控单元（环境管控单元编码：</w:t>
            </w:r>
            <w:r>
              <w:rPr>
                <w:rFonts w:hint="eastAsia"/>
                <w:color w:val="auto"/>
                <w:kern w:val="0"/>
                <w:szCs w:val="21"/>
                <w:highlight w:val="none"/>
                <w:lang w:val="en-US" w:eastAsia="zh-CN"/>
              </w:rPr>
              <w:t>ZH35018120008</w:t>
            </w:r>
            <w:r>
              <w:rPr>
                <w:rFonts w:hint="eastAsia"/>
                <w:color w:val="auto"/>
                <w:kern w:val="0"/>
                <w:szCs w:val="21"/>
                <w:highlight w:val="none"/>
              </w:rPr>
              <w:t>），空间布局约束管控要求。</w:t>
            </w:r>
            <w:r>
              <w:rPr>
                <w:rFonts w:hint="default" w:ascii="Times New Roman" w:hAnsi="Times New Roman" w:eastAsia="宋体" w:cs="宋体"/>
                <w:color w:val="auto"/>
                <w:kern w:val="0"/>
                <w:szCs w:val="21"/>
                <w:highlight w:val="none"/>
              </w:rPr>
              <w:t>项目位于</w:t>
            </w:r>
            <w:r>
              <w:rPr>
                <w:rFonts w:hint="eastAsia" w:ascii="Times New Roman" w:hAnsi="Times New Roman" w:eastAsia="宋体" w:cs="宋体"/>
                <w:color w:val="auto"/>
                <w:kern w:val="0"/>
                <w:sz w:val="24"/>
                <w:szCs w:val="20"/>
                <w:highlight w:val="none"/>
                <w:shd w:val="clear"/>
                <w:lang w:val="zh-CN" w:eastAsia="zh-CN" w:bidi="ar-SA"/>
              </w:rPr>
              <w:t>福建省福州市福清市镜洋镇过洋39号（租赁福州清山压铸有限公司2#厂房、3#厂房）</w:t>
            </w:r>
            <w:r>
              <w:rPr>
                <w:rFonts w:hint="default" w:ascii="Times New Roman" w:hAnsi="Times New Roman" w:eastAsia="宋体" w:cs="宋体"/>
                <w:color w:val="auto"/>
                <w:kern w:val="0"/>
                <w:szCs w:val="21"/>
                <w:highlight w:val="none"/>
              </w:rPr>
              <w:t>，属于</w:t>
            </w:r>
            <w:r>
              <w:rPr>
                <w:rFonts w:hint="eastAsia" w:ascii="Times New Roman" w:hAnsi="Times New Roman" w:eastAsia="宋体" w:cs="宋体"/>
                <w:color w:val="auto"/>
                <w:kern w:val="0"/>
                <w:szCs w:val="21"/>
                <w:highlight w:val="none"/>
                <w:lang w:val="en-US" w:eastAsia="zh-CN"/>
              </w:rPr>
              <w:t>工业用地，</w:t>
            </w:r>
            <w:r>
              <w:rPr>
                <w:rFonts w:hint="eastAsia"/>
                <w:color w:val="auto"/>
                <w:kern w:val="0"/>
                <w:szCs w:val="21"/>
                <w:highlight w:val="none"/>
                <w:lang w:val="en-US" w:eastAsia="zh-CN"/>
              </w:rPr>
              <w:t>属三十三、汽车制造业36——71、汽车零部件及配件制造367，</w:t>
            </w:r>
            <w:r>
              <w:rPr>
                <w:rFonts w:hint="default" w:ascii="Times New Roman" w:hAnsi="Times New Roman" w:eastAsia="宋体" w:cs="宋体"/>
                <w:color w:val="auto"/>
                <w:kern w:val="0"/>
                <w:szCs w:val="21"/>
                <w:highlight w:val="none"/>
                <w:lang w:val="en-US" w:eastAsia="zh-CN"/>
              </w:rPr>
              <w:t>为</w:t>
            </w:r>
            <w:r>
              <w:rPr>
                <w:rFonts w:hint="eastAsia" w:cs="宋体"/>
                <w:color w:val="auto"/>
                <w:kern w:val="0"/>
                <w:szCs w:val="21"/>
                <w:highlight w:val="none"/>
                <w:lang w:val="en-US" w:eastAsia="zh-CN"/>
              </w:rPr>
              <w:t>规划推荐行业</w:t>
            </w:r>
            <w:r>
              <w:rPr>
                <w:rFonts w:hint="default" w:ascii="Times New Roman" w:hAnsi="Times New Roman" w:eastAsia="宋体" w:cs="宋体"/>
                <w:color w:val="auto"/>
                <w:kern w:val="0"/>
                <w:szCs w:val="21"/>
                <w:highlight w:val="none"/>
              </w:rPr>
              <w:t>。项目</w:t>
            </w:r>
            <w:r>
              <w:rPr>
                <w:rFonts w:hint="eastAsia" w:cs="宋体"/>
                <w:color w:val="auto"/>
                <w:highlight w:val="none"/>
                <w:shd w:val="clear"/>
                <w:lang w:val="en-US" w:eastAsia="zh-CN"/>
              </w:rPr>
              <w:t>生产废水经过污水处理设施处理达标后排入市政污水管网进入福清市第二污水处理厂；</w:t>
            </w:r>
            <w:r>
              <w:rPr>
                <w:rFonts w:hint="default" w:ascii="Times New Roman" w:hAnsi="Times New Roman" w:eastAsia="宋体" w:cs="宋体"/>
                <w:color w:val="auto"/>
                <w:kern w:val="0"/>
                <w:szCs w:val="21"/>
                <w:highlight w:val="none"/>
                <w:shd w:val="clear"/>
              </w:rPr>
              <w:t>生活污水</w:t>
            </w:r>
            <w:r>
              <w:rPr>
                <w:rFonts w:hint="eastAsia" w:ascii="Times New Roman" w:hAnsi="Times New Roman" w:eastAsia="宋体" w:cs="宋体"/>
                <w:color w:val="auto"/>
                <w:kern w:val="0"/>
                <w:szCs w:val="21"/>
                <w:highlight w:val="none"/>
                <w:shd w:val="clear"/>
                <w:lang w:val="en-US" w:eastAsia="zh-CN"/>
              </w:rPr>
              <w:t>经</w:t>
            </w:r>
            <w:r>
              <w:rPr>
                <w:rFonts w:hint="default" w:ascii="Times New Roman" w:hAnsi="Times New Roman" w:eastAsia="宋体" w:cs="宋体"/>
                <w:color w:val="auto"/>
                <w:kern w:val="0"/>
                <w:szCs w:val="21"/>
                <w:highlight w:val="none"/>
                <w:shd w:val="clear"/>
              </w:rPr>
              <w:t>化粪池处理后排入市政污水管网</w:t>
            </w:r>
            <w:r>
              <w:rPr>
                <w:rFonts w:hint="eastAsia" w:cs="宋体"/>
                <w:color w:val="auto"/>
                <w:highlight w:val="none"/>
                <w:shd w:val="clear"/>
                <w:lang w:val="en-US" w:eastAsia="zh-CN"/>
              </w:rPr>
              <w:t>进入福清市第二污水处理厂</w:t>
            </w:r>
            <w:r>
              <w:rPr>
                <w:rFonts w:hint="eastAsia" w:ascii="Times New Roman" w:hAnsi="Times New Roman" w:eastAsia="宋体" w:cs="宋体"/>
                <w:color w:val="auto"/>
                <w:kern w:val="0"/>
                <w:szCs w:val="21"/>
                <w:highlight w:val="none"/>
                <w:shd w:val="clear"/>
                <w:lang w:eastAsia="zh-CN"/>
              </w:rPr>
              <w:t>，</w:t>
            </w:r>
            <w:r>
              <w:rPr>
                <w:rFonts w:hint="default" w:ascii="Times New Roman" w:hAnsi="Times New Roman" w:eastAsia="宋体" w:cs="宋体"/>
                <w:color w:val="auto"/>
                <w:kern w:val="0"/>
                <w:szCs w:val="21"/>
                <w:highlight w:val="none"/>
              </w:rPr>
              <w:t>不属于以上约束管控的禁止项目，与生态环境准入条件不冲突。</w:t>
            </w:r>
          </w:p>
          <w:p w14:paraId="264973D4">
            <w:pPr>
              <w:pStyle w:val="44"/>
              <w:ind w:firstLine="480"/>
              <w:rPr>
                <w:rFonts w:hint="eastAsia" w:eastAsia="宋体"/>
                <w:color w:val="auto"/>
                <w:kern w:val="0"/>
                <w:szCs w:val="21"/>
                <w:highlight w:val="none"/>
                <w:lang w:eastAsia="zh-CN"/>
              </w:rPr>
            </w:pPr>
            <w:r>
              <w:rPr>
                <w:rFonts w:hint="eastAsia"/>
                <w:color w:val="auto"/>
                <w:kern w:val="0"/>
                <w:szCs w:val="21"/>
                <w:highlight w:val="none"/>
                <w:lang w:eastAsia="zh-CN"/>
              </w:rPr>
              <w:t>(</w:t>
            </w:r>
            <w:r>
              <w:rPr>
                <w:rFonts w:hint="eastAsia"/>
                <w:color w:val="auto"/>
                <w:kern w:val="0"/>
                <w:szCs w:val="21"/>
                <w:highlight w:val="none"/>
              </w:rPr>
              <w:t>1</w:t>
            </w:r>
            <w:r>
              <w:rPr>
                <w:rFonts w:hint="eastAsia"/>
                <w:color w:val="auto"/>
                <w:kern w:val="0"/>
                <w:szCs w:val="21"/>
                <w:highlight w:val="none"/>
                <w:lang w:eastAsia="zh-CN"/>
              </w:rPr>
              <w:t>)</w:t>
            </w:r>
            <w:r>
              <w:rPr>
                <w:rFonts w:hint="eastAsia"/>
                <w:color w:val="auto"/>
                <w:kern w:val="0"/>
                <w:szCs w:val="21"/>
                <w:highlight w:val="none"/>
              </w:rPr>
              <w:t>与</w:t>
            </w:r>
            <w:r>
              <w:rPr>
                <w:rFonts w:hint="eastAsia"/>
                <w:color w:val="auto"/>
                <w:kern w:val="0"/>
                <w:szCs w:val="21"/>
                <w:highlight w:val="none"/>
                <w:lang w:val="en-GB"/>
              </w:rPr>
              <w:t>《福建省人民政府关于实施“三线一单”生态环境分区管控的通知》</w:t>
            </w:r>
            <w:r>
              <w:rPr>
                <w:rFonts w:hint="eastAsia"/>
                <w:color w:val="auto"/>
                <w:kern w:val="0"/>
                <w:szCs w:val="21"/>
                <w:highlight w:val="none"/>
              </w:rPr>
              <w:t>符合性分析</w:t>
            </w:r>
          </w:p>
          <w:p w14:paraId="12CD4E78">
            <w:pPr>
              <w:pStyle w:val="44"/>
              <w:ind w:firstLine="480"/>
              <w:rPr>
                <w:rFonts w:hint="default" w:ascii="Times New Roman" w:hAnsi="Times New Roman" w:eastAsia="宋体" w:cs="宋体"/>
                <w:color w:val="auto"/>
                <w:kern w:val="0"/>
                <w:szCs w:val="21"/>
                <w:highlight w:val="none"/>
                <w:lang w:val="en-US" w:eastAsia="zh-CN"/>
              </w:rPr>
            </w:pPr>
            <w:r>
              <w:rPr>
                <w:rFonts w:hint="eastAsia"/>
                <w:color w:val="auto"/>
                <w:kern w:val="0"/>
                <w:szCs w:val="21"/>
                <w:highlight w:val="none"/>
                <w:lang w:val="en-US" w:eastAsia="zh-CN"/>
              </w:rPr>
              <w:t>项目与</w:t>
            </w:r>
            <w:r>
              <w:rPr>
                <w:rFonts w:hint="eastAsia"/>
                <w:color w:val="auto"/>
                <w:kern w:val="0"/>
                <w:szCs w:val="21"/>
                <w:highlight w:val="none"/>
              </w:rPr>
              <w:t>《福建省人民政府关于实施“三线一单”生态环境分区管控的通知》</w:t>
            </w:r>
            <w:r>
              <w:rPr>
                <w:rFonts w:hint="eastAsia"/>
                <w:color w:val="auto"/>
                <w:kern w:val="0"/>
                <w:szCs w:val="21"/>
                <w:highlight w:val="none"/>
                <w:lang w:eastAsia="zh-CN"/>
              </w:rPr>
              <w:t>(</w:t>
            </w:r>
            <w:r>
              <w:rPr>
                <w:rFonts w:hint="eastAsia"/>
                <w:color w:val="auto"/>
                <w:kern w:val="0"/>
                <w:szCs w:val="21"/>
                <w:highlight w:val="none"/>
              </w:rPr>
              <w:t>闽政</w:t>
            </w:r>
            <w:r>
              <w:rPr>
                <w:rFonts w:hint="eastAsia"/>
                <w:color w:val="auto"/>
                <w:kern w:val="0"/>
                <w:szCs w:val="21"/>
                <w:highlight w:val="none"/>
                <w:lang w:eastAsia="zh-CN"/>
              </w:rPr>
              <w:t>〔2020〕12号)</w:t>
            </w:r>
            <w:r>
              <w:rPr>
                <w:rFonts w:hint="eastAsia"/>
                <w:color w:val="auto"/>
                <w:kern w:val="0"/>
                <w:szCs w:val="21"/>
                <w:highlight w:val="none"/>
              </w:rPr>
              <w:t>相关要求</w:t>
            </w:r>
            <w:r>
              <w:rPr>
                <w:rFonts w:hint="eastAsia"/>
                <w:color w:val="auto"/>
                <w:kern w:val="0"/>
                <w:szCs w:val="21"/>
                <w:highlight w:val="none"/>
                <w:lang w:val="en-US" w:eastAsia="zh-CN"/>
              </w:rPr>
              <w:t>符合性分析</w:t>
            </w:r>
            <w:r>
              <w:rPr>
                <w:rFonts w:hint="eastAsia"/>
                <w:color w:val="auto"/>
                <w:kern w:val="0"/>
                <w:szCs w:val="21"/>
                <w:highlight w:val="none"/>
              </w:rPr>
              <w:t>见</w:t>
            </w:r>
            <w:r>
              <w:rPr>
                <w:rFonts w:hint="eastAsia"/>
                <w:color w:val="auto"/>
                <w:kern w:val="0"/>
                <w:szCs w:val="21"/>
                <w:highlight w:val="none"/>
                <w:lang w:val="en-US" w:eastAsia="zh-CN"/>
              </w:rPr>
              <w:t>表1.7-1。</w:t>
            </w:r>
          </w:p>
          <w:p w14:paraId="176D0631">
            <w:pPr>
              <w:pStyle w:val="42"/>
              <w:keepNext w:val="0"/>
              <w:keepLines w:val="0"/>
              <w:pageBreakBefore w:val="0"/>
              <w:widowControl w:val="0"/>
              <w:suppressLineNumbers w:val="0"/>
              <w:tabs>
                <w:tab w:val="left" w:pos="0"/>
                <w:tab w:val="clear" w:pos="420"/>
              </w:tabs>
              <w:kinsoku/>
              <w:wordWrap/>
              <w:overflowPunct/>
              <w:topLinePunct w:val="0"/>
              <w:autoSpaceDE/>
              <w:autoSpaceDN/>
              <w:bidi w:val="0"/>
              <w:adjustRightInd/>
              <w:snapToGrid/>
              <w:spacing w:beforeAutospacing="0" w:after="0" w:afterAutospacing="0"/>
              <w:ind w:left="210" w:leftChars="0" w:right="0" w:firstLineChars="0"/>
              <w:jc w:val="center"/>
              <w:textAlignment w:val="auto"/>
              <w:rPr>
                <w:rFonts w:hint="eastAsia" w:ascii="Times New Roman" w:hAnsi="Times New Roman" w:eastAsia="宋体" w:cs="宋体"/>
                <w:color w:val="auto"/>
                <w:lang w:eastAsia="zh-CN"/>
              </w:rPr>
            </w:pPr>
            <w:r>
              <w:rPr>
                <w:rFonts w:hint="eastAsia" w:ascii="Times New Roman" w:hAnsi="Times New Roman" w:eastAsia="宋体" w:cs="宋体"/>
                <w:color w:val="auto"/>
                <w:lang w:eastAsia="zh-CN"/>
              </w:rPr>
              <w:t>与全省生态环境总体准入要求的符合性分析</w:t>
            </w:r>
          </w:p>
          <w:tbl>
            <w:tblPr>
              <w:tblStyle w:val="33"/>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691"/>
              <w:gridCol w:w="324"/>
              <w:gridCol w:w="3636"/>
              <w:gridCol w:w="1727"/>
              <w:gridCol w:w="662"/>
            </w:tblGrid>
            <w:tr w14:paraId="26E562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691" w:type="dxa"/>
                  <w:tcBorders>
                    <w:bottom w:val="single" w:color="000000" w:sz="12" w:space="0"/>
                  </w:tcBorders>
                  <w:noWrap w:val="0"/>
                  <w:vAlign w:val="center"/>
                </w:tcPr>
                <w:p w14:paraId="5C348A9C">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适用范围</w:t>
                  </w:r>
                </w:p>
              </w:tc>
              <w:tc>
                <w:tcPr>
                  <w:tcW w:w="3960" w:type="dxa"/>
                  <w:gridSpan w:val="2"/>
                  <w:tcBorders>
                    <w:bottom w:val="single" w:color="000000" w:sz="12" w:space="0"/>
                  </w:tcBorders>
                  <w:noWrap w:val="0"/>
                  <w:vAlign w:val="center"/>
                </w:tcPr>
                <w:p w14:paraId="104C4644">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准入要求</w:t>
                  </w:r>
                </w:p>
              </w:tc>
              <w:tc>
                <w:tcPr>
                  <w:tcW w:w="1727" w:type="dxa"/>
                  <w:tcBorders>
                    <w:bottom w:val="single" w:color="000000" w:sz="12" w:space="0"/>
                  </w:tcBorders>
                  <w:noWrap w:val="0"/>
                  <w:vAlign w:val="center"/>
                </w:tcPr>
                <w:p w14:paraId="5B5A4F5F">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本项目情况</w:t>
                  </w:r>
                </w:p>
              </w:tc>
              <w:tc>
                <w:tcPr>
                  <w:tcW w:w="662" w:type="dxa"/>
                  <w:tcBorders>
                    <w:bottom w:val="single" w:color="000000" w:sz="12" w:space="0"/>
                  </w:tcBorders>
                  <w:noWrap w:val="0"/>
                  <w:vAlign w:val="center"/>
                </w:tcPr>
                <w:p w14:paraId="5475778C">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符合性</w:t>
                  </w:r>
                </w:p>
              </w:tc>
            </w:tr>
            <w:tr w14:paraId="6BC0BE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691" w:type="dxa"/>
                  <w:vMerge w:val="restart"/>
                  <w:tcBorders>
                    <w:top w:val="single" w:color="000000" w:sz="12" w:space="0"/>
                  </w:tcBorders>
                  <w:noWrap w:val="0"/>
                  <w:vAlign w:val="center"/>
                </w:tcPr>
                <w:p w14:paraId="17629FC8">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全省陆域</w:t>
                  </w:r>
                </w:p>
              </w:tc>
              <w:tc>
                <w:tcPr>
                  <w:tcW w:w="324" w:type="dxa"/>
                  <w:tcBorders>
                    <w:top w:val="single" w:color="000000" w:sz="12" w:space="0"/>
                  </w:tcBorders>
                  <w:noWrap w:val="0"/>
                  <w:vAlign w:val="center"/>
                </w:tcPr>
                <w:p w14:paraId="2B2CF4BF">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空间布局约束</w:t>
                  </w:r>
                </w:p>
              </w:tc>
              <w:tc>
                <w:tcPr>
                  <w:tcW w:w="3636" w:type="dxa"/>
                  <w:tcBorders>
                    <w:top w:val="single" w:color="000000" w:sz="12" w:space="0"/>
                  </w:tcBorders>
                  <w:noWrap w:val="0"/>
                  <w:vAlign w:val="center"/>
                </w:tcPr>
                <w:p w14:paraId="10113566">
                  <w:pPr>
                    <w:pStyle w:val="93"/>
                    <w:tabs>
                      <w:tab w:val="left" w:pos="0"/>
                      <w:tab w:val="clear" w:pos="3825"/>
                      <w:tab w:val="clear" w:pos="4680"/>
                    </w:tabs>
                    <w:spacing w:line="340" w:lineRule="exact"/>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1、石化、汽车、船舶、冶金、水泥、制浆造纸、印染等重点产业，要符合全省规划布局要求。</w:t>
                  </w:r>
                </w:p>
                <w:p w14:paraId="11D57AEB">
                  <w:pPr>
                    <w:pStyle w:val="93"/>
                    <w:tabs>
                      <w:tab w:val="left" w:pos="0"/>
                      <w:tab w:val="clear" w:pos="3825"/>
                      <w:tab w:val="clear" w:pos="4680"/>
                    </w:tabs>
                    <w:spacing w:line="340" w:lineRule="exact"/>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2、严控钢铁、水泥、平板玻璃等产能过剩行业新增产能，新增产能应实施产能等量或减量置换。</w:t>
                  </w:r>
                </w:p>
                <w:p w14:paraId="4469FF80">
                  <w:pPr>
                    <w:pStyle w:val="93"/>
                    <w:tabs>
                      <w:tab w:val="left" w:pos="0"/>
                      <w:tab w:val="clear" w:pos="3825"/>
                      <w:tab w:val="clear" w:pos="4680"/>
                    </w:tabs>
                    <w:spacing w:line="340" w:lineRule="exact"/>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3、除列入国家规划的大型煤电和符合相关要求的等容量替代项目，以及以供热为主的热电联产项目外，原则上不再建设新的煤电项目。</w:t>
                  </w:r>
                </w:p>
                <w:p w14:paraId="0228EB69">
                  <w:pPr>
                    <w:pStyle w:val="93"/>
                    <w:tabs>
                      <w:tab w:val="left" w:pos="0"/>
                      <w:tab w:val="clear" w:pos="3825"/>
                      <w:tab w:val="clear" w:pos="4680"/>
                    </w:tabs>
                    <w:spacing w:line="340" w:lineRule="exact"/>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4、氟化工产业应集中布局在《关于促进我省氟化工产业绿色高效发展的若干意见》中确定的园区，在上述园区之外不再新建氟化工项目，园区之外现有氟化工项目不再扩大规模。</w:t>
                  </w:r>
                </w:p>
                <w:p w14:paraId="36978978">
                  <w:pPr>
                    <w:pStyle w:val="93"/>
                    <w:tabs>
                      <w:tab w:val="left" w:pos="0"/>
                      <w:tab w:val="clear" w:pos="3825"/>
                      <w:tab w:val="clear" w:pos="4680"/>
                    </w:tabs>
                    <w:spacing w:line="340" w:lineRule="exact"/>
                    <w:ind w:left="0" w:leftChars="0" w:firstLine="0" w:firstLineChars="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5、禁止在水环境质量不能稳定达标的区域内，建设新增相应不达标污染物指标排放量的工业项目。</w:t>
                  </w:r>
                </w:p>
              </w:tc>
              <w:tc>
                <w:tcPr>
                  <w:tcW w:w="1727" w:type="dxa"/>
                  <w:tcBorders>
                    <w:top w:val="single" w:color="000000" w:sz="12" w:space="0"/>
                  </w:tcBorders>
                  <w:noWrap w:val="0"/>
                  <w:vAlign w:val="center"/>
                </w:tcPr>
                <w:p w14:paraId="5BA0BF46">
                  <w:pPr>
                    <w:pBdr>
                      <w:top w:val="none" w:color="auto" w:sz="0" w:space="1"/>
                      <w:left w:val="none" w:color="auto" w:sz="0" w:space="4"/>
                      <w:bottom w:val="none" w:color="auto" w:sz="0" w:space="1"/>
                      <w:right w:val="none" w:color="auto" w:sz="0" w:space="4"/>
                    </w:pBdr>
                    <w:spacing w:line="340" w:lineRule="exact"/>
                    <w:jc w:val="left"/>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1、项目不属于</w:t>
                  </w:r>
                  <w:r>
                    <w:rPr>
                      <w:rFonts w:hint="default" w:ascii="Times New Roman" w:hAnsi="Times New Roman" w:eastAsia="宋体" w:cs="Times New Roman"/>
                      <w:color w:val="auto"/>
                      <w:sz w:val="21"/>
                      <w:szCs w:val="21"/>
                    </w:rPr>
                    <w:t>石化、汽车、船舶、冶金、水泥、制浆造纸、印染</w:t>
                  </w:r>
                  <w:r>
                    <w:rPr>
                      <w:rFonts w:hint="eastAsia" w:ascii="Times New Roman" w:hAnsi="Times New Roman" w:eastAsia="宋体" w:cs="Times New Roman"/>
                      <w:color w:val="auto"/>
                      <w:sz w:val="21"/>
                      <w:szCs w:val="21"/>
                      <w:lang w:val="en-US" w:eastAsia="zh-CN"/>
                    </w:rPr>
                    <w:t>等产业。</w:t>
                  </w:r>
                </w:p>
                <w:p w14:paraId="16160313">
                  <w:pPr>
                    <w:pBdr>
                      <w:top w:val="none" w:color="auto" w:sz="0" w:space="1"/>
                      <w:left w:val="none" w:color="auto" w:sz="0" w:space="4"/>
                      <w:bottom w:val="none" w:color="auto" w:sz="0" w:space="1"/>
                      <w:right w:val="none" w:color="auto" w:sz="0" w:space="4"/>
                    </w:pBdr>
                    <w:spacing w:line="340" w:lineRule="exact"/>
                    <w:jc w:val="left"/>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项目不属于</w:t>
                  </w:r>
                  <w:r>
                    <w:rPr>
                      <w:rFonts w:hint="default" w:ascii="Times New Roman" w:hAnsi="Times New Roman" w:eastAsia="宋体" w:cs="Times New Roman"/>
                      <w:color w:val="auto"/>
                      <w:sz w:val="21"/>
                      <w:szCs w:val="21"/>
                    </w:rPr>
                    <w:t>钢铁、水泥、平板玻璃</w:t>
                  </w:r>
                  <w:r>
                    <w:rPr>
                      <w:rFonts w:hint="eastAsia" w:ascii="Times New Roman" w:hAnsi="Times New Roman" w:eastAsia="宋体" w:cs="Times New Roman"/>
                      <w:color w:val="auto"/>
                      <w:sz w:val="21"/>
                      <w:szCs w:val="21"/>
                      <w:lang w:val="en-US" w:eastAsia="zh-CN"/>
                    </w:rPr>
                    <w:t>等行业</w:t>
                  </w:r>
                  <w:r>
                    <w:rPr>
                      <w:rFonts w:hint="eastAsia" w:ascii="Times New Roman" w:hAnsi="Times New Roman" w:eastAsia="宋体" w:cs="Times New Roman"/>
                      <w:color w:val="auto"/>
                      <w:sz w:val="21"/>
                      <w:szCs w:val="21"/>
                      <w:lang w:eastAsia="zh-CN"/>
                    </w:rPr>
                    <w:t>。</w:t>
                  </w:r>
                </w:p>
                <w:p w14:paraId="28F074F6">
                  <w:pPr>
                    <w:pBdr>
                      <w:top w:val="none" w:color="auto" w:sz="0" w:space="1"/>
                      <w:left w:val="none" w:color="auto" w:sz="0" w:space="4"/>
                      <w:bottom w:val="none" w:color="auto" w:sz="0" w:space="1"/>
                      <w:right w:val="none" w:color="auto" w:sz="0" w:space="4"/>
                    </w:pBdr>
                    <w:spacing w:line="340" w:lineRule="exact"/>
                    <w:jc w:val="left"/>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3、项目不属于</w:t>
                  </w:r>
                  <w:r>
                    <w:rPr>
                      <w:rFonts w:hint="default" w:ascii="Times New Roman" w:hAnsi="Times New Roman" w:eastAsia="宋体" w:cs="Times New Roman"/>
                      <w:color w:val="auto"/>
                      <w:sz w:val="21"/>
                      <w:szCs w:val="21"/>
                    </w:rPr>
                    <w:t>热电联产</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煤电项目</w:t>
                  </w:r>
                  <w:r>
                    <w:rPr>
                      <w:rFonts w:hint="eastAsia" w:ascii="Times New Roman" w:hAnsi="Times New Roman" w:eastAsia="宋体" w:cs="Times New Roman"/>
                      <w:color w:val="auto"/>
                      <w:sz w:val="21"/>
                      <w:szCs w:val="21"/>
                      <w:lang w:eastAsia="zh-CN"/>
                    </w:rPr>
                    <w:t>。</w:t>
                  </w:r>
                </w:p>
                <w:p w14:paraId="716F67D4">
                  <w:pPr>
                    <w:pBdr>
                      <w:top w:val="none" w:color="auto" w:sz="0" w:space="1"/>
                      <w:left w:val="none" w:color="auto" w:sz="0" w:space="4"/>
                      <w:bottom w:val="none" w:color="auto" w:sz="0" w:space="1"/>
                      <w:right w:val="none" w:color="auto" w:sz="0" w:space="4"/>
                    </w:pBdr>
                    <w:spacing w:line="340" w:lineRule="exact"/>
                    <w:jc w:val="left"/>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val="en-US" w:eastAsia="zh-CN"/>
                    </w:rPr>
                    <w:t>4、项目不属于</w:t>
                  </w:r>
                  <w:r>
                    <w:rPr>
                      <w:rFonts w:hint="default" w:ascii="Times New Roman" w:hAnsi="Times New Roman" w:eastAsia="宋体" w:cs="Times New Roman"/>
                      <w:color w:val="auto"/>
                      <w:sz w:val="21"/>
                      <w:szCs w:val="21"/>
                    </w:rPr>
                    <w:t>氟化工产业</w:t>
                  </w:r>
                  <w:r>
                    <w:rPr>
                      <w:rFonts w:hint="eastAsia" w:ascii="Times New Roman" w:hAnsi="Times New Roman" w:eastAsia="宋体" w:cs="Times New Roman"/>
                      <w:color w:val="auto"/>
                      <w:sz w:val="21"/>
                      <w:szCs w:val="21"/>
                      <w:lang w:eastAsia="zh-CN"/>
                    </w:rPr>
                    <w:t>。</w:t>
                  </w:r>
                </w:p>
                <w:p w14:paraId="70C47CDD">
                  <w:pPr>
                    <w:pBdr>
                      <w:top w:val="none" w:color="auto" w:sz="0" w:space="1"/>
                      <w:left w:val="none" w:color="auto" w:sz="0" w:space="4"/>
                      <w:bottom w:val="none" w:color="auto" w:sz="0" w:space="1"/>
                      <w:right w:val="none" w:color="auto" w:sz="0" w:space="4"/>
                    </w:pBdr>
                    <w:spacing w:line="340" w:lineRule="exact"/>
                    <w:jc w:val="left"/>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rPr>
                    <w:t>项目所在区域水环境质量能稳定达标排放，</w:t>
                  </w:r>
                  <w:r>
                    <w:rPr>
                      <w:rFonts w:hint="eastAsia" w:ascii="Times New Roman" w:hAnsi="Times New Roman" w:eastAsia="宋体" w:cs="Times New Roman"/>
                      <w:color w:val="auto"/>
                      <w:sz w:val="21"/>
                      <w:szCs w:val="21"/>
                      <w:lang w:val="en-US" w:eastAsia="zh-CN"/>
                    </w:rPr>
                    <w:t>项目生产废水</w:t>
                  </w:r>
                  <w:r>
                    <w:rPr>
                      <w:rFonts w:hint="eastAsia" w:cs="Times New Roman"/>
                      <w:color w:val="auto"/>
                      <w:sz w:val="21"/>
                      <w:szCs w:val="21"/>
                      <w:lang w:val="en-US" w:eastAsia="zh-CN"/>
                    </w:rPr>
                    <w:t>经过污水处理设施处理达标排放至市政污水管网送往福清市第二污水处理厂处理；</w:t>
                  </w:r>
                  <w:r>
                    <w:rPr>
                      <w:rFonts w:hint="eastAsia" w:ascii="Times New Roman" w:hAnsi="Times New Roman" w:eastAsia="宋体" w:cs="Times New Roman"/>
                      <w:color w:val="auto"/>
                      <w:sz w:val="21"/>
                      <w:szCs w:val="21"/>
                      <w:lang w:val="en-US" w:eastAsia="zh-CN"/>
                    </w:rPr>
                    <w:t>生活污水经化粪池处理达标后排入市政污水管网</w:t>
                  </w:r>
                  <w:r>
                    <w:rPr>
                      <w:rFonts w:hint="eastAsia" w:cs="Times New Roman"/>
                      <w:color w:val="auto"/>
                      <w:sz w:val="21"/>
                      <w:szCs w:val="21"/>
                      <w:lang w:val="en-US" w:eastAsia="zh-CN"/>
                    </w:rPr>
                    <w:t>送往福清市第二污水处理厂处理</w:t>
                  </w:r>
                </w:p>
              </w:tc>
              <w:tc>
                <w:tcPr>
                  <w:tcW w:w="662" w:type="dxa"/>
                  <w:tcBorders>
                    <w:top w:val="single" w:color="000000" w:sz="12" w:space="0"/>
                  </w:tcBorders>
                  <w:noWrap w:val="0"/>
                  <w:vAlign w:val="center"/>
                </w:tcPr>
                <w:p w14:paraId="2F8ADD33">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246894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jc w:val="center"/>
              </w:trPr>
              <w:tc>
                <w:tcPr>
                  <w:tcW w:w="691" w:type="dxa"/>
                  <w:vMerge w:val="continue"/>
                  <w:noWrap w:val="0"/>
                  <w:vAlign w:val="center"/>
                </w:tcPr>
                <w:p w14:paraId="57CDA7E3">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p>
              </w:tc>
              <w:tc>
                <w:tcPr>
                  <w:tcW w:w="324" w:type="dxa"/>
                  <w:noWrap w:val="0"/>
                  <w:vAlign w:val="center"/>
                </w:tcPr>
                <w:p w14:paraId="76EA9A43">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污染物排放管控</w:t>
                  </w:r>
                </w:p>
              </w:tc>
              <w:tc>
                <w:tcPr>
                  <w:tcW w:w="3636" w:type="dxa"/>
                  <w:noWrap w:val="0"/>
                  <w:vAlign w:val="center"/>
                </w:tcPr>
                <w:p w14:paraId="47BB6829">
                  <w:pPr>
                    <w:pBdr>
                      <w:top w:val="none" w:color="auto" w:sz="0" w:space="1"/>
                      <w:left w:val="none" w:color="auto" w:sz="0" w:space="4"/>
                      <w:bottom w:val="none" w:color="auto" w:sz="0" w:space="1"/>
                      <w:right w:val="none" w:color="auto" w:sz="0" w:space="4"/>
                    </w:pBdr>
                    <w:spacing w:line="340" w:lineRule="exact"/>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建设项目新增的主要污染物排放量应按要求实行等量或倍量替代。涉及总磷排放的建设项目应按照要求实行总磷排放量倍量或等量削减替代。涉及重金属重点行业建设项目新增的重点重金属污染物应按要求实行“减量置换”或等量替换"。涉新增VOC</w:t>
                  </w:r>
                  <w:r>
                    <w:rPr>
                      <w:rFonts w:hint="default" w:ascii="Times New Roman" w:hAnsi="Times New Roman" w:eastAsia="宋体" w:cs="Times New Roman"/>
                      <w:color w:val="auto"/>
                      <w:sz w:val="21"/>
                      <w:szCs w:val="21"/>
                      <w:vertAlign w:val="subscript"/>
                    </w:rPr>
                    <w:t>S</w:t>
                  </w:r>
                  <w:r>
                    <w:rPr>
                      <w:rFonts w:hint="default" w:ascii="Times New Roman" w:hAnsi="Times New Roman" w:eastAsia="宋体" w:cs="Times New Roman"/>
                      <w:color w:val="auto"/>
                      <w:sz w:val="21"/>
                      <w:szCs w:val="21"/>
                    </w:rPr>
                    <w:t>排放项目，VOC</w:t>
                  </w:r>
                  <w:r>
                    <w:rPr>
                      <w:rFonts w:hint="default" w:ascii="Times New Roman" w:hAnsi="Times New Roman" w:eastAsia="宋体" w:cs="Times New Roman"/>
                      <w:color w:val="auto"/>
                      <w:sz w:val="21"/>
                      <w:szCs w:val="21"/>
                      <w:vertAlign w:val="subscript"/>
                    </w:rPr>
                    <w:t>S</w:t>
                  </w:r>
                  <w:r>
                    <w:rPr>
                      <w:rFonts w:hint="default" w:ascii="Times New Roman" w:hAnsi="Times New Roman" w:eastAsia="宋体" w:cs="Times New Roman"/>
                      <w:color w:val="auto"/>
                      <w:sz w:val="21"/>
                      <w:szCs w:val="21"/>
                    </w:rPr>
                    <w:t>排放实行区域内等量替代。福州、厦门、漳州、泉州、莆田、宁德等6个重点控制区可实施倍量替代。</w:t>
                  </w:r>
                </w:p>
                <w:p w14:paraId="681485D9">
                  <w:pPr>
                    <w:pBdr>
                      <w:top w:val="none" w:color="auto" w:sz="0" w:space="1"/>
                      <w:left w:val="none" w:color="auto" w:sz="0" w:space="4"/>
                      <w:bottom w:val="none" w:color="auto" w:sz="0" w:space="1"/>
                      <w:right w:val="none" w:color="auto" w:sz="0" w:space="4"/>
                    </w:pBdr>
                    <w:spacing w:line="340" w:lineRule="exact"/>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2、新建水泥、有色金属项目应执行大气污染物特别排放限值，钢铁项目应执行超低排放指标要求，火电项目应达到超低排放限值。</w:t>
                  </w:r>
                </w:p>
                <w:p w14:paraId="2CCBB56F">
                  <w:pPr>
                    <w:pBdr>
                      <w:top w:val="none" w:color="auto" w:sz="0" w:space="1"/>
                      <w:left w:val="none" w:color="auto" w:sz="0" w:space="4"/>
                      <w:bottom w:val="none" w:color="auto" w:sz="0" w:space="1"/>
                      <w:right w:val="none" w:color="auto" w:sz="0" w:space="4"/>
                    </w:pBdr>
                    <w:spacing w:line="340" w:lineRule="exact"/>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3、尾水排入近岸海域汇水区域、“六江两溪”流域以及湖泊、水库等封闭、半封闭水域的城镇污水处理设施执行不低于一级 A 排放标准。</w:t>
                  </w:r>
                </w:p>
              </w:tc>
              <w:tc>
                <w:tcPr>
                  <w:tcW w:w="1727" w:type="dxa"/>
                  <w:noWrap w:val="0"/>
                  <w:vAlign w:val="center"/>
                </w:tcPr>
                <w:p w14:paraId="49E3EB8C">
                  <w:pPr>
                    <w:pBdr>
                      <w:top w:val="none" w:color="auto" w:sz="0" w:space="1"/>
                      <w:left w:val="none" w:color="auto" w:sz="0" w:space="4"/>
                      <w:bottom w:val="none" w:color="auto" w:sz="0" w:space="1"/>
                      <w:right w:val="none" w:color="auto" w:sz="0" w:space="4"/>
                    </w:pBdr>
                    <w:spacing w:line="340" w:lineRule="exact"/>
                    <w:jc w:val="left"/>
                    <w:rPr>
                      <w:rFonts w:hint="default" w:ascii="Times New Roman" w:hAnsi="Times New Roman" w:eastAsia="宋体" w:cs="Times New Roman"/>
                      <w:color w:val="auto"/>
                      <w:sz w:val="21"/>
                      <w:szCs w:val="21"/>
                      <w:shd w:val="clear" w:fill="FFFF00"/>
                    </w:rPr>
                  </w:pPr>
                  <w:r>
                    <w:rPr>
                      <w:rFonts w:hint="default" w:ascii="Times New Roman" w:hAnsi="Times New Roman" w:eastAsia="宋体" w:cs="Times New Roman"/>
                      <w:color w:val="auto"/>
                      <w:sz w:val="21"/>
                      <w:szCs w:val="21"/>
                    </w:rPr>
                    <w:t>1、</w:t>
                  </w:r>
                  <w:r>
                    <w:rPr>
                      <w:rFonts w:hint="default" w:ascii="Times New Roman" w:hAnsi="Times New Roman" w:eastAsia="宋体" w:cs="Times New Roman"/>
                      <w:color w:val="auto"/>
                      <w:sz w:val="21"/>
                      <w:szCs w:val="21"/>
                      <w:lang w:val="en-US" w:eastAsia="zh-CN"/>
                    </w:rPr>
                    <w:t>项目位于福建省福州市福清市镜洋镇过洋39号（租赁福州清山压铸有限公司2#厂房、3#厂房）</w:t>
                  </w:r>
                  <w:r>
                    <w:rPr>
                      <w:rFonts w:hint="default" w:ascii="Times New Roman" w:hAnsi="Times New Roman" w:eastAsia="宋体" w:cs="Times New Roman"/>
                      <w:color w:val="auto"/>
                      <w:sz w:val="21"/>
                      <w:szCs w:val="21"/>
                      <w:shd w:val="clear"/>
                      <w:lang w:val="en-US" w:eastAsia="zh-CN"/>
                    </w:rPr>
                    <w:t>，属于其规定的污染物管控区域。项目涉VOCs排放，建设单位将严格按照文件规定要求对VOCs总量进行调剂。</w:t>
                  </w:r>
                </w:p>
                <w:p w14:paraId="19511FFA">
                  <w:pPr>
                    <w:pBdr>
                      <w:top w:val="none" w:color="auto" w:sz="0" w:space="1"/>
                      <w:left w:val="none" w:color="auto" w:sz="0" w:space="4"/>
                      <w:bottom w:val="none" w:color="auto" w:sz="0" w:space="1"/>
                      <w:right w:val="none" w:color="auto" w:sz="0" w:space="4"/>
                    </w:pBdr>
                    <w:spacing w:line="340" w:lineRule="exact"/>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2、项目不属于水泥、有色金属、钢铁、火电项目。</w:t>
                  </w:r>
                </w:p>
                <w:p w14:paraId="78A0D4FD">
                  <w:pPr>
                    <w:pBdr>
                      <w:top w:val="none" w:color="auto" w:sz="0" w:space="1"/>
                      <w:left w:val="none" w:color="auto" w:sz="0" w:space="4"/>
                      <w:bottom w:val="none" w:color="auto" w:sz="0" w:space="1"/>
                      <w:right w:val="none" w:color="auto" w:sz="0" w:space="4"/>
                    </w:pBdr>
                    <w:spacing w:line="340" w:lineRule="exact"/>
                    <w:jc w:val="lef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r>
                    <w:rPr>
                      <w:rFonts w:hint="eastAsia" w:ascii="Times New Roman" w:hAnsi="Times New Roman" w:eastAsia="宋体" w:cs="Times New Roman"/>
                      <w:color w:val="auto"/>
                      <w:sz w:val="21"/>
                      <w:szCs w:val="21"/>
                      <w:lang w:val="en-US" w:eastAsia="zh-CN"/>
                    </w:rPr>
                    <w:t>项目无生产废水排放，生活污水经化粪池处理达标后排入市政污水管网</w:t>
                  </w:r>
                </w:p>
              </w:tc>
              <w:tc>
                <w:tcPr>
                  <w:tcW w:w="662" w:type="dxa"/>
                  <w:noWrap w:val="0"/>
                  <w:vAlign w:val="center"/>
                </w:tcPr>
                <w:p w14:paraId="53E944FF">
                  <w:pPr>
                    <w:pBdr>
                      <w:top w:val="none" w:color="auto" w:sz="0" w:space="1"/>
                      <w:left w:val="none" w:color="auto" w:sz="0" w:space="4"/>
                      <w:bottom w:val="none" w:color="auto" w:sz="0" w:space="1"/>
                      <w:right w:val="none" w:color="auto" w:sz="0" w:space="4"/>
                    </w:pBdr>
                    <w:spacing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bl>
          <w:p w14:paraId="66F794D7">
            <w:pPr>
              <w:pStyle w:val="44"/>
              <w:ind w:firstLine="480"/>
              <w:rPr>
                <w:rFonts w:hint="eastAsia" w:ascii="Times New Roman" w:hAnsi="Times New Roman" w:eastAsia="宋体" w:cs="宋体"/>
                <w:color w:val="auto"/>
                <w:kern w:val="0"/>
                <w:szCs w:val="21"/>
                <w:highlight w:val="none"/>
                <w:lang w:val="en-GB"/>
              </w:rPr>
            </w:pPr>
            <w:r>
              <w:rPr>
                <w:rFonts w:hint="eastAsia" w:cs="宋体"/>
                <w:color w:val="auto"/>
                <w:kern w:val="0"/>
                <w:szCs w:val="21"/>
                <w:highlight w:val="none"/>
                <w:lang w:val="en-GB" w:eastAsia="zh-CN"/>
              </w:rPr>
              <w:t>(</w:t>
            </w:r>
            <w:r>
              <w:rPr>
                <w:rFonts w:hint="eastAsia" w:ascii="Times New Roman" w:hAnsi="Times New Roman" w:eastAsia="宋体" w:cs="宋体"/>
                <w:color w:val="auto"/>
                <w:kern w:val="0"/>
                <w:szCs w:val="21"/>
                <w:highlight w:val="none"/>
                <w:lang w:val="en-GB"/>
              </w:rPr>
              <w:t>2</w:t>
            </w:r>
            <w:r>
              <w:rPr>
                <w:rFonts w:hint="eastAsia" w:cs="宋体"/>
                <w:color w:val="auto"/>
                <w:kern w:val="0"/>
                <w:szCs w:val="21"/>
                <w:highlight w:val="none"/>
                <w:lang w:val="en-GB" w:eastAsia="zh-CN"/>
              </w:rPr>
              <w:t>)</w:t>
            </w:r>
            <w:r>
              <w:rPr>
                <w:rFonts w:hint="eastAsia" w:ascii="Times New Roman" w:hAnsi="Times New Roman" w:eastAsia="宋体" w:cs="宋体"/>
                <w:color w:val="auto"/>
                <w:kern w:val="0"/>
                <w:szCs w:val="21"/>
                <w:highlight w:val="none"/>
                <w:lang w:val="en-US" w:eastAsia="zh-CN"/>
              </w:rPr>
              <w:t>与“《福州市生态环境分区管控方案（2023年更新）》”符合性分析</w:t>
            </w:r>
          </w:p>
          <w:p w14:paraId="2C26C29F">
            <w:pPr>
              <w:pStyle w:val="44"/>
              <w:ind w:firstLine="480"/>
              <w:rPr>
                <w:rFonts w:hint="eastAsia" w:ascii="Times New Roman" w:hAnsi="Times New Roman" w:eastAsia="宋体" w:cs="宋体"/>
                <w:color w:val="auto"/>
                <w:kern w:val="0"/>
                <w:szCs w:val="21"/>
                <w:highlight w:val="none"/>
                <w:lang w:val="en-US" w:eastAsia="zh-CN"/>
              </w:rPr>
            </w:pPr>
            <w:r>
              <w:rPr>
                <w:rFonts w:hint="eastAsia" w:ascii="Times New Roman" w:hAnsi="Times New Roman" w:eastAsia="宋体" w:cs="宋体"/>
                <w:color w:val="auto"/>
                <w:kern w:val="0"/>
                <w:szCs w:val="21"/>
                <w:highlight w:val="none"/>
                <w:lang w:val="en-US" w:eastAsia="zh-CN"/>
              </w:rPr>
              <w:t>根据《福州市人民政府办公厅关于印发《福州市生态环境分区管控方案（2023年更新）》的通知》</w:t>
            </w:r>
            <w:r>
              <w:rPr>
                <w:rFonts w:hint="eastAsia" w:cs="宋体"/>
                <w:color w:val="auto"/>
                <w:kern w:val="0"/>
                <w:szCs w:val="21"/>
                <w:highlight w:val="none"/>
                <w:lang w:val="en-US" w:eastAsia="zh-CN"/>
              </w:rPr>
              <w:t>(</w:t>
            </w:r>
            <w:r>
              <w:rPr>
                <w:rFonts w:hint="eastAsia" w:ascii="Times New Roman" w:hAnsi="Times New Roman" w:eastAsia="宋体" w:cs="宋体"/>
                <w:color w:val="auto"/>
                <w:kern w:val="0"/>
                <w:szCs w:val="21"/>
                <w:highlight w:val="none"/>
                <w:lang w:val="en-US" w:eastAsia="zh-CN"/>
              </w:rPr>
              <w:t>榕政办规〔2024〕20号</w:t>
            </w:r>
            <w:r>
              <w:rPr>
                <w:rFonts w:hint="eastAsia" w:cs="宋体"/>
                <w:color w:val="auto"/>
                <w:kern w:val="0"/>
                <w:szCs w:val="21"/>
                <w:highlight w:val="none"/>
                <w:lang w:val="en-US" w:eastAsia="zh-CN"/>
              </w:rPr>
              <w:t>)</w:t>
            </w:r>
            <w:r>
              <w:rPr>
                <w:rFonts w:hint="eastAsia" w:ascii="Times New Roman" w:hAnsi="Times New Roman" w:eastAsia="宋体" w:cs="宋体"/>
                <w:color w:val="auto"/>
                <w:kern w:val="0"/>
                <w:szCs w:val="21"/>
                <w:highlight w:val="none"/>
                <w:lang w:val="en-US" w:eastAsia="zh-CN"/>
              </w:rPr>
              <w:t>相关要求，本项目与通知中“福州市生态环境分区管控方案（2023年更新）”管控要求的符合性分析详如下：</w:t>
            </w:r>
          </w:p>
          <w:p w14:paraId="2C7F7F59">
            <w:pPr>
              <w:numPr>
                <w:ilvl w:val="0"/>
                <w:numId w:val="0"/>
              </w:numPr>
              <w:spacing w:before="120" w:beforeLines="50"/>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①与福州市全市总体准入要求的符合性分析</w:t>
            </w:r>
          </w:p>
          <w:p w14:paraId="4EA73724">
            <w:pPr>
              <w:pStyle w:val="42"/>
              <w:keepNext w:val="0"/>
              <w:keepLines w:val="0"/>
              <w:pageBreakBefore w:val="0"/>
              <w:widowControl w:val="0"/>
              <w:numPr>
                <w:ilvl w:val="7"/>
                <w:numId w:val="0"/>
              </w:numPr>
              <w:suppressLineNumbers w:val="0"/>
              <w:tabs>
                <w:tab w:val="left" w:pos="0"/>
                <w:tab w:val="clear" w:pos="420"/>
              </w:tabs>
              <w:kinsoku/>
              <w:wordWrap/>
              <w:overflowPunct/>
              <w:topLinePunct w:val="0"/>
              <w:autoSpaceDE/>
              <w:autoSpaceDN/>
              <w:bidi w:val="0"/>
              <w:adjustRightInd/>
              <w:snapToGrid/>
              <w:spacing w:beforeAutospacing="0" w:after="0" w:afterAutospacing="0"/>
              <w:ind w:left="210" w:leftChars="0" w:right="0" w:rightChars="0"/>
              <w:jc w:val="both"/>
              <w:textAlignment w:val="auto"/>
              <w:rPr>
                <w:rFonts w:hint="eastAsia" w:ascii="Times New Roman" w:hAnsi="Times New Roman" w:eastAsia="宋体" w:cs="宋体"/>
                <w:color w:val="auto"/>
                <w:lang w:val="en-US" w:eastAsia="zh-CN"/>
              </w:rPr>
            </w:pPr>
          </w:p>
          <w:p w14:paraId="78E3FA81">
            <w:pPr>
              <w:pStyle w:val="42"/>
              <w:keepNext w:val="0"/>
              <w:keepLines w:val="0"/>
              <w:pageBreakBefore w:val="0"/>
              <w:widowControl w:val="0"/>
              <w:suppressLineNumbers w:val="0"/>
              <w:tabs>
                <w:tab w:val="left" w:pos="0"/>
                <w:tab w:val="clear" w:pos="420"/>
              </w:tabs>
              <w:kinsoku/>
              <w:wordWrap/>
              <w:overflowPunct/>
              <w:topLinePunct w:val="0"/>
              <w:autoSpaceDE/>
              <w:autoSpaceDN/>
              <w:bidi w:val="0"/>
              <w:adjustRightInd/>
              <w:snapToGrid/>
              <w:spacing w:beforeAutospacing="0" w:after="0" w:afterAutospacing="0"/>
              <w:ind w:left="210" w:leftChars="0" w:right="0" w:firstLineChars="0"/>
              <w:jc w:val="center"/>
              <w:textAlignment w:val="auto"/>
              <w:rPr>
                <w:rFonts w:hint="default"/>
                <w:color w:val="auto"/>
                <w:lang w:val="en-US" w:eastAsia="zh-CN"/>
              </w:rPr>
            </w:pPr>
            <w:r>
              <w:rPr>
                <w:rFonts w:hint="eastAsia"/>
                <w:color w:val="auto"/>
                <w:lang w:eastAsia="zh-CN"/>
              </w:rPr>
              <w:t>项目与《</w:t>
            </w:r>
            <w:r>
              <w:rPr>
                <w:rFonts w:hint="eastAsia"/>
                <w:color w:val="auto"/>
                <w:lang w:val="en-US" w:eastAsia="zh-CN"/>
              </w:rPr>
              <w:t>福州市</w:t>
            </w:r>
            <w:r>
              <w:rPr>
                <w:rFonts w:hint="eastAsia"/>
                <w:color w:val="auto"/>
                <w:lang w:eastAsia="zh-CN"/>
              </w:rPr>
              <w:t>生态环境总体准入要求》符合性分析</w:t>
            </w:r>
          </w:p>
          <w:tbl>
            <w:tblPr>
              <w:tblStyle w:val="33"/>
              <w:tblW w:w="70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09"/>
              <w:gridCol w:w="3887"/>
              <w:gridCol w:w="1736"/>
              <w:gridCol w:w="666"/>
            </w:tblGrid>
            <w:tr w14:paraId="5C093F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4696" w:type="dxa"/>
                  <w:gridSpan w:val="2"/>
                  <w:tcBorders>
                    <w:bottom w:val="single" w:color="000000" w:sz="12" w:space="0"/>
                    <w:tl2br w:val="nil"/>
                    <w:tr2bl w:val="nil"/>
                  </w:tcBorders>
                  <w:shd w:val="clear" w:color="auto" w:fill="auto"/>
                  <w:vAlign w:val="center"/>
                </w:tcPr>
                <w:p w14:paraId="5E309CC5">
                  <w:pPr>
                    <w:pStyle w:val="90"/>
                    <w:keepNext w:val="0"/>
                    <w:keepLines w:val="0"/>
                    <w:widowControl/>
                    <w:suppressLineNumbers w:val="0"/>
                    <w:spacing w:before="0" w:beforeAutospacing="0" w:after="0" w:afterAutospacing="0"/>
                    <w:ind w:left="0" w:right="0"/>
                    <w:rPr>
                      <w:rFonts w:hint="default"/>
                      <w:color w:val="auto"/>
                      <w:lang w:val="en-US"/>
                    </w:rPr>
                  </w:pPr>
                  <w:r>
                    <w:rPr>
                      <w:rFonts w:hint="eastAsia" w:ascii="Times New Roman" w:hAnsi="Times New Roman" w:eastAsia="宋体" w:cs="宋体"/>
                      <w:color w:val="auto"/>
                    </w:rPr>
                    <w:t>准入要求</w:t>
                  </w:r>
                </w:p>
              </w:tc>
              <w:tc>
                <w:tcPr>
                  <w:tcW w:w="1736" w:type="dxa"/>
                  <w:tcBorders>
                    <w:bottom w:val="single" w:color="000000" w:sz="12" w:space="0"/>
                    <w:tl2br w:val="nil"/>
                    <w:tr2bl w:val="nil"/>
                  </w:tcBorders>
                  <w:shd w:val="clear" w:color="auto" w:fill="auto"/>
                  <w:vAlign w:val="center"/>
                </w:tcPr>
                <w:p w14:paraId="482E68D8">
                  <w:pPr>
                    <w:pStyle w:val="90"/>
                    <w:keepNext w:val="0"/>
                    <w:keepLines w:val="0"/>
                    <w:widowControl/>
                    <w:suppressLineNumbers w:val="0"/>
                    <w:spacing w:before="0" w:beforeAutospacing="0" w:after="0" w:afterAutospacing="0"/>
                    <w:ind w:left="0" w:right="0"/>
                    <w:rPr>
                      <w:rFonts w:hint="default"/>
                      <w:color w:val="auto"/>
                      <w:lang w:val="en-US"/>
                    </w:rPr>
                  </w:pPr>
                  <w:r>
                    <w:rPr>
                      <w:rFonts w:hint="eastAsia" w:ascii="Times New Roman" w:hAnsi="Times New Roman" w:eastAsia="宋体" w:cs="宋体"/>
                      <w:color w:val="auto"/>
                    </w:rPr>
                    <w:t>本项目</w:t>
                  </w:r>
                </w:p>
              </w:tc>
              <w:tc>
                <w:tcPr>
                  <w:tcW w:w="666" w:type="dxa"/>
                  <w:tcBorders>
                    <w:bottom w:val="single" w:color="000000" w:sz="12" w:space="0"/>
                    <w:tl2br w:val="nil"/>
                    <w:tr2bl w:val="nil"/>
                  </w:tcBorders>
                  <w:shd w:val="clear" w:color="auto" w:fill="auto"/>
                  <w:vAlign w:val="center"/>
                </w:tcPr>
                <w:p w14:paraId="60943EA0">
                  <w:pPr>
                    <w:pStyle w:val="90"/>
                    <w:keepNext w:val="0"/>
                    <w:keepLines w:val="0"/>
                    <w:widowControl/>
                    <w:suppressLineNumbers w:val="0"/>
                    <w:spacing w:before="0" w:beforeAutospacing="0" w:after="0" w:afterAutospacing="0"/>
                    <w:ind w:left="0" w:right="0"/>
                    <w:rPr>
                      <w:rFonts w:hint="default"/>
                      <w:color w:val="auto"/>
                      <w:lang w:val="en-US"/>
                    </w:rPr>
                  </w:pPr>
                  <w:r>
                    <w:rPr>
                      <w:rFonts w:hint="eastAsia" w:cs="Times New Roman"/>
                      <w:color w:val="auto"/>
                      <w:spacing w:val="7"/>
                      <w:sz w:val="21"/>
                      <w:szCs w:val="21"/>
                      <w:lang w:val="en-US" w:eastAsia="zh-CN"/>
                    </w:rPr>
                    <w:t>符合性</w:t>
                  </w:r>
                </w:p>
              </w:tc>
            </w:tr>
            <w:tr w14:paraId="2AB643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09" w:type="dxa"/>
                  <w:tcBorders>
                    <w:top w:val="single" w:color="000000" w:sz="12" w:space="0"/>
                    <w:tl2br w:val="nil"/>
                    <w:tr2bl w:val="nil"/>
                  </w:tcBorders>
                  <w:shd w:val="clear" w:color="auto" w:fill="auto"/>
                  <w:vAlign w:val="center"/>
                </w:tcPr>
                <w:p w14:paraId="752F9EF8">
                  <w:pPr>
                    <w:pStyle w:val="90"/>
                    <w:keepNext w:val="0"/>
                    <w:keepLines w:val="0"/>
                    <w:widowControl/>
                    <w:suppressLineNumbers w:val="0"/>
                    <w:spacing w:before="0" w:beforeAutospacing="0" w:after="0" w:afterAutospacing="0"/>
                    <w:ind w:left="0" w:right="0"/>
                    <w:rPr>
                      <w:rFonts w:hint="default"/>
                      <w:color w:val="auto"/>
                      <w:lang w:val="en-US"/>
                    </w:rPr>
                  </w:pPr>
                  <w:r>
                    <w:rPr>
                      <w:rFonts w:hint="eastAsia" w:ascii="Times New Roman" w:hAnsi="Times New Roman" w:eastAsia="宋体" w:cs="宋体"/>
                      <w:color w:val="auto"/>
                    </w:rPr>
                    <w:t>空间布局</w:t>
                  </w:r>
                </w:p>
              </w:tc>
              <w:tc>
                <w:tcPr>
                  <w:tcW w:w="3887" w:type="dxa"/>
                  <w:tcBorders>
                    <w:top w:val="single" w:color="000000" w:sz="12" w:space="0"/>
                    <w:tl2br w:val="nil"/>
                    <w:tr2bl w:val="nil"/>
                  </w:tcBorders>
                  <w:shd w:val="clear" w:color="auto" w:fill="auto"/>
                  <w:vAlign w:val="center"/>
                </w:tcPr>
                <w:p w14:paraId="07F8EE71">
                  <w:pPr>
                    <w:pStyle w:val="90"/>
                    <w:keepNext w:val="0"/>
                    <w:keepLines w:val="0"/>
                    <w:widowControl/>
                    <w:numPr>
                      <w:ilvl w:val="0"/>
                      <w:numId w:val="0"/>
                    </w:numPr>
                    <w:suppressLineNumbers w:val="0"/>
                    <w:spacing w:before="0" w:beforeAutospacing="0" w:after="0" w:afterAutospacing="0"/>
                    <w:ind w:right="0" w:rightChars="0"/>
                    <w:jc w:val="left"/>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SA"/>
                    </w:rPr>
                    <w:t>1.福州市石化中上游项目重点在福州江阴港城经济区、可门港经济区化工新材料产业园布局。2.禁止在闽江马尾罗星塔以上流域范围新、扩建制革项目，严控新（扩）建植物制浆、印染、合成革及人造革、电镀项目。3.禁止在通风廊道和主导风向的上风向布局大气重污染企业，推进建成区大气重污染企业搬迁或升级改造、环境风险企业搬迁或关闭退出。4.禁止新、改、扩建生产高VOCs含量有机溶剂型涂料、油墨和胶黏剂的项目。5.持续加强闽清等地建陶产业的环境综合治理，充分衔接国土空间规划和生态环境分区管控，并对照产业政策、城市总体发展规划等要求，进一步明确发展定位，优化产业布局和规模。6.新建、扩建的涉及重点重金属污染物［1］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7.禁止在流域上游新建、扩建重污染企业和项目。8.重要敏感水体及富营养化湖库生态缓冲带除相关政府部门批准的科学研究活动外，禁止其它可能对保护区构成危害或不良影响的大规模生产、建设活动。9.新、改、扩建煤电、钢铁、建材、石化、化工等“两高”项目，严格落实国家、省、市产业规划、产业政策、“三线一单”、规划环评，以及产能置换、煤炭消费减量替代、区域污染削减等相关要求。10.单元内涉及永久基本农田的，应按照《福建省基本农田保护条例》（2010年修正本）、《国土资源部关于全面实行永久共本农田特殊保护的通知》（国土资规〔2018〕1号）、《中共中央国务院关于加强耕地保护和改进占补平衡的意见》（2017年1月9日）等相关文件要求进</w:t>
                  </w:r>
                  <w:r>
                    <w:rPr>
                      <w:rFonts w:hint="eastAsia" w:cs="Times New Roman"/>
                      <w:color w:val="auto"/>
                      <w:kern w:val="2"/>
                      <w:sz w:val="21"/>
                      <w:szCs w:val="21"/>
                      <w:lang w:val="en-US" w:eastAsia="zh-CN" w:bidi="ar-SA"/>
                    </w:rPr>
                    <w:t>行严</w:t>
                  </w:r>
                  <w:r>
                    <w:rPr>
                      <w:rFonts w:hint="default" w:ascii="Times New Roman" w:hAnsi="Times New Roman" w:eastAsia="宋体" w:cs="Times New Roman"/>
                      <w:color w:val="auto"/>
                      <w:kern w:val="2"/>
                      <w:sz w:val="21"/>
                      <w:szCs w:val="21"/>
                      <w:lang w:val="en-US" w:eastAsia="zh-CN" w:bidi="ar-SA"/>
                    </w:rPr>
                    <w:t>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1736" w:type="dxa"/>
                  <w:tcBorders>
                    <w:top w:val="single" w:color="000000" w:sz="12" w:space="0"/>
                    <w:tl2br w:val="nil"/>
                    <w:tr2bl w:val="nil"/>
                  </w:tcBorders>
                  <w:shd w:val="clear" w:color="auto" w:fill="auto"/>
                  <w:vAlign w:val="center"/>
                </w:tcPr>
                <w:p w14:paraId="49218949">
                  <w:pPr>
                    <w:keepNext w:val="0"/>
                    <w:keepLines w:val="0"/>
                    <w:widowControl/>
                    <w:suppressLineNumbers w:val="0"/>
                    <w:spacing w:before="0" w:beforeAutospacing="0" w:after="0" w:afterAutospacing="0"/>
                    <w:ind w:left="0" w:right="0"/>
                    <w:jc w:val="both"/>
                    <w:rPr>
                      <w:rFonts w:hint="default" w:eastAsia="宋体"/>
                      <w:color w:val="auto"/>
                      <w:lang w:val="en-US" w:eastAsia="zh-CN"/>
                    </w:rPr>
                  </w:pPr>
                  <w:r>
                    <w:rPr>
                      <w:rFonts w:hint="eastAsia" w:ascii="Times New Roman" w:hAnsi="Times New Roman" w:eastAsia="宋体" w:cs="Times New Roman"/>
                      <w:color w:val="auto"/>
                      <w:kern w:val="2"/>
                      <w:sz w:val="21"/>
                      <w:szCs w:val="21"/>
                      <w:shd w:val="clear"/>
                      <w:lang w:val="en-US" w:eastAsia="zh-CN" w:bidi="ar-SA"/>
                    </w:rPr>
                    <w:t>本项目主要从事</w:t>
                  </w:r>
                  <w:r>
                    <w:rPr>
                      <w:rFonts w:hint="eastAsia" w:cs="Times New Roman"/>
                      <w:color w:val="auto"/>
                      <w:kern w:val="2"/>
                      <w:sz w:val="21"/>
                      <w:szCs w:val="21"/>
                      <w:shd w:val="clear"/>
                      <w:lang w:val="en-US" w:eastAsia="zh-CN" w:bidi="ar-SA"/>
                    </w:rPr>
                    <w:t>汽车桌椅骨架</w:t>
                  </w:r>
                  <w:r>
                    <w:rPr>
                      <w:rFonts w:hint="eastAsia" w:ascii="Times New Roman" w:hAnsi="Times New Roman" w:eastAsia="宋体" w:cs="Times New Roman"/>
                      <w:color w:val="auto"/>
                      <w:kern w:val="2"/>
                      <w:sz w:val="21"/>
                      <w:szCs w:val="21"/>
                      <w:shd w:val="clear"/>
                      <w:lang w:val="en-US" w:eastAsia="zh-CN" w:bidi="ar-SA"/>
                    </w:rPr>
                    <w:t>的生产加工，位于</w:t>
                  </w:r>
                  <w:r>
                    <w:rPr>
                      <w:rFonts w:hint="default" w:ascii="Times New Roman" w:hAnsi="Times New Roman" w:eastAsia="宋体" w:cs="Times New Roman"/>
                      <w:color w:val="auto"/>
                      <w:sz w:val="21"/>
                      <w:szCs w:val="21"/>
                      <w:lang w:val="en-US" w:eastAsia="zh-CN"/>
                    </w:rPr>
                    <w:t>福建省福州市福清市镜洋镇过洋39号（租赁福州清山压铸有限公司2#厂房、3#厂房）</w:t>
                  </w:r>
                  <w:r>
                    <w:rPr>
                      <w:rFonts w:hint="eastAsia" w:ascii="Times New Roman" w:hAnsi="Times New Roman" w:eastAsia="宋体" w:cs="Times New Roman"/>
                      <w:color w:val="auto"/>
                      <w:kern w:val="2"/>
                      <w:sz w:val="21"/>
                      <w:szCs w:val="21"/>
                      <w:shd w:val="clear"/>
                      <w:lang w:val="en-US" w:eastAsia="zh-CN" w:bidi="ar-SA"/>
                    </w:rPr>
                    <w:t>，项目建设与空间布局约束要求不冲突</w:t>
                  </w:r>
                  <w:r>
                    <w:rPr>
                      <w:rFonts w:hint="eastAsia" w:cs="Times New Roman"/>
                      <w:color w:val="auto"/>
                      <w:kern w:val="2"/>
                      <w:sz w:val="21"/>
                      <w:szCs w:val="21"/>
                      <w:shd w:val="clear"/>
                      <w:lang w:val="en-US" w:eastAsia="zh-CN" w:bidi="ar-SA"/>
                    </w:rPr>
                    <w:t>。</w:t>
                  </w:r>
                </w:p>
              </w:tc>
              <w:tc>
                <w:tcPr>
                  <w:tcW w:w="666" w:type="dxa"/>
                  <w:tcBorders>
                    <w:top w:val="single" w:color="000000" w:sz="12" w:space="0"/>
                    <w:tl2br w:val="nil"/>
                    <w:tr2bl w:val="nil"/>
                  </w:tcBorders>
                  <w:shd w:val="clear" w:color="auto" w:fill="auto"/>
                  <w:vAlign w:val="center"/>
                </w:tcPr>
                <w:p w14:paraId="178851F9">
                  <w:pPr>
                    <w:pStyle w:val="90"/>
                    <w:keepNext w:val="0"/>
                    <w:keepLines w:val="0"/>
                    <w:widowControl/>
                    <w:suppressLineNumbers w:val="0"/>
                    <w:spacing w:before="0" w:beforeAutospacing="0" w:after="0" w:afterAutospacing="0"/>
                    <w:ind w:left="0" w:right="0"/>
                    <w:rPr>
                      <w:rFonts w:hint="default"/>
                      <w:color w:val="auto"/>
                      <w:lang w:val="en-US"/>
                    </w:rPr>
                  </w:pPr>
                  <w:r>
                    <w:rPr>
                      <w:rFonts w:hint="eastAsia" w:ascii="Times New Roman" w:hAnsi="Times New Roman" w:eastAsia="宋体" w:cs="宋体"/>
                      <w:color w:val="auto"/>
                    </w:rPr>
                    <w:t>符合</w:t>
                  </w:r>
                </w:p>
              </w:tc>
            </w:tr>
            <w:tr w14:paraId="2F0C9B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90" w:hRule="atLeast"/>
                <w:jc w:val="center"/>
              </w:trPr>
              <w:tc>
                <w:tcPr>
                  <w:tcW w:w="809" w:type="dxa"/>
                  <w:tcBorders>
                    <w:tl2br w:val="nil"/>
                    <w:tr2bl w:val="nil"/>
                  </w:tcBorders>
                  <w:shd w:val="clear" w:color="auto" w:fill="auto"/>
                  <w:vAlign w:val="center"/>
                </w:tcPr>
                <w:p w14:paraId="15FD4E4C">
                  <w:pPr>
                    <w:pStyle w:val="90"/>
                    <w:keepNext w:val="0"/>
                    <w:keepLines w:val="0"/>
                    <w:widowControl/>
                    <w:suppressLineNumbers w:val="0"/>
                    <w:spacing w:before="0" w:beforeAutospacing="0" w:after="0" w:afterAutospacing="0"/>
                    <w:ind w:left="0" w:right="0"/>
                    <w:rPr>
                      <w:rFonts w:hint="default"/>
                      <w:color w:val="auto"/>
                      <w:lang w:val="en-US"/>
                    </w:rPr>
                  </w:pPr>
                  <w:r>
                    <w:rPr>
                      <w:rFonts w:hint="eastAsia" w:ascii="Times New Roman" w:hAnsi="Times New Roman" w:eastAsia="宋体" w:cs="宋体"/>
                      <w:color w:val="auto"/>
                    </w:rPr>
                    <w:t>污染物排放管控</w:t>
                  </w:r>
                </w:p>
              </w:tc>
              <w:tc>
                <w:tcPr>
                  <w:tcW w:w="3887" w:type="dxa"/>
                  <w:tcBorders>
                    <w:tl2br w:val="nil"/>
                    <w:tr2bl w:val="nil"/>
                  </w:tcBorders>
                  <w:shd w:val="clear" w:color="auto" w:fill="auto"/>
                  <w:vAlign w:val="center"/>
                </w:tcPr>
                <w:p w14:paraId="3EAF47C9">
                  <w:pPr>
                    <w:pStyle w:val="31"/>
                    <w:keepNext w:val="0"/>
                    <w:keepLines w:val="0"/>
                    <w:widowControl/>
                    <w:numPr>
                      <w:ilvl w:val="0"/>
                      <w:numId w:val="0"/>
                    </w:numPr>
                    <w:suppressLineNumbers w:val="0"/>
                    <w:spacing w:before="0" w:beforeAutospacing="0" w:after="0" w:afterAutospacing="0" w:line="264" w:lineRule="auto"/>
                    <w:ind w:leftChars="0" w:right="0" w:rightChars="0"/>
                    <w:jc w:val="left"/>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0"/>
                      <w:sz w:val="21"/>
                      <w:szCs w:val="21"/>
                      <w:lang w:val="en-US" w:eastAsia="zh-CN" w:bidi="ar"/>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号”等相关文件执行。2.新、改、扩建涉VOCs排放项目，应从源头加强控制，使用低（无）VOCs含量的原辅材料，实施新建项目VOCs排放区域内1.2及以上倍量替代。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4.氟化工、印染、电镀等行业企业实行水污染物特别排放限值。5.新、改、扩建重点行业［2］建设项目要遵循重点重金属污染物排放“等量替代”原则，总量来源原则上应是同一重点行业内的削减量，当同一重点行业无法满足时可从其他重点行业调剂。6.每小时35（含）—65蒸吨燃煤锅炉和位于县级及以上城市建成区内保留的燃煤、燃油、燃生物质锅炉，原则上2024年底前必须全面实现超低排放。7.水泥行业新改扩建项目严格对照超低排放、能效标杆水平建设实施；现有项目超低排放改造应按文件（闽环规〔2023〕2号）的时限要求分步推进，2025年底前全面完成［3］［4］。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1736" w:type="dxa"/>
                  <w:tcBorders>
                    <w:tl2br w:val="nil"/>
                    <w:tr2bl w:val="nil"/>
                  </w:tcBorders>
                  <w:shd w:val="clear" w:color="auto" w:fill="auto"/>
                  <w:vAlign w:val="center"/>
                </w:tcPr>
                <w:p w14:paraId="43B85AC1">
                  <w:pPr>
                    <w:pStyle w:val="90"/>
                    <w:keepNext w:val="0"/>
                    <w:keepLines w:val="0"/>
                    <w:widowControl/>
                    <w:suppressLineNumbers w:val="0"/>
                    <w:spacing w:before="0" w:beforeAutospacing="0" w:after="0" w:afterAutospacing="0"/>
                    <w:ind w:left="0" w:right="0"/>
                    <w:jc w:val="both"/>
                    <w:rPr>
                      <w:rFonts w:hint="default" w:eastAsia="宋体"/>
                      <w:color w:val="auto"/>
                      <w:lang w:val="en-US" w:eastAsia="zh-CN"/>
                    </w:rPr>
                  </w:pPr>
                  <w:r>
                    <w:rPr>
                      <w:rFonts w:hint="eastAsia"/>
                      <w:color w:val="auto"/>
                      <w:lang w:val="en-US" w:eastAsia="zh-CN"/>
                    </w:rPr>
                    <w:t>1、</w:t>
                  </w:r>
                  <w:r>
                    <w:rPr>
                      <w:rFonts w:hint="eastAsia"/>
                      <w:color w:val="auto"/>
                      <w:shd w:val="clear"/>
                      <w:lang w:val="en-US" w:eastAsia="zh-CN"/>
                    </w:rPr>
                    <w:t>项目位于</w:t>
                  </w:r>
                  <w:r>
                    <w:rPr>
                      <w:rFonts w:hint="default" w:ascii="Times New Roman" w:hAnsi="Times New Roman" w:eastAsia="宋体" w:cs="Times New Roman"/>
                      <w:color w:val="auto"/>
                      <w:sz w:val="21"/>
                      <w:szCs w:val="21"/>
                      <w:lang w:val="en-US" w:eastAsia="zh-CN"/>
                    </w:rPr>
                    <w:t>福建省福州市福清市镜洋镇过洋39号（租赁福州清山压铸有限公司2#厂房、3#厂房）</w:t>
                  </w:r>
                  <w:r>
                    <w:rPr>
                      <w:rFonts w:hint="eastAsia"/>
                      <w:color w:val="auto"/>
                      <w:shd w:val="clear"/>
                      <w:lang w:val="en-US" w:eastAsia="zh-CN"/>
                    </w:rPr>
                    <w:t>，属于其规定的污染物管控区域。项目涉VOCs排放，建设单位将严格按照文件规定要求对VOCs总量进行调剂。2、项目主要从事汽车座椅骨架的生产加工，不属于</w:t>
                  </w:r>
                  <w:r>
                    <w:rPr>
                      <w:rFonts w:hint="default" w:ascii="Times New Roman" w:hAnsi="Times New Roman" w:eastAsia="宋体" w:cs="Times New Roman"/>
                      <w:color w:val="auto"/>
                      <w:kern w:val="0"/>
                      <w:sz w:val="21"/>
                      <w:szCs w:val="21"/>
                      <w:shd w:val="clear"/>
                      <w:lang w:val="en-US" w:eastAsia="zh-CN" w:bidi="ar"/>
                    </w:rPr>
                    <w:t>钢铁、水泥、平板玻璃、有色金属冶炼、化工</w:t>
                  </w:r>
                  <w:r>
                    <w:rPr>
                      <w:rFonts w:hint="eastAsia"/>
                      <w:color w:val="auto"/>
                      <w:shd w:val="clear"/>
                      <w:lang w:val="en-US" w:eastAsia="zh-CN"/>
                    </w:rPr>
                    <w:t>项目。</w:t>
                  </w:r>
                </w:p>
              </w:tc>
              <w:tc>
                <w:tcPr>
                  <w:tcW w:w="666" w:type="dxa"/>
                  <w:tcBorders>
                    <w:tl2br w:val="nil"/>
                    <w:tr2bl w:val="nil"/>
                  </w:tcBorders>
                  <w:shd w:val="clear" w:color="auto" w:fill="auto"/>
                  <w:vAlign w:val="center"/>
                </w:tcPr>
                <w:p w14:paraId="49D14504">
                  <w:pPr>
                    <w:pStyle w:val="90"/>
                    <w:keepNext w:val="0"/>
                    <w:keepLines w:val="0"/>
                    <w:widowControl/>
                    <w:suppressLineNumbers w:val="0"/>
                    <w:spacing w:before="0" w:beforeAutospacing="0" w:after="0" w:afterAutospacing="0"/>
                    <w:ind w:left="0" w:right="0"/>
                    <w:rPr>
                      <w:rFonts w:hint="default"/>
                      <w:color w:val="auto"/>
                      <w:lang w:val="en-US"/>
                    </w:rPr>
                  </w:pPr>
                  <w:r>
                    <w:rPr>
                      <w:rFonts w:hint="eastAsia" w:ascii="Times New Roman" w:hAnsi="Times New Roman" w:eastAsia="宋体" w:cs="宋体"/>
                      <w:color w:val="auto"/>
                    </w:rPr>
                    <w:t>符合</w:t>
                  </w:r>
                </w:p>
              </w:tc>
            </w:tr>
            <w:tr w14:paraId="429CC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09" w:type="dxa"/>
                  <w:tcBorders>
                    <w:tl2br w:val="nil"/>
                    <w:tr2bl w:val="nil"/>
                  </w:tcBorders>
                  <w:shd w:val="clear" w:color="auto" w:fill="auto"/>
                  <w:vAlign w:val="center"/>
                </w:tcPr>
                <w:p w14:paraId="3AA1652E">
                  <w:pPr>
                    <w:pStyle w:val="90"/>
                    <w:keepNext w:val="0"/>
                    <w:keepLines w:val="0"/>
                    <w:widowControl/>
                    <w:suppressLineNumbers w:val="0"/>
                    <w:spacing w:before="0" w:beforeAutospacing="0" w:after="0" w:afterAutospacing="0"/>
                    <w:ind w:left="0" w:right="0"/>
                    <w:rPr>
                      <w:rFonts w:hint="eastAsia" w:ascii="Times New Roman" w:hAnsi="Times New Roman" w:eastAsia="宋体" w:cs="宋体"/>
                      <w:color w:val="auto"/>
                    </w:rPr>
                  </w:pPr>
                  <w:r>
                    <w:rPr>
                      <w:rFonts w:hint="eastAsia" w:ascii="Times New Roman" w:hAnsi="Times New Roman" w:eastAsia="宋体" w:cs="宋体"/>
                      <w:color w:val="auto"/>
                    </w:rPr>
                    <w:t>环境风险防控</w:t>
                  </w:r>
                </w:p>
              </w:tc>
              <w:tc>
                <w:tcPr>
                  <w:tcW w:w="3887" w:type="dxa"/>
                  <w:tcBorders>
                    <w:tl2br w:val="nil"/>
                    <w:tr2bl w:val="nil"/>
                  </w:tcBorders>
                  <w:shd w:val="clear" w:color="auto" w:fill="auto"/>
                  <w:vAlign w:val="top"/>
                </w:tcPr>
                <w:p w14:paraId="267D6CF7">
                  <w:pPr>
                    <w:pStyle w:val="90"/>
                    <w:keepNext w:val="0"/>
                    <w:keepLines w:val="0"/>
                    <w:widowControl/>
                    <w:suppressLineNumbers w:val="0"/>
                    <w:spacing w:before="0" w:beforeAutospacing="0" w:after="0" w:afterAutospacing="0"/>
                    <w:ind w:left="0" w:right="0"/>
                    <w:jc w:val="both"/>
                    <w:rPr>
                      <w:rFonts w:hint="eastAsia" w:cs="宋体"/>
                      <w:color w:val="auto"/>
                      <w:lang w:val="en-US" w:eastAsia="zh-CN"/>
                    </w:rPr>
                  </w:pPr>
                </w:p>
                <w:p w14:paraId="08D78A7E">
                  <w:pPr>
                    <w:pStyle w:val="90"/>
                    <w:keepNext w:val="0"/>
                    <w:keepLines w:val="0"/>
                    <w:widowControl/>
                    <w:suppressLineNumbers w:val="0"/>
                    <w:spacing w:before="0" w:beforeAutospacing="0" w:after="0" w:afterAutospacing="0"/>
                    <w:ind w:right="0"/>
                    <w:jc w:val="center"/>
                    <w:rPr>
                      <w:rFonts w:hint="eastAsia" w:ascii="Times New Roman" w:hAnsi="Times New Roman" w:eastAsia="宋体" w:cs="宋体"/>
                      <w:color w:val="auto"/>
                      <w:lang w:val="en-US" w:eastAsia="zh-CN"/>
                    </w:rPr>
                  </w:pPr>
                  <w:r>
                    <w:rPr>
                      <w:rFonts w:hint="eastAsia" w:cs="宋体"/>
                      <w:color w:val="auto"/>
                      <w:lang w:val="en-US" w:eastAsia="zh-CN"/>
                    </w:rPr>
                    <w:t>无</w:t>
                  </w:r>
                </w:p>
              </w:tc>
              <w:tc>
                <w:tcPr>
                  <w:tcW w:w="1736" w:type="dxa"/>
                  <w:tcBorders>
                    <w:tl2br w:val="nil"/>
                    <w:tr2bl w:val="nil"/>
                  </w:tcBorders>
                  <w:shd w:val="clear" w:color="auto" w:fill="auto"/>
                  <w:vAlign w:val="center"/>
                </w:tcPr>
                <w:p w14:paraId="5A727992">
                  <w:pPr>
                    <w:pStyle w:val="90"/>
                    <w:keepNext w:val="0"/>
                    <w:keepLines w:val="0"/>
                    <w:widowControl/>
                    <w:suppressLineNumbers w:val="0"/>
                    <w:spacing w:before="0" w:beforeAutospacing="0" w:after="0" w:afterAutospacing="0"/>
                    <w:ind w:left="0" w:right="0"/>
                    <w:jc w:val="center"/>
                    <w:rPr>
                      <w:rFonts w:hint="default"/>
                      <w:color w:val="auto"/>
                      <w:lang w:val="en-US" w:eastAsia="zh-CN"/>
                    </w:rPr>
                  </w:pPr>
                  <w:r>
                    <w:rPr>
                      <w:rFonts w:hint="eastAsia"/>
                      <w:color w:val="auto"/>
                      <w:lang w:val="en-US" w:eastAsia="zh-CN"/>
                    </w:rPr>
                    <w:t>/</w:t>
                  </w:r>
                </w:p>
              </w:tc>
              <w:tc>
                <w:tcPr>
                  <w:tcW w:w="666" w:type="dxa"/>
                  <w:tcBorders>
                    <w:tl2br w:val="nil"/>
                    <w:tr2bl w:val="nil"/>
                  </w:tcBorders>
                  <w:shd w:val="clear" w:color="auto" w:fill="auto"/>
                  <w:vAlign w:val="center"/>
                </w:tcPr>
                <w:p w14:paraId="428BAC90">
                  <w:pPr>
                    <w:pStyle w:val="90"/>
                    <w:keepNext w:val="0"/>
                    <w:keepLines w:val="0"/>
                    <w:widowControl/>
                    <w:suppressLineNumbers w:val="0"/>
                    <w:spacing w:before="0" w:beforeAutospacing="0" w:after="0" w:afterAutospacing="0"/>
                    <w:ind w:left="0" w:leftChars="0" w:right="0" w:rightChars="0"/>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w:t>
                  </w:r>
                </w:p>
              </w:tc>
            </w:tr>
            <w:tr w14:paraId="492680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809" w:type="dxa"/>
                  <w:tcBorders>
                    <w:tl2br w:val="nil"/>
                    <w:tr2bl w:val="nil"/>
                  </w:tcBorders>
                  <w:shd w:val="clear" w:color="auto" w:fill="auto"/>
                  <w:vAlign w:val="center"/>
                </w:tcPr>
                <w:p w14:paraId="662D0A28">
                  <w:pPr>
                    <w:pStyle w:val="90"/>
                    <w:keepNext w:val="0"/>
                    <w:keepLines w:val="0"/>
                    <w:widowControl/>
                    <w:suppressLineNumbers w:val="0"/>
                    <w:spacing w:before="0" w:beforeAutospacing="0" w:after="0" w:afterAutospacing="0"/>
                    <w:ind w:left="0" w:right="0"/>
                    <w:rPr>
                      <w:rFonts w:hint="eastAsia" w:ascii="Times New Roman" w:hAnsi="Times New Roman" w:eastAsia="宋体" w:cs="宋体"/>
                      <w:color w:val="auto"/>
                    </w:rPr>
                  </w:pPr>
                  <w:r>
                    <w:rPr>
                      <w:rFonts w:hint="eastAsia" w:ascii="Times New Roman" w:hAnsi="Times New Roman" w:eastAsia="宋体" w:cs="宋体"/>
                      <w:color w:val="auto"/>
                    </w:rPr>
                    <w:t>资源开发效率要求</w:t>
                  </w:r>
                </w:p>
              </w:tc>
              <w:tc>
                <w:tcPr>
                  <w:tcW w:w="3887" w:type="dxa"/>
                  <w:tcBorders>
                    <w:tl2br w:val="nil"/>
                    <w:tr2bl w:val="nil"/>
                  </w:tcBorders>
                  <w:shd w:val="clear" w:color="auto" w:fill="auto"/>
                  <w:vAlign w:val="top"/>
                </w:tcPr>
                <w:p w14:paraId="6CDEA2D3">
                  <w:pPr>
                    <w:pStyle w:val="90"/>
                    <w:keepNext w:val="0"/>
                    <w:keepLines w:val="0"/>
                    <w:widowControl/>
                    <w:suppressLineNumbers w:val="0"/>
                    <w:spacing w:before="0" w:beforeAutospacing="0" w:after="0" w:afterAutospacing="0"/>
                    <w:ind w:left="0" w:right="0"/>
                    <w:rPr>
                      <w:rFonts w:hint="default" w:ascii="Times New Roman" w:hAnsi="Times New Roman" w:eastAsia="宋体" w:cs="宋体"/>
                      <w:color w:val="auto"/>
                      <w:lang w:val="en-US" w:eastAsia="en-US"/>
                    </w:rPr>
                  </w:pPr>
                  <w:r>
                    <w:rPr>
                      <w:rFonts w:hint="default" w:ascii="Times New Roman" w:hAnsi="Times New Roman" w:eastAsia="宋体" w:cs="宋体"/>
                      <w:color w:val="auto"/>
                      <w:lang w:val="en-US" w:eastAsia="en-US"/>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2.按照“提气、转电、控煤”的发展思路，推动陶瓷行业进一步优化用能结构，实现能源消费清洁低碳化。</w:t>
                  </w:r>
                </w:p>
              </w:tc>
              <w:tc>
                <w:tcPr>
                  <w:tcW w:w="1736" w:type="dxa"/>
                  <w:tcBorders>
                    <w:tl2br w:val="nil"/>
                    <w:tr2bl w:val="nil"/>
                  </w:tcBorders>
                  <w:shd w:val="clear" w:color="auto" w:fill="auto"/>
                  <w:vAlign w:val="center"/>
                </w:tcPr>
                <w:p w14:paraId="629B45BC">
                  <w:pPr>
                    <w:pStyle w:val="90"/>
                    <w:keepNext w:val="0"/>
                    <w:keepLines w:val="0"/>
                    <w:widowControl/>
                    <w:suppressLineNumbers w:val="0"/>
                    <w:spacing w:before="0" w:beforeAutospacing="0" w:after="0" w:afterAutospacing="0"/>
                    <w:ind w:left="0" w:right="0"/>
                    <w:jc w:val="both"/>
                    <w:rPr>
                      <w:rFonts w:hint="default"/>
                      <w:color w:val="auto"/>
                      <w:lang w:val="en-US" w:eastAsia="zh-CN"/>
                    </w:rPr>
                  </w:pPr>
                  <w:r>
                    <w:rPr>
                      <w:rFonts w:hint="eastAsia"/>
                      <w:color w:val="auto"/>
                      <w:shd w:val="clear"/>
                      <w:lang w:val="en-US" w:eastAsia="zh-CN"/>
                    </w:rPr>
                    <w:t>本项目采用电能、天然气作为燃料，属于清洁能源。</w:t>
                  </w:r>
                </w:p>
              </w:tc>
              <w:tc>
                <w:tcPr>
                  <w:tcW w:w="666" w:type="dxa"/>
                  <w:tcBorders>
                    <w:tl2br w:val="nil"/>
                    <w:tr2bl w:val="nil"/>
                  </w:tcBorders>
                  <w:shd w:val="clear" w:color="auto" w:fill="auto"/>
                  <w:vAlign w:val="center"/>
                </w:tcPr>
                <w:p w14:paraId="303A06FD">
                  <w:pPr>
                    <w:pStyle w:val="90"/>
                    <w:keepNext w:val="0"/>
                    <w:keepLines w:val="0"/>
                    <w:widowControl/>
                    <w:suppressLineNumbers w:val="0"/>
                    <w:spacing w:before="0" w:beforeAutospacing="0" w:after="0" w:afterAutospacing="0"/>
                    <w:ind w:left="0" w:leftChars="0" w:right="0" w:rightChars="0"/>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宋体"/>
                      <w:color w:val="auto"/>
                    </w:rPr>
                    <w:t>符合</w:t>
                  </w:r>
                </w:p>
              </w:tc>
            </w:tr>
          </w:tbl>
          <w:p w14:paraId="2258FC82">
            <w:pPr>
              <w:numPr>
                <w:ilvl w:val="0"/>
                <w:numId w:val="0"/>
              </w:numPr>
              <w:spacing w:before="120" w:beforeLines="50"/>
              <w:ind w:firstLine="480" w:firstLineChars="200"/>
              <w:jc w:val="both"/>
              <w:rPr>
                <w:rFonts w:hint="eastAsia" w:ascii="Times New Roman" w:hAnsi="Times New Roman" w:eastAsia="宋体" w:cs="Times New Roman"/>
                <w:color w:val="auto"/>
                <w:kern w:val="2"/>
                <w:sz w:val="24"/>
                <w:szCs w:val="24"/>
                <w:lang w:val="en-US" w:eastAsia="zh-CN" w:bidi="ar-SA"/>
              </w:rPr>
            </w:pPr>
            <w:r>
              <w:rPr>
                <w:rFonts w:hint="default" w:ascii="Times New Roman" w:hAnsi="Times New Roman" w:eastAsia="宋体" w:cs="Calibri"/>
                <w:color w:val="auto"/>
                <w:kern w:val="2"/>
                <w:sz w:val="24"/>
                <w:szCs w:val="24"/>
                <w:lang w:val="en-US" w:eastAsia="zh-CN" w:bidi="ar-SA"/>
              </w:rPr>
              <w:t>②</w:t>
            </w:r>
            <w:r>
              <w:rPr>
                <w:rFonts w:hint="eastAsia" w:ascii="Times New Roman" w:hAnsi="Times New Roman" w:eastAsia="宋体" w:cs="Times New Roman"/>
                <w:color w:val="auto"/>
                <w:kern w:val="2"/>
                <w:sz w:val="24"/>
                <w:szCs w:val="24"/>
                <w:lang w:val="en-US" w:eastAsia="zh-CN" w:bidi="ar-SA"/>
              </w:rPr>
              <w:t>与福清市生态环境准入清单符合性分析</w:t>
            </w:r>
          </w:p>
          <w:p w14:paraId="01ECDF09">
            <w:pPr>
              <w:pStyle w:val="42"/>
              <w:keepNext w:val="0"/>
              <w:keepLines w:val="0"/>
              <w:pageBreakBefore w:val="0"/>
              <w:widowControl w:val="0"/>
              <w:suppressLineNumbers w:val="0"/>
              <w:tabs>
                <w:tab w:val="left" w:pos="0"/>
                <w:tab w:val="clear" w:pos="420"/>
              </w:tabs>
              <w:kinsoku/>
              <w:wordWrap/>
              <w:overflowPunct/>
              <w:topLinePunct w:val="0"/>
              <w:autoSpaceDE/>
              <w:autoSpaceDN/>
              <w:bidi w:val="0"/>
              <w:adjustRightInd/>
              <w:snapToGrid/>
              <w:spacing w:beforeAutospacing="0" w:after="0" w:afterAutospacing="0"/>
              <w:ind w:left="210" w:leftChars="0" w:right="0" w:firstLineChars="0"/>
              <w:jc w:val="center"/>
              <w:textAlignment w:val="auto"/>
              <w:rPr>
                <w:rFonts w:hint="default" w:eastAsia="宋体"/>
                <w:color w:val="auto"/>
                <w:lang w:val="en-US" w:eastAsia="zh-CN"/>
              </w:rPr>
            </w:pPr>
            <w:r>
              <w:rPr>
                <w:rFonts w:hint="eastAsia" w:eastAsia="宋体"/>
                <w:color w:val="auto"/>
                <w:lang w:val="en-US" w:eastAsia="zh-CN"/>
              </w:rPr>
              <w:t>本项目与福清市生态环境准入清单符合性分析</w:t>
            </w:r>
          </w:p>
          <w:tbl>
            <w:tblPr>
              <w:tblStyle w:val="34"/>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75"/>
              <w:gridCol w:w="1075"/>
              <w:gridCol w:w="702"/>
              <w:gridCol w:w="462"/>
              <w:gridCol w:w="1972"/>
              <w:gridCol w:w="1833"/>
            </w:tblGrid>
            <w:tr w14:paraId="119D75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20" w:hRule="atLeast"/>
              </w:trPr>
              <w:tc>
                <w:tcPr>
                  <w:tcW w:w="694" w:type="pct"/>
                  <w:tcBorders>
                    <w:tl2br w:val="nil"/>
                    <w:tr2bl w:val="nil"/>
                  </w:tcBorders>
                  <w:noWrap w:val="0"/>
                  <w:vAlign w:val="center"/>
                </w:tcPr>
                <w:p w14:paraId="1C4C32A0">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环境管控单元编码</w:t>
                  </w:r>
                </w:p>
              </w:tc>
              <w:tc>
                <w:tcPr>
                  <w:tcW w:w="765" w:type="pct"/>
                  <w:tcBorders>
                    <w:tl2br w:val="nil"/>
                    <w:tr2bl w:val="nil"/>
                  </w:tcBorders>
                  <w:noWrap w:val="0"/>
                  <w:vAlign w:val="center"/>
                </w:tcPr>
                <w:p w14:paraId="06E4E9A7">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环境管控单元名称</w:t>
                  </w:r>
                </w:p>
              </w:tc>
              <w:tc>
                <w:tcPr>
                  <w:tcW w:w="500" w:type="pct"/>
                  <w:tcBorders>
                    <w:tl2br w:val="nil"/>
                    <w:tr2bl w:val="nil"/>
                  </w:tcBorders>
                  <w:noWrap w:val="0"/>
                  <w:vAlign w:val="center"/>
                </w:tcPr>
                <w:p w14:paraId="7F3753DA">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管控单元类别</w:t>
                  </w:r>
                </w:p>
              </w:tc>
              <w:tc>
                <w:tcPr>
                  <w:tcW w:w="1733" w:type="pct"/>
                  <w:gridSpan w:val="2"/>
                  <w:tcBorders>
                    <w:tl2br w:val="nil"/>
                    <w:tr2bl w:val="nil"/>
                  </w:tcBorders>
                  <w:noWrap w:val="0"/>
                  <w:vAlign w:val="center"/>
                </w:tcPr>
                <w:p w14:paraId="583BA09B">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管控要求</w:t>
                  </w:r>
                </w:p>
              </w:tc>
              <w:tc>
                <w:tcPr>
                  <w:tcW w:w="1305" w:type="pct"/>
                  <w:tcBorders>
                    <w:tl2br w:val="nil"/>
                    <w:tr2bl w:val="nil"/>
                  </w:tcBorders>
                  <w:noWrap w:val="0"/>
                  <w:vAlign w:val="center"/>
                </w:tcPr>
                <w:p w14:paraId="2A5BDCD2">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符合性</w:t>
                  </w:r>
                </w:p>
              </w:tc>
            </w:tr>
            <w:tr w14:paraId="22761F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38" w:hRule="atLeast"/>
              </w:trPr>
              <w:tc>
                <w:tcPr>
                  <w:tcW w:w="694" w:type="pct"/>
                  <w:vMerge w:val="restart"/>
                  <w:tcBorders>
                    <w:tl2br w:val="nil"/>
                    <w:tr2bl w:val="nil"/>
                  </w:tcBorders>
                  <w:noWrap w:val="0"/>
                  <w:vAlign w:val="center"/>
                </w:tcPr>
                <w:p w14:paraId="731B18C3">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ZH35018120008</w:t>
                  </w:r>
                </w:p>
              </w:tc>
              <w:tc>
                <w:tcPr>
                  <w:tcW w:w="765" w:type="pct"/>
                  <w:vMerge w:val="restart"/>
                  <w:tcBorders>
                    <w:tl2br w:val="nil"/>
                    <w:tr2bl w:val="nil"/>
                  </w:tcBorders>
                  <w:noWrap w:val="0"/>
                  <w:vAlign w:val="center"/>
                </w:tcPr>
                <w:p w14:paraId="258C9A73">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福清市重点管控单元1</w:t>
                  </w:r>
                </w:p>
              </w:tc>
              <w:tc>
                <w:tcPr>
                  <w:tcW w:w="500" w:type="pct"/>
                  <w:vMerge w:val="restart"/>
                  <w:tcBorders>
                    <w:tl2br w:val="nil"/>
                    <w:tr2bl w:val="nil"/>
                  </w:tcBorders>
                  <w:noWrap w:val="0"/>
                  <w:vAlign w:val="center"/>
                </w:tcPr>
                <w:p w14:paraId="614E684F">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重点管控单元</w:t>
                  </w:r>
                </w:p>
              </w:tc>
              <w:tc>
                <w:tcPr>
                  <w:tcW w:w="329" w:type="pct"/>
                  <w:tcBorders>
                    <w:tl2br w:val="nil"/>
                    <w:tr2bl w:val="nil"/>
                  </w:tcBorders>
                  <w:noWrap w:val="0"/>
                  <w:vAlign w:val="center"/>
                </w:tcPr>
                <w:p w14:paraId="33C4E9A9">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空间布局约束</w:t>
                  </w:r>
                </w:p>
              </w:tc>
              <w:tc>
                <w:tcPr>
                  <w:tcW w:w="1404" w:type="pct"/>
                  <w:tcBorders>
                    <w:tl2br w:val="nil"/>
                    <w:tr2bl w:val="nil"/>
                  </w:tcBorders>
                  <w:noWrap w:val="0"/>
                  <w:vAlign w:val="center"/>
                </w:tcPr>
                <w:p w14:paraId="7E463EC7">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2.严格控制包装印刷、工业涂装、制鞋等高VOCs排放的项目建设，相关新建项目必须进入工业园区。3.禁止开发利用未经评估和无害化处理的列入建设用地污染地块名录及开发利用负面清单的土地。</w:t>
                  </w:r>
                </w:p>
              </w:tc>
              <w:tc>
                <w:tcPr>
                  <w:tcW w:w="1305" w:type="pct"/>
                  <w:tcBorders>
                    <w:tl2br w:val="nil"/>
                    <w:tr2bl w:val="nil"/>
                  </w:tcBorders>
                  <w:noWrap w:val="0"/>
                  <w:vAlign w:val="center"/>
                </w:tcPr>
                <w:p w14:paraId="44E39797">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1.本项目主要从事加工汽车座椅骨架，不属于有色金属、印染</w:t>
                  </w:r>
                  <w:r>
                    <w:rPr>
                      <w:rFonts w:hint="default" w:ascii="Times New Roman" w:hAnsi="Times New Roman" w:eastAsia="宋体" w:cs="Times New Roman"/>
                      <w:color w:val="auto"/>
                      <w:sz w:val="21"/>
                      <w:szCs w:val="21"/>
                      <w:highlight w:val="none"/>
                      <w:lang w:val="en-US" w:eastAsia="zh-CN"/>
                    </w:rPr>
                    <w:t>原料药制造、化工等企业</w:t>
                  </w:r>
                  <w:r>
                    <w:rPr>
                      <w:rFonts w:hint="eastAsia" w:ascii="Times New Roman" w:hAnsi="Times New Roman" w:eastAsia="宋体" w:cs="Times New Roman"/>
                      <w:color w:val="auto"/>
                      <w:sz w:val="21"/>
                      <w:szCs w:val="21"/>
                      <w:highlight w:val="none"/>
                      <w:lang w:val="en-US" w:eastAsia="zh-CN"/>
                    </w:rPr>
                    <w:t>；</w:t>
                  </w:r>
                </w:p>
                <w:p w14:paraId="6CAC4CF1">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2.本项目使用低VOCs含量的原料，不属于</w:t>
                  </w:r>
                  <w:r>
                    <w:rPr>
                      <w:rFonts w:hint="default" w:ascii="Times New Roman" w:hAnsi="Times New Roman" w:eastAsia="宋体" w:cs="Times New Roman"/>
                      <w:color w:val="auto"/>
                      <w:sz w:val="21"/>
                      <w:szCs w:val="21"/>
                      <w:highlight w:val="none"/>
                      <w:lang w:val="en-US" w:eastAsia="zh-CN"/>
                    </w:rPr>
                    <w:t>高VOCs排放的项目</w:t>
                  </w:r>
                  <w:r>
                    <w:rPr>
                      <w:rFonts w:hint="eastAsia" w:ascii="Times New Roman" w:hAnsi="Times New Roman" w:eastAsia="宋体" w:cs="Times New Roman"/>
                      <w:color w:val="auto"/>
                      <w:sz w:val="21"/>
                      <w:szCs w:val="21"/>
                      <w:highlight w:val="none"/>
                      <w:lang w:val="en-US" w:eastAsia="zh-CN"/>
                    </w:rPr>
                    <w:t>；</w:t>
                  </w:r>
                </w:p>
                <w:p w14:paraId="1BAA5122">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3.项目租赁福州清山压铸有限公司现有厂房，不属于</w:t>
                  </w:r>
                  <w:r>
                    <w:rPr>
                      <w:rFonts w:hint="default" w:ascii="Times New Roman" w:hAnsi="Times New Roman" w:eastAsia="宋体" w:cs="Times New Roman"/>
                      <w:color w:val="auto"/>
                      <w:sz w:val="21"/>
                      <w:szCs w:val="21"/>
                      <w:highlight w:val="none"/>
                      <w:lang w:val="en-US" w:eastAsia="zh-CN"/>
                    </w:rPr>
                    <w:t>建设用地污染地块名录及开发利用负面清单的土地</w:t>
                  </w:r>
                  <w:r>
                    <w:rPr>
                      <w:rFonts w:hint="eastAsia" w:ascii="Times New Roman" w:hAnsi="Times New Roman" w:eastAsia="宋体" w:cs="Times New Roman"/>
                      <w:color w:val="auto"/>
                      <w:sz w:val="21"/>
                      <w:szCs w:val="21"/>
                      <w:highlight w:val="none"/>
                      <w:lang w:val="en-US" w:eastAsia="zh-CN"/>
                    </w:rPr>
                    <w:t>。符合</w:t>
                  </w:r>
                </w:p>
              </w:tc>
            </w:tr>
            <w:tr w14:paraId="68ADF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8" w:hRule="atLeast"/>
              </w:trPr>
              <w:tc>
                <w:tcPr>
                  <w:tcW w:w="694" w:type="pct"/>
                  <w:vMerge w:val="continue"/>
                  <w:tcBorders>
                    <w:tl2br w:val="nil"/>
                    <w:tr2bl w:val="nil"/>
                  </w:tcBorders>
                  <w:noWrap w:val="0"/>
                  <w:vAlign w:val="center"/>
                </w:tcPr>
                <w:p w14:paraId="42B4F5B3">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765" w:type="pct"/>
                  <w:vMerge w:val="continue"/>
                  <w:tcBorders>
                    <w:tl2br w:val="nil"/>
                    <w:tr2bl w:val="nil"/>
                  </w:tcBorders>
                  <w:noWrap w:val="0"/>
                  <w:vAlign w:val="center"/>
                </w:tcPr>
                <w:p w14:paraId="7E647C0B">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500" w:type="pct"/>
                  <w:vMerge w:val="continue"/>
                  <w:tcBorders>
                    <w:tl2br w:val="nil"/>
                    <w:tr2bl w:val="nil"/>
                  </w:tcBorders>
                  <w:noWrap w:val="0"/>
                  <w:vAlign w:val="center"/>
                </w:tcPr>
                <w:p w14:paraId="6BDC5081">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329" w:type="pct"/>
                  <w:tcBorders>
                    <w:tl2br w:val="nil"/>
                    <w:tr2bl w:val="nil"/>
                  </w:tcBorders>
                  <w:noWrap w:val="0"/>
                  <w:vAlign w:val="center"/>
                </w:tcPr>
                <w:p w14:paraId="4AD68DAC">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污染物排放管控</w:t>
                  </w:r>
                </w:p>
              </w:tc>
              <w:tc>
                <w:tcPr>
                  <w:tcW w:w="1404" w:type="pct"/>
                  <w:tcBorders>
                    <w:tl2br w:val="nil"/>
                    <w:tr2bl w:val="nil"/>
                  </w:tcBorders>
                  <w:noWrap w:val="0"/>
                  <w:vAlign w:val="center"/>
                </w:tcPr>
                <w:p w14:paraId="12A01A35">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落实新增二氧化硫、氮氧化物和VOCs排放总量控制要求。</w:t>
                  </w:r>
                </w:p>
              </w:tc>
              <w:tc>
                <w:tcPr>
                  <w:tcW w:w="1305" w:type="pct"/>
                  <w:tcBorders>
                    <w:tl2br w:val="nil"/>
                    <w:tr2bl w:val="nil"/>
                  </w:tcBorders>
                  <w:noWrap w:val="0"/>
                  <w:vAlign w:val="center"/>
                </w:tcPr>
                <w:p w14:paraId="5C8C53BC">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本项目新增大气污染物SO₂、NOx</w:t>
                  </w:r>
                  <w:r>
                    <w:rPr>
                      <w:rFonts w:hint="eastAsia"/>
                      <w:color w:val="auto"/>
                      <w:sz w:val="21"/>
                      <w:szCs w:val="21"/>
                      <w:highlight w:val="none"/>
                      <w:lang w:val="en-US" w:eastAsia="zh-CN"/>
                    </w:rPr>
                    <w:t>,</w:t>
                  </w:r>
                  <w:r>
                    <w:rPr>
                      <w:rFonts w:hint="eastAsia" w:ascii="Times New Roman" w:hAnsi="Times New Roman" w:eastAsia="宋体"/>
                      <w:color w:val="auto"/>
                      <w:sz w:val="21"/>
                      <w:szCs w:val="21"/>
                      <w:highlight w:val="none"/>
                      <w:lang w:val="en-US" w:eastAsia="zh-CN"/>
                    </w:rPr>
                    <w:t>排放量实行1.5倍削减替代；</w:t>
                  </w:r>
                </w:p>
                <w:p w14:paraId="28071706">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本项目新增VOCs排放量实行倍量削减替代。符合</w:t>
                  </w:r>
                </w:p>
              </w:tc>
            </w:tr>
            <w:tr w14:paraId="07C1F7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694" w:type="pct"/>
                  <w:vMerge w:val="continue"/>
                  <w:tcBorders>
                    <w:tl2br w:val="nil"/>
                    <w:tr2bl w:val="nil"/>
                  </w:tcBorders>
                  <w:noWrap w:val="0"/>
                  <w:vAlign w:val="center"/>
                </w:tcPr>
                <w:p w14:paraId="64E39D99">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765" w:type="pct"/>
                  <w:vMerge w:val="continue"/>
                  <w:tcBorders>
                    <w:tl2br w:val="nil"/>
                    <w:tr2bl w:val="nil"/>
                  </w:tcBorders>
                  <w:noWrap w:val="0"/>
                  <w:vAlign w:val="center"/>
                </w:tcPr>
                <w:p w14:paraId="327593AF">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500" w:type="pct"/>
                  <w:vMerge w:val="continue"/>
                  <w:tcBorders>
                    <w:tl2br w:val="nil"/>
                    <w:tr2bl w:val="nil"/>
                  </w:tcBorders>
                  <w:noWrap w:val="0"/>
                  <w:vAlign w:val="center"/>
                </w:tcPr>
                <w:p w14:paraId="3B7D49DA">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329" w:type="pct"/>
                  <w:tcBorders>
                    <w:tl2br w:val="nil"/>
                    <w:tr2bl w:val="nil"/>
                  </w:tcBorders>
                  <w:noWrap w:val="0"/>
                  <w:vAlign w:val="center"/>
                </w:tcPr>
                <w:p w14:paraId="4D8D49E9">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环境风险防控</w:t>
                  </w:r>
                </w:p>
              </w:tc>
              <w:tc>
                <w:tcPr>
                  <w:tcW w:w="1404" w:type="pct"/>
                  <w:tcBorders>
                    <w:tl2br w:val="nil"/>
                    <w:tr2bl w:val="nil"/>
                  </w:tcBorders>
                  <w:noWrap w:val="0"/>
                  <w:vAlign w:val="center"/>
                </w:tcPr>
                <w:p w14:paraId="64E89A2F">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1305" w:type="pct"/>
                  <w:tcBorders>
                    <w:tl2br w:val="nil"/>
                    <w:tr2bl w:val="nil"/>
                  </w:tcBorders>
                  <w:noWrap w:val="0"/>
                  <w:vAlign w:val="center"/>
                </w:tcPr>
                <w:p w14:paraId="5E96BC1F">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项目建立环境风险防控体系等。厂区地面均已完成硬化处理，生产过程基本不造成地下水、土壤污染。</w:t>
                  </w:r>
                </w:p>
              </w:tc>
            </w:tr>
            <w:tr w14:paraId="56A939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694" w:type="pct"/>
                  <w:vMerge w:val="continue"/>
                  <w:tcBorders>
                    <w:tl2br w:val="nil"/>
                    <w:tr2bl w:val="nil"/>
                  </w:tcBorders>
                  <w:noWrap w:val="0"/>
                  <w:vAlign w:val="center"/>
                </w:tcPr>
                <w:p w14:paraId="75CCF845">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765" w:type="pct"/>
                  <w:vMerge w:val="continue"/>
                  <w:tcBorders>
                    <w:tl2br w:val="nil"/>
                    <w:tr2bl w:val="nil"/>
                  </w:tcBorders>
                  <w:noWrap w:val="0"/>
                  <w:vAlign w:val="center"/>
                </w:tcPr>
                <w:p w14:paraId="6741CCB9">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500" w:type="pct"/>
                  <w:vMerge w:val="continue"/>
                  <w:tcBorders>
                    <w:tl2br w:val="nil"/>
                    <w:tr2bl w:val="nil"/>
                  </w:tcBorders>
                  <w:noWrap w:val="0"/>
                  <w:vAlign w:val="center"/>
                </w:tcPr>
                <w:p w14:paraId="66F6DD9C">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p>
              </w:tc>
              <w:tc>
                <w:tcPr>
                  <w:tcW w:w="329" w:type="pct"/>
                  <w:tcBorders>
                    <w:tl2br w:val="nil"/>
                    <w:tr2bl w:val="nil"/>
                  </w:tcBorders>
                  <w:noWrap w:val="0"/>
                  <w:vAlign w:val="center"/>
                </w:tcPr>
                <w:p w14:paraId="2B58FA40">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资源开发效率要求</w:t>
                  </w:r>
                </w:p>
              </w:tc>
              <w:tc>
                <w:tcPr>
                  <w:tcW w:w="1404" w:type="pct"/>
                  <w:tcBorders>
                    <w:tl2br w:val="nil"/>
                    <w:tr2bl w:val="nil"/>
                  </w:tcBorders>
                  <w:noWrap w:val="0"/>
                  <w:vAlign w:val="center"/>
                </w:tcPr>
                <w:p w14:paraId="3876157C">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default" w:ascii="Times New Roman" w:hAnsi="Times New Roman" w:eastAsia="宋体"/>
                      <w:color w:val="auto"/>
                      <w:sz w:val="21"/>
                      <w:szCs w:val="21"/>
                      <w:highlight w:val="none"/>
                      <w:lang w:val="en-US" w:eastAsia="zh-CN"/>
                    </w:rPr>
                    <w:t>高污染燃料禁燃区内禁止燃用高污染燃料，禁止新建、扩建燃用高污染燃料的设施。已建的燃用高污染燃料设施，限期改用电、天然气、液化石油气等清洁能源。</w:t>
                  </w:r>
                </w:p>
              </w:tc>
              <w:tc>
                <w:tcPr>
                  <w:tcW w:w="1305" w:type="pct"/>
                  <w:tcBorders>
                    <w:tl2br w:val="nil"/>
                    <w:tr2bl w:val="nil"/>
                  </w:tcBorders>
                  <w:noWrap w:val="0"/>
                  <w:vAlign w:val="center"/>
                </w:tcPr>
                <w:p w14:paraId="3148CB1C">
                  <w:pPr>
                    <w:pStyle w:val="151"/>
                    <w:keepNext w:val="0"/>
                    <w:keepLines w:val="0"/>
                    <w:pageBreakBefore w:val="0"/>
                    <w:widowControl w:val="0"/>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olor w:val="auto"/>
                      <w:sz w:val="21"/>
                      <w:szCs w:val="21"/>
                      <w:highlight w:val="none"/>
                      <w:lang w:val="en-US" w:eastAsia="zh-CN"/>
                    </w:rPr>
                  </w:pPr>
                  <w:r>
                    <w:rPr>
                      <w:rFonts w:hint="eastAsia"/>
                      <w:color w:val="auto"/>
                      <w:shd w:val="clear"/>
                      <w:lang w:val="en-US" w:eastAsia="zh-CN"/>
                    </w:rPr>
                    <w:t>本项目采用电能、天然气作为燃料，属于清洁能源。</w:t>
                  </w:r>
                </w:p>
              </w:tc>
            </w:tr>
          </w:tbl>
          <w:p w14:paraId="238885B6">
            <w:pPr>
              <w:spacing w:line="360" w:lineRule="auto"/>
              <w:ind w:firstLine="480" w:firstLineChars="200"/>
              <w:rPr>
                <w:rFonts w:hint="eastAsia" w:ascii="Times New Roman" w:hAnsi="Times New Roman" w:eastAsia="宋体" w:cs="宋体"/>
                <w:color w:val="auto"/>
                <w:sz w:val="24"/>
                <w:highlight w:val="none"/>
                <w:shd w:val="clear"/>
                <w:lang w:val="en-US" w:eastAsia="zh-CN" w:bidi="ar"/>
              </w:rPr>
            </w:pPr>
          </w:p>
          <w:p w14:paraId="6A75402D">
            <w:pPr>
              <w:pStyle w:val="44"/>
              <w:bidi w:val="0"/>
              <w:rPr>
                <w:color w:val="auto"/>
              </w:rPr>
            </w:pPr>
            <w:r>
              <w:rPr>
                <w:rFonts w:hint="eastAsia"/>
                <w:color w:val="auto"/>
                <w:lang w:val="en-US" w:eastAsia="zh-CN"/>
              </w:rPr>
              <w:t>综上所述，</w:t>
            </w:r>
            <w:r>
              <w:rPr>
                <w:rFonts w:hint="eastAsia"/>
                <w:color w:val="auto"/>
                <w:lang w:eastAsia="zh-CN"/>
              </w:rPr>
              <w:t>本项目位于</w:t>
            </w:r>
            <w:r>
              <w:rPr>
                <w:rFonts w:hint="eastAsia"/>
                <w:color w:val="auto"/>
                <w:lang w:val="en-US" w:eastAsia="zh-CN"/>
              </w:rPr>
              <w:t>福建省福州市福清市镜洋镇过洋39号（租赁福州清山压铸有限公司2#厂房、3#厂房）</w:t>
            </w:r>
            <w:r>
              <w:rPr>
                <w:rFonts w:hint="eastAsia"/>
                <w:color w:val="auto"/>
                <w:lang w:eastAsia="zh-CN"/>
              </w:rPr>
              <w:t>，</w:t>
            </w:r>
            <w:r>
              <w:rPr>
                <w:rFonts w:hint="eastAsia"/>
                <w:color w:val="auto"/>
                <w:lang w:val="en-US" w:eastAsia="zh-CN"/>
              </w:rPr>
              <w:t>项目的建设符合“福州</w:t>
            </w:r>
            <w:r>
              <w:rPr>
                <w:rFonts w:hint="eastAsia"/>
                <w:color w:val="auto"/>
                <w:lang w:eastAsia="zh-CN"/>
              </w:rPr>
              <w:t>市生态环境总体准入要求”，用地性质为工业用地，符合</w:t>
            </w:r>
            <w:r>
              <w:rPr>
                <w:rFonts w:hint="eastAsia"/>
                <w:color w:val="auto"/>
                <w:lang w:val="en-US" w:eastAsia="zh-CN"/>
              </w:rPr>
              <w:t>福建省生态环境分区管控</w:t>
            </w:r>
            <w:r>
              <w:rPr>
                <w:rFonts w:hint="eastAsia"/>
                <w:color w:val="auto"/>
                <w:lang w:eastAsia="zh-CN"/>
              </w:rPr>
              <w:t>要求，项目选址合理。</w:t>
            </w:r>
          </w:p>
        </w:tc>
      </w:tr>
    </w:tbl>
    <w:p w14:paraId="5EFF25A4">
      <w:pPr>
        <w:spacing w:line="360" w:lineRule="auto"/>
        <w:rPr>
          <w:rFonts w:eastAsia="黑体"/>
          <w:color w:val="auto"/>
          <w:sz w:val="30"/>
          <w:highlight w:val="none"/>
        </w:rPr>
        <w:sectPr>
          <w:footerReference r:id="rId6" w:type="default"/>
          <w:pgSz w:w="11905" w:h="16838"/>
          <w:pgMar w:top="1417" w:right="1417" w:bottom="1417" w:left="1417" w:header="851" w:footer="1077" w:gutter="0"/>
          <w:pgBorders>
            <w:top w:val="none" w:sz="0" w:space="0"/>
            <w:left w:val="none" w:sz="0" w:space="0"/>
            <w:bottom w:val="none" w:sz="0" w:space="0"/>
            <w:right w:val="none" w:sz="0" w:space="0"/>
          </w:pgBorders>
          <w:pgNumType w:fmt="decimal" w:start="1"/>
          <w:cols w:space="0" w:num="1"/>
          <w:docGrid w:linePitch="312" w:charSpace="0"/>
        </w:sectPr>
      </w:pPr>
    </w:p>
    <w:p w14:paraId="6CD04224">
      <w:pPr>
        <w:pStyle w:val="2"/>
        <w:bidi w:val="0"/>
        <w:ind w:left="432" w:leftChars="0" w:hanging="432" w:firstLineChars="0"/>
        <w:rPr>
          <w:color w:val="auto"/>
          <w:highlight w:val="none"/>
        </w:rPr>
      </w:pPr>
      <w:bookmarkStart w:id="8" w:name="_Toc24216"/>
      <w:bookmarkStart w:id="9" w:name="_Toc24754"/>
      <w:bookmarkStart w:id="10" w:name="_Toc2799"/>
      <w:bookmarkStart w:id="11" w:name="_Toc18851"/>
      <w:bookmarkStart w:id="12" w:name="_Toc21337"/>
      <w:r>
        <w:rPr>
          <w:rFonts w:hint="eastAsia"/>
          <w:color w:val="auto"/>
          <w:highlight w:val="none"/>
        </w:rPr>
        <w:t>建设项目工程分析</w:t>
      </w:r>
      <w:bookmarkEnd w:id="8"/>
      <w:bookmarkEnd w:id="9"/>
      <w:bookmarkEnd w:id="10"/>
      <w:bookmarkEnd w:id="11"/>
      <w:bookmarkEnd w:id="12"/>
    </w:p>
    <w:tbl>
      <w:tblPr>
        <w:tblStyle w:val="33"/>
        <w:tblW w:w="928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98"/>
        <w:gridCol w:w="8889"/>
      </w:tblGrid>
      <w:tr w14:paraId="277E12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426" w:type="dxa"/>
            <w:vAlign w:val="center"/>
          </w:tcPr>
          <w:p w14:paraId="59896E14">
            <w:pPr>
              <w:pStyle w:val="31"/>
              <w:adjustRightInd w:val="0"/>
              <w:snapToGrid w:val="0"/>
              <w:spacing w:before="0" w:beforeAutospacing="0" w:after="0" w:afterAutospacing="0"/>
              <w:jc w:val="center"/>
              <w:rPr>
                <w:rFonts w:cs="宋体"/>
                <w:color w:val="auto"/>
                <w:sz w:val="21"/>
                <w:szCs w:val="21"/>
                <w:highlight w:val="none"/>
              </w:rPr>
            </w:pPr>
            <w:bookmarkStart w:id="13" w:name="_Hlk86096164"/>
            <w:r>
              <w:rPr>
                <w:rFonts w:hint="eastAsia" w:cs="宋体"/>
                <w:color w:val="auto"/>
                <w:sz w:val="21"/>
                <w:szCs w:val="21"/>
                <w:highlight w:val="none"/>
              </w:rPr>
              <w:t>建设内容</w:t>
            </w:r>
          </w:p>
        </w:tc>
        <w:tc>
          <w:tcPr>
            <w:tcW w:w="8861" w:type="dxa"/>
          </w:tcPr>
          <w:p w14:paraId="3533EC6B">
            <w:pPr>
              <w:pStyle w:val="3"/>
              <w:bidi w:val="0"/>
              <w:rPr>
                <w:color w:val="auto"/>
              </w:rPr>
            </w:pPr>
            <w:r>
              <w:rPr>
                <w:rFonts w:hint="eastAsia"/>
                <w:color w:val="auto"/>
              </w:rPr>
              <w:t>项目由来</w:t>
            </w:r>
          </w:p>
          <w:p w14:paraId="389959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kern w:val="0"/>
                <w:sz w:val="24"/>
                <w:szCs w:val="20"/>
                <w:highlight w:val="none"/>
                <w:shd w:val="clear" w:fill="FFFF00"/>
                <w:lang w:val="en-US" w:eastAsia="zh-CN" w:bidi="ar-SA"/>
              </w:rPr>
            </w:pPr>
            <w:r>
              <w:rPr>
                <w:rFonts w:hint="eastAsia" w:ascii="Times New Roman" w:hAnsi="Times New Roman" w:eastAsia="宋体" w:cs="Times New Roman"/>
                <w:color w:val="auto"/>
                <w:kern w:val="0"/>
                <w:sz w:val="24"/>
                <w:szCs w:val="20"/>
                <w:highlight w:val="none"/>
                <w:lang w:val="zh-CN" w:eastAsia="zh-CN" w:bidi="ar-SA"/>
              </w:rPr>
              <w:t>福州奇</w:t>
            </w:r>
            <w:r>
              <w:rPr>
                <w:rFonts w:hint="eastAsia" w:ascii="Times New Roman" w:hAnsi="Times New Roman" w:eastAsia="宋体" w:cs="Times New Roman"/>
                <w:color w:val="auto"/>
                <w:kern w:val="0"/>
                <w:sz w:val="24"/>
                <w:szCs w:val="20"/>
                <w:highlight w:val="none"/>
                <w:shd w:val="clear"/>
                <w:lang w:val="zh-CN" w:eastAsia="zh-CN" w:bidi="ar-SA"/>
              </w:rPr>
              <w:t>联汽车零部件有限公司</w:t>
            </w:r>
            <w:r>
              <w:rPr>
                <w:rFonts w:hint="default" w:ascii="Times New Roman" w:hAnsi="Times New Roman" w:eastAsia="宋体" w:cs="Times New Roman"/>
                <w:color w:val="auto"/>
                <w:kern w:val="0"/>
                <w:sz w:val="24"/>
                <w:szCs w:val="20"/>
                <w:highlight w:val="none"/>
                <w:shd w:val="clear"/>
                <w:lang w:val="zh-CN" w:eastAsia="zh-CN" w:bidi="ar-SA"/>
              </w:rPr>
              <w:t>成立于20</w:t>
            </w:r>
            <w:r>
              <w:rPr>
                <w:rFonts w:hint="eastAsia" w:ascii="Times New Roman" w:hAnsi="Times New Roman" w:eastAsia="宋体" w:cs="Times New Roman"/>
                <w:color w:val="auto"/>
                <w:kern w:val="0"/>
                <w:sz w:val="24"/>
                <w:szCs w:val="20"/>
                <w:highlight w:val="none"/>
                <w:shd w:val="clear"/>
                <w:lang w:val="en-US" w:eastAsia="zh-CN" w:bidi="ar-SA"/>
              </w:rPr>
              <w:t>25</w:t>
            </w:r>
            <w:r>
              <w:rPr>
                <w:rFonts w:hint="default" w:ascii="Times New Roman" w:hAnsi="Times New Roman" w:eastAsia="宋体" w:cs="Times New Roman"/>
                <w:color w:val="auto"/>
                <w:kern w:val="0"/>
                <w:sz w:val="24"/>
                <w:szCs w:val="20"/>
                <w:highlight w:val="none"/>
                <w:shd w:val="clear"/>
                <w:lang w:val="zh-CN" w:eastAsia="zh-CN" w:bidi="ar-SA"/>
              </w:rPr>
              <w:t>年</w:t>
            </w:r>
            <w:r>
              <w:rPr>
                <w:rFonts w:hint="eastAsia" w:ascii="Times New Roman" w:hAnsi="Times New Roman" w:eastAsia="宋体" w:cs="Times New Roman"/>
                <w:color w:val="auto"/>
                <w:kern w:val="0"/>
                <w:sz w:val="24"/>
                <w:szCs w:val="20"/>
                <w:highlight w:val="none"/>
                <w:shd w:val="clear"/>
                <w:lang w:val="en-US" w:eastAsia="zh-CN" w:bidi="ar-SA"/>
              </w:rPr>
              <w:t>5</w:t>
            </w:r>
            <w:r>
              <w:rPr>
                <w:rFonts w:hint="default" w:ascii="Times New Roman" w:hAnsi="Times New Roman" w:eastAsia="宋体" w:cs="Times New Roman"/>
                <w:color w:val="auto"/>
                <w:kern w:val="0"/>
                <w:sz w:val="24"/>
                <w:szCs w:val="20"/>
                <w:highlight w:val="none"/>
                <w:shd w:val="clear"/>
                <w:lang w:val="zh-CN" w:eastAsia="zh-CN" w:bidi="ar-SA"/>
              </w:rPr>
              <w:t>月</w:t>
            </w:r>
            <w:r>
              <w:rPr>
                <w:rFonts w:hint="eastAsia" w:ascii="Times New Roman" w:hAnsi="Times New Roman" w:eastAsia="宋体" w:cs="Times New Roman"/>
                <w:color w:val="auto"/>
                <w:kern w:val="0"/>
                <w:sz w:val="24"/>
                <w:szCs w:val="20"/>
                <w:highlight w:val="none"/>
                <w:shd w:val="clear"/>
                <w:lang w:val="en-US" w:eastAsia="zh-CN" w:bidi="ar-SA"/>
              </w:rPr>
              <w:t>8</w:t>
            </w:r>
            <w:r>
              <w:rPr>
                <w:rFonts w:hint="default" w:ascii="Times New Roman" w:hAnsi="Times New Roman" w:eastAsia="宋体" w:cs="Times New Roman"/>
                <w:color w:val="auto"/>
                <w:kern w:val="0"/>
                <w:sz w:val="24"/>
                <w:szCs w:val="20"/>
                <w:highlight w:val="none"/>
                <w:shd w:val="clear"/>
                <w:lang w:val="zh-CN" w:eastAsia="zh-CN" w:bidi="ar-SA"/>
              </w:rPr>
              <w:t>日</w:t>
            </w:r>
            <w:r>
              <w:rPr>
                <w:rFonts w:hint="default" w:ascii="Times New Roman" w:hAnsi="Times New Roman" w:eastAsia="宋体" w:cs="Times New Roman"/>
                <w:color w:val="auto"/>
                <w:kern w:val="0"/>
                <w:sz w:val="24"/>
                <w:szCs w:val="20"/>
                <w:highlight w:val="none"/>
                <w:shd w:val="clear"/>
                <w:lang w:val="en-US" w:eastAsia="zh-CN" w:bidi="ar-SA"/>
              </w:rPr>
              <w:t>，</w:t>
            </w:r>
            <w:r>
              <w:rPr>
                <w:rFonts w:hint="eastAsia" w:ascii="Times New Roman" w:hAnsi="Times New Roman" w:eastAsia="宋体" w:cs="Times New Roman"/>
                <w:color w:val="auto"/>
                <w:kern w:val="0"/>
                <w:sz w:val="24"/>
                <w:szCs w:val="20"/>
                <w:highlight w:val="none"/>
                <w:shd w:val="clear"/>
                <w:lang w:val="en-US" w:eastAsia="zh-CN" w:bidi="ar-SA"/>
              </w:rPr>
              <w:t>租用</w:t>
            </w:r>
            <w:r>
              <w:rPr>
                <w:rFonts w:hint="eastAsia" w:ascii="Times New Roman" w:hAnsi="Times New Roman" w:eastAsia="宋体" w:cs="Times New Roman"/>
                <w:b w:val="0"/>
                <w:bCs w:val="0"/>
                <w:i w:val="0"/>
                <w:iCs w:val="0"/>
                <w:color w:val="auto"/>
                <w:kern w:val="0"/>
                <w:sz w:val="24"/>
                <w:szCs w:val="20"/>
                <w:highlight w:val="none"/>
                <w:shd w:val="clear"/>
                <w:lang w:val="zh-CN" w:eastAsia="zh-CN" w:bidi="ar-SA"/>
              </w:rPr>
              <w:t>福州清山压铸有限公司2#厂房、3#厂房（2#厂房建筑面积</w:t>
            </w:r>
            <w:r>
              <w:rPr>
                <w:rFonts w:hint="eastAsia" w:ascii="Times New Roman" w:hAnsi="Times New Roman" w:eastAsia="宋体" w:cs="Times New Roman"/>
                <w:b w:val="0"/>
                <w:bCs w:val="0"/>
                <w:i w:val="0"/>
                <w:iCs w:val="0"/>
                <w:color w:val="auto"/>
                <w:kern w:val="0"/>
                <w:sz w:val="24"/>
                <w:szCs w:val="20"/>
                <w:highlight w:val="none"/>
                <w:shd w:val="clear"/>
                <w:lang w:val="en-US" w:eastAsia="zh-CN" w:bidi="ar-SA"/>
              </w:rPr>
              <w:t>101</w:t>
            </w:r>
            <w:r>
              <w:rPr>
                <w:rFonts w:hint="eastAsia" w:ascii="Times New Roman" w:hAnsi="Times New Roman" w:eastAsia="宋体" w:cs="Times New Roman"/>
                <w:b w:val="0"/>
                <w:bCs w:val="0"/>
                <w:i w:val="0"/>
                <w:iCs w:val="0"/>
                <w:color w:val="auto"/>
                <w:kern w:val="0"/>
                <w:sz w:val="24"/>
                <w:szCs w:val="20"/>
                <w:highlight w:val="none"/>
                <w:shd w:val="clear"/>
                <w:lang w:val="zh-CN" w:eastAsia="zh-CN" w:bidi="ar-SA"/>
              </w:rPr>
              <w:t>0m</w:t>
            </w:r>
            <w:r>
              <w:rPr>
                <w:rFonts w:hint="eastAsia" w:ascii="Times New Roman" w:hAnsi="Times New Roman" w:eastAsia="宋体" w:cs="Times New Roman"/>
                <w:b w:val="0"/>
                <w:bCs w:val="0"/>
                <w:i w:val="0"/>
                <w:iCs w:val="0"/>
                <w:color w:val="auto"/>
                <w:kern w:val="0"/>
                <w:sz w:val="24"/>
                <w:szCs w:val="20"/>
                <w:highlight w:val="none"/>
                <w:shd w:val="clear"/>
                <w:vertAlign w:val="superscript"/>
                <w:lang w:val="en-US" w:eastAsia="zh-CN" w:bidi="ar-SA"/>
              </w:rPr>
              <w:t>2</w:t>
            </w:r>
            <w:r>
              <w:rPr>
                <w:rFonts w:hint="eastAsia" w:ascii="Times New Roman" w:hAnsi="Times New Roman" w:eastAsia="宋体" w:cs="Times New Roman"/>
                <w:b w:val="0"/>
                <w:bCs w:val="0"/>
                <w:i w:val="0"/>
                <w:iCs w:val="0"/>
                <w:color w:val="auto"/>
                <w:kern w:val="0"/>
                <w:sz w:val="24"/>
                <w:szCs w:val="20"/>
                <w:highlight w:val="none"/>
                <w:shd w:val="clear"/>
                <w:lang w:val="zh-CN" w:eastAsia="zh-CN" w:bidi="ar-SA"/>
              </w:rPr>
              <w:t>，</w:t>
            </w:r>
            <w:r>
              <w:rPr>
                <w:rFonts w:hint="eastAsia" w:ascii="Times New Roman" w:hAnsi="Times New Roman" w:eastAsia="宋体" w:cs="Times New Roman"/>
                <w:b w:val="0"/>
                <w:bCs w:val="0"/>
                <w:i w:val="0"/>
                <w:iCs w:val="0"/>
                <w:color w:val="auto"/>
                <w:kern w:val="0"/>
                <w:sz w:val="24"/>
                <w:szCs w:val="20"/>
                <w:highlight w:val="none"/>
                <w:shd w:val="clear"/>
                <w:lang w:val="en-US" w:eastAsia="zh-CN" w:bidi="ar-SA"/>
              </w:rPr>
              <w:t>3</w:t>
            </w:r>
            <w:r>
              <w:rPr>
                <w:rFonts w:hint="eastAsia" w:ascii="Times New Roman" w:hAnsi="Times New Roman" w:eastAsia="宋体" w:cs="Times New Roman"/>
                <w:b w:val="0"/>
                <w:bCs w:val="0"/>
                <w:i w:val="0"/>
                <w:iCs w:val="0"/>
                <w:color w:val="auto"/>
                <w:kern w:val="0"/>
                <w:sz w:val="24"/>
                <w:szCs w:val="20"/>
                <w:highlight w:val="none"/>
                <w:shd w:val="clear"/>
                <w:lang w:val="zh-CN" w:eastAsia="zh-CN" w:bidi="ar-SA"/>
              </w:rPr>
              <w:t>#厂房建筑面积</w:t>
            </w:r>
            <w:r>
              <w:rPr>
                <w:rFonts w:hint="eastAsia" w:ascii="Times New Roman" w:hAnsi="Times New Roman" w:eastAsia="宋体" w:cs="Times New Roman"/>
                <w:b w:val="0"/>
                <w:bCs w:val="0"/>
                <w:i w:val="0"/>
                <w:iCs w:val="0"/>
                <w:color w:val="auto"/>
                <w:kern w:val="0"/>
                <w:sz w:val="24"/>
                <w:szCs w:val="20"/>
                <w:highlight w:val="none"/>
                <w:shd w:val="clear"/>
                <w:lang w:val="en-US" w:eastAsia="zh-CN" w:bidi="ar-SA"/>
              </w:rPr>
              <w:t>10</w:t>
            </w:r>
            <w:r>
              <w:rPr>
                <w:rFonts w:hint="eastAsia" w:ascii="Times New Roman" w:hAnsi="Times New Roman" w:eastAsia="宋体" w:cs="Times New Roman"/>
                <w:b w:val="0"/>
                <w:bCs w:val="0"/>
                <w:i w:val="0"/>
                <w:iCs w:val="0"/>
                <w:color w:val="auto"/>
                <w:kern w:val="0"/>
                <w:sz w:val="24"/>
                <w:szCs w:val="20"/>
                <w:highlight w:val="none"/>
                <w:shd w:val="clear"/>
                <w:lang w:val="zh-CN" w:eastAsia="zh-CN" w:bidi="ar-SA"/>
              </w:rPr>
              <w:t>20m</w:t>
            </w:r>
            <w:r>
              <w:rPr>
                <w:rFonts w:hint="eastAsia" w:ascii="Times New Roman" w:hAnsi="Times New Roman" w:eastAsia="宋体" w:cs="Times New Roman"/>
                <w:b w:val="0"/>
                <w:bCs w:val="0"/>
                <w:i w:val="0"/>
                <w:iCs w:val="0"/>
                <w:color w:val="auto"/>
                <w:kern w:val="0"/>
                <w:sz w:val="24"/>
                <w:szCs w:val="20"/>
                <w:highlight w:val="none"/>
                <w:shd w:val="clear"/>
                <w:vertAlign w:val="superscript"/>
                <w:lang w:val="en-US" w:eastAsia="zh-CN" w:bidi="ar-SA"/>
              </w:rPr>
              <w:t>2</w:t>
            </w:r>
            <w:r>
              <w:rPr>
                <w:rFonts w:hint="eastAsia" w:ascii="Times New Roman" w:hAnsi="Times New Roman" w:eastAsia="宋体" w:cs="Times New Roman"/>
                <w:b w:val="0"/>
                <w:bCs w:val="0"/>
                <w:i w:val="0"/>
                <w:iCs w:val="0"/>
                <w:color w:val="auto"/>
                <w:kern w:val="0"/>
                <w:sz w:val="24"/>
                <w:szCs w:val="20"/>
                <w:highlight w:val="none"/>
                <w:shd w:val="clear"/>
                <w:vertAlign w:val="baseline"/>
                <w:lang w:val="en-US" w:eastAsia="zh-CN" w:bidi="ar-SA"/>
              </w:rPr>
              <w:t>）</w:t>
            </w:r>
            <w:r>
              <w:rPr>
                <w:rFonts w:hint="eastAsia" w:ascii="Times New Roman" w:hAnsi="Times New Roman" w:eastAsia="宋体" w:cs="Times New Roman"/>
                <w:b w:val="0"/>
                <w:bCs w:val="0"/>
                <w:color w:val="auto"/>
                <w:kern w:val="0"/>
                <w:sz w:val="24"/>
                <w:szCs w:val="20"/>
                <w:highlight w:val="none"/>
                <w:shd w:val="clear"/>
                <w:lang w:val="en-US" w:eastAsia="zh-CN" w:bidi="ar-SA"/>
              </w:rPr>
              <w:t>位于</w:t>
            </w:r>
            <w:r>
              <w:rPr>
                <w:rFonts w:hint="eastAsia" w:ascii="Times New Roman" w:hAnsi="Times New Roman" w:eastAsia="宋体" w:cs="Times New Roman"/>
                <w:b w:val="0"/>
                <w:bCs w:val="0"/>
                <w:i w:val="0"/>
                <w:iCs w:val="0"/>
                <w:color w:val="auto"/>
                <w:kern w:val="0"/>
                <w:sz w:val="24"/>
                <w:szCs w:val="20"/>
                <w:highlight w:val="none"/>
                <w:shd w:val="clear"/>
                <w:lang w:val="zh-CN" w:eastAsia="zh-CN" w:bidi="ar-SA"/>
              </w:rPr>
              <w:t>福建省福清市镜洋镇过洋39号</w:t>
            </w:r>
            <w:r>
              <w:rPr>
                <w:rFonts w:hint="eastAsia" w:ascii="Times New Roman" w:hAnsi="Times New Roman" w:eastAsia="宋体" w:cs="Times New Roman"/>
                <w:b w:val="0"/>
                <w:bCs w:val="0"/>
                <w:color w:val="auto"/>
                <w:kern w:val="0"/>
                <w:sz w:val="24"/>
                <w:szCs w:val="20"/>
                <w:highlight w:val="none"/>
                <w:shd w:val="clear"/>
                <w:lang w:val="en-US" w:eastAsia="zh-CN" w:bidi="ar-SA"/>
              </w:rPr>
              <w:t>，</w:t>
            </w:r>
            <w:r>
              <w:rPr>
                <w:rFonts w:hint="eastAsia" w:ascii="Times New Roman" w:hAnsi="Times New Roman" w:eastAsia="宋体" w:cs="Times New Roman"/>
                <w:color w:val="auto"/>
                <w:kern w:val="0"/>
                <w:sz w:val="24"/>
                <w:szCs w:val="20"/>
                <w:highlight w:val="none"/>
                <w:shd w:val="clear"/>
                <w:lang w:val="en-US" w:eastAsia="zh-CN" w:bidi="ar-SA"/>
              </w:rPr>
              <w:t>拟投资900万元，总建筑面积约2030</w:t>
            </w:r>
            <w:r>
              <w:rPr>
                <w:rFonts w:hint="default" w:ascii="Times New Roman" w:hAnsi="Times New Roman" w:eastAsia="宋体" w:cs="Times New Roman"/>
                <w:color w:val="auto"/>
                <w:kern w:val="0"/>
                <w:sz w:val="24"/>
                <w:szCs w:val="20"/>
                <w:highlight w:val="none"/>
                <w:shd w:val="clear"/>
                <w:lang w:val="zh-CN" w:eastAsia="zh-CN" w:bidi="ar-SA"/>
              </w:rPr>
              <w:t>m</w:t>
            </w:r>
            <w:r>
              <w:rPr>
                <w:rFonts w:hint="default" w:ascii="Times New Roman" w:hAnsi="Times New Roman" w:eastAsia="宋体" w:cs="Times New Roman"/>
                <w:color w:val="auto"/>
                <w:kern w:val="0"/>
                <w:sz w:val="24"/>
                <w:szCs w:val="20"/>
                <w:highlight w:val="none"/>
                <w:shd w:val="clear"/>
                <w:vertAlign w:val="superscript"/>
                <w:lang w:val="zh-CN" w:eastAsia="zh-CN" w:bidi="ar-SA"/>
              </w:rPr>
              <w:t>2</w:t>
            </w:r>
            <w:r>
              <w:rPr>
                <w:rFonts w:hint="eastAsia" w:ascii="Times New Roman" w:hAnsi="Times New Roman" w:eastAsia="宋体" w:cs="Times New Roman"/>
                <w:color w:val="auto"/>
                <w:kern w:val="0"/>
                <w:sz w:val="24"/>
                <w:szCs w:val="20"/>
                <w:highlight w:val="none"/>
                <w:shd w:val="clear"/>
                <w:lang w:val="en-US" w:eastAsia="zh-CN" w:bidi="ar-SA"/>
              </w:rPr>
              <w:t>，购置焊机、预脱脂UFO洗槽等相关附属设备，技术水平达国内先进。建设1条汽车座椅骨架加工生产线，设计年加工汽车座椅骨架10万套生产规模。福州清山压铸有限公司年增产50万个铝制不粘锅扩建项目（以下简称"该项目"），</w:t>
            </w:r>
            <w:r>
              <w:rPr>
                <w:rFonts w:hint="eastAsia" w:cs="Times New Roman"/>
                <w:color w:val="auto"/>
                <w:kern w:val="0"/>
                <w:sz w:val="24"/>
                <w:szCs w:val="20"/>
                <w:highlight w:val="none"/>
                <w:shd w:val="clear"/>
                <w:lang w:val="en-US" w:eastAsia="zh-CN" w:bidi="ar-SA"/>
              </w:rPr>
              <w:t>该</w:t>
            </w:r>
            <w:r>
              <w:rPr>
                <w:rFonts w:hint="eastAsia" w:ascii="Times New Roman" w:hAnsi="Times New Roman" w:eastAsia="宋体" w:cs="Times New Roman"/>
                <w:color w:val="auto"/>
                <w:kern w:val="0"/>
                <w:sz w:val="24"/>
                <w:szCs w:val="20"/>
                <w:highlight w:val="none"/>
                <w:shd w:val="clear"/>
                <w:lang w:val="en-US" w:eastAsia="zh-CN" w:bidi="ar-SA"/>
              </w:rPr>
              <w:t>项目</w:t>
            </w:r>
            <w:r>
              <w:rPr>
                <w:rFonts w:hint="eastAsia" w:ascii="Times New Roman" w:hAnsi="Times New Roman" w:eastAsia="宋体" w:cs="Times New Roman"/>
                <w:color w:val="auto"/>
                <w:kern w:val="0"/>
                <w:sz w:val="24"/>
                <w:szCs w:val="20"/>
                <w:highlight w:val="none"/>
                <w:u w:val="none"/>
                <w:shd w:val="clear"/>
                <w:lang w:val="en-US" w:eastAsia="zh-CN" w:bidi="ar-SA"/>
              </w:rPr>
              <w:t>总投资</w:t>
            </w:r>
            <w:r>
              <w:rPr>
                <w:rFonts w:hint="eastAsia" w:cs="Times New Roman"/>
                <w:color w:val="auto"/>
                <w:kern w:val="0"/>
                <w:sz w:val="24"/>
                <w:szCs w:val="20"/>
                <w:highlight w:val="none"/>
                <w:u w:val="none"/>
                <w:shd w:val="clear"/>
                <w:lang w:val="en-US" w:eastAsia="zh-CN" w:bidi="ar-SA"/>
              </w:rPr>
              <w:t>250</w:t>
            </w:r>
            <w:r>
              <w:rPr>
                <w:rFonts w:hint="eastAsia" w:ascii="Times New Roman" w:hAnsi="Times New Roman" w:eastAsia="宋体" w:cs="Times New Roman"/>
                <w:color w:val="auto"/>
                <w:kern w:val="0"/>
                <w:sz w:val="24"/>
                <w:szCs w:val="20"/>
                <w:highlight w:val="none"/>
                <w:u w:val="none"/>
                <w:shd w:val="clear"/>
                <w:lang w:val="en-US" w:eastAsia="zh-CN" w:bidi="ar-SA"/>
              </w:rPr>
              <w:t>万元</w:t>
            </w:r>
            <w:r>
              <w:rPr>
                <w:rFonts w:hint="eastAsia" w:ascii="Times New Roman" w:hAnsi="Times New Roman" w:eastAsia="宋体" w:cs="Times New Roman"/>
                <w:color w:val="auto"/>
                <w:kern w:val="0"/>
                <w:sz w:val="24"/>
                <w:szCs w:val="20"/>
                <w:highlight w:val="none"/>
                <w:shd w:val="clear"/>
                <w:lang w:val="en-US" w:eastAsia="zh-CN" w:bidi="ar-SA"/>
              </w:rPr>
              <w:t>，生产场</w:t>
            </w:r>
            <w:r>
              <w:rPr>
                <w:rFonts w:hint="eastAsia" w:ascii="Times New Roman" w:hAnsi="Times New Roman" w:eastAsia="宋体" w:cs="Times New Roman"/>
                <w:color w:val="auto"/>
                <w:kern w:val="0"/>
                <w:sz w:val="24"/>
                <w:szCs w:val="20"/>
                <w:highlight w:val="none"/>
                <w:u w:val="none"/>
                <w:shd w:val="clear"/>
                <w:lang w:val="en-US" w:eastAsia="zh-CN" w:bidi="ar-SA"/>
              </w:rPr>
              <w:t>地</w:t>
            </w:r>
            <w:r>
              <w:rPr>
                <w:rFonts w:hint="eastAsia" w:cs="Times New Roman"/>
                <w:color w:val="auto"/>
                <w:kern w:val="0"/>
                <w:sz w:val="24"/>
                <w:szCs w:val="20"/>
                <w:highlight w:val="none"/>
                <w:u w:val="none"/>
                <w:shd w:val="clear"/>
                <w:lang w:val="en-US" w:eastAsia="zh-CN" w:bidi="ar-SA"/>
              </w:rPr>
              <w:t>为</w:t>
            </w:r>
            <w:r>
              <w:rPr>
                <w:rFonts w:hint="eastAsia" w:ascii="Times New Roman" w:hAnsi="Times New Roman" w:eastAsia="宋体" w:cs="Times New Roman"/>
                <w:b w:val="0"/>
                <w:bCs w:val="0"/>
                <w:i w:val="0"/>
                <w:iCs w:val="0"/>
                <w:color w:val="auto"/>
                <w:kern w:val="0"/>
                <w:sz w:val="24"/>
                <w:szCs w:val="20"/>
                <w:highlight w:val="none"/>
                <w:shd w:val="clear"/>
                <w:lang w:val="zh-CN" w:eastAsia="zh-CN" w:bidi="ar-SA"/>
              </w:rPr>
              <w:t>福建省福清市镜洋镇过洋39号</w:t>
            </w:r>
            <w:r>
              <w:rPr>
                <w:rFonts w:hint="eastAsia" w:cs="Times New Roman"/>
                <w:color w:val="auto"/>
                <w:kern w:val="0"/>
                <w:sz w:val="24"/>
                <w:szCs w:val="20"/>
                <w:highlight w:val="none"/>
                <w:u w:val="none"/>
                <w:shd w:val="clear"/>
                <w:lang w:val="en-US" w:eastAsia="zh-CN" w:bidi="ar-SA"/>
              </w:rPr>
              <w:t>（福清市镜洋镇工业区内</w:t>
            </w:r>
            <w:r>
              <w:rPr>
                <w:rFonts w:hint="eastAsia" w:cs="Times New Roman"/>
                <w:b w:val="0"/>
                <w:bCs w:val="0"/>
                <w:i w:val="0"/>
                <w:iCs w:val="0"/>
                <w:color w:val="auto"/>
                <w:kern w:val="0"/>
                <w:sz w:val="24"/>
                <w:szCs w:val="20"/>
                <w:highlight w:val="none"/>
                <w:shd w:val="clear"/>
                <w:lang w:val="zh-CN" w:eastAsia="zh-CN" w:bidi="ar-SA"/>
              </w:rPr>
              <w:t>）</w:t>
            </w:r>
            <w:r>
              <w:rPr>
                <w:rFonts w:hint="eastAsia" w:ascii="Times New Roman" w:hAnsi="Times New Roman" w:eastAsia="宋体" w:cs="Times New Roman"/>
                <w:color w:val="auto"/>
                <w:kern w:val="0"/>
                <w:sz w:val="24"/>
                <w:szCs w:val="20"/>
                <w:highlight w:val="none"/>
                <w:shd w:val="clear"/>
                <w:lang w:val="en-US" w:eastAsia="zh-CN" w:bidi="ar-SA"/>
              </w:rPr>
              <w:t>，总面积</w:t>
            </w:r>
            <w:r>
              <w:rPr>
                <w:rFonts w:hint="eastAsia" w:cs="Times New Roman"/>
                <w:color w:val="auto"/>
                <w:kern w:val="0"/>
                <w:sz w:val="24"/>
                <w:szCs w:val="20"/>
                <w:highlight w:val="none"/>
                <w:u w:val="none"/>
                <w:shd w:val="clear"/>
                <w:lang w:val="en-US" w:eastAsia="zh-CN" w:bidi="ar-SA"/>
              </w:rPr>
              <w:t>16874</w:t>
            </w:r>
            <w:r>
              <w:rPr>
                <w:rFonts w:hint="eastAsia" w:ascii="Times New Roman" w:hAnsi="Times New Roman" w:eastAsia="宋体" w:cs="Times New Roman"/>
                <w:color w:val="auto"/>
                <w:kern w:val="0"/>
                <w:sz w:val="24"/>
                <w:szCs w:val="20"/>
                <w:highlight w:val="none"/>
                <w:u w:val="none"/>
                <w:shd w:val="clear"/>
                <w:lang w:val="en-US" w:eastAsia="zh-CN" w:bidi="ar-SA"/>
              </w:rPr>
              <w:t>m</w:t>
            </w:r>
            <w:r>
              <w:rPr>
                <w:rFonts w:hint="eastAsia" w:ascii="Times New Roman" w:hAnsi="Times New Roman" w:eastAsia="宋体" w:cs="Times New Roman"/>
                <w:color w:val="auto"/>
                <w:kern w:val="0"/>
                <w:sz w:val="24"/>
                <w:szCs w:val="20"/>
                <w:highlight w:val="none"/>
                <w:u w:val="none"/>
                <w:shd w:val="clear"/>
                <w:vertAlign w:val="superscript"/>
                <w:lang w:val="en-US" w:eastAsia="zh-CN" w:bidi="ar-SA"/>
              </w:rPr>
              <w:t>2</w:t>
            </w:r>
            <w:r>
              <w:rPr>
                <w:rFonts w:hint="eastAsia" w:ascii="Times New Roman" w:hAnsi="Times New Roman" w:eastAsia="宋体" w:cs="Times New Roman"/>
                <w:color w:val="auto"/>
                <w:kern w:val="0"/>
                <w:sz w:val="24"/>
                <w:szCs w:val="20"/>
                <w:highlight w:val="none"/>
                <w:shd w:val="clear"/>
                <w:lang w:val="en-US" w:eastAsia="zh-CN" w:bidi="ar-SA"/>
              </w:rPr>
              <w:t>，设计年增产50万个铝制不粘锅</w:t>
            </w:r>
            <w:r>
              <w:rPr>
                <w:rFonts w:hint="eastAsia" w:cs="Times New Roman"/>
                <w:color w:val="auto"/>
                <w:kern w:val="0"/>
                <w:sz w:val="24"/>
                <w:szCs w:val="20"/>
                <w:highlight w:val="none"/>
                <w:shd w:val="clear"/>
                <w:lang w:val="en-US" w:eastAsia="zh-CN" w:bidi="ar-SA"/>
              </w:rPr>
              <w:t>。</w:t>
            </w:r>
            <w:r>
              <w:rPr>
                <w:rFonts w:hint="eastAsia" w:ascii="Times New Roman" w:hAnsi="Times New Roman" w:eastAsia="宋体" w:cs="Times New Roman"/>
                <w:color w:val="auto"/>
                <w:kern w:val="0"/>
                <w:sz w:val="24"/>
                <w:szCs w:val="20"/>
                <w:highlight w:val="none"/>
                <w:shd w:val="clear"/>
                <w:lang w:val="en-US" w:eastAsia="zh-CN" w:bidi="ar-SA"/>
              </w:rPr>
              <w:t>福州清山压铸有限公司依法委托</w:t>
            </w:r>
            <w:r>
              <w:rPr>
                <w:rFonts w:hint="eastAsia" w:cs="Times New Roman"/>
                <w:color w:val="auto"/>
                <w:kern w:val="0"/>
                <w:sz w:val="24"/>
                <w:szCs w:val="20"/>
                <w:highlight w:val="none"/>
                <w:u w:val="none"/>
                <w:shd w:val="clear"/>
                <w:lang w:val="en-US" w:eastAsia="zh-CN" w:bidi="ar-SA"/>
              </w:rPr>
              <w:t>福建省化学工业科学技术研究所</w:t>
            </w:r>
            <w:r>
              <w:rPr>
                <w:rFonts w:hint="eastAsia" w:ascii="Times New Roman" w:hAnsi="Times New Roman" w:eastAsia="宋体" w:cs="Times New Roman"/>
                <w:color w:val="auto"/>
                <w:kern w:val="0"/>
                <w:sz w:val="24"/>
                <w:szCs w:val="20"/>
                <w:highlight w:val="none"/>
                <w:shd w:val="clear"/>
                <w:lang w:val="en-US" w:eastAsia="zh-CN" w:bidi="ar-SA"/>
              </w:rPr>
              <w:t>编制完成《不粘锅扩建项目环境影响报告表》，并于2011年1月11日取得</w:t>
            </w:r>
            <w:r>
              <w:rPr>
                <w:rFonts w:hint="eastAsia" w:cs="Times New Roman"/>
                <w:color w:val="auto"/>
                <w:kern w:val="0"/>
                <w:sz w:val="24"/>
                <w:szCs w:val="20"/>
                <w:highlight w:val="none"/>
                <w:shd w:val="clear"/>
                <w:lang w:val="en-US" w:eastAsia="zh-CN" w:bidi="ar-SA"/>
              </w:rPr>
              <w:t>原</w:t>
            </w:r>
            <w:r>
              <w:rPr>
                <w:rFonts w:hint="eastAsia" w:ascii="Times New Roman" w:hAnsi="Times New Roman" w:eastAsia="宋体" w:cs="Times New Roman"/>
                <w:color w:val="auto"/>
                <w:kern w:val="0"/>
                <w:sz w:val="24"/>
                <w:szCs w:val="20"/>
                <w:highlight w:val="none"/>
                <w:shd w:val="clear"/>
                <w:lang w:val="en-US" w:eastAsia="zh-CN" w:bidi="ar-SA"/>
              </w:rPr>
              <w:t>福清市</w:t>
            </w:r>
            <w:r>
              <w:rPr>
                <w:rFonts w:hint="eastAsia" w:cs="Times New Roman"/>
                <w:color w:val="auto"/>
                <w:kern w:val="0"/>
                <w:sz w:val="24"/>
                <w:szCs w:val="20"/>
                <w:highlight w:val="none"/>
                <w:shd w:val="clear"/>
                <w:lang w:val="en-US" w:eastAsia="zh-CN" w:bidi="ar-SA"/>
              </w:rPr>
              <w:t>生态环境局</w:t>
            </w:r>
            <w:r>
              <w:rPr>
                <w:rFonts w:hint="eastAsia" w:ascii="Times New Roman" w:hAnsi="Times New Roman" w:eastAsia="宋体" w:cs="Times New Roman"/>
                <w:color w:val="auto"/>
                <w:kern w:val="0"/>
                <w:sz w:val="24"/>
                <w:szCs w:val="20"/>
                <w:highlight w:val="none"/>
                <w:shd w:val="clear"/>
                <w:lang w:val="en-US" w:eastAsia="zh-CN" w:bidi="ar-SA"/>
              </w:rPr>
              <w:t>《福州清山压铸有限公司不粘锅扩建</w:t>
            </w:r>
            <w:r>
              <w:rPr>
                <w:rFonts w:hint="eastAsia" w:cs="Times New Roman"/>
                <w:color w:val="auto"/>
                <w:kern w:val="0"/>
                <w:sz w:val="24"/>
                <w:szCs w:val="20"/>
                <w:highlight w:val="none"/>
                <w:shd w:val="clear"/>
                <w:lang w:val="en-US" w:eastAsia="zh-CN" w:bidi="ar-SA"/>
              </w:rPr>
              <w:t>项目</w:t>
            </w:r>
            <w:r>
              <w:rPr>
                <w:rFonts w:hint="eastAsia" w:ascii="Times New Roman" w:hAnsi="Times New Roman" w:eastAsia="宋体" w:cs="Times New Roman"/>
                <w:color w:val="auto"/>
                <w:kern w:val="0"/>
                <w:sz w:val="24"/>
                <w:szCs w:val="20"/>
                <w:highlight w:val="none"/>
                <w:shd w:val="clear"/>
                <w:lang w:val="en-US" w:eastAsia="zh-CN" w:bidi="ar-SA"/>
              </w:rPr>
              <w:t>环境影响报告表的审批意见》号，于2013年1月通过竣工验收</w:t>
            </w:r>
            <w:r>
              <w:rPr>
                <w:rFonts w:hint="eastAsia" w:cs="Times New Roman"/>
                <w:color w:val="auto"/>
                <w:kern w:val="0"/>
                <w:sz w:val="24"/>
                <w:szCs w:val="20"/>
                <w:highlight w:val="none"/>
                <w:shd w:val="clear"/>
                <w:lang w:val="en-US" w:eastAsia="zh-CN" w:bidi="ar-SA"/>
              </w:rPr>
              <w:t>（详见附件23）</w:t>
            </w:r>
            <w:r>
              <w:rPr>
                <w:rFonts w:hint="eastAsia" w:ascii="Times New Roman" w:hAnsi="Times New Roman" w:eastAsia="宋体" w:cs="Times New Roman"/>
                <w:color w:val="auto"/>
                <w:kern w:val="0"/>
                <w:sz w:val="24"/>
                <w:szCs w:val="20"/>
                <w:highlight w:val="none"/>
                <w:shd w:val="clear"/>
                <w:lang w:val="en-US" w:eastAsia="zh-CN" w:bidi="ar-SA"/>
              </w:rPr>
              <w:t>。</w:t>
            </w:r>
            <w:r>
              <w:rPr>
                <w:rFonts w:hint="eastAsia" w:cs="Times New Roman"/>
                <w:color w:val="auto"/>
                <w:kern w:val="0"/>
                <w:sz w:val="24"/>
                <w:szCs w:val="20"/>
                <w:highlight w:val="none"/>
                <w:shd w:val="clear"/>
                <w:lang w:val="en-US" w:eastAsia="zh-CN" w:bidi="ar-SA"/>
              </w:rPr>
              <w:t>该项目2#厂房（压铸车间）现已开展车间布局调整工作，生产产能保持不变（详见附件25）。2#厂房总面积为1965.41m</w:t>
            </w:r>
            <w:r>
              <w:rPr>
                <w:rFonts w:hint="eastAsia" w:cs="Times New Roman"/>
                <w:color w:val="auto"/>
                <w:kern w:val="0"/>
                <w:sz w:val="24"/>
                <w:szCs w:val="20"/>
                <w:highlight w:val="none"/>
                <w:shd w:val="clear"/>
                <w:vertAlign w:val="superscript"/>
                <w:lang w:val="en-US" w:eastAsia="zh-CN" w:bidi="ar-SA"/>
              </w:rPr>
              <w:t>2</w:t>
            </w:r>
            <w:r>
              <w:rPr>
                <w:rFonts w:hint="eastAsia" w:cs="Times New Roman"/>
                <w:color w:val="auto"/>
                <w:kern w:val="0"/>
                <w:sz w:val="24"/>
                <w:szCs w:val="20"/>
                <w:highlight w:val="none"/>
                <w:shd w:val="clear"/>
                <w:lang w:val="en-US" w:eastAsia="zh-CN" w:bidi="ar-SA"/>
              </w:rPr>
              <w:t>，因车间布局调整完成后，空余出1010m</w:t>
            </w:r>
            <w:r>
              <w:rPr>
                <w:rFonts w:hint="eastAsia" w:cs="Times New Roman"/>
                <w:color w:val="auto"/>
                <w:kern w:val="0"/>
                <w:sz w:val="24"/>
                <w:szCs w:val="20"/>
                <w:highlight w:val="none"/>
                <w:shd w:val="clear"/>
                <w:vertAlign w:val="superscript"/>
                <w:lang w:val="en-US" w:eastAsia="zh-CN" w:bidi="ar-SA"/>
              </w:rPr>
              <w:t>2</w:t>
            </w:r>
            <w:r>
              <w:rPr>
                <w:rFonts w:hint="eastAsia" w:ascii="Times New Roman" w:hAnsi="Times New Roman" w:eastAsia="宋体" w:cs="Times New Roman"/>
                <w:color w:val="auto"/>
                <w:kern w:val="0"/>
                <w:sz w:val="24"/>
                <w:szCs w:val="20"/>
                <w:highlight w:val="none"/>
                <w:lang w:val="en-US" w:eastAsia="zh-CN" w:bidi="ar-SA"/>
              </w:rPr>
              <w:t>的空间，现出租给福州奇</w:t>
            </w:r>
            <w:r>
              <w:rPr>
                <w:rFonts w:hint="eastAsia" w:ascii="Times New Roman" w:hAnsi="Times New Roman" w:eastAsia="宋体" w:cs="Times New Roman"/>
                <w:color w:val="auto"/>
                <w:kern w:val="0"/>
                <w:sz w:val="24"/>
                <w:szCs w:val="20"/>
                <w:highlight w:val="none"/>
                <w:shd w:val="clear"/>
                <w:lang w:val="en-US" w:eastAsia="zh-CN" w:bidi="ar-SA"/>
              </w:rPr>
              <w:t>联汽车零部件有限公司，供其年加工10万套汽车座椅骨架项目</w:t>
            </w:r>
            <w:r>
              <w:rPr>
                <w:rFonts w:hint="eastAsia" w:cs="Times New Roman"/>
                <w:color w:val="auto"/>
                <w:kern w:val="0"/>
                <w:sz w:val="24"/>
                <w:szCs w:val="20"/>
                <w:highlight w:val="none"/>
                <w:shd w:val="clear"/>
                <w:lang w:val="en-US" w:eastAsia="zh-CN" w:bidi="ar-SA"/>
              </w:rPr>
              <w:t>的生产使用（租赁合同详见附件4）。</w:t>
            </w:r>
          </w:p>
          <w:p w14:paraId="71D8201D">
            <w:pPr>
              <w:pStyle w:val="44"/>
              <w:keepNext w:val="0"/>
              <w:keepLines w:val="0"/>
              <w:pageBreakBefore w:val="0"/>
              <w:widowControl w:val="0"/>
              <w:kinsoku/>
              <w:wordWrap/>
              <w:overflowPunct/>
              <w:topLinePunct w:val="0"/>
              <w:bidi w:val="0"/>
              <w:adjustRightInd/>
              <w:snapToGrid/>
              <w:ind w:firstLine="480"/>
              <w:textAlignment w:val="auto"/>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根据《中华人民共和国环境影响评价法》和《建设项目环境保护管理条例》的有关规定，建设项目需履行环境影响评价手续。根据《国民经济行业分类》（GB/T 4754-2017），本项目行业类别为汽车零部件及配件制造C3670，依据《建设项目环境影响评价分类管理名录》（2021年版）的有关规定，本项目属于名录中：“三十三、汽车制造业36——71、汽车整车制造361；汽车用发动机制造362；改装汽车制造363；低速汽车制造364；电车制造365；汽车车身、挂车制造366；汽车零部件及配件制造367”中的“其他（年用非溶剂型低VOCs含量涂料10吨以下的除外）”</w:t>
            </w:r>
            <w:r>
              <w:rPr>
                <w:rFonts w:hint="eastAsia" w:cs="Times New Roman"/>
                <w:color w:val="auto"/>
                <w:sz w:val="24"/>
                <w:highlight w:val="none"/>
                <w:lang w:eastAsia="zh-CN"/>
              </w:rPr>
              <w:t>,</w:t>
            </w:r>
            <w:r>
              <w:rPr>
                <w:rFonts w:ascii="Times New Roman" w:hAnsi="Times New Roman" w:eastAsia="宋体" w:cs="Times New Roman"/>
                <w:color w:val="auto"/>
                <w:sz w:val="24"/>
                <w:highlight w:val="none"/>
              </w:rPr>
              <w:t>项目不涉及“汽车整车制造（仅组装的除外）；汽车用发动机制造（仅组装的除外）；有电镀工艺的；年用溶剂型涂料（含稀释剂）10吨及以上的”；综上所述，本项目应编制环境影响报告表。</w:t>
            </w:r>
            <w:r>
              <w:rPr>
                <w:rFonts w:hint="eastAsia" w:ascii="Times New Roman" w:hAnsi="Times New Roman" w:eastAsia="宋体" w:cs="Times New Roman"/>
                <w:color w:val="auto"/>
                <w:sz w:val="24"/>
                <w:highlight w:val="none"/>
              </w:rPr>
              <w:t>建设单位委托我司编制该项目的环境影响报告表</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委托书详见附件1</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。本评价单位接受委托后，立即派技术人员踏勘现场和收集有关资料，依照《建设项目环境影响报告表编制技术指南</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污染影响类</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试行</w:t>
            </w:r>
            <w:r>
              <w:rPr>
                <w:rFonts w:hint="eastAsia" w:cs="Times New Roman"/>
                <w:color w:val="auto"/>
                <w:sz w:val="24"/>
                <w:highlight w:val="none"/>
                <w:lang w:eastAsia="zh-CN"/>
              </w:rPr>
              <w:t>)</w:t>
            </w:r>
            <w:r>
              <w:rPr>
                <w:rFonts w:hint="eastAsia" w:ascii="Times New Roman" w:hAnsi="Times New Roman" w:eastAsia="宋体" w:cs="Times New Roman"/>
                <w:color w:val="auto"/>
                <w:sz w:val="24"/>
                <w:highlight w:val="none"/>
              </w:rPr>
              <w:t>及相关技术规范要求，编制了本环境影响报告表，供建设单位报生态环境主管部门审批和作为污染防治设施建设的依据。</w:t>
            </w:r>
          </w:p>
          <w:p w14:paraId="4472404D">
            <w:pPr>
              <w:pStyle w:val="42"/>
              <w:keepNext w:val="0"/>
              <w:keepLines w:val="0"/>
              <w:pageBreakBefore w:val="0"/>
              <w:widowControl w:val="0"/>
              <w:suppressLineNumbers w:val="0"/>
              <w:tabs>
                <w:tab w:val="left" w:pos="0"/>
                <w:tab w:val="clear" w:pos="420"/>
              </w:tabs>
              <w:kinsoku/>
              <w:wordWrap/>
              <w:overflowPunct/>
              <w:topLinePunct w:val="0"/>
              <w:autoSpaceDE/>
              <w:autoSpaceDN/>
              <w:bidi w:val="0"/>
              <w:adjustRightInd/>
              <w:snapToGrid/>
              <w:spacing w:beforeAutospacing="0" w:after="0" w:afterAutospacing="0"/>
              <w:ind w:left="210" w:leftChars="0" w:right="0" w:firstLineChars="0"/>
              <w:textAlignment w:val="auto"/>
              <w:rPr>
                <w:rFonts w:hint="eastAsia" w:ascii="Times New Roman" w:hAnsi="Times New Roman" w:eastAsia="宋体" w:cs="宋体"/>
                <w:color w:val="auto"/>
                <w:lang w:val="en-US" w:eastAsia="zh-CN"/>
              </w:rPr>
            </w:pPr>
            <w:r>
              <w:rPr>
                <w:rFonts w:hint="eastAsia" w:ascii="Times New Roman" w:hAnsi="Times New Roman" w:eastAsia="宋体" w:cs="宋体"/>
                <w:color w:val="auto"/>
                <w:lang w:val="en-US" w:eastAsia="zh-CN"/>
              </w:rPr>
              <w:t>建设项目环境影响评价分类管理名录（摘录）</w:t>
            </w:r>
          </w:p>
          <w:tbl>
            <w:tblPr>
              <w:tblStyle w:val="33"/>
              <w:tblW w:w="864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2536"/>
              <w:gridCol w:w="2076"/>
              <w:gridCol w:w="2683"/>
              <w:gridCol w:w="881"/>
            </w:tblGrid>
            <w:tr w14:paraId="538D6A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02" w:type="dxa"/>
                  <w:gridSpan w:val="2"/>
                  <w:tcBorders>
                    <w:top w:val="single" w:color="000000" w:sz="8" w:space="0"/>
                    <w:bottom w:val="single" w:color="000000" w:sz="8" w:space="0"/>
                    <w:tl2br w:val="single" w:color="auto" w:sz="4" w:space="0"/>
                  </w:tcBorders>
                  <w:vAlign w:val="center"/>
                </w:tcPr>
                <w:p w14:paraId="0950A301">
                  <w:pPr>
                    <w:pStyle w:val="136"/>
                    <w:bidi w:val="0"/>
                    <w:rPr>
                      <w:rFonts w:hint="default" w:ascii="Times New Roman" w:hAnsi="Times New Roman" w:eastAsia="宋体" w:cs="Times New Roman"/>
                      <w:b w:val="0"/>
                      <w:bCs w:val="0"/>
                      <w:smallCaps w:val="0"/>
                      <w:color w:val="auto"/>
                      <w:highlight w:val="none"/>
                      <w:shd w:val="clear" w:color="auto" w:fill="auto"/>
                    </w:rPr>
                  </w:pPr>
                  <w:r>
                    <w:rPr>
                      <w:rFonts w:hint="default" w:ascii="Times New Roman" w:hAnsi="Times New Roman" w:eastAsia="宋体" w:cs="Times New Roman"/>
                      <w:b w:val="0"/>
                      <w:bCs w:val="0"/>
                      <w:smallCaps w:val="0"/>
                      <w:color w:val="auto"/>
                      <w:highlight w:val="none"/>
                      <w:shd w:val="clear" w:color="auto" w:fill="auto"/>
                    </w:rPr>
                    <w:t xml:space="preserve">            环评类别</w:t>
                  </w:r>
                </w:p>
                <w:p w14:paraId="29E2D2F6">
                  <w:pPr>
                    <w:pStyle w:val="136"/>
                    <w:bidi w:val="0"/>
                    <w:jc w:val="both"/>
                    <w:rPr>
                      <w:rFonts w:hint="default" w:ascii="Times New Roman" w:hAnsi="Times New Roman" w:eastAsia="宋体" w:cs="Times New Roman"/>
                      <w:b w:val="0"/>
                      <w:bCs w:val="0"/>
                      <w:smallCaps w:val="0"/>
                      <w:color w:val="auto"/>
                      <w:highlight w:val="none"/>
                      <w:shd w:val="clear" w:color="auto" w:fill="auto"/>
                    </w:rPr>
                  </w:pPr>
                  <w:r>
                    <w:rPr>
                      <w:rFonts w:hint="default" w:ascii="Times New Roman" w:hAnsi="Times New Roman" w:eastAsia="宋体" w:cs="Times New Roman"/>
                      <w:b w:val="0"/>
                      <w:bCs w:val="0"/>
                      <w:smallCaps w:val="0"/>
                      <w:color w:val="auto"/>
                      <w:highlight w:val="none"/>
                      <w:shd w:val="clear" w:color="auto" w:fill="auto"/>
                    </w:rPr>
                    <w:t>项目类别</w:t>
                  </w:r>
                </w:p>
              </w:tc>
              <w:tc>
                <w:tcPr>
                  <w:tcW w:w="2076" w:type="dxa"/>
                  <w:tcBorders>
                    <w:top w:val="single" w:color="000000" w:sz="8" w:space="0"/>
                    <w:bottom w:val="single" w:color="000000" w:sz="8" w:space="0"/>
                    <w:tl2br w:val="nil"/>
                    <w:tr2bl w:val="nil"/>
                  </w:tcBorders>
                  <w:vAlign w:val="center"/>
                </w:tcPr>
                <w:p w14:paraId="38F1CD4D">
                  <w:pPr>
                    <w:pStyle w:val="136"/>
                    <w:bidi w:val="0"/>
                    <w:rPr>
                      <w:rFonts w:hint="default" w:ascii="Times New Roman" w:hAnsi="Times New Roman" w:eastAsia="宋体" w:cs="Times New Roman"/>
                      <w:b w:val="0"/>
                      <w:bCs w:val="0"/>
                      <w:smallCaps w:val="0"/>
                      <w:color w:val="auto"/>
                      <w:highlight w:val="none"/>
                      <w:shd w:val="clear" w:color="auto" w:fill="auto"/>
                    </w:rPr>
                  </w:pPr>
                  <w:r>
                    <w:rPr>
                      <w:rFonts w:hint="default" w:ascii="Times New Roman" w:hAnsi="Times New Roman" w:eastAsia="宋体" w:cs="Times New Roman"/>
                      <w:b w:val="0"/>
                      <w:bCs w:val="0"/>
                      <w:smallCaps w:val="0"/>
                      <w:color w:val="auto"/>
                      <w:highlight w:val="none"/>
                      <w:shd w:val="clear" w:color="auto" w:fill="auto"/>
                    </w:rPr>
                    <w:t>报告书</w:t>
                  </w:r>
                </w:p>
              </w:tc>
              <w:tc>
                <w:tcPr>
                  <w:tcW w:w="2683" w:type="dxa"/>
                  <w:tcBorders>
                    <w:top w:val="single" w:color="000000" w:sz="8" w:space="0"/>
                    <w:bottom w:val="single" w:color="000000" w:sz="8" w:space="0"/>
                    <w:tl2br w:val="nil"/>
                    <w:tr2bl w:val="nil"/>
                  </w:tcBorders>
                  <w:shd w:val="clear" w:color="auto" w:fill="BEBEBE" w:themeFill="background1" w:themeFillShade="BF"/>
                  <w:vAlign w:val="center"/>
                </w:tcPr>
                <w:p w14:paraId="7A9E8F2D">
                  <w:pPr>
                    <w:pStyle w:val="136"/>
                    <w:bidi w:val="0"/>
                    <w:rPr>
                      <w:rFonts w:hint="default" w:ascii="Times New Roman" w:hAnsi="Times New Roman" w:eastAsia="宋体" w:cs="Times New Roman"/>
                      <w:b w:val="0"/>
                      <w:bCs w:val="0"/>
                      <w:smallCaps w:val="0"/>
                      <w:color w:val="auto"/>
                      <w:highlight w:val="none"/>
                      <w:shd w:val="clear" w:color="auto" w:fill="auto"/>
                    </w:rPr>
                  </w:pPr>
                  <w:r>
                    <w:rPr>
                      <w:rFonts w:hint="default" w:ascii="Times New Roman" w:hAnsi="Times New Roman" w:eastAsia="宋体" w:cs="Times New Roman"/>
                      <w:b w:val="0"/>
                      <w:bCs w:val="0"/>
                      <w:smallCaps w:val="0"/>
                      <w:color w:val="auto"/>
                      <w:highlight w:val="none"/>
                      <w:shd w:val="clear" w:color="auto" w:fill="auto"/>
                    </w:rPr>
                    <w:t>报告表</w:t>
                  </w:r>
                </w:p>
              </w:tc>
              <w:tc>
                <w:tcPr>
                  <w:tcW w:w="881" w:type="dxa"/>
                  <w:tcBorders>
                    <w:top w:val="single" w:color="000000" w:sz="8" w:space="0"/>
                    <w:bottom w:val="single" w:color="000000" w:sz="8" w:space="0"/>
                    <w:tl2br w:val="nil"/>
                    <w:tr2bl w:val="nil"/>
                  </w:tcBorders>
                  <w:vAlign w:val="center"/>
                </w:tcPr>
                <w:p w14:paraId="5C459CD1">
                  <w:pPr>
                    <w:pStyle w:val="136"/>
                    <w:bidi w:val="0"/>
                    <w:rPr>
                      <w:rFonts w:hint="default" w:ascii="Times New Roman" w:hAnsi="Times New Roman" w:eastAsia="宋体" w:cs="Times New Roman"/>
                      <w:b w:val="0"/>
                      <w:bCs w:val="0"/>
                      <w:smallCaps w:val="0"/>
                      <w:color w:val="auto"/>
                      <w:highlight w:val="none"/>
                      <w:shd w:val="clear" w:color="auto" w:fill="auto"/>
                    </w:rPr>
                  </w:pPr>
                  <w:r>
                    <w:rPr>
                      <w:rFonts w:hint="default" w:ascii="Times New Roman" w:hAnsi="Times New Roman" w:eastAsia="宋体" w:cs="Times New Roman"/>
                      <w:b w:val="0"/>
                      <w:bCs w:val="0"/>
                      <w:smallCaps w:val="0"/>
                      <w:color w:val="auto"/>
                      <w:highlight w:val="none"/>
                      <w:shd w:val="clear" w:color="auto" w:fill="auto"/>
                    </w:rPr>
                    <w:t>登记表</w:t>
                  </w:r>
                </w:p>
              </w:tc>
            </w:tr>
            <w:tr w14:paraId="305F10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42" w:type="dxa"/>
                  <w:gridSpan w:val="5"/>
                  <w:tcBorders>
                    <w:top w:val="single" w:color="000000" w:sz="8" w:space="0"/>
                    <w:tl2br w:val="nil"/>
                    <w:tr2bl w:val="nil"/>
                  </w:tcBorders>
                  <w:shd w:val="clear" w:color="auto" w:fill="BEBEBE" w:themeFill="background1" w:themeFillShade="BF"/>
                  <w:vAlign w:val="center"/>
                </w:tcPr>
                <w:p w14:paraId="06A3F3C6">
                  <w:pPr>
                    <w:pStyle w:val="136"/>
                    <w:bidi w:val="0"/>
                    <w:jc w:val="left"/>
                    <w:rPr>
                      <w:rFonts w:hint="default" w:ascii="Times New Roman" w:hAnsi="Times New Roman" w:eastAsia="宋体" w:cs="Times New Roman"/>
                      <w:smallCaps w:val="0"/>
                      <w:color w:val="auto"/>
                      <w:highlight w:val="none"/>
                      <w:shd w:val="clear" w:color="auto" w:fill="auto"/>
                      <w:lang w:val="en-US" w:eastAsia="zh-CN"/>
                    </w:rPr>
                  </w:pPr>
                  <w:r>
                    <w:rPr>
                      <w:rFonts w:hint="eastAsia" w:ascii="Times New Roman" w:hAnsi="Times New Roman" w:eastAsia="宋体" w:cs="Times New Roman"/>
                      <w:smallCaps w:val="0"/>
                      <w:color w:val="auto"/>
                      <w:highlight w:val="none"/>
                      <w:shd w:val="clear" w:color="auto" w:fill="auto"/>
                      <w:lang w:val="en-US" w:eastAsia="zh-CN"/>
                    </w:rPr>
                    <w:t>三十三、汽车制造业36</w:t>
                  </w:r>
                </w:p>
              </w:tc>
            </w:tr>
            <w:tr w14:paraId="57947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66" w:type="dxa"/>
                  <w:tcBorders>
                    <w:bottom w:val="single" w:color="000000" w:sz="8" w:space="0"/>
                    <w:tl2br w:val="nil"/>
                    <w:tr2bl w:val="nil"/>
                  </w:tcBorders>
                  <w:shd w:val="clear" w:color="auto" w:fill="auto"/>
                  <w:vAlign w:val="center"/>
                </w:tcPr>
                <w:p w14:paraId="18991C2A">
                  <w:pPr>
                    <w:pStyle w:val="136"/>
                    <w:shd w:val="clear" w:color="auto" w:fill="auto"/>
                    <w:bidi w:val="0"/>
                    <w:jc w:val="left"/>
                    <w:rPr>
                      <w:rFonts w:hint="default" w:ascii="Times New Roman" w:hAnsi="Times New Roman" w:eastAsia="宋体" w:cs="Times New Roman"/>
                      <w:smallCaps w:val="0"/>
                      <w:color w:val="auto"/>
                      <w:highlight w:val="none"/>
                      <w:shd w:val="clear" w:color="auto" w:fill="auto"/>
                      <w:lang w:val="en-US" w:eastAsia="zh-CN"/>
                    </w:rPr>
                  </w:pPr>
                  <w:r>
                    <w:rPr>
                      <w:rFonts w:hint="default" w:ascii="Times New Roman" w:hAnsi="Times New Roman" w:eastAsia="宋体" w:cs="Times New Roman"/>
                      <w:smallCaps w:val="0"/>
                      <w:color w:val="auto"/>
                      <w:highlight w:val="none"/>
                      <w:shd w:val="clear" w:color="auto" w:fill="auto"/>
                      <w:lang w:val="en-US" w:eastAsia="zh-CN"/>
                    </w:rPr>
                    <w:t>71</w:t>
                  </w:r>
                </w:p>
              </w:tc>
              <w:tc>
                <w:tcPr>
                  <w:tcW w:w="2536" w:type="dxa"/>
                  <w:tcBorders>
                    <w:bottom w:val="single" w:color="000000" w:sz="8" w:space="0"/>
                    <w:tl2br w:val="nil"/>
                    <w:tr2bl w:val="nil"/>
                  </w:tcBorders>
                  <w:shd w:val="clear" w:color="auto" w:fill="auto"/>
                  <w:vAlign w:val="center"/>
                </w:tcPr>
                <w:p w14:paraId="31DA108C">
                  <w:pPr>
                    <w:pStyle w:val="136"/>
                    <w:shd w:val="clear" w:color="auto" w:fill="auto"/>
                    <w:bidi w:val="0"/>
                    <w:jc w:val="left"/>
                    <w:rPr>
                      <w:rFonts w:hint="default" w:ascii="Times New Roman" w:hAnsi="Times New Roman" w:eastAsia="宋体" w:cs="Times New Roman"/>
                      <w:smallCaps w:val="0"/>
                      <w:color w:val="auto"/>
                      <w:highlight w:val="none"/>
                      <w:shd w:val="clear" w:color="auto" w:fill="auto"/>
                      <w:lang w:val="en-US" w:eastAsia="zh-CN"/>
                    </w:rPr>
                  </w:pPr>
                  <w:r>
                    <w:rPr>
                      <w:rFonts w:hint="default" w:ascii="Times New Roman" w:hAnsi="Times New Roman" w:eastAsia="宋体" w:cs="Times New Roman"/>
                      <w:smallCaps w:val="0"/>
                      <w:color w:val="auto"/>
                      <w:highlight w:val="none"/>
                      <w:shd w:val="clear" w:color="auto" w:fill="auto"/>
                      <w:lang w:val="en-US" w:eastAsia="zh-CN"/>
                    </w:rPr>
                    <w:t>汽车整车制造361；汽车用发动机制造362；改装汽车制造363；低速汽车制造364；电车制造365；</w:t>
                  </w:r>
                  <w:r>
                    <w:rPr>
                      <w:color w:val="auto"/>
                      <w:spacing w:val="3"/>
                    </w:rPr>
                    <w:t>汽车车身、挂车制造</w:t>
                  </w:r>
                  <w:r>
                    <w:rPr>
                      <w:rFonts w:ascii="Times New Roman" w:hAnsi="Times New Roman" w:eastAsia="Times New Roman" w:cs="Times New Roman"/>
                      <w:color w:val="auto"/>
                      <w:spacing w:val="3"/>
                    </w:rPr>
                    <w:t>366</w:t>
                  </w:r>
                  <w:r>
                    <w:rPr>
                      <w:color w:val="auto"/>
                      <w:spacing w:val="3"/>
                    </w:rPr>
                    <w:t>；汽车零</w:t>
                  </w:r>
                  <w:r>
                    <w:rPr>
                      <w:color w:val="auto"/>
                      <w:spacing w:val="12"/>
                    </w:rPr>
                    <w:t>部件及配件制造</w:t>
                  </w:r>
                  <w:r>
                    <w:rPr>
                      <w:rFonts w:ascii="Times New Roman" w:hAnsi="Times New Roman" w:eastAsia="Times New Roman" w:cs="Times New Roman"/>
                      <w:color w:val="auto"/>
                      <w:spacing w:val="12"/>
                    </w:rPr>
                    <w:t>367</w:t>
                  </w:r>
                </w:p>
              </w:tc>
              <w:tc>
                <w:tcPr>
                  <w:tcW w:w="2076" w:type="dxa"/>
                  <w:tcBorders>
                    <w:bottom w:val="single" w:color="000000" w:sz="8" w:space="0"/>
                    <w:tl2br w:val="nil"/>
                    <w:tr2bl w:val="nil"/>
                  </w:tcBorders>
                  <w:shd w:val="clear" w:color="auto" w:fill="auto"/>
                  <w:vAlign w:val="center"/>
                </w:tcPr>
                <w:p w14:paraId="533D817C">
                  <w:pPr>
                    <w:pStyle w:val="136"/>
                    <w:shd w:val="clear" w:color="auto" w:fill="auto"/>
                    <w:bidi w:val="0"/>
                    <w:jc w:val="left"/>
                    <w:rPr>
                      <w:rFonts w:hint="default" w:ascii="Times New Roman" w:hAnsi="Times New Roman" w:eastAsia="宋体" w:cs="Times New Roman"/>
                      <w:smallCaps w:val="0"/>
                      <w:color w:val="auto"/>
                      <w:highlight w:val="none"/>
                      <w:shd w:val="clear" w:color="auto" w:fill="auto"/>
                      <w:lang w:val="en-US" w:eastAsia="zh-CN"/>
                    </w:rPr>
                  </w:pPr>
                  <w:r>
                    <w:rPr>
                      <w:rFonts w:hint="default" w:ascii="Times New Roman" w:hAnsi="Times New Roman" w:eastAsia="宋体" w:cs="Times New Roman"/>
                      <w:smallCaps w:val="0"/>
                      <w:color w:val="auto"/>
                      <w:highlight w:val="none"/>
                      <w:shd w:val="clear" w:color="auto" w:fill="auto"/>
                      <w:lang w:val="en-US" w:eastAsia="zh-CN"/>
                    </w:rPr>
                    <w:t>汽车整车制造（仅组装的除外）；汽车用发</w:t>
                  </w:r>
                  <w:r>
                    <w:rPr>
                      <w:color w:val="auto"/>
                      <w:spacing w:val="2"/>
                    </w:rPr>
                    <w:t>动机制造（仅组</w:t>
                  </w:r>
                  <w:r>
                    <w:rPr>
                      <w:color w:val="auto"/>
                      <w:spacing w:val="5"/>
                    </w:rPr>
                    <w:t>装的除外</w:t>
                  </w:r>
                  <w:r>
                    <w:rPr>
                      <w:color w:val="auto"/>
                      <w:spacing w:val="-6"/>
                    </w:rPr>
                    <w:t>）；</w:t>
                  </w:r>
                  <w:r>
                    <w:rPr>
                      <w:color w:val="auto"/>
                      <w:spacing w:val="5"/>
                    </w:rPr>
                    <w:t>有</w:t>
                  </w:r>
                  <w:r>
                    <w:rPr>
                      <w:color w:val="auto"/>
                      <w:spacing w:val="2"/>
                    </w:rPr>
                    <w:t>电镀工艺的；年</w:t>
                  </w:r>
                  <w:r>
                    <w:rPr>
                      <w:color w:val="auto"/>
                      <w:spacing w:val="8"/>
                    </w:rPr>
                    <w:t>用溶剂型涂料</w:t>
                  </w:r>
                  <w:r>
                    <w:rPr>
                      <w:color w:val="auto"/>
                      <w:spacing w:val="2"/>
                    </w:rPr>
                    <w:t>（含稀释剂）</w:t>
                  </w:r>
                  <w:r>
                    <w:rPr>
                      <w:rFonts w:ascii="Times New Roman" w:hAnsi="Times New Roman" w:eastAsia="Times New Roman" w:cs="Times New Roman"/>
                      <w:color w:val="auto"/>
                      <w:spacing w:val="2"/>
                    </w:rPr>
                    <w:t>10</w:t>
                  </w:r>
                  <w:r>
                    <w:rPr>
                      <w:color w:val="auto"/>
                      <w:spacing w:val="8"/>
                    </w:rPr>
                    <w:t>吨及以上的</w:t>
                  </w:r>
                </w:p>
              </w:tc>
              <w:tc>
                <w:tcPr>
                  <w:tcW w:w="2683" w:type="dxa"/>
                  <w:tcBorders>
                    <w:bottom w:val="single" w:color="000000" w:sz="8" w:space="0"/>
                    <w:tl2br w:val="nil"/>
                    <w:tr2bl w:val="nil"/>
                  </w:tcBorders>
                  <w:shd w:val="clear" w:color="auto" w:fill="BEBEBE" w:themeFill="background1" w:themeFillShade="BF"/>
                  <w:vAlign w:val="center"/>
                </w:tcPr>
                <w:p w14:paraId="7B020AD4">
                  <w:pPr>
                    <w:pStyle w:val="113"/>
                    <w:spacing w:before="44" w:line="228" w:lineRule="auto"/>
                    <w:ind w:left="117"/>
                    <w:jc w:val="left"/>
                    <w:rPr>
                      <w:rFonts w:hint="default" w:ascii="Times New Roman" w:hAnsi="Times New Roman" w:eastAsia="宋体" w:cs="Times New Roman"/>
                      <w:smallCaps w:val="0"/>
                      <w:color w:val="auto"/>
                      <w:kern w:val="2"/>
                      <w:sz w:val="21"/>
                      <w:szCs w:val="22"/>
                      <w:highlight w:val="none"/>
                      <w:u w:val="none"/>
                      <w:shd w:val="clear" w:color="auto" w:fill="auto"/>
                      <w:lang w:val="en-US" w:eastAsia="zh-CN" w:bidi="zh-TW"/>
                    </w:rPr>
                  </w:pPr>
                  <w:r>
                    <w:rPr>
                      <w:rFonts w:hint="default" w:ascii="Times New Roman" w:hAnsi="Times New Roman" w:eastAsia="宋体" w:cs="Times New Roman"/>
                      <w:smallCaps w:val="0"/>
                      <w:color w:val="auto"/>
                      <w:kern w:val="2"/>
                      <w:sz w:val="21"/>
                      <w:szCs w:val="22"/>
                      <w:highlight w:val="none"/>
                      <w:u w:val="none"/>
                      <w:shd w:val="clear" w:color="auto" w:fill="auto"/>
                      <w:lang w:val="en-US" w:eastAsia="zh-CN" w:bidi="zh-TW"/>
                    </w:rPr>
                    <w:t>其他（年用非溶剂型低</w:t>
                  </w:r>
                </w:p>
                <w:p w14:paraId="53B2EF77">
                  <w:pPr>
                    <w:pStyle w:val="136"/>
                    <w:shd w:val="clear" w:color="auto" w:fill="auto"/>
                    <w:bidi w:val="0"/>
                    <w:jc w:val="left"/>
                    <w:rPr>
                      <w:rFonts w:hint="default" w:ascii="Times New Roman" w:hAnsi="Times New Roman" w:eastAsia="宋体" w:cs="Times New Roman"/>
                      <w:smallCaps w:val="0"/>
                      <w:color w:val="auto"/>
                      <w:kern w:val="2"/>
                      <w:sz w:val="21"/>
                      <w:szCs w:val="22"/>
                      <w:highlight w:val="none"/>
                      <w:u w:val="none"/>
                      <w:shd w:val="clear" w:color="auto" w:fill="auto"/>
                      <w:lang w:val="en-US" w:eastAsia="zh-CN" w:bidi="zh-TW"/>
                    </w:rPr>
                  </w:pPr>
                  <w:r>
                    <w:rPr>
                      <w:rFonts w:hint="default" w:ascii="Times New Roman" w:hAnsi="Times New Roman" w:eastAsia="宋体" w:cs="Times New Roman"/>
                      <w:smallCaps w:val="0"/>
                      <w:color w:val="auto"/>
                      <w:kern w:val="2"/>
                      <w:sz w:val="21"/>
                      <w:szCs w:val="22"/>
                      <w:highlight w:val="none"/>
                      <w:u w:val="none"/>
                      <w:shd w:val="clear" w:color="auto" w:fill="auto"/>
                      <w:lang w:val="en-US" w:eastAsia="zh-CN" w:bidi="zh-TW"/>
                    </w:rPr>
                    <w:t>VOCs含量涂</w:t>
                  </w:r>
                  <w:r>
                    <w:rPr>
                      <w:color w:val="auto"/>
                      <w:spacing w:val="-1"/>
                    </w:rPr>
                    <w:t>料</w:t>
                  </w:r>
                  <w:r>
                    <w:rPr>
                      <w:rFonts w:ascii="Times New Roman" w:hAnsi="Times New Roman" w:eastAsia="Times New Roman" w:cs="Times New Roman"/>
                      <w:color w:val="auto"/>
                      <w:spacing w:val="-1"/>
                    </w:rPr>
                    <w:t>10</w:t>
                  </w:r>
                  <w:r>
                    <w:rPr>
                      <w:color w:val="auto"/>
                      <w:spacing w:val="-1"/>
                    </w:rPr>
                    <w:t>吨以下</w:t>
                  </w:r>
                  <w:r>
                    <w:rPr>
                      <w:color w:val="auto"/>
                    </w:rPr>
                    <w:t>的除外）</w:t>
                  </w:r>
                </w:p>
              </w:tc>
              <w:tc>
                <w:tcPr>
                  <w:tcW w:w="881" w:type="dxa"/>
                  <w:tcBorders>
                    <w:bottom w:val="single" w:color="000000" w:sz="8" w:space="0"/>
                    <w:tl2br w:val="nil"/>
                    <w:tr2bl w:val="nil"/>
                  </w:tcBorders>
                  <w:vAlign w:val="center"/>
                </w:tcPr>
                <w:p w14:paraId="25F0A436">
                  <w:pPr>
                    <w:spacing w:before="284" w:line="274" w:lineRule="exact"/>
                    <w:ind w:left="466" w:leftChars="0"/>
                    <w:jc w:val="left"/>
                    <w:rPr>
                      <w:rFonts w:hint="default" w:ascii="Times New Roman" w:hAnsi="Times New Roman" w:eastAsia="宋体" w:cs="Times New Roman"/>
                      <w:smallCaps w:val="0"/>
                      <w:color w:val="auto"/>
                      <w:kern w:val="2"/>
                      <w:sz w:val="21"/>
                      <w:szCs w:val="22"/>
                      <w:highlight w:val="none"/>
                      <w:u w:val="none"/>
                      <w:shd w:val="clear" w:color="auto" w:fill="auto"/>
                      <w:lang w:val="en-US" w:eastAsia="zh-CN" w:bidi="zh-TW"/>
                    </w:rPr>
                  </w:pPr>
                  <w:r>
                    <w:rPr>
                      <w:rFonts w:hint="default" w:ascii="Times New Roman" w:hAnsi="Times New Roman" w:eastAsia="宋体" w:cs="Times New Roman"/>
                      <w:smallCaps w:val="0"/>
                      <w:color w:val="auto"/>
                      <w:kern w:val="2"/>
                      <w:sz w:val="21"/>
                      <w:szCs w:val="22"/>
                      <w:highlight w:val="none"/>
                      <w:u w:val="none"/>
                      <w:shd w:val="clear" w:color="auto" w:fill="auto"/>
                      <w:lang w:val="en-US" w:eastAsia="zh-CN" w:bidi="zh-TW"/>
                    </w:rPr>
                    <w:t>/</w:t>
                  </w:r>
                </w:p>
              </w:tc>
            </w:tr>
          </w:tbl>
          <w:p w14:paraId="0031F20F">
            <w:pPr>
              <w:pStyle w:val="3"/>
              <w:bidi w:val="0"/>
              <w:ind w:left="0" w:leftChars="0" w:firstLine="0" w:firstLineChars="0"/>
              <w:rPr>
                <w:rFonts w:hint="eastAsia"/>
                <w:color w:val="auto"/>
                <w:highlight w:val="none"/>
              </w:rPr>
            </w:pPr>
            <w:r>
              <w:rPr>
                <w:rFonts w:hint="eastAsia"/>
                <w:color w:val="auto"/>
                <w:highlight w:val="none"/>
              </w:rPr>
              <w:t>项目概况</w:t>
            </w:r>
          </w:p>
          <w:p w14:paraId="245B4471">
            <w:pPr>
              <w:pStyle w:val="44"/>
              <w:ind w:firstLine="480"/>
              <w:rPr>
                <w:rFonts w:hint="default" w:eastAsia="宋体"/>
                <w:color w:val="auto"/>
                <w:highlight w:val="none"/>
                <w:lang w:val="en-US" w:eastAsia="zh-CN"/>
              </w:rPr>
            </w:pPr>
            <w:r>
              <w:rPr>
                <w:color w:val="auto"/>
                <w:highlight w:val="none"/>
              </w:rPr>
              <w:t>项目名称：</w:t>
            </w:r>
            <w:r>
              <w:rPr>
                <w:rFonts w:hint="eastAsia"/>
                <w:color w:val="auto"/>
                <w:highlight w:val="none"/>
                <w:lang w:eastAsia="zh-CN"/>
              </w:rPr>
              <w:t>福州奇联汽车零部件有限公司年加工汽车座椅骨架10万套项目；</w:t>
            </w:r>
          </w:p>
          <w:p w14:paraId="3D38C16E">
            <w:pPr>
              <w:pStyle w:val="44"/>
              <w:ind w:firstLine="480"/>
              <w:rPr>
                <w:rFonts w:hint="default"/>
                <w:color w:val="auto"/>
                <w:highlight w:val="none"/>
                <w:lang w:val="en-US" w:eastAsia="zh-CN"/>
              </w:rPr>
            </w:pPr>
            <w:r>
              <w:rPr>
                <w:color w:val="auto"/>
                <w:highlight w:val="none"/>
              </w:rPr>
              <w:t>建设单位：</w:t>
            </w:r>
            <w:r>
              <w:rPr>
                <w:rFonts w:hint="eastAsia"/>
                <w:color w:val="auto"/>
                <w:highlight w:val="none"/>
                <w:lang w:eastAsia="zh-CN"/>
              </w:rPr>
              <w:t>福州奇联汽车零部件有限公司；</w:t>
            </w:r>
          </w:p>
          <w:p w14:paraId="1B4C94D4">
            <w:pPr>
              <w:pStyle w:val="44"/>
              <w:ind w:firstLine="480"/>
              <w:rPr>
                <w:rFonts w:hint="default"/>
                <w:color w:val="auto"/>
                <w:lang w:val="en-US" w:eastAsia="zh-CN"/>
              </w:rPr>
            </w:pPr>
            <w:r>
              <w:rPr>
                <w:color w:val="auto"/>
                <w:highlight w:val="none"/>
              </w:rPr>
              <w:t>建设地点：</w:t>
            </w:r>
            <w:r>
              <w:rPr>
                <w:rFonts w:hint="eastAsia"/>
                <w:color w:val="auto"/>
                <w:lang w:val="en-US" w:eastAsia="zh-CN"/>
              </w:rPr>
              <w:t>福建省福州市福清市镜洋镇过洋39号（租赁福州清山压铸有限公司2#厂房、3#厂房）；</w:t>
            </w:r>
          </w:p>
          <w:p w14:paraId="4EDAD4D1">
            <w:pPr>
              <w:pStyle w:val="44"/>
              <w:ind w:firstLine="480"/>
              <w:rPr>
                <w:rFonts w:hint="default" w:eastAsia="宋体"/>
                <w:color w:val="auto"/>
                <w:highlight w:val="none"/>
                <w:lang w:val="en-US" w:eastAsia="zh-CN"/>
              </w:rPr>
            </w:pPr>
            <w:r>
              <w:rPr>
                <w:color w:val="auto"/>
                <w:highlight w:val="none"/>
              </w:rPr>
              <w:t>建设性质：</w:t>
            </w:r>
            <w:r>
              <w:rPr>
                <w:rFonts w:hint="eastAsia"/>
                <w:color w:val="auto"/>
                <w:highlight w:val="none"/>
                <w:lang w:val="en-US" w:eastAsia="zh-CN"/>
              </w:rPr>
              <w:t>新建；</w:t>
            </w:r>
          </w:p>
          <w:p w14:paraId="761377C9">
            <w:pPr>
              <w:pStyle w:val="44"/>
              <w:shd w:val="clear"/>
              <w:ind w:firstLine="480"/>
              <w:rPr>
                <w:rFonts w:hint="eastAsia" w:ascii="Times New Roman" w:hAnsi="Times New Roman" w:eastAsia="宋体" w:cs="宋体"/>
                <w:color w:val="auto"/>
                <w:highlight w:val="none"/>
                <w:lang w:val="en-US" w:eastAsia="zh-CN"/>
              </w:rPr>
            </w:pPr>
            <w:r>
              <w:rPr>
                <w:color w:val="auto"/>
                <w:highlight w:val="none"/>
              </w:rPr>
              <w:t>项目投资：</w:t>
            </w:r>
            <w:r>
              <w:rPr>
                <w:rFonts w:hint="eastAsia" w:ascii="Times New Roman" w:hAnsi="Times New Roman" w:eastAsia="宋体" w:cs="宋体"/>
                <w:color w:val="auto"/>
                <w:highlight w:val="none"/>
                <w:lang w:val="en-US" w:eastAsia="zh-CN"/>
              </w:rPr>
              <w:t>900</w:t>
            </w:r>
            <w:r>
              <w:rPr>
                <w:rFonts w:hint="eastAsia" w:ascii="Times New Roman" w:hAnsi="Times New Roman" w:eastAsia="宋体" w:cs="宋体"/>
                <w:color w:val="auto"/>
                <w:highlight w:val="none"/>
              </w:rPr>
              <w:t>万元</w:t>
            </w:r>
            <w:r>
              <w:rPr>
                <w:rFonts w:hint="eastAsia" w:cs="宋体"/>
                <w:color w:val="auto"/>
                <w:highlight w:val="none"/>
                <w:lang w:eastAsia="zh-CN"/>
              </w:rPr>
              <w:t>；</w:t>
            </w:r>
          </w:p>
          <w:p w14:paraId="6CF8E056">
            <w:pPr>
              <w:pStyle w:val="44"/>
              <w:shd w:val="clear"/>
              <w:ind w:firstLine="48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rPr>
              <w:t>职工人数：职工人数共</w:t>
            </w:r>
            <w:r>
              <w:rPr>
                <w:rFonts w:hint="eastAsia" w:ascii="Times New Roman" w:hAnsi="Times New Roman" w:eastAsia="宋体" w:cs="宋体"/>
                <w:color w:val="auto"/>
                <w:highlight w:val="none"/>
                <w:lang w:val="en-US" w:eastAsia="zh-CN"/>
              </w:rPr>
              <w:t>30</w:t>
            </w:r>
            <w:r>
              <w:rPr>
                <w:rFonts w:hint="eastAsia" w:ascii="Times New Roman" w:hAnsi="Times New Roman" w:eastAsia="宋体" w:cs="宋体"/>
                <w:color w:val="auto"/>
                <w:highlight w:val="none"/>
              </w:rPr>
              <w:t>人，均不</w:t>
            </w:r>
            <w:r>
              <w:rPr>
                <w:rFonts w:hint="eastAsia" w:ascii="Times New Roman" w:hAnsi="Times New Roman" w:eastAsia="宋体" w:cs="宋体"/>
                <w:color w:val="auto"/>
                <w:highlight w:val="none"/>
                <w:lang w:val="en-US" w:eastAsia="zh-CN"/>
              </w:rPr>
              <w:t>住</w:t>
            </w:r>
            <w:r>
              <w:rPr>
                <w:rFonts w:hint="eastAsia" w:ascii="Times New Roman" w:hAnsi="Times New Roman" w:eastAsia="宋体" w:cs="宋体"/>
                <w:color w:val="auto"/>
                <w:highlight w:val="none"/>
              </w:rPr>
              <w:t>厂</w:t>
            </w:r>
            <w:r>
              <w:rPr>
                <w:rFonts w:hint="eastAsia" w:cs="宋体"/>
                <w:color w:val="auto"/>
                <w:highlight w:val="none"/>
                <w:lang w:eastAsia="zh-CN"/>
              </w:rPr>
              <w:t>；</w:t>
            </w:r>
          </w:p>
          <w:p w14:paraId="53B53070">
            <w:pPr>
              <w:pStyle w:val="44"/>
              <w:shd w:val="clear"/>
              <w:ind w:firstLine="480"/>
              <w:rPr>
                <w:rFonts w:hint="default" w:ascii="Times New Roman" w:hAnsi="Times New Roman" w:eastAsia="宋体" w:cs="宋体"/>
                <w:color w:val="auto"/>
                <w:highlight w:val="none"/>
                <w:lang w:val="en-US"/>
              </w:rPr>
            </w:pPr>
            <w:r>
              <w:rPr>
                <w:rFonts w:hint="eastAsia" w:ascii="Times New Roman" w:hAnsi="Times New Roman" w:eastAsia="宋体" w:cs="宋体"/>
                <w:color w:val="auto"/>
                <w:highlight w:val="none"/>
              </w:rPr>
              <w:t>工作制度：年生产3</w:t>
            </w:r>
            <w:r>
              <w:rPr>
                <w:rFonts w:hint="eastAsia" w:ascii="Times New Roman" w:hAnsi="Times New Roman" w:eastAsia="宋体" w:cs="宋体"/>
                <w:color w:val="auto"/>
                <w:highlight w:val="none"/>
                <w:lang w:val="en-US" w:eastAsia="zh-CN"/>
              </w:rPr>
              <w:t>0</w:t>
            </w:r>
            <w:r>
              <w:rPr>
                <w:rFonts w:hint="eastAsia" w:ascii="Times New Roman" w:hAnsi="Times New Roman" w:eastAsia="宋体" w:cs="宋体"/>
                <w:color w:val="auto"/>
                <w:highlight w:val="none"/>
              </w:rPr>
              <w:t>0天，</w:t>
            </w:r>
            <w:r>
              <w:rPr>
                <w:rFonts w:hint="eastAsia" w:ascii="Times New Roman" w:hAnsi="Times New Roman" w:eastAsia="宋体" w:cs="宋体"/>
                <w:color w:val="auto"/>
                <w:highlight w:val="none"/>
                <w:lang w:val="en-US" w:eastAsia="zh-CN"/>
              </w:rPr>
              <w:t>单班制，每班8h</w:t>
            </w:r>
            <w:r>
              <w:rPr>
                <w:rFonts w:hint="eastAsia" w:cs="宋体"/>
                <w:color w:val="auto"/>
                <w:highlight w:val="none"/>
                <w:lang w:val="en-US" w:eastAsia="zh-CN"/>
              </w:rPr>
              <w:t>；</w:t>
            </w:r>
          </w:p>
          <w:p w14:paraId="65CF537F">
            <w:pPr>
              <w:pStyle w:val="44"/>
              <w:shd w:val="clear"/>
              <w:ind w:firstLine="480"/>
              <w:rPr>
                <w:rFonts w:hint="default" w:ascii="Times New Roman" w:hAnsi="Times New Roman" w:eastAsia="宋体" w:cs="宋体"/>
                <w:color w:val="auto"/>
                <w:highlight w:val="none"/>
                <w:lang w:val="en-US"/>
              </w:rPr>
            </w:pPr>
            <w:r>
              <w:rPr>
                <w:rFonts w:hint="eastAsia" w:ascii="Times New Roman" w:hAnsi="Times New Roman" w:eastAsia="宋体" w:cs="宋体"/>
                <w:color w:val="auto"/>
                <w:highlight w:val="none"/>
              </w:rPr>
              <w:t>建设内容及规模：</w:t>
            </w:r>
            <w:r>
              <w:rPr>
                <w:rFonts w:hint="eastAsia" w:ascii="Times New Roman" w:hAnsi="Times New Roman" w:eastAsia="宋体" w:cs="宋体"/>
                <w:color w:val="auto"/>
                <w:highlight w:val="none"/>
                <w:lang w:val="en-US" w:eastAsia="zh-CN"/>
              </w:rPr>
              <w:t>年加工汽车座椅骨架10万套</w:t>
            </w:r>
            <w:r>
              <w:rPr>
                <w:rFonts w:hint="eastAsia" w:cs="宋体"/>
                <w:color w:val="auto"/>
                <w:highlight w:val="none"/>
                <w:lang w:val="en-US" w:eastAsia="zh-CN"/>
              </w:rPr>
              <w:t>。</w:t>
            </w:r>
          </w:p>
          <w:p w14:paraId="7DD24FA3">
            <w:pPr>
              <w:pStyle w:val="4"/>
              <w:bidi w:val="0"/>
              <w:ind w:left="720" w:leftChars="0" w:hanging="720" w:firstLineChars="0"/>
              <w:rPr>
                <w:color w:val="auto"/>
                <w:highlight w:val="none"/>
              </w:rPr>
            </w:pPr>
            <w:r>
              <w:rPr>
                <w:rFonts w:hint="eastAsia"/>
                <w:color w:val="auto"/>
                <w:highlight w:val="none"/>
              </w:rPr>
              <w:t>产品方案</w:t>
            </w:r>
          </w:p>
          <w:p w14:paraId="4FD480D6">
            <w:pPr>
              <w:spacing w:line="360" w:lineRule="auto"/>
              <w:ind w:left="480"/>
              <w:rPr>
                <w:rFonts w:ascii="宋体" w:cs="宋体"/>
                <w:color w:val="auto"/>
                <w:kern w:val="0"/>
                <w:highlight w:val="none"/>
              </w:rPr>
            </w:pPr>
            <w:r>
              <w:rPr>
                <w:rFonts w:hint="eastAsia" w:ascii="宋体" w:cs="宋体"/>
                <w:color w:val="auto"/>
                <w:kern w:val="0"/>
                <w:sz w:val="24"/>
                <w:highlight w:val="none"/>
                <w:lang w:bidi="ar"/>
              </w:rPr>
              <w:t>本项目产品方案见下表。</w:t>
            </w:r>
          </w:p>
          <w:p w14:paraId="25B5EA2F">
            <w:pPr>
              <w:pStyle w:val="42"/>
              <w:keepNext/>
              <w:keepLines/>
              <w:pageBreakBefore w:val="0"/>
              <w:widowControl w:val="0"/>
              <w:shd w:val="clear"/>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rPr>
            </w:pPr>
            <w:r>
              <w:rPr>
                <w:rFonts w:hint="eastAsia"/>
                <w:color w:val="auto"/>
                <w:highlight w:val="none"/>
                <w:lang w:val="en-US" w:eastAsia="zh-CN"/>
              </w:rPr>
              <w:t>本项目</w:t>
            </w:r>
            <w:r>
              <w:rPr>
                <w:rFonts w:hint="eastAsia" w:ascii="Times New Roman" w:hAnsi="Times New Roman" w:eastAsia="宋体"/>
                <w:color w:val="auto"/>
                <w:highlight w:val="none"/>
              </w:rPr>
              <w:t>产品方案</w:t>
            </w:r>
          </w:p>
          <w:tbl>
            <w:tblPr>
              <w:tblStyle w:val="84"/>
              <w:tblW w:w="4998" w:type="pct"/>
              <w:tblInd w:w="2"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2866"/>
              <w:gridCol w:w="2774"/>
              <w:gridCol w:w="3030"/>
            </w:tblGrid>
            <w:tr w14:paraId="296E794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1652" w:type="pct"/>
                  <w:tcBorders>
                    <w:bottom w:val="single" w:color="000000" w:sz="12" w:space="0"/>
                  </w:tcBorders>
                  <w:vAlign w:val="center"/>
                </w:tcPr>
                <w:p w14:paraId="6F9CB32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b/>
                      <w:bCs/>
                      <w:color w:val="auto"/>
                      <w:spacing w:val="3"/>
                      <w:sz w:val="21"/>
                    </w:rPr>
                    <w:t>产品</w:t>
                  </w:r>
                </w:p>
              </w:tc>
              <w:tc>
                <w:tcPr>
                  <w:tcW w:w="1599" w:type="pct"/>
                  <w:tcBorders>
                    <w:bottom w:val="single" w:color="000000" w:sz="12" w:space="0"/>
                  </w:tcBorders>
                  <w:vAlign w:val="center"/>
                </w:tcPr>
                <w:p w14:paraId="35433BE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b/>
                      <w:bCs/>
                      <w:color w:val="auto"/>
                      <w:spacing w:val="6"/>
                      <w:sz w:val="21"/>
                    </w:rPr>
                    <w:t>年设计能力</w:t>
                  </w:r>
                </w:p>
              </w:tc>
              <w:tc>
                <w:tcPr>
                  <w:tcW w:w="1747" w:type="pct"/>
                  <w:tcBorders>
                    <w:bottom w:val="single" w:color="000000" w:sz="12" w:space="0"/>
                  </w:tcBorders>
                  <w:vAlign w:val="center"/>
                </w:tcPr>
                <w:p w14:paraId="48CFE5C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b/>
                      <w:bCs/>
                      <w:color w:val="auto"/>
                      <w:spacing w:val="6"/>
                      <w:sz w:val="21"/>
                    </w:rPr>
                    <w:t>年运行时间</w:t>
                  </w:r>
                </w:p>
              </w:tc>
            </w:tr>
            <w:tr w14:paraId="43CEE0A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7" w:hRule="atLeast"/>
              </w:trPr>
              <w:tc>
                <w:tcPr>
                  <w:tcW w:w="1652" w:type="pct"/>
                  <w:tcBorders>
                    <w:top w:val="single" w:color="000000" w:sz="12" w:space="0"/>
                    <w:tl2br w:val="nil"/>
                    <w:tr2bl w:val="nil"/>
                  </w:tcBorders>
                  <w:vAlign w:val="center"/>
                </w:tcPr>
                <w:p w14:paraId="1938C3A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8"/>
                      <w:sz w:val="21"/>
                    </w:rPr>
                    <w:t>汽车座椅骨架</w:t>
                  </w:r>
                </w:p>
              </w:tc>
              <w:tc>
                <w:tcPr>
                  <w:tcW w:w="1599" w:type="pct"/>
                  <w:tcBorders>
                    <w:top w:val="single" w:color="000000" w:sz="12" w:space="0"/>
                    <w:tl2br w:val="nil"/>
                    <w:tr2bl w:val="nil"/>
                  </w:tcBorders>
                  <w:shd w:val="clear" w:color="auto" w:fill="auto"/>
                  <w:vAlign w:val="center"/>
                </w:tcPr>
                <w:p w14:paraId="08A1AC5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hint="eastAsia" w:ascii="Times New Roman" w:hAnsi="Times New Roman" w:eastAsia="宋体" w:cs="Times New Roman"/>
                      <w:color w:val="auto"/>
                      <w:spacing w:val="2"/>
                      <w:position w:val="1"/>
                      <w:sz w:val="21"/>
                      <w:highlight w:val="none"/>
                      <w:lang w:val="en-US" w:eastAsia="zh-CN"/>
                    </w:rPr>
                    <w:t>1</w:t>
                  </w:r>
                  <w:r>
                    <w:rPr>
                      <w:rFonts w:ascii="Times New Roman" w:hAnsi="Times New Roman" w:eastAsia="宋体" w:cs="Times New Roman"/>
                      <w:color w:val="auto"/>
                      <w:spacing w:val="2"/>
                      <w:position w:val="1"/>
                      <w:sz w:val="21"/>
                      <w:highlight w:val="none"/>
                    </w:rPr>
                    <w:t>0</w:t>
                  </w:r>
                  <w:r>
                    <w:rPr>
                      <w:rFonts w:ascii="Times New Roman" w:hAnsi="Times New Roman" w:eastAsia="宋体"/>
                      <w:color w:val="auto"/>
                      <w:spacing w:val="2"/>
                      <w:position w:val="1"/>
                      <w:sz w:val="21"/>
                      <w:highlight w:val="none"/>
                    </w:rPr>
                    <w:t>万套</w:t>
                  </w:r>
                </w:p>
              </w:tc>
              <w:tc>
                <w:tcPr>
                  <w:tcW w:w="1747" w:type="pct"/>
                  <w:tcBorders>
                    <w:top w:val="single" w:color="000000" w:sz="12" w:space="0"/>
                    <w:tl2br w:val="nil"/>
                    <w:tr2bl w:val="nil"/>
                  </w:tcBorders>
                  <w:shd w:val="clear" w:color="auto" w:fill="auto"/>
                  <w:vAlign w:val="center"/>
                </w:tcPr>
                <w:p w14:paraId="455530C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hint="eastAsia" w:ascii="Times New Roman" w:hAnsi="Times New Roman" w:eastAsia="宋体" w:cs="Times New Roman"/>
                      <w:color w:val="auto"/>
                      <w:spacing w:val="4"/>
                      <w:position w:val="1"/>
                      <w:sz w:val="21"/>
                      <w:szCs w:val="20"/>
                      <w:highlight w:val="none"/>
                      <w:shd w:val="clear"/>
                      <w:lang w:val="en-US" w:eastAsia="zh-CN"/>
                    </w:rPr>
                    <w:t>24</w:t>
                  </w:r>
                  <w:r>
                    <w:rPr>
                      <w:rFonts w:ascii="Times New Roman" w:hAnsi="Times New Roman" w:eastAsia="宋体" w:cs="Times New Roman"/>
                      <w:color w:val="auto"/>
                      <w:spacing w:val="4"/>
                      <w:position w:val="1"/>
                      <w:sz w:val="21"/>
                      <w:szCs w:val="20"/>
                      <w:highlight w:val="none"/>
                      <w:shd w:val="clear"/>
                    </w:rPr>
                    <w:t>00h</w:t>
                  </w:r>
                </w:p>
              </w:tc>
            </w:tr>
          </w:tbl>
          <w:p w14:paraId="6F51BC21">
            <w:pPr>
              <w:rPr>
                <w:rFonts w:hint="eastAsia"/>
                <w:color w:val="auto"/>
              </w:rPr>
            </w:pPr>
          </w:p>
          <w:p w14:paraId="28BF1A69">
            <w:pPr>
              <w:pStyle w:val="3"/>
              <w:bidi w:val="0"/>
              <w:ind w:left="0" w:leftChars="0" w:firstLine="0" w:firstLineChars="0"/>
              <w:rPr>
                <w:rFonts w:hint="eastAsia"/>
                <w:color w:val="auto"/>
                <w:highlight w:val="none"/>
              </w:rPr>
            </w:pPr>
            <w:r>
              <w:rPr>
                <w:rFonts w:hint="eastAsia"/>
                <w:color w:val="auto"/>
                <w:highlight w:val="none"/>
              </w:rPr>
              <w:t>项目建设内容</w:t>
            </w:r>
            <w:r>
              <w:rPr>
                <w:rFonts w:hint="eastAsia"/>
                <w:color w:val="auto"/>
                <w:highlight w:val="none"/>
              </w:rPr>
              <w:drawing>
                <wp:inline distT="0" distB="0" distL="114300" distR="114300">
                  <wp:extent cx="635" cy="0"/>
                  <wp:effectExtent l="0" t="0" r="0" b="0"/>
                  <wp:docPr id="16" name="图片 15" descr="C:/Users/Dell/AppData/Local/Temp/picturecompress_20220307141540/output_4.jp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C:/Users/Dell/AppData/Local/Temp/picturecompress_20220307141540/output_4.jpgoutput_4"/>
                          <pic:cNvPicPr>
                            <a:picLocks noChangeAspect="1"/>
                          </pic:cNvPicPr>
                        </pic:nvPicPr>
                        <pic:blipFill>
                          <a:blip r:embed="rId20"/>
                          <a:stretch>
                            <a:fillRect/>
                          </a:stretch>
                        </pic:blipFill>
                        <pic:spPr>
                          <a:xfrm>
                            <a:off x="0" y="0"/>
                            <a:ext cx="635" cy="0"/>
                          </a:xfrm>
                          <a:prstGeom prst="rect">
                            <a:avLst/>
                          </a:prstGeom>
                          <a:noFill/>
                          <a:ln>
                            <a:noFill/>
                          </a:ln>
                        </pic:spPr>
                      </pic:pic>
                    </a:graphicData>
                  </a:graphic>
                </wp:inline>
              </w:drawing>
            </w:r>
          </w:p>
          <w:p w14:paraId="7F9BB0A8">
            <w:pPr>
              <w:pStyle w:val="4"/>
              <w:bidi w:val="0"/>
              <w:ind w:left="720" w:leftChars="0" w:hanging="720" w:firstLineChars="0"/>
              <w:rPr>
                <w:rFonts w:hint="eastAsia"/>
                <w:color w:val="auto"/>
                <w:highlight w:val="none"/>
              </w:rPr>
            </w:pPr>
            <w:r>
              <w:rPr>
                <w:rFonts w:hint="eastAsia"/>
                <w:color w:val="auto"/>
                <w:highlight w:val="none"/>
              </w:rPr>
              <w:t>主要建设内容</w:t>
            </w:r>
          </w:p>
          <w:p w14:paraId="174505A3">
            <w:pPr>
              <w:pStyle w:val="44"/>
              <w:ind w:firstLine="480"/>
              <w:rPr>
                <w:color w:val="auto"/>
                <w:highlight w:val="none"/>
              </w:rPr>
            </w:pPr>
            <w:r>
              <w:rPr>
                <w:color w:val="auto"/>
                <w:highlight w:val="none"/>
              </w:rPr>
              <w:t>项目</w:t>
            </w:r>
            <w:r>
              <w:rPr>
                <w:rFonts w:hint="eastAsia"/>
                <w:color w:val="auto"/>
                <w:highlight w:val="none"/>
              </w:rPr>
              <w:t>工程</w:t>
            </w:r>
            <w:r>
              <w:rPr>
                <w:color w:val="auto"/>
                <w:highlight w:val="none"/>
              </w:rPr>
              <w:t>组成见</w:t>
            </w:r>
            <w:r>
              <w:rPr>
                <w:rFonts w:hint="eastAsia"/>
                <w:color w:val="auto"/>
                <w:highlight w:val="none"/>
              </w:rPr>
              <w:t>下表</w:t>
            </w:r>
            <w:r>
              <w:rPr>
                <w:rFonts w:hint="eastAsia"/>
                <w:color w:val="auto"/>
                <w:highlight w:val="none"/>
                <w:lang w:eastAsia="zh-CN"/>
              </w:rPr>
              <w:t>。</w:t>
            </w:r>
          </w:p>
          <w:p w14:paraId="77C5589B">
            <w:pPr>
              <w:pStyle w:val="42"/>
              <w:keepNext/>
              <w:keepLines/>
              <w:pageBreakBefore w:val="0"/>
              <w:widowControl w:val="0"/>
              <w:shd w:val="clear"/>
              <w:kinsoku/>
              <w:wordWrap/>
              <w:overflowPunct/>
              <w:topLinePunct w:val="0"/>
              <w:autoSpaceDE/>
              <w:autoSpaceDN/>
              <w:bidi w:val="0"/>
              <w:adjustRightInd/>
              <w:snapToGrid/>
              <w:spacing w:before="0" w:after="0" w:line="240" w:lineRule="auto"/>
              <w:ind w:left="630" w:leftChars="0" w:firstLineChars="0"/>
              <w:textAlignment w:val="auto"/>
              <w:rPr>
                <w:color w:val="auto"/>
                <w:highlight w:val="none"/>
              </w:rPr>
            </w:pPr>
            <w:r>
              <w:rPr>
                <w:rFonts w:hint="eastAsia" w:ascii="Times New Roman" w:hAnsi="Times New Roman" w:eastAsia="宋体" w:cs="Times New Roman"/>
                <w:color w:val="auto"/>
                <w:lang w:val="en-US" w:eastAsia="zh-CN"/>
              </w:rPr>
              <w:t>工</w:t>
            </w:r>
            <w:r>
              <w:rPr>
                <w:rFonts w:hint="eastAsia" w:ascii="Times New Roman" w:hAnsi="Times New Roman" w:eastAsia="宋体" w:cs="宋体"/>
                <w:b/>
                <w:bCs/>
                <w:color w:val="auto"/>
                <w:kern w:val="0"/>
                <w:sz w:val="24"/>
                <w:szCs w:val="21"/>
                <w:highlight w:val="none"/>
                <w:lang w:val="en-US" w:eastAsia="zh-CN" w:bidi="ar-SA"/>
              </w:rPr>
              <w:t>程</w:t>
            </w:r>
            <w:r>
              <w:rPr>
                <w:rFonts w:hint="default" w:ascii="Times New Roman" w:hAnsi="Times New Roman" w:eastAsia="宋体" w:cs="宋体"/>
                <w:b/>
                <w:bCs/>
                <w:color w:val="auto"/>
                <w:kern w:val="0"/>
                <w:sz w:val="24"/>
                <w:szCs w:val="21"/>
                <w:highlight w:val="none"/>
                <w:lang w:val="en-US" w:eastAsia="zh-CN" w:bidi="ar-SA"/>
              </w:rPr>
              <w:t>主要建设内容情况一览表</w:t>
            </w:r>
          </w:p>
          <w:tbl>
            <w:tblPr>
              <w:tblStyle w:val="34"/>
              <w:tblW w:w="9990"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36"/>
              <w:gridCol w:w="2054"/>
              <w:gridCol w:w="3072"/>
              <w:gridCol w:w="2110"/>
              <w:gridCol w:w="1318"/>
            </w:tblGrid>
            <w:tr w14:paraId="7C2C87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tcBorders>
                    <w:bottom w:val="single" w:color="000000" w:sz="12" w:space="0"/>
                  </w:tcBorders>
                  <w:shd w:val="clear" w:color="auto" w:fill="auto"/>
                  <w:vAlign w:val="center"/>
                </w:tcPr>
                <w:p w14:paraId="4D593C6D">
                  <w:pPr>
                    <w:pStyle w:val="113"/>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b/>
                      <w:bCs/>
                      <w:color w:val="auto"/>
                      <w:spacing w:val="2"/>
                      <w:sz w:val="21"/>
                      <w:szCs w:val="21"/>
                    </w:rPr>
                    <w:t>工程</w:t>
                  </w:r>
                </w:p>
                <w:p w14:paraId="27454FD9">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b/>
                      <w:bCs/>
                      <w:color w:val="auto"/>
                      <w:spacing w:val="3"/>
                      <w:sz w:val="21"/>
                      <w:szCs w:val="21"/>
                    </w:rPr>
                    <w:t>类别</w:t>
                  </w:r>
                </w:p>
              </w:tc>
              <w:tc>
                <w:tcPr>
                  <w:tcW w:w="2054" w:type="dxa"/>
                  <w:tcBorders>
                    <w:bottom w:val="single" w:color="000000" w:sz="12" w:space="0"/>
                  </w:tcBorders>
                  <w:shd w:val="clear" w:color="auto" w:fill="auto"/>
                  <w:vAlign w:val="center"/>
                </w:tcPr>
                <w:p w14:paraId="709A69C4">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b/>
                      <w:bCs/>
                      <w:color w:val="auto"/>
                      <w:spacing w:val="5"/>
                      <w:sz w:val="21"/>
                      <w:szCs w:val="21"/>
                    </w:rPr>
                    <w:t>工程名称</w:t>
                  </w:r>
                </w:p>
              </w:tc>
              <w:tc>
                <w:tcPr>
                  <w:tcW w:w="3072" w:type="dxa"/>
                  <w:tcBorders>
                    <w:bottom w:val="single" w:color="000000" w:sz="12" w:space="0"/>
                  </w:tcBorders>
                  <w:shd w:val="clear" w:color="auto" w:fill="auto"/>
                  <w:vAlign w:val="center"/>
                </w:tcPr>
                <w:p w14:paraId="7C284D64">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b/>
                      <w:bCs/>
                      <w:color w:val="auto"/>
                      <w:spacing w:val="6"/>
                      <w:sz w:val="21"/>
                      <w:szCs w:val="21"/>
                    </w:rPr>
                    <w:t>工程规模和内容</w:t>
                  </w:r>
                </w:p>
              </w:tc>
              <w:tc>
                <w:tcPr>
                  <w:tcW w:w="2110" w:type="dxa"/>
                  <w:tcBorders>
                    <w:bottom w:val="single" w:color="000000" w:sz="12" w:space="0"/>
                  </w:tcBorders>
                  <w:shd w:val="clear" w:color="auto" w:fill="auto"/>
                  <w:vAlign w:val="center"/>
                </w:tcPr>
                <w:p w14:paraId="582D31A3">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b/>
                      <w:bCs/>
                      <w:color w:val="auto"/>
                      <w:spacing w:val="2"/>
                      <w:sz w:val="21"/>
                      <w:szCs w:val="21"/>
                    </w:rPr>
                    <w:t>备注</w:t>
                  </w:r>
                </w:p>
              </w:tc>
            </w:tr>
            <w:tr w14:paraId="43D74A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restart"/>
                  <w:tcBorders>
                    <w:top w:val="single" w:color="000000" w:sz="12" w:space="0"/>
                    <w:tl2br w:val="nil"/>
                    <w:tr2bl w:val="nil"/>
                  </w:tcBorders>
                  <w:shd w:val="clear" w:color="auto" w:fill="auto"/>
                  <w:vAlign w:val="center"/>
                </w:tcPr>
                <w:p w14:paraId="3939AF0A">
                  <w:pPr>
                    <w:pStyle w:val="113"/>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pacing w:val="3"/>
                      <w:sz w:val="21"/>
                      <w:szCs w:val="21"/>
                    </w:rPr>
                    <w:t>主体</w:t>
                  </w:r>
                </w:p>
                <w:p w14:paraId="3718E29D">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3"/>
                      <w:sz w:val="21"/>
                      <w:szCs w:val="21"/>
                    </w:rPr>
                    <w:t>工程</w:t>
                  </w:r>
                </w:p>
              </w:tc>
              <w:tc>
                <w:tcPr>
                  <w:tcW w:w="2054" w:type="dxa"/>
                  <w:tcBorders>
                    <w:top w:val="single" w:color="000000" w:sz="12" w:space="0"/>
                    <w:tl2br w:val="nil"/>
                    <w:tr2bl w:val="nil"/>
                  </w:tcBorders>
                  <w:shd w:val="clear" w:color="auto" w:fill="auto"/>
                  <w:vAlign w:val="center"/>
                </w:tcPr>
                <w:p w14:paraId="20677272">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hint="default" w:ascii="Times New Roman" w:hAnsi="Times New Roman" w:eastAsia="宋体" w:cs="宋体"/>
                      <w:color w:val="auto"/>
                      <w:kern w:val="2"/>
                      <w:sz w:val="21"/>
                      <w:szCs w:val="21"/>
                      <w:lang w:val="en-US" w:eastAsia="zh-CN" w:bidi="ar-SA"/>
                    </w:rPr>
                  </w:pPr>
                  <w:r>
                    <w:rPr>
                      <w:rFonts w:hint="eastAsia" w:ascii="Times New Roman" w:hAnsi="Times New Roman" w:cs="宋体"/>
                      <w:color w:val="auto"/>
                      <w:kern w:val="2"/>
                      <w:sz w:val="21"/>
                      <w:szCs w:val="21"/>
                      <w:lang w:val="en-US" w:eastAsia="zh-CN" w:bidi="ar-SA"/>
                    </w:rPr>
                    <w:t>2#厂房</w:t>
                  </w:r>
                </w:p>
              </w:tc>
              <w:tc>
                <w:tcPr>
                  <w:tcW w:w="3072" w:type="dxa"/>
                  <w:tcBorders>
                    <w:top w:val="single" w:color="000000" w:sz="12" w:space="0"/>
                    <w:tl2br w:val="nil"/>
                    <w:tr2bl w:val="nil"/>
                  </w:tcBorders>
                  <w:shd w:val="clear" w:color="auto" w:fill="auto"/>
                  <w:vAlign w:val="center"/>
                </w:tcPr>
                <w:p w14:paraId="08C5FE78">
                  <w:pPr>
                    <w:pStyle w:val="113"/>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textAlignment w:val="auto"/>
                    <w:rPr>
                      <w:rFonts w:hint="default" w:ascii="Times New Roman" w:hAnsi="Times New Roman" w:eastAsia="宋体" w:cs="宋体"/>
                      <w:color w:val="auto"/>
                      <w:kern w:val="2"/>
                      <w:sz w:val="21"/>
                      <w:szCs w:val="21"/>
                      <w:lang w:val="en-US" w:eastAsia="zh-CN" w:bidi="ar-SA"/>
                    </w:rPr>
                  </w:pPr>
                  <w:r>
                    <w:rPr>
                      <w:rFonts w:hint="eastAsia" w:ascii="Times New Roman" w:hAnsi="Times New Roman" w:cs="宋体"/>
                      <w:color w:val="auto"/>
                      <w:kern w:val="2"/>
                      <w:sz w:val="21"/>
                      <w:szCs w:val="21"/>
                      <w:lang w:val="en-US" w:eastAsia="zh-CN" w:bidi="ar-SA"/>
                    </w:rPr>
                    <w:t>主要建设焊接工序，面积1010m</w:t>
                  </w:r>
                  <w:r>
                    <w:rPr>
                      <w:rFonts w:hint="eastAsia" w:ascii="Times New Roman" w:hAnsi="Times New Roman" w:cs="宋体"/>
                      <w:color w:val="auto"/>
                      <w:kern w:val="2"/>
                      <w:sz w:val="21"/>
                      <w:szCs w:val="21"/>
                      <w:vertAlign w:val="superscript"/>
                      <w:lang w:val="en-US" w:eastAsia="zh-CN" w:bidi="ar-SA"/>
                    </w:rPr>
                    <w:t>2</w:t>
                  </w:r>
                </w:p>
              </w:tc>
              <w:tc>
                <w:tcPr>
                  <w:tcW w:w="2110" w:type="dxa"/>
                  <w:vMerge w:val="restart"/>
                  <w:tcBorders>
                    <w:top w:val="single" w:color="000000" w:sz="12" w:space="0"/>
                    <w:tl2br w:val="nil"/>
                    <w:tr2bl w:val="nil"/>
                  </w:tcBorders>
                  <w:shd w:val="clear" w:color="auto" w:fill="auto"/>
                  <w:vAlign w:val="center"/>
                </w:tcPr>
                <w:p w14:paraId="2DDBE462">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6"/>
                      <w:sz w:val="21"/>
                      <w:szCs w:val="21"/>
                    </w:rPr>
                    <w:t>场地租赁，</w:t>
                  </w:r>
                  <w:r>
                    <w:rPr>
                      <w:rFonts w:ascii="Times New Roman" w:hAnsi="Times New Roman" w:eastAsia="宋体"/>
                      <w:color w:val="auto"/>
                      <w:spacing w:val="3"/>
                      <w:sz w:val="21"/>
                      <w:szCs w:val="21"/>
                    </w:rPr>
                    <w:t>内部设施新</w:t>
                  </w:r>
                  <w:r>
                    <w:rPr>
                      <w:rFonts w:ascii="Times New Roman" w:hAnsi="Times New Roman" w:eastAsia="宋体"/>
                      <w:color w:val="auto"/>
                      <w:sz w:val="21"/>
                      <w:szCs w:val="21"/>
                    </w:rPr>
                    <w:t>建</w:t>
                  </w:r>
                </w:p>
              </w:tc>
            </w:tr>
            <w:tr w14:paraId="40ABFA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shd w:val="clear" w:color="auto" w:fill="auto"/>
                  <w:vAlign w:val="center"/>
                </w:tcPr>
                <w:p w14:paraId="0B84F85D">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olor w:val="auto"/>
                      <w:spacing w:val="3"/>
                      <w:sz w:val="21"/>
                      <w:szCs w:val="21"/>
                    </w:rPr>
                  </w:pPr>
                </w:p>
              </w:tc>
              <w:tc>
                <w:tcPr>
                  <w:tcW w:w="2054" w:type="dxa"/>
                  <w:tcBorders>
                    <w:tl2br w:val="nil"/>
                    <w:tr2bl w:val="nil"/>
                  </w:tcBorders>
                  <w:shd w:val="clear" w:color="auto" w:fill="auto"/>
                  <w:vAlign w:val="center"/>
                </w:tcPr>
                <w:p w14:paraId="68343F56">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olor w:val="auto"/>
                      <w:spacing w:val="6"/>
                      <w:sz w:val="21"/>
                      <w:szCs w:val="21"/>
                    </w:rPr>
                  </w:pPr>
                  <w:r>
                    <w:rPr>
                      <w:rFonts w:hint="eastAsia" w:ascii="Times New Roman" w:hAnsi="Times New Roman" w:cs="宋体"/>
                      <w:color w:val="auto"/>
                      <w:kern w:val="2"/>
                      <w:sz w:val="21"/>
                      <w:szCs w:val="21"/>
                      <w:lang w:val="en-US" w:eastAsia="zh-CN" w:bidi="ar-SA"/>
                    </w:rPr>
                    <w:t>3#厂房</w:t>
                  </w:r>
                </w:p>
              </w:tc>
              <w:tc>
                <w:tcPr>
                  <w:tcW w:w="3072" w:type="dxa"/>
                  <w:tcBorders>
                    <w:tl2br w:val="nil"/>
                    <w:tr2bl w:val="nil"/>
                  </w:tcBorders>
                  <w:shd w:val="clear" w:color="auto" w:fill="auto"/>
                  <w:vAlign w:val="center"/>
                </w:tcPr>
                <w:p w14:paraId="1763607E">
                  <w:pPr>
                    <w:pStyle w:val="113"/>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textAlignment w:val="auto"/>
                    <w:rPr>
                      <w:rFonts w:ascii="Times New Roman" w:hAnsi="Times New Roman" w:eastAsia="宋体"/>
                      <w:color w:val="auto"/>
                      <w:spacing w:val="15"/>
                      <w:sz w:val="21"/>
                      <w:szCs w:val="21"/>
                      <w:highlight w:val="yellow"/>
                    </w:rPr>
                  </w:pPr>
                  <w:r>
                    <w:rPr>
                      <w:rFonts w:hint="eastAsia" w:ascii="Times New Roman" w:hAnsi="Times New Roman" w:cs="宋体"/>
                      <w:color w:val="auto"/>
                      <w:kern w:val="2"/>
                      <w:sz w:val="21"/>
                      <w:szCs w:val="21"/>
                      <w:lang w:val="en-US" w:eastAsia="zh-CN" w:bidi="ar-SA"/>
                    </w:rPr>
                    <w:t>主要建设电泳工序，面积1020m</w:t>
                  </w:r>
                  <w:r>
                    <w:rPr>
                      <w:rFonts w:hint="eastAsia" w:ascii="Times New Roman" w:hAnsi="Times New Roman" w:cs="宋体"/>
                      <w:color w:val="auto"/>
                      <w:kern w:val="2"/>
                      <w:sz w:val="21"/>
                      <w:szCs w:val="21"/>
                      <w:vertAlign w:val="superscript"/>
                      <w:lang w:val="en-US" w:eastAsia="zh-CN" w:bidi="ar-SA"/>
                    </w:rPr>
                    <w:t>2</w:t>
                  </w:r>
                </w:p>
              </w:tc>
              <w:tc>
                <w:tcPr>
                  <w:tcW w:w="2110" w:type="dxa"/>
                  <w:vMerge w:val="continue"/>
                  <w:tcBorders>
                    <w:tl2br w:val="nil"/>
                    <w:tr2bl w:val="nil"/>
                  </w:tcBorders>
                  <w:shd w:val="clear" w:color="auto" w:fill="auto"/>
                  <w:vAlign w:val="center"/>
                </w:tcPr>
                <w:p w14:paraId="5D6F2C99">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olor w:val="auto"/>
                      <w:spacing w:val="4"/>
                      <w:sz w:val="21"/>
                      <w:szCs w:val="21"/>
                    </w:rPr>
                  </w:pPr>
                </w:p>
              </w:tc>
            </w:tr>
            <w:tr w14:paraId="2DEED2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restart"/>
                  <w:tcBorders>
                    <w:tl2br w:val="nil"/>
                    <w:tr2bl w:val="nil"/>
                  </w:tcBorders>
                  <w:shd w:val="clear" w:color="auto" w:fill="auto"/>
                  <w:vAlign w:val="center"/>
                </w:tcPr>
                <w:p w14:paraId="0F4F92D8">
                  <w:pPr>
                    <w:pStyle w:val="113"/>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pacing w:val="5"/>
                      <w:sz w:val="21"/>
                      <w:szCs w:val="21"/>
                    </w:rPr>
                    <w:t>储运</w:t>
                  </w:r>
                </w:p>
                <w:p w14:paraId="0046285A">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3"/>
                      <w:sz w:val="21"/>
                      <w:szCs w:val="21"/>
                    </w:rPr>
                    <w:t>工程</w:t>
                  </w:r>
                </w:p>
              </w:tc>
              <w:tc>
                <w:tcPr>
                  <w:tcW w:w="2054" w:type="dxa"/>
                  <w:tcBorders>
                    <w:tl2br w:val="nil"/>
                    <w:tr2bl w:val="nil"/>
                  </w:tcBorders>
                  <w:shd w:val="clear" w:color="auto" w:fill="auto"/>
                  <w:vAlign w:val="center"/>
                </w:tcPr>
                <w:p w14:paraId="0FE9158D">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8"/>
                      <w:sz w:val="21"/>
                      <w:szCs w:val="21"/>
                    </w:rPr>
                    <w:t>化学品仓库</w:t>
                  </w:r>
                </w:p>
              </w:tc>
              <w:tc>
                <w:tcPr>
                  <w:tcW w:w="3072" w:type="dxa"/>
                  <w:tcBorders>
                    <w:tl2br w:val="nil"/>
                    <w:tr2bl w:val="nil"/>
                  </w:tcBorders>
                  <w:shd w:val="clear" w:color="auto" w:fill="auto"/>
                  <w:vAlign w:val="center"/>
                </w:tcPr>
                <w:p w14:paraId="04B0092C">
                  <w:pPr>
                    <w:pStyle w:val="113"/>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s="宋体"/>
                      <w:color w:val="auto"/>
                      <w:kern w:val="2"/>
                      <w:sz w:val="21"/>
                      <w:szCs w:val="21"/>
                      <w:highlight w:val="none"/>
                      <w:lang w:val="en-US" w:eastAsia="en-US" w:bidi="ar-SA"/>
                    </w:rPr>
                  </w:pPr>
                  <w:r>
                    <w:rPr>
                      <w:rFonts w:ascii="Times New Roman" w:hAnsi="Times New Roman" w:eastAsia="宋体"/>
                      <w:color w:val="auto"/>
                      <w:spacing w:val="10"/>
                      <w:position w:val="1"/>
                      <w:sz w:val="21"/>
                      <w:szCs w:val="21"/>
                      <w:highlight w:val="none"/>
                    </w:rPr>
                    <w:t>位于</w:t>
                  </w:r>
                  <w:r>
                    <w:rPr>
                      <w:rFonts w:hint="eastAsia" w:ascii="Times New Roman" w:hAnsi="Times New Roman"/>
                      <w:color w:val="auto"/>
                      <w:spacing w:val="10"/>
                      <w:position w:val="1"/>
                      <w:sz w:val="21"/>
                      <w:szCs w:val="21"/>
                      <w:highlight w:val="none"/>
                      <w:lang w:val="en-US" w:eastAsia="zh-CN"/>
                    </w:rPr>
                    <w:t>3#</w:t>
                  </w:r>
                  <w:r>
                    <w:rPr>
                      <w:rFonts w:ascii="Times New Roman" w:hAnsi="Times New Roman" w:eastAsia="宋体"/>
                      <w:color w:val="auto"/>
                      <w:spacing w:val="10"/>
                      <w:position w:val="1"/>
                      <w:sz w:val="21"/>
                      <w:szCs w:val="21"/>
                      <w:highlight w:val="none"/>
                    </w:rPr>
                    <w:t>厂房</w:t>
                  </w:r>
                  <w:r>
                    <w:rPr>
                      <w:rFonts w:hint="eastAsia" w:ascii="Times New Roman" w:hAnsi="Times New Roman"/>
                      <w:color w:val="auto"/>
                      <w:spacing w:val="10"/>
                      <w:position w:val="1"/>
                      <w:sz w:val="21"/>
                      <w:szCs w:val="21"/>
                      <w:highlight w:val="none"/>
                      <w:lang w:val="en-US" w:eastAsia="zh-CN"/>
                    </w:rPr>
                    <w:t>东北</w:t>
                  </w:r>
                  <w:r>
                    <w:rPr>
                      <w:rFonts w:ascii="Times New Roman" w:hAnsi="Times New Roman" w:eastAsia="宋体"/>
                      <w:color w:val="auto"/>
                      <w:spacing w:val="10"/>
                      <w:position w:val="1"/>
                      <w:sz w:val="21"/>
                      <w:szCs w:val="21"/>
                      <w:highlight w:val="none"/>
                    </w:rPr>
                    <w:t>侧</w:t>
                  </w:r>
                  <w:r>
                    <w:rPr>
                      <w:rFonts w:hint="eastAsia" w:ascii="Times New Roman" w:hAnsi="Times New Roman" w:eastAsia="宋体"/>
                      <w:color w:val="auto"/>
                      <w:spacing w:val="10"/>
                      <w:position w:val="1"/>
                      <w:sz w:val="21"/>
                      <w:szCs w:val="21"/>
                      <w:highlight w:val="none"/>
                      <w:lang w:eastAsia="zh-CN"/>
                    </w:rPr>
                    <w:t>，</w:t>
                  </w:r>
                  <w:r>
                    <w:rPr>
                      <w:rFonts w:ascii="Times New Roman" w:hAnsi="Times New Roman" w:eastAsia="宋体"/>
                      <w:color w:val="auto"/>
                      <w:spacing w:val="9"/>
                      <w:sz w:val="21"/>
                      <w:szCs w:val="21"/>
                      <w:highlight w:val="none"/>
                    </w:rPr>
                    <w:t>主要承担</w:t>
                  </w:r>
                  <w:r>
                    <w:rPr>
                      <w:rFonts w:hint="eastAsia" w:ascii="Times New Roman" w:hAnsi="Times New Roman"/>
                      <w:color w:val="auto"/>
                      <w:spacing w:val="9"/>
                      <w:sz w:val="21"/>
                      <w:szCs w:val="21"/>
                      <w:highlight w:val="none"/>
                      <w:lang w:val="en-US" w:eastAsia="zh-CN"/>
                    </w:rPr>
                    <w:t>电泳</w:t>
                  </w:r>
                  <w:r>
                    <w:rPr>
                      <w:rFonts w:ascii="Times New Roman" w:hAnsi="Times New Roman" w:eastAsia="宋体"/>
                      <w:color w:val="auto"/>
                      <w:spacing w:val="9"/>
                      <w:sz w:val="21"/>
                      <w:szCs w:val="21"/>
                      <w:highlight w:val="none"/>
                    </w:rPr>
                    <w:t>涂料等存放任务，仓库面积</w:t>
                  </w:r>
                  <w:r>
                    <w:rPr>
                      <w:rFonts w:ascii="Times New Roman" w:hAnsi="Times New Roman" w:eastAsia="宋体" w:cs="Times New Roman"/>
                      <w:color w:val="auto"/>
                      <w:spacing w:val="3"/>
                      <w:position w:val="1"/>
                      <w:sz w:val="21"/>
                      <w:szCs w:val="21"/>
                      <w:highlight w:val="none"/>
                    </w:rPr>
                    <w:t>28m</w:t>
                  </w:r>
                  <w:r>
                    <w:rPr>
                      <w:rFonts w:hint="eastAsia" w:ascii="Times New Roman" w:hAnsi="Times New Roman" w:eastAsia="宋体" w:cs="Times New Roman"/>
                      <w:color w:val="auto"/>
                      <w:spacing w:val="10"/>
                      <w:sz w:val="21"/>
                      <w:szCs w:val="21"/>
                      <w:highlight w:val="none"/>
                      <w:vertAlign w:val="superscript"/>
                      <w:lang w:val="en-US" w:eastAsia="zh-CN"/>
                    </w:rPr>
                    <w:t>2</w:t>
                  </w:r>
                  <w:r>
                    <w:rPr>
                      <w:rFonts w:ascii="Times New Roman" w:hAnsi="Times New Roman" w:eastAsia="宋体"/>
                      <w:color w:val="auto"/>
                      <w:spacing w:val="3"/>
                      <w:position w:val="1"/>
                      <w:sz w:val="21"/>
                      <w:szCs w:val="21"/>
                      <w:highlight w:val="none"/>
                    </w:rPr>
                    <w:t>。</w:t>
                  </w:r>
                </w:p>
              </w:tc>
              <w:tc>
                <w:tcPr>
                  <w:tcW w:w="2110" w:type="dxa"/>
                  <w:tcBorders>
                    <w:tl2br w:val="nil"/>
                    <w:tr2bl w:val="nil"/>
                  </w:tcBorders>
                  <w:shd w:val="clear" w:color="auto" w:fill="auto"/>
                  <w:vAlign w:val="center"/>
                </w:tcPr>
                <w:p w14:paraId="7A2A5BB4">
                  <w:pPr>
                    <w:pStyle w:val="113"/>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6"/>
                      <w:sz w:val="21"/>
                      <w:szCs w:val="21"/>
                    </w:rPr>
                    <w:t>场地租赁，</w:t>
                  </w:r>
                  <w:r>
                    <w:rPr>
                      <w:rFonts w:ascii="Times New Roman" w:hAnsi="Times New Roman" w:eastAsia="宋体"/>
                      <w:color w:val="auto"/>
                      <w:spacing w:val="3"/>
                      <w:sz w:val="21"/>
                      <w:szCs w:val="21"/>
                    </w:rPr>
                    <w:t>内部设施新</w:t>
                  </w:r>
                  <w:r>
                    <w:rPr>
                      <w:rFonts w:ascii="Times New Roman" w:hAnsi="Times New Roman" w:eastAsia="宋体"/>
                      <w:color w:val="auto"/>
                      <w:sz w:val="21"/>
                      <w:szCs w:val="21"/>
                    </w:rPr>
                    <w:t>建</w:t>
                  </w:r>
                </w:p>
              </w:tc>
            </w:tr>
            <w:tr w14:paraId="07FEB4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6C16C674">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68845901">
                  <w:pPr>
                    <w:pStyle w:val="113"/>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7"/>
                      <w:sz w:val="21"/>
                      <w:szCs w:val="21"/>
                    </w:rPr>
                    <w:t>一般固废堆</w:t>
                  </w:r>
                  <w:r>
                    <w:rPr>
                      <w:rFonts w:ascii="Times New Roman" w:hAnsi="Times New Roman" w:eastAsia="宋体"/>
                      <w:color w:val="auto"/>
                      <w:spacing w:val="1"/>
                      <w:sz w:val="21"/>
                      <w:szCs w:val="21"/>
                    </w:rPr>
                    <w:t>场</w:t>
                  </w:r>
                </w:p>
              </w:tc>
              <w:tc>
                <w:tcPr>
                  <w:tcW w:w="3072" w:type="dxa"/>
                  <w:tcBorders>
                    <w:tl2br w:val="nil"/>
                    <w:tr2bl w:val="nil"/>
                  </w:tcBorders>
                  <w:shd w:val="clear" w:color="auto" w:fill="auto"/>
                  <w:vAlign w:val="center"/>
                </w:tcPr>
                <w:p w14:paraId="2B526571">
                  <w:pPr>
                    <w:pStyle w:val="113"/>
                    <w:keepNext w:val="0"/>
                    <w:keepLines w:val="0"/>
                    <w:pageBreakBefore w:val="0"/>
                    <w:widowControl w:val="0"/>
                    <w:kinsoku/>
                    <w:wordWrap/>
                    <w:overflowPunct/>
                    <w:topLinePunct w:val="0"/>
                    <w:bidi w:val="0"/>
                    <w:adjustRightInd/>
                    <w:snapToGrid/>
                    <w:spacing w:line="240" w:lineRule="auto"/>
                    <w:ind w:left="0" w:leftChars="0" w:right="0" w:firstLine="0" w:firstLineChars="0"/>
                    <w:jc w:val="center"/>
                    <w:textAlignment w:val="auto"/>
                    <w:rPr>
                      <w:rFonts w:ascii="Times New Roman" w:hAnsi="Times New Roman" w:eastAsia="宋体" w:cs="宋体"/>
                      <w:color w:val="auto"/>
                      <w:kern w:val="2"/>
                      <w:sz w:val="21"/>
                      <w:szCs w:val="21"/>
                      <w:highlight w:val="none"/>
                      <w:lang w:val="en-US" w:eastAsia="en-US" w:bidi="ar-SA"/>
                    </w:rPr>
                  </w:pPr>
                  <w:r>
                    <w:rPr>
                      <w:rFonts w:ascii="Times New Roman" w:hAnsi="Times New Roman" w:eastAsia="宋体"/>
                      <w:color w:val="auto"/>
                      <w:spacing w:val="10"/>
                      <w:position w:val="1"/>
                      <w:sz w:val="21"/>
                      <w:szCs w:val="21"/>
                      <w:highlight w:val="none"/>
                    </w:rPr>
                    <w:t>位于</w:t>
                  </w:r>
                  <w:r>
                    <w:rPr>
                      <w:rFonts w:hint="eastAsia" w:ascii="Times New Roman" w:hAnsi="Times New Roman"/>
                      <w:color w:val="auto"/>
                      <w:spacing w:val="10"/>
                      <w:position w:val="1"/>
                      <w:sz w:val="21"/>
                      <w:szCs w:val="21"/>
                      <w:highlight w:val="none"/>
                      <w:lang w:val="en-US" w:eastAsia="zh-CN"/>
                    </w:rPr>
                    <w:t>2#</w:t>
                  </w:r>
                  <w:r>
                    <w:rPr>
                      <w:rFonts w:ascii="Times New Roman" w:hAnsi="Times New Roman" w:eastAsia="宋体"/>
                      <w:color w:val="auto"/>
                      <w:spacing w:val="10"/>
                      <w:position w:val="1"/>
                      <w:sz w:val="21"/>
                      <w:szCs w:val="21"/>
                      <w:highlight w:val="none"/>
                    </w:rPr>
                    <w:t>厂房</w:t>
                  </w:r>
                  <w:r>
                    <w:rPr>
                      <w:rFonts w:hint="eastAsia" w:ascii="Times New Roman" w:hAnsi="Times New Roman"/>
                      <w:color w:val="auto"/>
                      <w:spacing w:val="10"/>
                      <w:position w:val="1"/>
                      <w:sz w:val="21"/>
                      <w:szCs w:val="21"/>
                      <w:highlight w:val="none"/>
                      <w:lang w:val="en-US" w:eastAsia="zh-CN"/>
                    </w:rPr>
                    <w:t>西</w:t>
                  </w:r>
                  <w:r>
                    <w:rPr>
                      <w:rFonts w:ascii="Times New Roman" w:hAnsi="Times New Roman" w:eastAsia="宋体"/>
                      <w:color w:val="auto"/>
                      <w:spacing w:val="10"/>
                      <w:position w:val="1"/>
                      <w:sz w:val="21"/>
                      <w:szCs w:val="21"/>
                      <w:highlight w:val="none"/>
                    </w:rPr>
                    <w:t>侧，建筑面积</w:t>
                  </w:r>
                  <w:r>
                    <w:rPr>
                      <w:rFonts w:ascii="Times New Roman" w:hAnsi="Times New Roman" w:eastAsia="宋体" w:cs="Times New Roman"/>
                      <w:color w:val="auto"/>
                      <w:spacing w:val="10"/>
                      <w:position w:val="1"/>
                      <w:sz w:val="21"/>
                      <w:szCs w:val="21"/>
                      <w:highlight w:val="none"/>
                    </w:rPr>
                    <w:t>20m</w:t>
                  </w:r>
                  <w:r>
                    <w:rPr>
                      <w:rFonts w:hint="eastAsia" w:ascii="Times New Roman" w:hAnsi="Times New Roman" w:eastAsia="宋体" w:cs="Times New Roman"/>
                      <w:color w:val="auto"/>
                      <w:spacing w:val="10"/>
                      <w:sz w:val="21"/>
                      <w:szCs w:val="21"/>
                      <w:highlight w:val="none"/>
                      <w:vertAlign w:val="superscript"/>
                      <w:lang w:val="en-US" w:eastAsia="zh-CN"/>
                    </w:rPr>
                    <w:t>2</w:t>
                  </w:r>
                  <w:r>
                    <w:rPr>
                      <w:rFonts w:ascii="Times New Roman" w:hAnsi="Times New Roman" w:eastAsia="宋体"/>
                      <w:color w:val="auto"/>
                      <w:spacing w:val="10"/>
                      <w:position w:val="1"/>
                      <w:sz w:val="21"/>
                      <w:szCs w:val="21"/>
                      <w:highlight w:val="none"/>
                    </w:rPr>
                    <w:t>。</w:t>
                  </w:r>
                </w:p>
              </w:tc>
              <w:tc>
                <w:tcPr>
                  <w:tcW w:w="2110" w:type="dxa"/>
                  <w:tcBorders>
                    <w:tl2br w:val="nil"/>
                    <w:tr2bl w:val="nil"/>
                  </w:tcBorders>
                  <w:shd w:val="clear" w:color="auto" w:fill="auto"/>
                  <w:vAlign w:val="center"/>
                </w:tcPr>
                <w:p w14:paraId="3E6C560C">
                  <w:pPr>
                    <w:pStyle w:val="113"/>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6"/>
                      <w:sz w:val="21"/>
                      <w:szCs w:val="21"/>
                    </w:rPr>
                    <w:t>场地租赁，</w:t>
                  </w:r>
                  <w:r>
                    <w:rPr>
                      <w:rFonts w:ascii="Times New Roman" w:hAnsi="Times New Roman" w:eastAsia="宋体"/>
                      <w:color w:val="auto"/>
                      <w:spacing w:val="3"/>
                      <w:sz w:val="21"/>
                      <w:szCs w:val="21"/>
                    </w:rPr>
                    <w:t>内部设施新</w:t>
                  </w:r>
                  <w:r>
                    <w:rPr>
                      <w:rFonts w:ascii="Times New Roman" w:hAnsi="Times New Roman" w:eastAsia="宋体"/>
                      <w:color w:val="auto"/>
                      <w:sz w:val="21"/>
                      <w:szCs w:val="21"/>
                    </w:rPr>
                    <w:t>建</w:t>
                  </w:r>
                </w:p>
              </w:tc>
            </w:tr>
            <w:tr w14:paraId="0E9B85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797D3341">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7CBB9D49">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1"/>
                      <w:lang w:val="en-US" w:eastAsia="zh-CN" w:bidi="ar-SA"/>
                    </w:rPr>
                  </w:pPr>
                  <w:r>
                    <w:rPr>
                      <w:rFonts w:hint="eastAsia" w:ascii="Times New Roman" w:hAnsi="Times New Roman"/>
                      <w:color w:val="auto"/>
                      <w:spacing w:val="6"/>
                      <w:sz w:val="21"/>
                      <w:szCs w:val="21"/>
                      <w:lang w:eastAsia="zh-CN"/>
                    </w:rPr>
                    <w:t>危废贮存库</w:t>
                  </w:r>
                </w:p>
              </w:tc>
              <w:tc>
                <w:tcPr>
                  <w:tcW w:w="3072" w:type="dxa"/>
                  <w:tcBorders>
                    <w:tl2br w:val="nil"/>
                    <w:tr2bl w:val="nil"/>
                  </w:tcBorders>
                  <w:shd w:val="clear" w:color="auto" w:fill="auto"/>
                  <w:vAlign w:val="center"/>
                </w:tcPr>
                <w:p w14:paraId="7FC086E9">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highlight w:val="none"/>
                      <w:lang w:val="en-US" w:eastAsia="en-US" w:bidi="ar-SA"/>
                    </w:rPr>
                  </w:pPr>
                  <w:r>
                    <w:rPr>
                      <w:rFonts w:ascii="Times New Roman" w:hAnsi="Times New Roman" w:eastAsia="宋体"/>
                      <w:color w:val="auto"/>
                      <w:spacing w:val="10"/>
                      <w:position w:val="1"/>
                      <w:sz w:val="21"/>
                      <w:szCs w:val="21"/>
                      <w:highlight w:val="none"/>
                    </w:rPr>
                    <w:t>位于</w:t>
                  </w:r>
                  <w:r>
                    <w:rPr>
                      <w:rFonts w:hint="eastAsia" w:ascii="Times New Roman" w:hAnsi="Times New Roman"/>
                      <w:color w:val="auto"/>
                      <w:spacing w:val="10"/>
                      <w:position w:val="1"/>
                      <w:sz w:val="21"/>
                      <w:szCs w:val="21"/>
                      <w:highlight w:val="none"/>
                      <w:lang w:val="en-US" w:eastAsia="zh-CN"/>
                    </w:rPr>
                    <w:t>3#</w:t>
                  </w:r>
                  <w:r>
                    <w:rPr>
                      <w:rFonts w:ascii="Times New Roman" w:hAnsi="Times New Roman" w:eastAsia="宋体"/>
                      <w:color w:val="auto"/>
                      <w:spacing w:val="10"/>
                      <w:position w:val="1"/>
                      <w:sz w:val="21"/>
                      <w:szCs w:val="21"/>
                      <w:highlight w:val="none"/>
                    </w:rPr>
                    <w:t>厂房</w:t>
                  </w:r>
                  <w:r>
                    <w:rPr>
                      <w:rFonts w:hint="eastAsia" w:ascii="Times New Roman" w:hAnsi="Times New Roman"/>
                      <w:color w:val="auto"/>
                      <w:spacing w:val="10"/>
                      <w:position w:val="1"/>
                      <w:sz w:val="21"/>
                      <w:szCs w:val="21"/>
                      <w:highlight w:val="none"/>
                      <w:lang w:val="en-US" w:eastAsia="zh-CN"/>
                    </w:rPr>
                    <w:t>西南</w:t>
                  </w:r>
                  <w:r>
                    <w:rPr>
                      <w:rFonts w:ascii="Times New Roman" w:hAnsi="Times New Roman" w:eastAsia="宋体"/>
                      <w:color w:val="auto"/>
                      <w:spacing w:val="10"/>
                      <w:position w:val="1"/>
                      <w:sz w:val="21"/>
                      <w:szCs w:val="21"/>
                      <w:highlight w:val="none"/>
                    </w:rPr>
                    <w:t>侧，建筑面积</w:t>
                  </w:r>
                  <w:r>
                    <w:rPr>
                      <w:rFonts w:hint="eastAsia" w:ascii="Times New Roman" w:hAnsi="Times New Roman" w:cs="Times New Roman"/>
                      <w:color w:val="auto"/>
                      <w:spacing w:val="10"/>
                      <w:position w:val="1"/>
                      <w:sz w:val="21"/>
                      <w:szCs w:val="21"/>
                      <w:highlight w:val="none"/>
                      <w:lang w:val="en-US" w:eastAsia="zh-CN"/>
                    </w:rPr>
                    <w:t>10</w:t>
                  </w:r>
                  <w:r>
                    <w:rPr>
                      <w:rFonts w:ascii="Times New Roman" w:hAnsi="Times New Roman" w:eastAsia="宋体" w:cs="Times New Roman"/>
                      <w:color w:val="auto"/>
                      <w:spacing w:val="10"/>
                      <w:position w:val="1"/>
                      <w:sz w:val="21"/>
                      <w:szCs w:val="21"/>
                      <w:highlight w:val="none"/>
                    </w:rPr>
                    <w:t>m</w:t>
                  </w:r>
                  <w:r>
                    <w:rPr>
                      <w:rFonts w:hint="eastAsia" w:ascii="Times New Roman" w:hAnsi="Times New Roman" w:eastAsia="宋体" w:cs="Times New Roman"/>
                      <w:color w:val="auto"/>
                      <w:spacing w:val="10"/>
                      <w:sz w:val="21"/>
                      <w:szCs w:val="21"/>
                      <w:highlight w:val="none"/>
                      <w:vertAlign w:val="superscript"/>
                      <w:lang w:val="en-US" w:eastAsia="zh-CN"/>
                    </w:rPr>
                    <w:t>2</w:t>
                  </w:r>
                  <w:r>
                    <w:rPr>
                      <w:rFonts w:ascii="Times New Roman" w:hAnsi="Times New Roman" w:eastAsia="宋体"/>
                      <w:color w:val="auto"/>
                      <w:spacing w:val="10"/>
                      <w:position w:val="1"/>
                      <w:sz w:val="21"/>
                      <w:szCs w:val="21"/>
                      <w:highlight w:val="none"/>
                    </w:rPr>
                    <w:t>。</w:t>
                  </w:r>
                </w:p>
              </w:tc>
              <w:tc>
                <w:tcPr>
                  <w:tcW w:w="2110" w:type="dxa"/>
                  <w:tcBorders>
                    <w:tl2br w:val="nil"/>
                    <w:tr2bl w:val="nil"/>
                  </w:tcBorders>
                  <w:shd w:val="clear" w:color="auto" w:fill="auto"/>
                  <w:vAlign w:val="center"/>
                </w:tcPr>
                <w:p w14:paraId="392F09B5">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6"/>
                      <w:sz w:val="21"/>
                      <w:szCs w:val="21"/>
                    </w:rPr>
                    <w:t>场地租赁，</w:t>
                  </w:r>
                  <w:r>
                    <w:rPr>
                      <w:rFonts w:ascii="Times New Roman" w:hAnsi="Times New Roman" w:eastAsia="宋体"/>
                      <w:color w:val="auto"/>
                      <w:spacing w:val="3"/>
                      <w:sz w:val="21"/>
                      <w:szCs w:val="21"/>
                    </w:rPr>
                    <w:t>内部设施新</w:t>
                  </w:r>
                  <w:r>
                    <w:rPr>
                      <w:rFonts w:ascii="Times New Roman" w:hAnsi="Times New Roman" w:eastAsia="宋体"/>
                      <w:color w:val="auto"/>
                      <w:sz w:val="21"/>
                      <w:szCs w:val="21"/>
                    </w:rPr>
                    <w:t>建</w:t>
                  </w:r>
                </w:p>
              </w:tc>
            </w:tr>
            <w:tr w14:paraId="72E7B0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4A5753DD">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7C6B3FFC">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5"/>
                      <w:sz w:val="21"/>
                      <w:szCs w:val="21"/>
                    </w:rPr>
                    <w:t>成品库</w:t>
                  </w:r>
                </w:p>
              </w:tc>
              <w:tc>
                <w:tcPr>
                  <w:tcW w:w="3072" w:type="dxa"/>
                  <w:tcBorders>
                    <w:tl2br w:val="nil"/>
                    <w:tr2bl w:val="nil"/>
                  </w:tcBorders>
                  <w:shd w:val="clear" w:color="auto" w:fill="auto"/>
                  <w:vAlign w:val="center"/>
                </w:tcPr>
                <w:p w14:paraId="2D7627BF">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highlight w:val="none"/>
                      <w:lang w:val="en-US" w:eastAsia="en-US" w:bidi="ar-SA"/>
                    </w:rPr>
                  </w:pPr>
                  <w:r>
                    <w:rPr>
                      <w:rFonts w:ascii="Times New Roman" w:hAnsi="Times New Roman" w:eastAsia="宋体"/>
                      <w:color w:val="auto"/>
                      <w:spacing w:val="10"/>
                      <w:position w:val="1"/>
                      <w:sz w:val="21"/>
                      <w:szCs w:val="21"/>
                      <w:highlight w:val="none"/>
                    </w:rPr>
                    <w:t>位于</w:t>
                  </w:r>
                  <w:r>
                    <w:rPr>
                      <w:rFonts w:hint="eastAsia" w:ascii="Times New Roman" w:hAnsi="Times New Roman"/>
                      <w:color w:val="auto"/>
                      <w:spacing w:val="10"/>
                      <w:position w:val="1"/>
                      <w:sz w:val="21"/>
                      <w:szCs w:val="21"/>
                      <w:highlight w:val="none"/>
                      <w:lang w:val="en-US" w:eastAsia="zh-CN"/>
                    </w:rPr>
                    <w:t>3#</w:t>
                  </w:r>
                  <w:r>
                    <w:rPr>
                      <w:rFonts w:ascii="Times New Roman" w:hAnsi="Times New Roman" w:eastAsia="宋体"/>
                      <w:color w:val="auto"/>
                      <w:spacing w:val="10"/>
                      <w:position w:val="1"/>
                      <w:sz w:val="21"/>
                      <w:szCs w:val="21"/>
                      <w:highlight w:val="none"/>
                    </w:rPr>
                    <w:t>厂房</w:t>
                  </w:r>
                  <w:r>
                    <w:rPr>
                      <w:rFonts w:hint="eastAsia" w:ascii="Times New Roman" w:hAnsi="Times New Roman"/>
                      <w:color w:val="auto"/>
                      <w:spacing w:val="10"/>
                      <w:position w:val="1"/>
                      <w:sz w:val="21"/>
                      <w:szCs w:val="21"/>
                      <w:highlight w:val="none"/>
                      <w:lang w:val="en-US" w:eastAsia="zh-CN"/>
                    </w:rPr>
                    <w:t>西</w:t>
                  </w:r>
                  <w:r>
                    <w:rPr>
                      <w:rFonts w:ascii="Times New Roman" w:hAnsi="Times New Roman" w:eastAsia="宋体"/>
                      <w:color w:val="auto"/>
                      <w:spacing w:val="10"/>
                      <w:position w:val="1"/>
                      <w:sz w:val="21"/>
                      <w:szCs w:val="21"/>
                      <w:highlight w:val="none"/>
                    </w:rPr>
                    <w:t>侧，建筑面积</w:t>
                  </w:r>
                  <w:r>
                    <w:rPr>
                      <w:rFonts w:hint="eastAsia" w:ascii="Times New Roman" w:hAnsi="Times New Roman"/>
                      <w:color w:val="auto"/>
                      <w:spacing w:val="10"/>
                      <w:position w:val="1"/>
                      <w:sz w:val="21"/>
                      <w:szCs w:val="21"/>
                      <w:highlight w:val="none"/>
                      <w:lang w:val="en-US" w:eastAsia="zh-CN"/>
                    </w:rPr>
                    <w:t>200</w:t>
                  </w:r>
                  <w:r>
                    <w:rPr>
                      <w:rFonts w:ascii="Times New Roman" w:hAnsi="Times New Roman" w:eastAsia="宋体" w:cs="Times New Roman"/>
                      <w:color w:val="auto"/>
                      <w:spacing w:val="10"/>
                      <w:position w:val="1"/>
                      <w:sz w:val="21"/>
                      <w:szCs w:val="21"/>
                      <w:highlight w:val="none"/>
                    </w:rPr>
                    <w:t>m</w:t>
                  </w:r>
                  <w:r>
                    <w:rPr>
                      <w:rFonts w:hint="eastAsia" w:ascii="Times New Roman" w:hAnsi="Times New Roman" w:eastAsia="宋体" w:cs="Times New Roman"/>
                      <w:color w:val="auto"/>
                      <w:spacing w:val="10"/>
                      <w:sz w:val="21"/>
                      <w:szCs w:val="21"/>
                      <w:highlight w:val="none"/>
                      <w:vertAlign w:val="superscript"/>
                      <w:lang w:val="en-US" w:eastAsia="zh-CN"/>
                    </w:rPr>
                    <w:t>2</w:t>
                  </w:r>
                  <w:r>
                    <w:rPr>
                      <w:rFonts w:ascii="Times New Roman" w:hAnsi="Times New Roman" w:eastAsia="宋体"/>
                      <w:color w:val="auto"/>
                      <w:spacing w:val="10"/>
                      <w:position w:val="1"/>
                      <w:sz w:val="21"/>
                      <w:szCs w:val="21"/>
                      <w:highlight w:val="none"/>
                    </w:rPr>
                    <w:t>。</w:t>
                  </w:r>
                </w:p>
              </w:tc>
              <w:tc>
                <w:tcPr>
                  <w:tcW w:w="2110" w:type="dxa"/>
                  <w:tcBorders>
                    <w:tl2br w:val="nil"/>
                    <w:tr2bl w:val="nil"/>
                  </w:tcBorders>
                  <w:shd w:val="clear" w:color="auto" w:fill="auto"/>
                  <w:vAlign w:val="center"/>
                </w:tcPr>
                <w:p w14:paraId="25D31CA4">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6"/>
                      <w:sz w:val="21"/>
                      <w:szCs w:val="21"/>
                    </w:rPr>
                    <w:t>场地租赁，</w:t>
                  </w:r>
                  <w:r>
                    <w:rPr>
                      <w:rFonts w:ascii="Times New Roman" w:hAnsi="Times New Roman" w:eastAsia="宋体"/>
                      <w:color w:val="auto"/>
                      <w:spacing w:val="3"/>
                      <w:sz w:val="21"/>
                      <w:szCs w:val="21"/>
                    </w:rPr>
                    <w:t>内部设施新</w:t>
                  </w:r>
                  <w:r>
                    <w:rPr>
                      <w:rFonts w:ascii="Times New Roman" w:hAnsi="Times New Roman" w:eastAsia="宋体"/>
                      <w:color w:val="auto"/>
                      <w:sz w:val="21"/>
                      <w:szCs w:val="21"/>
                    </w:rPr>
                    <w:t>建</w:t>
                  </w:r>
                </w:p>
              </w:tc>
            </w:tr>
            <w:tr w14:paraId="0954CC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tcBorders>
                    <w:tl2br w:val="nil"/>
                    <w:tr2bl w:val="nil"/>
                  </w:tcBorders>
                  <w:shd w:val="clear" w:color="auto" w:fill="auto"/>
                  <w:vAlign w:val="center"/>
                </w:tcPr>
                <w:p w14:paraId="03AD6C77">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rPr>
                  </w:pPr>
                  <w:r>
                    <w:rPr>
                      <w:rFonts w:ascii="Times New Roman" w:hAnsi="Times New Roman" w:eastAsia="宋体"/>
                      <w:color w:val="auto"/>
                      <w:spacing w:val="3"/>
                      <w:sz w:val="21"/>
                      <w:szCs w:val="21"/>
                    </w:rPr>
                    <w:t>辅助</w:t>
                  </w:r>
                </w:p>
                <w:p w14:paraId="48589721">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3"/>
                      <w:sz w:val="21"/>
                      <w:szCs w:val="21"/>
                    </w:rPr>
                    <w:t>工程</w:t>
                  </w:r>
                </w:p>
              </w:tc>
              <w:tc>
                <w:tcPr>
                  <w:tcW w:w="2054" w:type="dxa"/>
                  <w:tcBorders>
                    <w:tl2br w:val="nil"/>
                    <w:tr2bl w:val="nil"/>
                  </w:tcBorders>
                  <w:shd w:val="clear" w:color="auto" w:fill="auto"/>
                  <w:vAlign w:val="center"/>
                </w:tcPr>
                <w:p w14:paraId="1B1ACDBF">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5"/>
                      <w:sz w:val="21"/>
                      <w:szCs w:val="21"/>
                    </w:rPr>
                    <w:t>办公室</w:t>
                  </w:r>
                </w:p>
              </w:tc>
              <w:tc>
                <w:tcPr>
                  <w:tcW w:w="3072" w:type="dxa"/>
                  <w:tcBorders>
                    <w:tl2br w:val="nil"/>
                    <w:tr2bl w:val="nil"/>
                  </w:tcBorders>
                  <w:shd w:val="clear" w:color="auto" w:fill="auto"/>
                  <w:vAlign w:val="center"/>
                </w:tcPr>
                <w:p w14:paraId="708DD384">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highlight w:val="none"/>
                      <w:lang w:val="en-US" w:eastAsia="en-US" w:bidi="ar-SA"/>
                    </w:rPr>
                  </w:pPr>
                  <w:r>
                    <w:rPr>
                      <w:rFonts w:hint="eastAsia" w:ascii="Times New Roman" w:hAnsi="Times New Roman"/>
                      <w:color w:val="auto"/>
                      <w:spacing w:val="-1"/>
                      <w:sz w:val="21"/>
                      <w:szCs w:val="21"/>
                      <w:highlight w:val="none"/>
                      <w:lang w:eastAsia="zh-CN"/>
                    </w:rPr>
                    <w:t>位于</w:t>
                  </w:r>
                  <w:r>
                    <w:rPr>
                      <w:rFonts w:hint="eastAsia" w:ascii="Times New Roman" w:hAnsi="Times New Roman"/>
                      <w:color w:val="auto"/>
                      <w:spacing w:val="10"/>
                      <w:position w:val="1"/>
                      <w:sz w:val="21"/>
                      <w:szCs w:val="21"/>
                      <w:highlight w:val="none"/>
                      <w:lang w:val="en-US" w:eastAsia="zh-CN"/>
                    </w:rPr>
                    <w:t>2#</w:t>
                  </w:r>
                  <w:r>
                    <w:rPr>
                      <w:rFonts w:ascii="Times New Roman" w:hAnsi="Times New Roman" w:eastAsia="宋体"/>
                      <w:color w:val="auto"/>
                      <w:spacing w:val="10"/>
                      <w:position w:val="1"/>
                      <w:sz w:val="21"/>
                      <w:szCs w:val="21"/>
                      <w:highlight w:val="none"/>
                    </w:rPr>
                    <w:t>厂房</w:t>
                  </w:r>
                  <w:r>
                    <w:rPr>
                      <w:rFonts w:hint="eastAsia" w:ascii="Times New Roman" w:hAnsi="Times New Roman"/>
                      <w:color w:val="auto"/>
                      <w:spacing w:val="10"/>
                      <w:position w:val="1"/>
                      <w:sz w:val="21"/>
                      <w:szCs w:val="21"/>
                      <w:highlight w:val="none"/>
                      <w:lang w:val="en-US" w:eastAsia="zh-CN"/>
                    </w:rPr>
                    <w:t>东南侧</w:t>
                  </w:r>
                  <w:r>
                    <w:rPr>
                      <w:rFonts w:ascii="Times New Roman" w:hAnsi="Times New Roman" w:eastAsia="宋体"/>
                      <w:color w:val="auto"/>
                      <w:spacing w:val="-1"/>
                      <w:sz w:val="21"/>
                      <w:szCs w:val="21"/>
                      <w:highlight w:val="none"/>
                    </w:rPr>
                    <w:t>，主要用于人员办公，</w:t>
                  </w:r>
                  <w:r>
                    <w:rPr>
                      <w:rFonts w:ascii="Times New Roman" w:hAnsi="Times New Roman" w:eastAsia="宋体"/>
                      <w:color w:val="auto"/>
                      <w:spacing w:val="4"/>
                      <w:position w:val="1"/>
                      <w:sz w:val="21"/>
                      <w:szCs w:val="21"/>
                      <w:highlight w:val="none"/>
                    </w:rPr>
                    <w:t>面积约为</w:t>
                  </w:r>
                  <w:r>
                    <w:rPr>
                      <w:rFonts w:hint="eastAsia" w:ascii="Times New Roman" w:hAnsi="Times New Roman" w:cs="Times New Roman"/>
                      <w:color w:val="auto"/>
                      <w:spacing w:val="4"/>
                      <w:position w:val="1"/>
                      <w:sz w:val="21"/>
                      <w:szCs w:val="21"/>
                      <w:highlight w:val="none"/>
                      <w:lang w:val="en-US" w:eastAsia="zh-CN"/>
                    </w:rPr>
                    <w:t>15</w:t>
                  </w:r>
                  <w:r>
                    <w:rPr>
                      <w:rFonts w:ascii="Times New Roman" w:hAnsi="Times New Roman" w:eastAsia="宋体" w:cs="Times New Roman"/>
                      <w:color w:val="auto"/>
                      <w:spacing w:val="4"/>
                      <w:position w:val="1"/>
                      <w:sz w:val="21"/>
                      <w:szCs w:val="21"/>
                      <w:highlight w:val="none"/>
                    </w:rPr>
                    <w:t>0m</w:t>
                  </w:r>
                  <w:r>
                    <w:rPr>
                      <w:rFonts w:hint="eastAsia" w:ascii="Times New Roman" w:hAnsi="Times New Roman" w:eastAsia="宋体" w:cs="Times New Roman"/>
                      <w:color w:val="auto"/>
                      <w:spacing w:val="10"/>
                      <w:sz w:val="21"/>
                      <w:szCs w:val="21"/>
                      <w:highlight w:val="none"/>
                      <w:vertAlign w:val="superscript"/>
                      <w:lang w:val="en-US" w:eastAsia="zh-CN"/>
                    </w:rPr>
                    <w:t>2</w:t>
                  </w:r>
                  <w:r>
                    <w:rPr>
                      <w:rFonts w:ascii="Times New Roman" w:hAnsi="Times New Roman" w:eastAsia="宋体"/>
                      <w:color w:val="auto"/>
                      <w:spacing w:val="4"/>
                      <w:position w:val="1"/>
                      <w:sz w:val="21"/>
                      <w:szCs w:val="21"/>
                      <w:highlight w:val="none"/>
                    </w:rPr>
                    <w:t>。</w:t>
                  </w:r>
                </w:p>
              </w:tc>
              <w:tc>
                <w:tcPr>
                  <w:tcW w:w="2110" w:type="dxa"/>
                  <w:tcBorders>
                    <w:tl2br w:val="nil"/>
                    <w:tr2bl w:val="nil"/>
                  </w:tcBorders>
                  <w:shd w:val="clear" w:color="auto" w:fill="auto"/>
                  <w:vAlign w:val="center"/>
                </w:tcPr>
                <w:p w14:paraId="5A4C29D0">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7"/>
                      <w:sz w:val="21"/>
                      <w:szCs w:val="21"/>
                    </w:rPr>
                    <w:t>租赁已建成用房，新建</w:t>
                  </w:r>
                  <w:r>
                    <w:rPr>
                      <w:rFonts w:ascii="Times New Roman" w:hAnsi="Times New Roman" w:eastAsia="宋体"/>
                      <w:color w:val="auto"/>
                      <w:spacing w:val="3"/>
                      <w:sz w:val="21"/>
                      <w:szCs w:val="21"/>
                    </w:rPr>
                    <w:t>设施</w:t>
                  </w:r>
                </w:p>
              </w:tc>
            </w:tr>
            <w:tr w14:paraId="535682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restart"/>
                  <w:tcBorders>
                    <w:tl2br w:val="nil"/>
                    <w:tr2bl w:val="nil"/>
                  </w:tcBorders>
                  <w:shd w:val="clear" w:color="auto" w:fill="auto"/>
                  <w:vAlign w:val="center"/>
                </w:tcPr>
                <w:p w14:paraId="56EBAEC9">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rPr>
                  </w:pPr>
                  <w:r>
                    <w:rPr>
                      <w:rFonts w:ascii="Times New Roman" w:hAnsi="Times New Roman" w:eastAsia="宋体"/>
                      <w:color w:val="auto"/>
                      <w:spacing w:val="1"/>
                      <w:sz w:val="21"/>
                      <w:szCs w:val="21"/>
                    </w:rPr>
                    <w:t>公用</w:t>
                  </w:r>
                </w:p>
                <w:p w14:paraId="4F32A697">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z w:val="21"/>
                      <w:szCs w:val="21"/>
                      <w:highlight w:val="none"/>
                      <w:vertAlign w:val="baseline"/>
                    </w:rPr>
                  </w:pPr>
                  <w:r>
                    <w:rPr>
                      <w:rFonts w:ascii="Times New Roman" w:hAnsi="Times New Roman" w:eastAsia="宋体"/>
                      <w:color w:val="auto"/>
                      <w:spacing w:val="3"/>
                      <w:sz w:val="21"/>
                      <w:szCs w:val="21"/>
                    </w:rPr>
                    <w:t>工程</w:t>
                  </w:r>
                </w:p>
              </w:tc>
              <w:tc>
                <w:tcPr>
                  <w:tcW w:w="2054" w:type="dxa"/>
                  <w:tcBorders>
                    <w:tl2br w:val="nil"/>
                    <w:tr2bl w:val="nil"/>
                  </w:tcBorders>
                  <w:shd w:val="clear" w:color="auto" w:fill="auto"/>
                  <w:vAlign w:val="center"/>
                </w:tcPr>
                <w:p w14:paraId="50DE1170">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7"/>
                      <w:sz w:val="21"/>
                      <w:szCs w:val="21"/>
                    </w:rPr>
                    <w:t>供水系统</w:t>
                  </w:r>
                </w:p>
              </w:tc>
              <w:tc>
                <w:tcPr>
                  <w:tcW w:w="3072" w:type="dxa"/>
                  <w:tcBorders>
                    <w:tl2br w:val="nil"/>
                    <w:tr2bl w:val="nil"/>
                  </w:tcBorders>
                  <w:shd w:val="clear" w:color="auto" w:fill="auto"/>
                  <w:vAlign w:val="center"/>
                </w:tcPr>
                <w:p w14:paraId="12C4EA3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s="宋体"/>
                      <w:color w:val="auto"/>
                      <w:kern w:val="2"/>
                      <w:sz w:val="21"/>
                      <w:szCs w:val="21"/>
                      <w:lang w:val="en-US" w:eastAsia="en-US" w:bidi="ar-SA"/>
                    </w:rPr>
                    <w:t>接市政供水管网</w:t>
                  </w:r>
                </w:p>
              </w:tc>
              <w:tc>
                <w:tcPr>
                  <w:tcW w:w="2110" w:type="dxa"/>
                  <w:tcBorders>
                    <w:tl2br w:val="nil"/>
                    <w:tr2bl w:val="nil"/>
                  </w:tcBorders>
                  <w:shd w:val="clear" w:color="auto" w:fill="auto"/>
                  <w:vAlign w:val="center"/>
                </w:tcPr>
                <w:p w14:paraId="5A329505">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3"/>
                      <w:sz w:val="21"/>
                      <w:szCs w:val="21"/>
                    </w:rPr>
                    <w:t>依托</w:t>
                  </w:r>
                </w:p>
              </w:tc>
            </w:tr>
            <w:tr w14:paraId="20F932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576EC76B">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7CFF136E">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7"/>
                      <w:sz w:val="21"/>
                      <w:szCs w:val="21"/>
                    </w:rPr>
                    <w:t>排水系统</w:t>
                  </w:r>
                </w:p>
              </w:tc>
              <w:tc>
                <w:tcPr>
                  <w:tcW w:w="3072" w:type="dxa"/>
                  <w:tcBorders>
                    <w:tl2br w:val="nil"/>
                    <w:tr2bl w:val="nil"/>
                  </w:tcBorders>
                  <w:shd w:val="clear" w:color="auto" w:fill="auto"/>
                  <w:vAlign w:val="center"/>
                </w:tcPr>
                <w:p w14:paraId="636A306F">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5"/>
                      <w:sz w:val="21"/>
                      <w:szCs w:val="21"/>
                    </w:rPr>
                    <w:t>采用雨污分流的排水体制，雨水经</w:t>
                  </w:r>
                  <w:r>
                    <w:rPr>
                      <w:rFonts w:ascii="Times New Roman" w:hAnsi="Times New Roman" w:eastAsia="宋体"/>
                      <w:color w:val="auto"/>
                      <w:spacing w:val="5"/>
                      <w:sz w:val="21"/>
                      <w:szCs w:val="21"/>
                      <w:highlight w:val="none"/>
                    </w:rPr>
                    <w:t>厂区雨水管道</w:t>
                  </w:r>
                  <w:r>
                    <w:rPr>
                      <w:rFonts w:ascii="Times New Roman" w:hAnsi="Times New Roman" w:eastAsia="宋体"/>
                      <w:color w:val="auto"/>
                      <w:spacing w:val="9"/>
                      <w:sz w:val="21"/>
                      <w:szCs w:val="21"/>
                      <w:highlight w:val="none"/>
                    </w:rPr>
                    <w:t>排入市政雨水管道。生产废水采用“</w:t>
                  </w:r>
                  <w:r>
                    <w:rPr>
                      <w:rFonts w:hint="eastAsia" w:ascii="Times New Roman" w:hAnsi="Times New Roman"/>
                      <w:color w:val="auto"/>
                      <w:spacing w:val="9"/>
                      <w:sz w:val="21"/>
                      <w:szCs w:val="21"/>
                      <w:highlight w:val="none"/>
                      <w:lang w:eastAsia="zh-CN"/>
                    </w:rPr>
                    <w:t>气浮+A/O+沉淀</w:t>
                  </w:r>
                  <w:r>
                    <w:rPr>
                      <w:rFonts w:ascii="Times New Roman" w:hAnsi="Times New Roman" w:eastAsia="宋体"/>
                      <w:color w:val="auto"/>
                      <w:spacing w:val="4"/>
                      <w:position w:val="1"/>
                      <w:sz w:val="21"/>
                      <w:szCs w:val="21"/>
                      <w:highlight w:val="none"/>
                    </w:rPr>
                    <w:t>”的水处理工艺，处理后达</w:t>
                  </w:r>
                  <w:r>
                    <w:rPr>
                      <w:rFonts w:ascii="Times New Roman" w:hAnsi="Times New Roman" w:eastAsia="宋体"/>
                      <w:color w:val="auto"/>
                      <w:spacing w:val="6"/>
                      <w:position w:val="1"/>
                      <w:sz w:val="21"/>
                      <w:szCs w:val="21"/>
                      <w:highlight w:val="none"/>
                    </w:rPr>
                    <w:t>标</w:t>
                  </w:r>
                  <w:r>
                    <w:rPr>
                      <w:rFonts w:hint="eastAsia" w:ascii="Times New Roman" w:hAnsi="Times New Roman"/>
                      <w:color w:val="auto"/>
                      <w:spacing w:val="6"/>
                      <w:position w:val="1"/>
                      <w:sz w:val="21"/>
                      <w:szCs w:val="21"/>
                      <w:highlight w:val="none"/>
                      <w:lang w:val="en-US" w:eastAsia="zh-CN"/>
                    </w:rPr>
                    <w:t>排放</w:t>
                  </w:r>
                  <w:r>
                    <w:rPr>
                      <w:rFonts w:ascii="Times New Roman" w:hAnsi="Times New Roman" w:eastAsia="宋体"/>
                      <w:color w:val="auto"/>
                      <w:spacing w:val="5"/>
                      <w:sz w:val="21"/>
                      <w:szCs w:val="21"/>
                      <w:highlight w:val="none"/>
                    </w:rPr>
                    <w:t>后接入市政污水管网</w:t>
                  </w:r>
                  <w:r>
                    <w:rPr>
                      <w:rFonts w:hint="eastAsia" w:ascii="Times New Roman" w:hAnsi="Times New Roman"/>
                      <w:color w:val="auto"/>
                      <w:spacing w:val="6"/>
                      <w:position w:val="1"/>
                      <w:sz w:val="21"/>
                      <w:szCs w:val="21"/>
                      <w:highlight w:val="none"/>
                      <w:lang w:val="en-US" w:eastAsia="zh-CN"/>
                    </w:rPr>
                    <w:t>由</w:t>
                  </w:r>
                  <w:r>
                    <w:rPr>
                      <w:rFonts w:hint="eastAsia" w:ascii="Times New Roman" w:hAnsi="Times New Roman" w:eastAsia="宋体"/>
                      <w:color w:val="auto"/>
                      <w:spacing w:val="5"/>
                      <w:sz w:val="21"/>
                      <w:szCs w:val="21"/>
                      <w:highlight w:val="none"/>
                      <w:lang w:eastAsia="zh-CN"/>
                    </w:rPr>
                    <w:t>福清市第二污水处理厂</w:t>
                  </w:r>
                  <w:r>
                    <w:rPr>
                      <w:rFonts w:ascii="Times New Roman" w:hAnsi="Times New Roman" w:eastAsia="宋体"/>
                      <w:color w:val="auto"/>
                      <w:spacing w:val="5"/>
                      <w:sz w:val="21"/>
                      <w:szCs w:val="21"/>
                      <w:highlight w:val="none"/>
                    </w:rPr>
                    <w:t>接管；</w:t>
                  </w:r>
                  <w:r>
                    <w:rPr>
                      <w:rFonts w:ascii="Times New Roman" w:hAnsi="Times New Roman" w:eastAsia="宋体"/>
                      <w:color w:val="auto"/>
                      <w:spacing w:val="5"/>
                      <w:sz w:val="21"/>
                      <w:szCs w:val="21"/>
                      <w:highlight w:val="none"/>
                      <w:shd w:val="clear"/>
                    </w:rPr>
                    <w:t>生活污水经化粪池处理后</w:t>
                  </w:r>
                  <w:r>
                    <w:rPr>
                      <w:rFonts w:hint="eastAsia" w:ascii="Times New Roman" w:hAnsi="Times New Roman"/>
                      <w:color w:val="auto"/>
                      <w:spacing w:val="5"/>
                      <w:sz w:val="21"/>
                      <w:szCs w:val="21"/>
                      <w:highlight w:val="none"/>
                      <w:shd w:val="clear"/>
                      <w:lang w:val="en-US" w:eastAsia="zh-CN"/>
                    </w:rPr>
                    <w:t>接入市政污水管网送往</w:t>
                  </w:r>
                  <w:r>
                    <w:rPr>
                      <w:rFonts w:hint="eastAsia" w:ascii="Times New Roman" w:hAnsi="Times New Roman" w:eastAsia="宋体"/>
                      <w:color w:val="auto"/>
                      <w:spacing w:val="8"/>
                      <w:sz w:val="21"/>
                      <w:szCs w:val="21"/>
                      <w:highlight w:val="none"/>
                      <w:shd w:val="clear"/>
                      <w:lang w:eastAsia="zh-CN"/>
                    </w:rPr>
                    <w:t>福清市第二污水处理厂</w:t>
                  </w:r>
                  <w:r>
                    <w:rPr>
                      <w:rFonts w:hint="eastAsia" w:ascii="Times New Roman" w:hAnsi="Times New Roman"/>
                      <w:color w:val="auto"/>
                      <w:spacing w:val="8"/>
                      <w:sz w:val="21"/>
                      <w:szCs w:val="21"/>
                      <w:highlight w:val="none"/>
                      <w:shd w:val="clear"/>
                      <w:lang w:eastAsia="zh-CN"/>
                    </w:rPr>
                    <w:t>。</w:t>
                  </w:r>
                </w:p>
              </w:tc>
              <w:tc>
                <w:tcPr>
                  <w:tcW w:w="2110" w:type="dxa"/>
                  <w:tcBorders>
                    <w:tl2br w:val="nil"/>
                    <w:tr2bl w:val="nil"/>
                  </w:tcBorders>
                  <w:shd w:val="clear" w:color="auto" w:fill="auto"/>
                  <w:vAlign w:val="center"/>
                </w:tcPr>
                <w:p w14:paraId="20921D13">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eastAsia" w:ascii="Times New Roman" w:hAnsi="Times New Roman"/>
                      <w:color w:val="auto"/>
                      <w:spacing w:val="4"/>
                      <w:sz w:val="21"/>
                      <w:szCs w:val="21"/>
                      <w:lang w:eastAsia="zh-CN"/>
                    </w:rPr>
                  </w:pPr>
                  <w:r>
                    <w:rPr>
                      <w:rFonts w:hint="eastAsia" w:ascii="Times New Roman" w:hAnsi="Times New Roman"/>
                      <w:color w:val="auto"/>
                      <w:spacing w:val="7"/>
                      <w:sz w:val="21"/>
                      <w:szCs w:val="21"/>
                      <w:lang w:val="en-US" w:eastAsia="zh-CN"/>
                    </w:rPr>
                    <w:t>污水处理设施</w:t>
                  </w:r>
                  <w:r>
                    <w:rPr>
                      <w:rFonts w:ascii="Times New Roman" w:hAnsi="Times New Roman" w:eastAsia="宋体"/>
                      <w:color w:val="auto"/>
                      <w:spacing w:val="7"/>
                      <w:sz w:val="21"/>
                      <w:szCs w:val="21"/>
                    </w:rPr>
                    <w:t>厂区内设施</w:t>
                  </w:r>
                  <w:r>
                    <w:rPr>
                      <w:rFonts w:ascii="Times New Roman" w:hAnsi="Times New Roman" w:eastAsia="宋体"/>
                      <w:color w:val="auto"/>
                      <w:spacing w:val="4"/>
                      <w:sz w:val="21"/>
                      <w:szCs w:val="21"/>
                    </w:rPr>
                    <w:t>新建</w:t>
                  </w:r>
                  <w:r>
                    <w:rPr>
                      <w:rFonts w:hint="eastAsia" w:ascii="Times New Roman" w:hAnsi="Times New Roman"/>
                      <w:color w:val="auto"/>
                      <w:spacing w:val="4"/>
                      <w:sz w:val="21"/>
                      <w:szCs w:val="21"/>
                      <w:lang w:eastAsia="zh-CN"/>
                    </w:rPr>
                    <w:t>；</w:t>
                  </w:r>
                </w:p>
                <w:p w14:paraId="6165596D">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宋体" w:cs="宋体"/>
                      <w:color w:val="auto"/>
                      <w:kern w:val="2"/>
                      <w:sz w:val="21"/>
                      <w:szCs w:val="21"/>
                      <w:lang w:val="en-US" w:eastAsia="zh-CN" w:bidi="ar-SA"/>
                    </w:rPr>
                  </w:pPr>
                  <w:r>
                    <w:rPr>
                      <w:rFonts w:hint="eastAsia" w:ascii="Times New Roman" w:hAnsi="Times New Roman"/>
                      <w:color w:val="auto"/>
                      <w:spacing w:val="4"/>
                      <w:sz w:val="21"/>
                      <w:szCs w:val="21"/>
                      <w:lang w:val="en-US" w:eastAsia="zh-CN"/>
                    </w:rPr>
                    <w:t>化粪池依托原有厂区化粪池</w:t>
                  </w:r>
                </w:p>
              </w:tc>
            </w:tr>
            <w:tr w14:paraId="0985AD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55626A83">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0DA8F66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7"/>
                      <w:sz w:val="21"/>
                      <w:szCs w:val="21"/>
                    </w:rPr>
                    <w:t>供气系统</w:t>
                  </w:r>
                </w:p>
              </w:tc>
              <w:tc>
                <w:tcPr>
                  <w:tcW w:w="3072" w:type="dxa"/>
                  <w:tcBorders>
                    <w:tl2br w:val="nil"/>
                    <w:tr2bl w:val="nil"/>
                  </w:tcBorders>
                  <w:shd w:val="clear" w:color="auto" w:fill="auto"/>
                  <w:vAlign w:val="center"/>
                </w:tcPr>
                <w:p w14:paraId="24F7171B">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9"/>
                      <w:sz w:val="21"/>
                      <w:szCs w:val="21"/>
                      <w:highlight w:val="none"/>
                    </w:rPr>
                    <w:t>项目</w:t>
                  </w:r>
                  <w:r>
                    <w:rPr>
                      <w:rFonts w:hint="default" w:ascii="Times New Roman" w:hAnsi="Times New Roman" w:eastAsia="宋体"/>
                      <w:color w:val="auto"/>
                      <w:spacing w:val="9"/>
                      <w:sz w:val="21"/>
                      <w:szCs w:val="21"/>
                      <w:highlight w:val="none"/>
                      <w:lang w:val="en-US" w:eastAsia="zh-CN"/>
                    </w:rPr>
                    <w:t>天然气烘干炉</w:t>
                  </w:r>
                  <w:r>
                    <w:rPr>
                      <w:rFonts w:ascii="Times New Roman" w:hAnsi="Times New Roman" w:eastAsia="宋体"/>
                      <w:color w:val="auto"/>
                      <w:spacing w:val="9"/>
                      <w:sz w:val="21"/>
                      <w:szCs w:val="21"/>
                      <w:highlight w:val="none"/>
                    </w:rPr>
                    <w:t>所需天然气由</w:t>
                  </w:r>
                  <w:r>
                    <w:rPr>
                      <w:rFonts w:hint="eastAsia" w:ascii="Times New Roman" w:hAnsi="Times New Roman"/>
                      <w:color w:val="auto"/>
                      <w:spacing w:val="9"/>
                      <w:sz w:val="21"/>
                      <w:szCs w:val="21"/>
                      <w:highlight w:val="none"/>
                      <w:lang w:val="en-US" w:eastAsia="zh-CN"/>
                    </w:rPr>
                    <w:t>市政</w:t>
                  </w:r>
                  <w:r>
                    <w:rPr>
                      <w:rFonts w:ascii="Times New Roman" w:hAnsi="Times New Roman" w:eastAsia="宋体"/>
                      <w:color w:val="auto"/>
                      <w:spacing w:val="9"/>
                      <w:sz w:val="21"/>
                      <w:szCs w:val="21"/>
                      <w:highlight w:val="none"/>
                    </w:rPr>
                    <w:t>供气系统供应入厂，厂区内所需供气设施新建，年用气量</w:t>
                  </w:r>
                  <w:r>
                    <w:rPr>
                      <w:rFonts w:ascii="Times New Roman" w:hAnsi="Times New Roman" w:eastAsia="宋体" w:cs="Times New Roman"/>
                      <w:color w:val="auto"/>
                      <w:spacing w:val="1"/>
                      <w:sz w:val="21"/>
                      <w:szCs w:val="21"/>
                      <w:highlight w:val="none"/>
                    </w:rPr>
                    <w:t>10000m</w:t>
                  </w:r>
                  <w:r>
                    <w:rPr>
                      <w:rFonts w:hint="eastAsia" w:ascii="Times New Roman" w:hAnsi="Times New Roman" w:eastAsia="宋体" w:cs="Times New Roman"/>
                      <w:color w:val="auto"/>
                      <w:spacing w:val="1"/>
                      <w:sz w:val="21"/>
                      <w:szCs w:val="21"/>
                      <w:highlight w:val="none"/>
                      <w:vertAlign w:val="superscript"/>
                      <w:lang w:val="en-US" w:eastAsia="zh-CN"/>
                    </w:rPr>
                    <w:t>3</w:t>
                  </w:r>
                  <w:r>
                    <w:rPr>
                      <w:rFonts w:ascii="Times New Roman" w:hAnsi="Times New Roman" w:eastAsia="宋体"/>
                      <w:color w:val="auto"/>
                      <w:spacing w:val="1"/>
                      <w:sz w:val="21"/>
                      <w:szCs w:val="21"/>
                      <w:highlight w:val="none"/>
                    </w:rPr>
                    <w:t>。</w:t>
                  </w:r>
                </w:p>
              </w:tc>
              <w:tc>
                <w:tcPr>
                  <w:tcW w:w="2110" w:type="dxa"/>
                  <w:tcBorders>
                    <w:tl2br w:val="nil"/>
                    <w:tr2bl w:val="nil"/>
                  </w:tcBorders>
                  <w:shd w:val="clear" w:color="auto" w:fill="auto"/>
                  <w:vAlign w:val="center"/>
                </w:tcPr>
                <w:p w14:paraId="43C4767B">
                  <w:pPr>
                    <w:pStyle w:val="113"/>
                    <w:keepNext w:val="0"/>
                    <w:keepLines w:val="0"/>
                    <w:pageBreakBefore w:val="0"/>
                    <w:widowControl w:val="0"/>
                    <w:kinsoku/>
                    <w:wordWrap/>
                    <w:overflowPunct/>
                    <w:topLinePunct w:val="0"/>
                    <w:bidi w:val="0"/>
                    <w:adjustRightInd/>
                    <w:snapToGrid/>
                    <w:spacing w:line="240" w:lineRule="auto"/>
                    <w:ind w:left="0" w:leftChars="0" w:right="0" w:rightChars="0" w:firstLine="0" w:firstLineChars="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7"/>
                      <w:sz w:val="21"/>
                      <w:szCs w:val="21"/>
                    </w:rPr>
                    <w:t>厂区内供气</w:t>
                  </w:r>
                  <w:r>
                    <w:rPr>
                      <w:rFonts w:ascii="Times New Roman" w:hAnsi="Times New Roman" w:eastAsia="宋体"/>
                      <w:color w:val="auto"/>
                      <w:spacing w:val="6"/>
                      <w:sz w:val="21"/>
                      <w:szCs w:val="21"/>
                    </w:rPr>
                    <w:t>设施新建</w:t>
                  </w:r>
                </w:p>
              </w:tc>
            </w:tr>
            <w:tr w14:paraId="15C262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0A5CB11E">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2F3D7AE1">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3"/>
                      <w:sz w:val="21"/>
                      <w:szCs w:val="21"/>
                    </w:rPr>
                    <w:t>纯水</w:t>
                  </w:r>
                </w:p>
              </w:tc>
              <w:tc>
                <w:tcPr>
                  <w:tcW w:w="3072" w:type="dxa"/>
                  <w:tcBorders>
                    <w:tl2br w:val="nil"/>
                    <w:tr2bl w:val="nil"/>
                  </w:tcBorders>
                  <w:shd w:val="clear" w:color="auto" w:fill="auto"/>
                  <w:vAlign w:val="center"/>
                </w:tcPr>
                <w:p w14:paraId="04687030">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eastAsia" w:ascii="Times New Roman" w:hAnsi="Times New Roman" w:eastAsia="宋体" w:cs="宋体"/>
                      <w:color w:val="auto"/>
                      <w:kern w:val="2"/>
                      <w:sz w:val="21"/>
                      <w:szCs w:val="21"/>
                      <w:lang w:val="en-US" w:eastAsia="zh-CN" w:bidi="ar-SA"/>
                    </w:rPr>
                  </w:pPr>
                  <w:r>
                    <w:rPr>
                      <w:rFonts w:ascii="Times New Roman" w:hAnsi="Times New Roman" w:eastAsia="宋体"/>
                      <w:color w:val="auto"/>
                      <w:spacing w:val="7"/>
                      <w:position w:val="1"/>
                      <w:sz w:val="21"/>
                      <w:szCs w:val="21"/>
                    </w:rPr>
                    <w:t>本项目设有</w:t>
                  </w:r>
                  <w:r>
                    <w:rPr>
                      <w:rFonts w:ascii="Times New Roman" w:hAnsi="Times New Roman" w:eastAsia="宋体" w:cs="Times New Roman"/>
                      <w:color w:val="auto"/>
                      <w:spacing w:val="7"/>
                      <w:position w:val="1"/>
                      <w:sz w:val="21"/>
                      <w:szCs w:val="21"/>
                    </w:rPr>
                    <w:t>1</w:t>
                  </w:r>
                  <w:r>
                    <w:rPr>
                      <w:rFonts w:ascii="Times New Roman" w:hAnsi="Times New Roman" w:eastAsia="宋体"/>
                      <w:color w:val="auto"/>
                      <w:spacing w:val="7"/>
                      <w:position w:val="1"/>
                      <w:sz w:val="21"/>
                      <w:szCs w:val="21"/>
                    </w:rPr>
                    <w:t>套纯水制备系统，工艺为“过滤</w:t>
                  </w:r>
                  <w:r>
                    <w:rPr>
                      <w:rFonts w:ascii="Times New Roman" w:hAnsi="Times New Roman" w:eastAsia="宋体" w:cs="Times New Roman"/>
                      <w:color w:val="auto"/>
                      <w:spacing w:val="7"/>
                      <w:position w:val="1"/>
                      <w:sz w:val="21"/>
                      <w:szCs w:val="21"/>
                    </w:rPr>
                    <w:t>+</w:t>
                  </w:r>
                  <w:r>
                    <w:rPr>
                      <w:rFonts w:ascii="Times New Roman" w:hAnsi="Times New Roman" w:eastAsia="宋体"/>
                      <w:color w:val="auto"/>
                      <w:spacing w:val="3"/>
                      <w:sz w:val="21"/>
                      <w:szCs w:val="21"/>
                    </w:rPr>
                    <w:t>离子交换树脂</w:t>
                  </w:r>
                  <w:r>
                    <w:rPr>
                      <w:rFonts w:ascii="Times New Roman" w:hAnsi="Times New Roman" w:eastAsia="宋体" w:cs="Times New Roman"/>
                      <w:color w:val="auto"/>
                      <w:spacing w:val="3"/>
                      <w:sz w:val="21"/>
                      <w:szCs w:val="21"/>
                    </w:rPr>
                    <w:t>+</w:t>
                  </w:r>
                  <w:r>
                    <w:rPr>
                      <w:rFonts w:ascii="Times New Roman" w:hAnsi="Times New Roman" w:eastAsia="宋体" w:cs="Times New Roman"/>
                      <w:color w:val="auto"/>
                      <w:sz w:val="21"/>
                      <w:szCs w:val="21"/>
                    </w:rPr>
                    <w:t>RO</w:t>
                  </w:r>
                  <w:r>
                    <w:rPr>
                      <w:rFonts w:ascii="Times New Roman" w:hAnsi="Times New Roman" w:eastAsia="宋体"/>
                      <w:color w:val="auto"/>
                      <w:spacing w:val="3"/>
                      <w:sz w:val="21"/>
                      <w:szCs w:val="21"/>
                    </w:rPr>
                    <w:t>（反渗透）”</w:t>
                  </w:r>
                  <w:r>
                    <w:rPr>
                      <w:rFonts w:hint="eastAsia" w:ascii="Times New Roman" w:hAnsi="Times New Roman"/>
                      <w:color w:val="auto"/>
                      <w:spacing w:val="3"/>
                      <w:sz w:val="21"/>
                      <w:szCs w:val="21"/>
                      <w:lang w:eastAsia="zh-CN"/>
                    </w:rPr>
                    <w:t>,</w:t>
                  </w:r>
                  <w:r>
                    <w:rPr>
                      <w:rFonts w:ascii="Times New Roman" w:hAnsi="Times New Roman" w:eastAsia="宋体"/>
                      <w:color w:val="auto"/>
                      <w:spacing w:val="3"/>
                      <w:sz w:val="21"/>
                      <w:szCs w:val="21"/>
                    </w:rPr>
                    <w:t>设计产水量为</w:t>
                  </w:r>
                  <w:r>
                    <w:rPr>
                      <w:rFonts w:ascii="Times New Roman" w:hAnsi="Times New Roman" w:eastAsia="宋体" w:cs="Times New Roman"/>
                      <w:color w:val="auto"/>
                      <w:spacing w:val="6"/>
                      <w:sz w:val="21"/>
                      <w:szCs w:val="21"/>
                    </w:rPr>
                    <w:t>2t/h</w:t>
                  </w:r>
                  <w:r>
                    <w:rPr>
                      <w:rFonts w:ascii="Times New Roman" w:hAnsi="Times New Roman" w:eastAsia="宋体"/>
                      <w:color w:val="auto"/>
                      <w:spacing w:val="6"/>
                      <w:sz w:val="21"/>
                      <w:szCs w:val="21"/>
                    </w:rPr>
                    <w:t>，用于提供电泳线使用的纯水</w:t>
                  </w:r>
                  <w:r>
                    <w:rPr>
                      <w:rFonts w:hint="eastAsia" w:ascii="Times New Roman" w:hAnsi="Times New Roman"/>
                      <w:color w:val="auto"/>
                      <w:spacing w:val="6"/>
                      <w:sz w:val="21"/>
                      <w:szCs w:val="21"/>
                      <w:lang w:eastAsia="zh-CN"/>
                    </w:rPr>
                    <w:t>。</w:t>
                  </w:r>
                </w:p>
              </w:tc>
              <w:tc>
                <w:tcPr>
                  <w:tcW w:w="2110" w:type="dxa"/>
                  <w:tcBorders>
                    <w:tl2br w:val="nil"/>
                    <w:tr2bl w:val="nil"/>
                  </w:tcBorders>
                  <w:shd w:val="clear" w:color="auto" w:fill="auto"/>
                  <w:vAlign w:val="center"/>
                </w:tcPr>
                <w:p w14:paraId="3A6F1F55">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7"/>
                      <w:sz w:val="21"/>
                      <w:szCs w:val="21"/>
                    </w:rPr>
                    <w:t>厂区内设施</w:t>
                  </w:r>
                  <w:r>
                    <w:rPr>
                      <w:rFonts w:ascii="Times New Roman" w:hAnsi="Times New Roman" w:eastAsia="宋体"/>
                      <w:color w:val="auto"/>
                      <w:spacing w:val="4"/>
                      <w:sz w:val="21"/>
                      <w:szCs w:val="21"/>
                    </w:rPr>
                    <w:t>新建</w:t>
                  </w:r>
                </w:p>
              </w:tc>
            </w:tr>
            <w:tr w14:paraId="3BA73A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1FD1CDD7">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7CEA3AE3">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7"/>
                      <w:sz w:val="21"/>
                      <w:szCs w:val="21"/>
                    </w:rPr>
                    <w:t>供电系统</w:t>
                  </w:r>
                </w:p>
              </w:tc>
              <w:tc>
                <w:tcPr>
                  <w:tcW w:w="3072" w:type="dxa"/>
                  <w:tcBorders>
                    <w:tl2br w:val="nil"/>
                    <w:tr2bl w:val="nil"/>
                  </w:tcBorders>
                  <w:shd w:val="clear" w:color="auto" w:fill="auto"/>
                  <w:vAlign w:val="center"/>
                </w:tcPr>
                <w:p w14:paraId="12EE40EB">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Times New Roman"/>
                      <w:color w:val="auto"/>
                      <w:kern w:val="2"/>
                      <w:sz w:val="21"/>
                      <w:szCs w:val="21"/>
                      <w:lang w:val="en-US" w:eastAsia="en-US" w:bidi="ar-SA"/>
                    </w:rPr>
                  </w:pPr>
                  <w:r>
                    <w:rPr>
                      <w:rFonts w:ascii="Times New Roman" w:hAnsi="Times New Roman" w:eastAsia="宋体" w:cs="宋体"/>
                      <w:color w:val="auto"/>
                      <w:kern w:val="2"/>
                      <w:sz w:val="21"/>
                      <w:szCs w:val="21"/>
                      <w:lang w:val="en-US" w:eastAsia="en-US" w:bidi="ar-SA"/>
                    </w:rPr>
                    <w:t>接市政供</w:t>
                  </w:r>
                  <w:r>
                    <w:rPr>
                      <w:rFonts w:hint="eastAsia" w:ascii="Times New Roman" w:hAnsi="Times New Roman" w:cs="宋体"/>
                      <w:color w:val="auto"/>
                      <w:kern w:val="2"/>
                      <w:sz w:val="21"/>
                      <w:szCs w:val="21"/>
                      <w:lang w:val="en-US" w:eastAsia="zh-CN" w:bidi="ar-SA"/>
                    </w:rPr>
                    <w:t>电</w:t>
                  </w:r>
                  <w:r>
                    <w:rPr>
                      <w:rFonts w:ascii="Times New Roman" w:hAnsi="Times New Roman" w:eastAsia="宋体" w:cs="宋体"/>
                      <w:color w:val="auto"/>
                      <w:kern w:val="2"/>
                      <w:sz w:val="21"/>
                      <w:szCs w:val="21"/>
                      <w:lang w:val="en-US" w:eastAsia="en-US" w:bidi="ar-SA"/>
                    </w:rPr>
                    <w:t>管网</w:t>
                  </w:r>
                </w:p>
              </w:tc>
              <w:tc>
                <w:tcPr>
                  <w:tcW w:w="2110" w:type="dxa"/>
                  <w:tcBorders>
                    <w:tl2br w:val="nil"/>
                    <w:tr2bl w:val="nil"/>
                  </w:tcBorders>
                  <w:shd w:val="clear" w:color="auto" w:fill="auto"/>
                  <w:vAlign w:val="center"/>
                </w:tcPr>
                <w:p w14:paraId="0300B5B0">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3"/>
                      <w:sz w:val="21"/>
                      <w:szCs w:val="21"/>
                    </w:rPr>
                    <w:t>依托</w:t>
                  </w:r>
                </w:p>
              </w:tc>
            </w:tr>
            <w:tr w14:paraId="53725CF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436" w:type="dxa"/>
                  <w:vMerge w:val="restart"/>
                  <w:tcBorders>
                    <w:tl2br w:val="nil"/>
                    <w:tr2bl w:val="nil"/>
                  </w:tcBorders>
                  <w:shd w:val="clear" w:color="auto" w:fill="auto"/>
                  <w:vAlign w:val="center"/>
                </w:tcPr>
                <w:p w14:paraId="31A4A84E">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rPr>
                  </w:pPr>
                  <w:r>
                    <w:rPr>
                      <w:rFonts w:ascii="Times New Roman" w:hAnsi="Times New Roman" w:eastAsia="宋体"/>
                      <w:color w:val="auto"/>
                      <w:spacing w:val="4"/>
                      <w:sz w:val="21"/>
                      <w:szCs w:val="21"/>
                    </w:rPr>
                    <w:t>环保</w:t>
                  </w:r>
                </w:p>
                <w:p w14:paraId="7EDEC7AE">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z w:val="21"/>
                      <w:szCs w:val="21"/>
                      <w:highlight w:val="none"/>
                      <w:vertAlign w:val="baseline"/>
                    </w:rPr>
                  </w:pPr>
                  <w:r>
                    <w:rPr>
                      <w:rFonts w:ascii="Times New Roman" w:hAnsi="Times New Roman" w:eastAsia="宋体"/>
                      <w:color w:val="auto"/>
                      <w:spacing w:val="3"/>
                      <w:sz w:val="21"/>
                      <w:szCs w:val="21"/>
                    </w:rPr>
                    <w:t>工程</w:t>
                  </w:r>
                </w:p>
              </w:tc>
              <w:tc>
                <w:tcPr>
                  <w:tcW w:w="2054" w:type="dxa"/>
                  <w:vMerge w:val="restart"/>
                  <w:tcBorders>
                    <w:tl2br w:val="nil"/>
                    <w:tr2bl w:val="nil"/>
                  </w:tcBorders>
                  <w:shd w:val="clear" w:color="auto" w:fill="auto"/>
                  <w:vAlign w:val="center"/>
                </w:tcPr>
                <w:p w14:paraId="3A2BC6AB">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pacing w:val="7"/>
                      <w:sz w:val="21"/>
                      <w:szCs w:val="21"/>
                    </w:rPr>
                  </w:pPr>
                  <w:r>
                    <w:rPr>
                      <w:rFonts w:ascii="Times New Roman" w:hAnsi="Times New Roman" w:eastAsia="宋体"/>
                      <w:color w:val="auto"/>
                      <w:spacing w:val="8"/>
                      <w:sz w:val="21"/>
                      <w:szCs w:val="21"/>
                    </w:rPr>
                    <w:t>废水处理措</w:t>
                  </w:r>
                  <w:r>
                    <w:rPr>
                      <w:rFonts w:ascii="Times New Roman" w:hAnsi="Times New Roman" w:eastAsia="宋体"/>
                      <w:color w:val="auto"/>
                      <w:spacing w:val="1"/>
                      <w:sz w:val="21"/>
                      <w:szCs w:val="21"/>
                    </w:rPr>
                    <w:t>施</w:t>
                  </w:r>
                </w:p>
              </w:tc>
              <w:tc>
                <w:tcPr>
                  <w:tcW w:w="3072" w:type="dxa"/>
                  <w:tcBorders>
                    <w:tl2br w:val="nil"/>
                    <w:tr2bl w:val="nil"/>
                  </w:tcBorders>
                  <w:shd w:val="clear" w:color="auto" w:fill="auto"/>
                  <w:vAlign w:val="center"/>
                </w:tcPr>
                <w:p w14:paraId="11C6A0AE">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6"/>
                      <w:sz w:val="21"/>
                      <w:szCs w:val="21"/>
                    </w:rPr>
                    <w:t>生产废水</w:t>
                  </w:r>
                </w:p>
              </w:tc>
              <w:tc>
                <w:tcPr>
                  <w:tcW w:w="2110" w:type="dxa"/>
                  <w:tcBorders>
                    <w:tl2br w:val="nil"/>
                    <w:tr2bl w:val="nil"/>
                  </w:tcBorders>
                  <w:shd w:val="clear" w:color="auto" w:fill="auto"/>
                  <w:vAlign w:val="center"/>
                </w:tcPr>
                <w:p w14:paraId="46CAB9A4">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rPr>
                  </w:pPr>
                  <w:r>
                    <w:rPr>
                      <w:rFonts w:ascii="Times New Roman" w:hAnsi="Times New Roman" w:eastAsia="宋体"/>
                      <w:color w:val="auto"/>
                      <w:spacing w:val="5"/>
                      <w:sz w:val="21"/>
                      <w:szCs w:val="21"/>
                    </w:rPr>
                    <w:t>本项目配套建设1座废水</w:t>
                  </w:r>
                  <w:r>
                    <w:rPr>
                      <w:rFonts w:ascii="Times New Roman" w:hAnsi="Times New Roman" w:eastAsia="宋体"/>
                      <w:color w:val="auto"/>
                      <w:spacing w:val="1"/>
                      <w:sz w:val="21"/>
                      <w:szCs w:val="21"/>
                    </w:rPr>
                    <w:t>处理设施，处理工艺为“混</w:t>
                  </w:r>
                  <w:r>
                    <w:rPr>
                      <w:rFonts w:ascii="Times New Roman" w:hAnsi="Times New Roman" w:eastAsia="宋体"/>
                      <w:color w:val="auto"/>
                      <w:spacing w:val="7"/>
                      <w:sz w:val="21"/>
                      <w:szCs w:val="21"/>
                    </w:rPr>
                    <w:t>凝沉淀工艺”。</w:t>
                  </w:r>
                </w:p>
                <w:p w14:paraId="3847CD6C">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hint="default" w:ascii="Times New Roman" w:hAnsi="Times New Roman" w:eastAsia="宋体" w:cs="宋体"/>
                      <w:color w:val="auto"/>
                      <w:kern w:val="2"/>
                      <w:sz w:val="21"/>
                      <w:szCs w:val="21"/>
                      <w:lang w:val="en-US" w:eastAsia="zh-CN" w:bidi="ar-SA"/>
                    </w:rPr>
                  </w:pPr>
                  <w:r>
                    <w:rPr>
                      <w:rFonts w:ascii="Times New Roman" w:hAnsi="Times New Roman" w:eastAsia="宋体"/>
                      <w:color w:val="auto"/>
                      <w:spacing w:val="1"/>
                      <w:sz w:val="21"/>
                      <w:szCs w:val="21"/>
                    </w:rPr>
                    <w:t>本项目脱脂废水、</w:t>
                  </w:r>
                  <w:r>
                    <w:rPr>
                      <w:rFonts w:ascii="Times New Roman" w:hAnsi="Times New Roman" w:eastAsia="宋体"/>
                      <w:color w:val="auto"/>
                      <w:spacing w:val="-4"/>
                      <w:sz w:val="21"/>
                      <w:szCs w:val="21"/>
                    </w:rPr>
                    <w:t>脱脂后水洗废水、硅烷后水洗</w:t>
                  </w:r>
                  <w:r>
                    <w:rPr>
                      <w:rFonts w:ascii="Times New Roman" w:hAnsi="Times New Roman" w:eastAsia="宋体"/>
                      <w:color w:val="auto"/>
                      <w:spacing w:val="5"/>
                      <w:sz w:val="21"/>
                      <w:szCs w:val="21"/>
                    </w:rPr>
                    <w:t>废水、</w:t>
                  </w:r>
                  <w:r>
                    <w:rPr>
                      <w:rFonts w:hint="eastAsia" w:ascii="Times New Roman" w:hAnsi="Times New Roman"/>
                      <w:color w:val="auto"/>
                      <w:spacing w:val="1"/>
                      <w:sz w:val="21"/>
                      <w:szCs w:val="21"/>
                      <w:lang w:val="en-US" w:eastAsia="zh-CN"/>
                    </w:rPr>
                    <w:t>纯</w:t>
                  </w:r>
                  <w:r>
                    <w:rPr>
                      <w:rFonts w:ascii="Times New Roman" w:hAnsi="Times New Roman" w:eastAsia="宋体"/>
                      <w:color w:val="auto"/>
                      <w:spacing w:val="1"/>
                      <w:sz w:val="21"/>
                      <w:szCs w:val="21"/>
                    </w:rPr>
                    <w:t>水洗</w:t>
                  </w:r>
                  <w:r>
                    <w:rPr>
                      <w:rFonts w:hint="eastAsia" w:ascii="Times New Roman" w:hAnsi="Times New Roman"/>
                      <w:color w:val="auto"/>
                      <w:spacing w:val="1"/>
                      <w:sz w:val="21"/>
                      <w:szCs w:val="21"/>
                      <w:lang w:val="en-US" w:eastAsia="zh-CN"/>
                    </w:rPr>
                    <w:t>2</w:t>
                  </w:r>
                  <w:r>
                    <w:rPr>
                      <w:rFonts w:ascii="Times New Roman" w:hAnsi="Times New Roman" w:eastAsia="宋体"/>
                      <w:color w:val="auto"/>
                      <w:spacing w:val="1"/>
                      <w:sz w:val="21"/>
                      <w:szCs w:val="21"/>
                    </w:rPr>
                    <w:t>废水、</w:t>
                  </w:r>
                  <w:r>
                    <w:rPr>
                      <w:rFonts w:ascii="Times New Roman" w:hAnsi="Times New Roman" w:eastAsia="宋体" w:cs="Times New Roman"/>
                      <w:color w:val="auto"/>
                      <w:sz w:val="21"/>
                      <w:szCs w:val="21"/>
                    </w:rPr>
                    <w:t>UF</w:t>
                  </w:r>
                  <w:r>
                    <w:rPr>
                      <w:rFonts w:ascii="Times New Roman" w:hAnsi="Times New Roman" w:eastAsia="宋体"/>
                      <w:color w:val="auto"/>
                      <w:spacing w:val="5"/>
                      <w:sz w:val="21"/>
                      <w:szCs w:val="21"/>
                    </w:rPr>
                    <w:t>清洗后水洗废水、</w:t>
                  </w:r>
                  <w:r>
                    <w:rPr>
                      <w:rFonts w:ascii="Times New Roman" w:hAnsi="Times New Roman" w:eastAsia="宋体"/>
                      <w:color w:val="auto"/>
                      <w:spacing w:val="-4"/>
                      <w:sz w:val="21"/>
                      <w:szCs w:val="21"/>
                    </w:rPr>
                    <w:t>纯水制备尾水排水经</w:t>
                  </w:r>
                  <w:r>
                    <w:rPr>
                      <w:rFonts w:ascii="Times New Roman" w:hAnsi="Times New Roman" w:eastAsia="宋体"/>
                      <w:color w:val="auto"/>
                      <w:spacing w:val="8"/>
                      <w:sz w:val="21"/>
                      <w:szCs w:val="21"/>
                    </w:rPr>
                    <w:t>收集后进入废水处理设施处</w:t>
                  </w:r>
                  <w:r>
                    <w:rPr>
                      <w:rFonts w:ascii="Times New Roman" w:hAnsi="Times New Roman" w:eastAsia="宋体"/>
                      <w:color w:val="auto"/>
                      <w:sz w:val="21"/>
                      <w:szCs w:val="21"/>
                    </w:rPr>
                    <w:t>理，出水进入</w:t>
                  </w:r>
                  <w:r>
                    <w:rPr>
                      <w:rFonts w:hint="eastAsia" w:ascii="Times New Roman" w:hAnsi="Times New Roman"/>
                      <w:color w:val="auto"/>
                      <w:sz w:val="21"/>
                      <w:szCs w:val="21"/>
                      <w:lang w:val="en-US" w:eastAsia="zh-CN"/>
                    </w:rPr>
                    <w:t>市政</w:t>
                  </w:r>
                  <w:r>
                    <w:rPr>
                      <w:rFonts w:ascii="Times New Roman" w:hAnsi="Times New Roman" w:eastAsia="宋体"/>
                      <w:color w:val="auto"/>
                      <w:sz w:val="21"/>
                      <w:szCs w:val="21"/>
                    </w:rPr>
                    <w:t>污水管</w:t>
                  </w:r>
                  <w:r>
                    <w:rPr>
                      <w:rFonts w:hint="eastAsia" w:ascii="Times New Roman" w:hAnsi="Times New Roman"/>
                      <w:color w:val="auto"/>
                      <w:sz w:val="21"/>
                      <w:szCs w:val="21"/>
                      <w:lang w:val="en-US" w:eastAsia="zh-CN"/>
                    </w:rPr>
                    <w:t>网</w:t>
                  </w:r>
                  <w:r>
                    <w:rPr>
                      <w:rFonts w:ascii="Times New Roman" w:hAnsi="Times New Roman" w:eastAsia="宋体"/>
                      <w:color w:val="auto"/>
                      <w:sz w:val="21"/>
                      <w:szCs w:val="21"/>
                    </w:rPr>
                    <w:t>；</w:t>
                  </w:r>
                  <w:r>
                    <w:rPr>
                      <w:rFonts w:hint="eastAsia" w:ascii="Times New Roman" w:hAnsi="Times New Roman"/>
                      <w:color w:val="auto"/>
                      <w:sz w:val="21"/>
                      <w:szCs w:val="21"/>
                      <w:lang w:val="en-US" w:eastAsia="zh-CN"/>
                    </w:rPr>
                    <w:t>(DW002)</w:t>
                  </w:r>
                </w:p>
              </w:tc>
              <w:tc>
                <w:tcPr>
                  <w:tcW w:w="1318" w:type="dxa"/>
                  <w:tcBorders>
                    <w:tl2br w:val="nil"/>
                    <w:tr2bl w:val="nil"/>
                  </w:tcBorders>
                  <w:shd w:val="clear" w:color="auto" w:fill="auto"/>
                  <w:vAlign w:val="center"/>
                </w:tcPr>
                <w:p w14:paraId="45C1685B">
                  <w:pPr>
                    <w:pStyle w:val="113"/>
                    <w:keepNext w:val="0"/>
                    <w:keepLines w:val="0"/>
                    <w:pageBreakBefore w:val="0"/>
                    <w:widowControl w:val="0"/>
                    <w:kinsoku/>
                    <w:wordWrap/>
                    <w:overflowPunct/>
                    <w:topLinePunct w:val="0"/>
                    <w:bidi w:val="0"/>
                    <w:adjustRightInd/>
                    <w:snapToGrid/>
                    <w:spacing w:line="240" w:lineRule="auto"/>
                    <w:ind w:left="0" w:leftChars="0" w:right="0" w:firstLine="0"/>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4"/>
                      <w:sz w:val="21"/>
                      <w:szCs w:val="21"/>
                    </w:rPr>
                    <w:t>新建</w:t>
                  </w:r>
                </w:p>
              </w:tc>
            </w:tr>
            <w:tr w14:paraId="462BAF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436" w:type="dxa"/>
                  <w:vMerge w:val="continue"/>
                  <w:tcBorders>
                    <w:tl2br w:val="nil"/>
                    <w:tr2bl w:val="nil"/>
                  </w:tcBorders>
                  <w:vAlign w:val="center"/>
                </w:tcPr>
                <w:p w14:paraId="1383B321">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vMerge w:val="continue"/>
                  <w:tcBorders>
                    <w:tl2br w:val="nil"/>
                    <w:tr2bl w:val="nil"/>
                  </w:tcBorders>
                  <w:shd w:val="clear" w:color="auto" w:fill="auto"/>
                  <w:vAlign w:val="center"/>
                </w:tcPr>
                <w:p w14:paraId="44085194">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7"/>
                      <w:sz w:val="21"/>
                      <w:szCs w:val="21"/>
                    </w:rPr>
                  </w:pPr>
                </w:p>
              </w:tc>
              <w:tc>
                <w:tcPr>
                  <w:tcW w:w="3072" w:type="dxa"/>
                  <w:tcBorders>
                    <w:tl2br w:val="nil"/>
                    <w:tr2bl w:val="nil"/>
                  </w:tcBorders>
                  <w:shd w:val="clear" w:color="auto" w:fill="auto"/>
                  <w:vAlign w:val="center"/>
                </w:tcPr>
                <w:p w14:paraId="37583C04">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6"/>
                      <w:sz w:val="21"/>
                      <w:szCs w:val="21"/>
                    </w:rPr>
                    <w:t>生活污水</w:t>
                  </w:r>
                </w:p>
              </w:tc>
              <w:tc>
                <w:tcPr>
                  <w:tcW w:w="2110" w:type="dxa"/>
                  <w:tcBorders>
                    <w:tl2br w:val="nil"/>
                    <w:tr2bl w:val="nil"/>
                  </w:tcBorders>
                  <w:shd w:val="clear" w:color="auto" w:fill="auto"/>
                  <w:vAlign w:val="center"/>
                </w:tcPr>
                <w:p w14:paraId="20C9C089">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1"/>
                      <w:lang w:val="en-US" w:eastAsia="en-US" w:bidi="ar-SA"/>
                    </w:rPr>
                  </w:pPr>
                  <w:r>
                    <w:rPr>
                      <w:rFonts w:ascii="Times New Roman" w:hAnsi="Times New Roman" w:eastAsia="宋体"/>
                      <w:color w:val="auto"/>
                      <w:spacing w:val="1"/>
                      <w:sz w:val="21"/>
                      <w:szCs w:val="21"/>
                    </w:rPr>
                    <w:t>经化粪池预处理后，通过</w:t>
                  </w:r>
                  <w:r>
                    <w:rPr>
                      <w:rFonts w:hint="eastAsia" w:ascii="Times New Roman" w:hAnsi="Times New Roman"/>
                      <w:color w:val="auto"/>
                      <w:spacing w:val="1"/>
                      <w:sz w:val="21"/>
                      <w:szCs w:val="21"/>
                      <w:lang w:val="en-US" w:eastAsia="zh-CN"/>
                    </w:rPr>
                    <w:t>市政污</w:t>
                  </w:r>
                  <w:r>
                    <w:rPr>
                      <w:rFonts w:hint="eastAsia" w:ascii="Times New Roman" w:hAnsi="Times New Roman"/>
                      <w:color w:val="auto"/>
                      <w:spacing w:val="1"/>
                      <w:sz w:val="21"/>
                      <w:szCs w:val="21"/>
                      <w:highlight w:val="none"/>
                      <w:lang w:val="en-US" w:eastAsia="zh-CN"/>
                    </w:rPr>
                    <w:t>水</w:t>
                  </w:r>
                  <w:r>
                    <w:rPr>
                      <w:rFonts w:ascii="Times New Roman" w:hAnsi="Times New Roman" w:eastAsia="宋体"/>
                      <w:color w:val="auto"/>
                      <w:spacing w:val="7"/>
                      <w:sz w:val="21"/>
                      <w:szCs w:val="21"/>
                      <w:highlight w:val="none"/>
                    </w:rPr>
                    <w:t>管网送至</w:t>
                  </w:r>
                  <w:r>
                    <w:rPr>
                      <w:rFonts w:hint="eastAsia" w:ascii="Times New Roman" w:hAnsi="Times New Roman"/>
                      <w:color w:val="auto"/>
                      <w:spacing w:val="7"/>
                      <w:sz w:val="21"/>
                      <w:szCs w:val="21"/>
                      <w:highlight w:val="none"/>
                      <w:lang w:eastAsia="zh-CN"/>
                    </w:rPr>
                    <w:t>福清市第二污水处理厂</w:t>
                  </w:r>
                  <w:r>
                    <w:rPr>
                      <w:rFonts w:ascii="Times New Roman" w:hAnsi="Times New Roman" w:eastAsia="宋体"/>
                      <w:color w:val="auto"/>
                      <w:spacing w:val="7"/>
                      <w:sz w:val="21"/>
                      <w:szCs w:val="21"/>
                      <w:highlight w:val="none"/>
                    </w:rPr>
                    <w:t>处</w:t>
                  </w:r>
                  <w:r>
                    <w:rPr>
                      <w:rFonts w:ascii="Times New Roman" w:hAnsi="Times New Roman" w:eastAsia="宋体"/>
                      <w:color w:val="auto"/>
                      <w:spacing w:val="7"/>
                      <w:sz w:val="21"/>
                      <w:szCs w:val="21"/>
                    </w:rPr>
                    <w:t>理。</w:t>
                  </w:r>
                  <w:r>
                    <w:rPr>
                      <w:rFonts w:hint="eastAsia" w:ascii="Times New Roman" w:hAnsi="Times New Roman"/>
                      <w:color w:val="auto"/>
                      <w:spacing w:val="7"/>
                      <w:sz w:val="21"/>
                      <w:szCs w:val="21"/>
                      <w:lang w:val="en-US" w:eastAsia="zh-CN"/>
                    </w:rPr>
                    <w:t>(</w:t>
                  </w:r>
                  <w:r>
                    <w:rPr>
                      <w:rFonts w:hint="eastAsia" w:ascii="Times New Roman" w:hAnsi="Times New Roman"/>
                      <w:color w:val="auto"/>
                      <w:sz w:val="21"/>
                      <w:szCs w:val="21"/>
                      <w:lang w:val="en-US" w:eastAsia="zh-CN"/>
                    </w:rPr>
                    <w:t>DW001)</w:t>
                  </w:r>
                </w:p>
              </w:tc>
              <w:tc>
                <w:tcPr>
                  <w:tcW w:w="1318" w:type="dxa"/>
                  <w:tcBorders>
                    <w:tl2br w:val="nil"/>
                    <w:tr2bl w:val="nil"/>
                  </w:tcBorders>
                  <w:shd w:val="clear" w:color="auto" w:fill="auto"/>
                  <w:vAlign w:val="center"/>
                </w:tcPr>
                <w:p w14:paraId="3BD532FE">
                  <w:pPr>
                    <w:pStyle w:val="113"/>
                    <w:keepNext w:val="0"/>
                    <w:keepLines w:val="0"/>
                    <w:pageBreakBefore w:val="0"/>
                    <w:widowControl w:val="0"/>
                    <w:kinsoku/>
                    <w:wordWrap/>
                    <w:overflowPunct/>
                    <w:topLinePunct w:val="0"/>
                    <w:bidi w:val="0"/>
                    <w:adjustRightInd/>
                    <w:snapToGrid/>
                    <w:spacing w:line="240" w:lineRule="auto"/>
                    <w:ind w:left="0" w:right="0" w:firstLine="0"/>
                    <w:textAlignment w:val="auto"/>
                    <w:rPr>
                      <w:rFonts w:ascii="Times New Roman" w:hAnsi="Times New Roman" w:eastAsia="宋体"/>
                      <w:color w:val="auto"/>
                      <w:sz w:val="21"/>
                      <w:szCs w:val="21"/>
                    </w:rPr>
                  </w:pPr>
                  <w:r>
                    <w:rPr>
                      <w:rFonts w:ascii="Times New Roman" w:hAnsi="Times New Roman" w:eastAsia="宋体"/>
                      <w:color w:val="auto"/>
                      <w:spacing w:val="8"/>
                      <w:sz w:val="21"/>
                      <w:szCs w:val="21"/>
                    </w:rPr>
                    <w:t>化粪池依托配</w:t>
                  </w:r>
                </w:p>
                <w:p w14:paraId="06641B29">
                  <w:pPr>
                    <w:pStyle w:val="113"/>
                    <w:keepNext w:val="0"/>
                    <w:keepLines w:val="0"/>
                    <w:pageBreakBefore w:val="0"/>
                    <w:widowControl w:val="0"/>
                    <w:kinsoku/>
                    <w:wordWrap/>
                    <w:overflowPunct/>
                    <w:topLinePunct w:val="0"/>
                    <w:bidi w:val="0"/>
                    <w:adjustRightInd/>
                    <w:snapToGrid/>
                    <w:spacing w:line="240" w:lineRule="auto"/>
                    <w:ind w:left="0" w:leftChars="0" w:right="0" w:firstLine="0"/>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z w:val="21"/>
                      <w:szCs w:val="21"/>
                    </w:rPr>
                    <w:t>套</w:t>
                  </w:r>
                </w:p>
              </w:tc>
            </w:tr>
            <w:tr w14:paraId="1EE7D2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1436" w:type="dxa"/>
                  <w:vMerge w:val="continue"/>
                  <w:tcBorders>
                    <w:tl2br w:val="nil"/>
                    <w:tr2bl w:val="nil"/>
                  </w:tcBorders>
                  <w:vAlign w:val="center"/>
                </w:tcPr>
                <w:p w14:paraId="0B607FF2">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618E2D85">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8"/>
                      <w:sz w:val="21"/>
                      <w:szCs w:val="21"/>
                    </w:rPr>
                    <w:t>废气处理措</w:t>
                  </w:r>
                  <w:r>
                    <w:rPr>
                      <w:rFonts w:ascii="Times New Roman" w:hAnsi="Times New Roman" w:eastAsia="宋体"/>
                      <w:color w:val="auto"/>
                      <w:spacing w:val="1"/>
                      <w:sz w:val="21"/>
                      <w:szCs w:val="21"/>
                    </w:rPr>
                    <w:t>施</w:t>
                  </w:r>
                </w:p>
              </w:tc>
              <w:tc>
                <w:tcPr>
                  <w:tcW w:w="3072" w:type="dxa"/>
                  <w:tcBorders>
                    <w:tl2br w:val="nil"/>
                    <w:tr2bl w:val="nil"/>
                  </w:tcBorders>
                  <w:shd w:val="clear" w:color="auto" w:fill="auto"/>
                  <w:vAlign w:val="center"/>
                </w:tcPr>
                <w:p w14:paraId="63B88960">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3"/>
                      <w:sz w:val="21"/>
                      <w:szCs w:val="21"/>
                    </w:rPr>
                    <w:t>焊接废气；电泳、烘干废气；天然气燃烧废气；废水处理废气</w:t>
                  </w:r>
                </w:p>
              </w:tc>
              <w:tc>
                <w:tcPr>
                  <w:tcW w:w="2110" w:type="dxa"/>
                  <w:tcBorders>
                    <w:tl2br w:val="nil"/>
                    <w:tr2bl w:val="nil"/>
                  </w:tcBorders>
                  <w:shd w:val="clear" w:color="auto" w:fill="auto"/>
                  <w:vAlign w:val="center"/>
                </w:tcPr>
                <w:p w14:paraId="09EB0702">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rPr>
                  </w:pPr>
                  <w:r>
                    <w:rPr>
                      <w:rFonts w:ascii="Times New Roman" w:hAnsi="Times New Roman" w:eastAsia="宋体"/>
                      <w:color w:val="auto"/>
                      <w:spacing w:val="-2"/>
                      <w:sz w:val="21"/>
                      <w:szCs w:val="21"/>
                    </w:rPr>
                    <w:t>电泳、烘干废气经</w:t>
                  </w:r>
                  <w:r>
                    <w:rPr>
                      <w:rFonts w:hint="eastAsia" w:ascii="Times New Roman" w:hAnsi="Times New Roman"/>
                      <w:color w:val="auto"/>
                      <w:spacing w:val="-2"/>
                      <w:sz w:val="21"/>
                      <w:szCs w:val="21"/>
                      <w:lang w:eastAsia="zh-CN"/>
                    </w:rPr>
                    <w:t>喷淋＋二级活性炭吸附</w:t>
                  </w:r>
                  <w:r>
                    <w:rPr>
                      <w:rFonts w:ascii="Times New Roman" w:hAnsi="Times New Roman" w:eastAsia="宋体"/>
                      <w:color w:val="auto"/>
                      <w:spacing w:val="5"/>
                      <w:position w:val="1"/>
                      <w:sz w:val="21"/>
                      <w:szCs w:val="21"/>
                    </w:rPr>
                    <w:t>处理后，通过</w:t>
                  </w:r>
                  <w:r>
                    <w:rPr>
                      <w:rFonts w:ascii="Times New Roman" w:hAnsi="Times New Roman" w:eastAsia="宋体" w:cs="Times New Roman"/>
                      <w:color w:val="auto"/>
                      <w:spacing w:val="5"/>
                      <w:position w:val="1"/>
                      <w:sz w:val="21"/>
                      <w:szCs w:val="21"/>
                    </w:rPr>
                    <w:t>1</w:t>
                  </w:r>
                  <w:r>
                    <w:rPr>
                      <w:rFonts w:ascii="Times New Roman" w:hAnsi="Times New Roman" w:eastAsia="宋体"/>
                      <w:color w:val="auto"/>
                      <w:spacing w:val="5"/>
                      <w:position w:val="1"/>
                      <w:sz w:val="21"/>
                      <w:szCs w:val="21"/>
                    </w:rPr>
                    <w:t>根</w:t>
                  </w:r>
                  <w:r>
                    <w:rPr>
                      <w:rFonts w:hint="eastAsia" w:ascii="Times New Roman" w:hAnsi="Times New Roman" w:cs="Times New Roman"/>
                      <w:color w:val="auto"/>
                      <w:spacing w:val="6"/>
                      <w:position w:val="1"/>
                      <w:sz w:val="21"/>
                      <w:szCs w:val="21"/>
                      <w:lang w:eastAsia="zh-CN"/>
                    </w:rPr>
                    <w:t>23m</w:t>
                  </w:r>
                  <w:r>
                    <w:rPr>
                      <w:rFonts w:ascii="Times New Roman" w:hAnsi="Times New Roman" w:eastAsia="宋体"/>
                      <w:color w:val="auto"/>
                      <w:spacing w:val="6"/>
                      <w:position w:val="1"/>
                      <w:sz w:val="21"/>
                      <w:szCs w:val="21"/>
                    </w:rPr>
                    <w:t>高排气筒达标排放</w:t>
                  </w:r>
                </w:p>
                <w:p w14:paraId="53797AF9">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rPr>
                  </w:pPr>
                  <w:r>
                    <w:rPr>
                      <w:rFonts w:ascii="Times New Roman" w:hAnsi="Times New Roman" w:eastAsia="宋体"/>
                      <w:color w:val="auto"/>
                      <w:spacing w:val="6"/>
                      <w:position w:val="1"/>
                      <w:sz w:val="21"/>
                      <w:szCs w:val="21"/>
                    </w:rPr>
                    <w:t>（</w:t>
                  </w:r>
                  <w:r>
                    <w:rPr>
                      <w:rFonts w:ascii="Times New Roman" w:hAnsi="Times New Roman" w:eastAsia="宋体" w:cs="Times New Roman"/>
                      <w:color w:val="auto"/>
                      <w:position w:val="1"/>
                      <w:sz w:val="21"/>
                      <w:szCs w:val="21"/>
                    </w:rPr>
                    <w:t>DA</w:t>
                  </w:r>
                  <w:r>
                    <w:rPr>
                      <w:rFonts w:ascii="Times New Roman" w:hAnsi="Times New Roman" w:eastAsia="宋体" w:cs="Times New Roman"/>
                      <w:color w:val="auto"/>
                      <w:spacing w:val="6"/>
                      <w:position w:val="1"/>
                      <w:sz w:val="21"/>
                      <w:szCs w:val="21"/>
                    </w:rPr>
                    <w:t>001</w:t>
                  </w:r>
                  <w:r>
                    <w:rPr>
                      <w:rFonts w:ascii="Times New Roman" w:hAnsi="Times New Roman" w:eastAsia="宋体"/>
                      <w:color w:val="auto"/>
                      <w:spacing w:val="-26"/>
                      <w:position w:val="1"/>
                      <w:sz w:val="21"/>
                      <w:szCs w:val="21"/>
                    </w:rPr>
                    <w:t>）；</w:t>
                  </w:r>
                  <w:r>
                    <w:rPr>
                      <w:rFonts w:ascii="Times New Roman" w:hAnsi="Times New Roman" w:eastAsia="宋体"/>
                      <w:color w:val="auto"/>
                      <w:spacing w:val="6"/>
                      <w:position w:val="1"/>
                      <w:sz w:val="21"/>
                      <w:szCs w:val="21"/>
                    </w:rPr>
                    <w:t>天然气燃烧废</w:t>
                  </w:r>
                  <w:r>
                    <w:rPr>
                      <w:rFonts w:ascii="Times New Roman" w:hAnsi="Times New Roman" w:eastAsia="宋体"/>
                      <w:color w:val="auto"/>
                      <w:spacing w:val="13"/>
                      <w:position w:val="1"/>
                      <w:sz w:val="21"/>
                      <w:szCs w:val="21"/>
                    </w:rPr>
                    <w:t>气通过</w:t>
                  </w:r>
                  <w:r>
                    <w:rPr>
                      <w:rFonts w:ascii="Times New Roman" w:hAnsi="Times New Roman" w:eastAsia="宋体" w:cs="Times New Roman"/>
                      <w:color w:val="auto"/>
                      <w:position w:val="1"/>
                      <w:sz w:val="21"/>
                      <w:szCs w:val="21"/>
                    </w:rPr>
                    <w:t>DA</w:t>
                  </w:r>
                  <w:r>
                    <w:rPr>
                      <w:rFonts w:ascii="Times New Roman" w:hAnsi="Times New Roman" w:eastAsia="宋体" w:cs="Times New Roman"/>
                      <w:color w:val="auto"/>
                      <w:spacing w:val="13"/>
                      <w:position w:val="1"/>
                      <w:sz w:val="21"/>
                      <w:szCs w:val="21"/>
                    </w:rPr>
                    <w:t>001</w:t>
                  </w:r>
                  <w:r>
                    <w:rPr>
                      <w:rFonts w:ascii="Times New Roman" w:hAnsi="Times New Roman" w:eastAsia="宋体"/>
                      <w:color w:val="auto"/>
                      <w:spacing w:val="13"/>
                      <w:position w:val="1"/>
                      <w:sz w:val="21"/>
                      <w:szCs w:val="21"/>
                    </w:rPr>
                    <w:t>排气筒达标</w:t>
                  </w:r>
                </w:p>
                <w:p w14:paraId="5DCA79BC">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szCs w:val="21"/>
                    </w:rPr>
                  </w:pPr>
                  <w:r>
                    <w:rPr>
                      <w:rFonts w:ascii="Times New Roman" w:hAnsi="Times New Roman" w:eastAsia="宋体"/>
                      <w:color w:val="auto"/>
                      <w:sz w:val="21"/>
                      <w:szCs w:val="21"/>
                    </w:rPr>
                    <w:t>排放；焊接废气经</w:t>
                  </w:r>
                  <w:r>
                    <w:rPr>
                      <w:rFonts w:hint="eastAsia" w:ascii="Times New Roman" w:hAnsi="Times New Roman"/>
                      <w:color w:val="auto"/>
                      <w:sz w:val="21"/>
                      <w:szCs w:val="21"/>
                      <w:lang w:eastAsia="zh-CN"/>
                    </w:rPr>
                    <w:t>布袋</w:t>
                  </w:r>
                  <w:r>
                    <w:rPr>
                      <w:rFonts w:ascii="Times New Roman" w:hAnsi="Times New Roman" w:eastAsia="宋体"/>
                      <w:color w:val="auto"/>
                      <w:spacing w:val="5"/>
                      <w:position w:val="1"/>
                      <w:sz w:val="21"/>
                      <w:szCs w:val="21"/>
                    </w:rPr>
                    <w:t>除尘器处理后，通过</w:t>
                  </w:r>
                  <w:r>
                    <w:rPr>
                      <w:rFonts w:ascii="Times New Roman" w:hAnsi="Times New Roman" w:eastAsia="宋体" w:cs="Times New Roman"/>
                      <w:color w:val="auto"/>
                      <w:spacing w:val="5"/>
                      <w:position w:val="1"/>
                      <w:sz w:val="21"/>
                      <w:szCs w:val="21"/>
                    </w:rPr>
                    <w:t>1</w:t>
                  </w:r>
                  <w:r>
                    <w:rPr>
                      <w:rFonts w:ascii="Times New Roman" w:hAnsi="Times New Roman" w:eastAsia="宋体"/>
                      <w:color w:val="auto"/>
                      <w:spacing w:val="5"/>
                      <w:position w:val="1"/>
                      <w:sz w:val="21"/>
                      <w:szCs w:val="21"/>
                    </w:rPr>
                    <w:t>根</w:t>
                  </w:r>
                </w:p>
                <w:p w14:paraId="08F849A8">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s="Times New Roman"/>
                      <w:color w:val="auto"/>
                      <w:spacing w:val="6"/>
                      <w:position w:val="1"/>
                      <w:sz w:val="21"/>
                      <w:szCs w:val="21"/>
                    </w:rPr>
                    <w:t>20m</w:t>
                  </w:r>
                  <w:r>
                    <w:rPr>
                      <w:rFonts w:ascii="Times New Roman" w:hAnsi="Times New Roman" w:eastAsia="宋体"/>
                      <w:color w:val="auto"/>
                      <w:spacing w:val="6"/>
                      <w:position w:val="1"/>
                      <w:sz w:val="21"/>
                      <w:szCs w:val="21"/>
                    </w:rPr>
                    <w:t>高排气筒达标排放</w:t>
                  </w:r>
                  <w:r>
                    <w:rPr>
                      <w:rFonts w:ascii="Times New Roman" w:hAnsi="Times New Roman" w:eastAsia="宋体"/>
                      <w:color w:val="auto"/>
                      <w:spacing w:val="7"/>
                      <w:position w:val="1"/>
                      <w:sz w:val="21"/>
                      <w:szCs w:val="21"/>
                    </w:rPr>
                    <w:t>（</w:t>
                  </w:r>
                  <w:r>
                    <w:rPr>
                      <w:rFonts w:ascii="Times New Roman" w:hAnsi="Times New Roman" w:eastAsia="宋体" w:cs="Times New Roman"/>
                      <w:color w:val="auto"/>
                      <w:position w:val="1"/>
                      <w:sz w:val="21"/>
                      <w:szCs w:val="21"/>
                    </w:rPr>
                    <w:t>DA</w:t>
                  </w:r>
                  <w:r>
                    <w:rPr>
                      <w:rFonts w:ascii="Times New Roman" w:hAnsi="Times New Roman" w:eastAsia="宋体" w:cs="Times New Roman"/>
                      <w:color w:val="auto"/>
                      <w:spacing w:val="7"/>
                      <w:position w:val="1"/>
                      <w:sz w:val="21"/>
                      <w:szCs w:val="21"/>
                    </w:rPr>
                    <w:t>002</w:t>
                  </w:r>
                  <w:r>
                    <w:rPr>
                      <w:rFonts w:ascii="Times New Roman" w:hAnsi="Times New Roman" w:eastAsia="宋体"/>
                      <w:color w:val="auto"/>
                      <w:spacing w:val="-31"/>
                      <w:position w:val="1"/>
                      <w:sz w:val="21"/>
                      <w:szCs w:val="21"/>
                    </w:rPr>
                    <w:t>）；</w:t>
                  </w:r>
                  <w:r>
                    <w:rPr>
                      <w:rFonts w:ascii="Times New Roman" w:hAnsi="Times New Roman" w:eastAsia="宋体"/>
                      <w:color w:val="auto"/>
                      <w:spacing w:val="7"/>
                      <w:position w:val="1"/>
                      <w:sz w:val="21"/>
                      <w:szCs w:val="21"/>
                    </w:rPr>
                    <w:t>废水处理废气</w:t>
                  </w:r>
                  <w:r>
                    <w:rPr>
                      <w:rFonts w:ascii="Times New Roman" w:hAnsi="Times New Roman" w:eastAsia="宋体"/>
                      <w:color w:val="auto"/>
                      <w:spacing w:val="6"/>
                      <w:sz w:val="21"/>
                      <w:szCs w:val="21"/>
                    </w:rPr>
                    <w:t>无组织排放。</w:t>
                  </w:r>
                </w:p>
              </w:tc>
              <w:tc>
                <w:tcPr>
                  <w:tcW w:w="1318" w:type="dxa"/>
                  <w:tcBorders>
                    <w:tl2br w:val="nil"/>
                    <w:tr2bl w:val="nil"/>
                  </w:tcBorders>
                  <w:shd w:val="clear" w:color="auto" w:fill="auto"/>
                  <w:vAlign w:val="center"/>
                </w:tcPr>
                <w:p w14:paraId="63852781">
                  <w:pPr>
                    <w:pStyle w:val="113"/>
                    <w:keepNext w:val="0"/>
                    <w:keepLines w:val="0"/>
                    <w:pageBreakBefore w:val="0"/>
                    <w:widowControl w:val="0"/>
                    <w:kinsoku/>
                    <w:wordWrap/>
                    <w:overflowPunct/>
                    <w:topLinePunct w:val="0"/>
                    <w:bidi w:val="0"/>
                    <w:adjustRightInd/>
                    <w:snapToGrid/>
                    <w:spacing w:line="240" w:lineRule="auto"/>
                    <w:ind w:left="0" w:leftChars="0" w:right="0" w:firstLine="0"/>
                    <w:textAlignment w:val="auto"/>
                    <w:rPr>
                      <w:rFonts w:ascii="Times New Roman" w:hAnsi="Times New Roman" w:eastAsia="宋体" w:cs="宋体"/>
                      <w:color w:val="auto"/>
                      <w:kern w:val="2"/>
                      <w:sz w:val="21"/>
                      <w:szCs w:val="21"/>
                      <w:lang w:val="en-US" w:eastAsia="en-US" w:bidi="ar-SA"/>
                    </w:rPr>
                  </w:pPr>
                  <w:r>
                    <w:rPr>
                      <w:rFonts w:ascii="Times New Roman" w:hAnsi="Times New Roman" w:eastAsia="宋体"/>
                      <w:color w:val="auto"/>
                      <w:spacing w:val="4"/>
                      <w:sz w:val="21"/>
                      <w:szCs w:val="21"/>
                    </w:rPr>
                    <w:t>新建</w:t>
                  </w:r>
                </w:p>
              </w:tc>
            </w:tr>
            <w:tr w14:paraId="47315A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tcBorders>
                    <w:tl2br w:val="nil"/>
                    <w:tr2bl w:val="nil"/>
                  </w:tcBorders>
                  <w:shd w:val="clear" w:color="auto" w:fill="auto"/>
                  <w:vAlign w:val="center"/>
                </w:tcPr>
                <w:p w14:paraId="74773BB4">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6"/>
                      <w:sz w:val="21"/>
                    </w:rPr>
                    <w:t>噪声治理措</w:t>
                  </w:r>
                </w:p>
                <w:p w14:paraId="40FC723D">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1"/>
                      <w:sz w:val="21"/>
                    </w:rPr>
                    <w:t>施</w:t>
                  </w:r>
                </w:p>
              </w:tc>
              <w:tc>
                <w:tcPr>
                  <w:tcW w:w="5126" w:type="dxa"/>
                  <w:gridSpan w:val="2"/>
                  <w:tcBorders>
                    <w:tl2br w:val="nil"/>
                    <w:tr2bl w:val="nil"/>
                  </w:tcBorders>
                  <w:shd w:val="clear" w:color="auto" w:fill="auto"/>
                  <w:vAlign w:val="center"/>
                </w:tcPr>
                <w:p w14:paraId="78485F18">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厂房隔声，基础减振</w:t>
                  </w:r>
                </w:p>
              </w:tc>
              <w:tc>
                <w:tcPr>
                  <w:tcW w:w="2110" w:type="dxa"/>
                  <w:tcBorders>
                    <w:tl2br w:val="nil"/>
                    <w:tr2bl w:val="nil"/>
                  </w:tcBorders>
                  <w:shd w:val="clear" w:color="auto" w:fill="auto"/>
                  <w:vAlign w:val="center"/>
                </w:tcPr>
                <w:p w14:paraId="347B5FD8">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r>
                    <w:rPr>
                      <w:rFonts w:ascii="Times New Roman" w:hAnsi="Times New Roman" w:eastAsia="宋体"/>
                      <w:color w:val="auto"/>
                      <w:spacing w:val="4"/>
                      <w:sz w:val="21"/>
                    </w:rPr>
                    <w:t>新建</w:t>
                  </w:r>
                </w:p>
              </w:tc>
            </w:tr>
            <w:tr w14:paraId="273DFD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restart"/>
                  <w:tcBorders>
                    <w:tl2br w:val="nil"/>
                    <w:tr2bl w:val="nil"/>
                  </w:tcBorders>
                  <w:shd w:val="clear" w:color="auto" w:fill="auto"/>
                  <w:vAlign w:val="center"/>
                </w:tcPr>
                <w:p w14:paraId="5744F9F6">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4"/>
                      <w:sz w:val="21"/>
                    </w:rPr>
                    <w:t>固废治理措</w:t>
                  </w:r>
                </w:p>
                <w:p w14:paraId="16849CDF">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z w:val="21"/>
                      <w:szCs w:val="21"/>
                      <w:highlight w:val="none"/>
                      <w:vertAlign w:val="baseline"/>
                    </w:rPr>
                  </w:pPr>
                  <w:r>
                    <w:rPr>
                      <w:rFonts w:ascii="Times New Roman" w:hAnsi="Times New Roman" w:eastAsia="宋体"/>
                      <w:color w:val="auto"/>
                      <w:spacing w:val="1"/>
                      <w:sz w:val="21"/>
                    </w:rPr>
                    <w:t>施</w:t>
                  </w:r>
                </w:p>
              </w:tc>
              <w:tc>
                <w:tcPr>
                  <w:tcW w:w="2054" w:type="dxa"/>
                  <w:tcBorders>
                    <w:tl2br w:val="nil"/>
                    <w:tr2bl w:val="nil"/>
                  </w:tcBorders>
                  <w:shd w:val="clear" w:color="auto" w:fill="auto"/>
                  <w:vAlign w:val="center"/>
                </w:tcPr>
                <w:p w14:paraId="085E4B6E">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废一般包装材料</w:t>
                  </w:r>
                </w:p>
              </w:tc>
              <w:tc>
                <w:tcPr>
                  <w:tcW w:w="3072" w:type="dxa"/>
                  <w:tcBorders>
                    <w:tl2br w:val="nil"/>
                    <w:tr2bl w:val="nil"/>
                  </w:tcBorders>
                  <w:shd w:val="clear" w:color="auto" w:fill="auto"/>
                  <w:vAlign w:val="center"/>
                </w:tcPr>
                <w:p w14:paraId="75B5CA32">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z w:val="21"/>
                    </w:rPr>
                    <w:t>暂存一般固废堆场，外售综</w:t>
                  </w:r>
                </w:p>
                <w:p w14:paraId="46C0B2A5">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6"/>
                      <w:sz w:val="21"/>
                    </w:rPr>
                    <w:t>合利用</w:t>
                  </w:r>
                </w:p>
              </w:tc>
              <w:tc>
                <w:tcPr>
                  <w:tcW w:w="2110" w:type="dxa"/>
                  <w:tcBorders>
                    <w:tl2br w:val="nil"/>
                    <w:tr2bl w:val="nil"/>
                  </w:tcBorders>
                  <w:shd w:val="clear" w:color="auto" w:fill="auto"/>
                  <w:vAlign w:val="center"/>
                </w:tcPr>
                <w:p w14:paraId="3811BC21">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r w14:paraId="508314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1B469A79">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51901DB1">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废金属料</w:t>
                  </w:r>
                </w:p>
              </w:tc>
              <w:tc>
                <w:tcPr>
                  <w:tcW w:w="3072" w:type="dxa"/>
                  <w:vMerge w:val="restart"/>
                  <w:tcBorders>
                    <w:tl2br w:val="nil"/>
                    <w:tr2bl w:val="nil"/>
                  </w:tcBorders>
                  <w:shd w:val="clear" w:color="auto" w:fill="auto"/>
                  <w:vAlign w:val="center"/>
                </w:tcPr>
                <w:p w14:paraId="509CD01B">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9"/>
                      <w:sz w:val="21"/>
                    </w:rPr>
                    <w:t>委托合法合规单位回收利</w:t>
                  </w:r>
                </w:p>
                <w:p w14:paraId="74EB13CC">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r>
                    <w:rPr>
                      <w:rFonts w:ascii="Times New Roman" w:hAnsi="Times New Roman" w:eastAsia="宋体"/>
                      <w:color w:val="auto"/>
                      <w:spacing w:val="6"/>
                      <w:sz w:val="21"/>
                    </w:rPr>
                    <w:t>用或处置</w:t>
                  </w:r>
                </w:p>
              </w:tc>
              <w:tc>
                <w:tcPr>
                  <w:tcW w:w="2110" w:type="dxa"/>
                  <w:tcBorders>
                    <w:tl2br w:val="nil"/>
                    <w:tr2bl w:val="nil"/>
                  </w:tcBorders>
                  <w:shd w:val="clear" w:color="auto" w:fill="auto"/>
                  <w:vAlign w:val="center"/>
                </w:tcPr>
                <w:p w14:paraId="05667DB5">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r w14:paraId="2B97C3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0A08684C">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72DC8C0D">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焊渣</w:t>
                  </w:r>
                </w:p>
              </w:tc>
              <w:tc>
                <w:tcPr>
                  <w:tcW w:w="3072" w:type="dxa"/>
                  <w:vMerge w:val="continue"/>
                  <w:tcBorders>
                    <w:tl2br w:val="nil"/>
                    <w:tr2bl w:val="nil"/>
                  </w:tcBorders>
                  <w:shd w:val="clear" w:color="auto" w:fill="auto"/>
                  <w:vAlign w:val="center"/>
                </w:tcPr>
                <w:p w14:paraId="0C66CCCD">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tcBorders>
                    <w:tl2br w:val="nil"/>
                    <w:tr2bl w:val="nil"/>
                  </w:tcBorders>
                  <w:shd w:val="clear" w:color="auto" w:fill="auto"/>
                  <w:vAlign w:val="center"/>
                </w:tcPr>
                <w:p w14:paraId="39A9C72A">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r w14:paraId="74FAF5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5F96AC5F">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7604010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废金属灰</w:t>
                  </w:r>
                </w:p>
              </w:tc>
              <w:tc>
                <w:tcPr>
                  <w:tcW w:w="3072" w:type="dxa"/>
                  <w:vMerge w:val="continue"/>
                  <w:tcBorders>
                    <w:tl2br w:val="nil"/>
                    <w:tr2bl w:val="nil"/>
                  </w:tcBorders>
                  <w:shd w:val="clear" w:color="auto" w:fill="auto"/>
                  <w:vAlign w:val="center"/>
                </w:tcPr>
                <w:p w14:paraId="3F83B2E7">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tcBorders>
                    <w:tl2br w:val="nil"/>
                    <w:tr2bl w:val="nil"/>
                  </w:tcBorders>
                  <w:shd w:val="clear" w:color="auto" w:fill="auto"/>
                  <w:vAlign w:val="center"/>
                </w:tcPr>
                <w:p w14:paraId="2368DE8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r w14:paraId="56D398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0E0351F6">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7627E71B">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废涂料桶</w:t>
                  </w:r>
                </w:p>
              </w:tc>
              <w:tc>
                <w:tcPr>
                  <w:tcW w:w="3072" w:type="dxa"/>
                  <w:tcBorders>
                    <w:tl2br w:val="nil"/>
                    <w:tr2bl w:val="nil"/>
                  </w:tcBorders>
                  <w:shd w:val="clear" w:color="auto" w:fill="auto"/>
                  <w:vAlign w:val="center"/>
                </w:tcPr>
                <w:p w14:paraId="4F2B09BD">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5"/>
                      <w:sz w:val="21"/>
                    </w:rPr>
                    <w:t>由供应商回收利用</w:t>
                  </w:r>
                </w:p>
              </w:tc>
              <w:tc>
                <w:tcPr>
                  <w:tcW w:w="2110" w:type="dxa"/>
                  <w:tcBorders>
                    <w:tl2br w:val="nil"/>
                    <w:tr2bl w:val="nil"/>
                  </w:tcBorders>
                  <w:shd w:val="clear" w:color="auto" w:fill="auto"/>
                  <w:vAlign w:val="center"/>
                </w:tcPr>
                <w:p w14:paraId="50CCE5D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r w14:paraId="4BAD0D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7E40668E">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66709554">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废油桶</w:t>
                  </w:r>
                </w:p>
              </w:tc>
              <w:tc>
                <w:tcPr>
                  <w:tcW w:w="3072" w:type="dxa"/>
                  <w:vMerge w:val="restart"/>
                  <w:tcBorders>
                    <w:tl2br w:val="nil"/>
                    <w:tr2bl w:val="nil"/>
                  </w:tcBorders>
                  <w:shd w:val="clear" w:color="auto" w:fill="auto"/>
                  <w:vAlign w:val="center"/>
                </w:tcPr>
                <w:p w14:paraId="1AC736DD">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z w:val="21"/>
                    </w:rPr>
                    <w:t>暂存危废库，委托有资质单</w:t>
                  </w:r>
                </w:p>
                <w:p w14:paraId="75B0B94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r>
                    <w:rPr>
                      <w:rFonts w:ascii="Times New Roman" w:hAnsi="Times New Roman" w:eastAsia="宋体"/>
                      <w:color w:val="auto"/>
                      <w:spacing w:val="6"/>
                      <w:sz w:val="21"/>
                    </w:rPr>
                    <w:t>位处置</w:t>
                  </w:r>
                </w:p>
              </w:tc>
              <w:tc>
                <w:tcPr>
                  <w:tcW w:w="2110" w:type="dxa"/>
                  <w:vMerge w:val="restart"/>
                  <w:tcBorders>
                    <w:tl2br w:val="nil"/>
                    <w:tr2bl w:val="nil"/>
                  </w:tcBorders>
                  <w:shd w:val="clear" w:color="auto" w:fill="auto"/>
                  <w:vAlign w:val="center"/>
                </w:tcPr>
                <w:p w14:paraId="30E4DAC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r w14:paraId="146D63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42C273FD">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055C740F">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废活性炭</w:t>
                  </w:r>
                </w:p>
              </w:tc>
              <w:tc>
                <w:tcPr>
                  <w:tcW w:w="3072" w:type="dxa"/>
                  <w:vMerge w:val="continue"/>
                  <w:tcBorders>
                    <w:tl2br w:val="nil"/>
                    <w:tr2bl w:val="nil"/>
                  </w:tcBorders>
                  <w:shd w:val="clear" w:color="auto" w:fill="auto"/>
                  <w:vAlign w:val="center"/>
                </w:tcPr>
                <w:p w14:paraId="2C2D4A88">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vMerge w:val="continue"/>
                  <w:tcBorders>
                    <w:tl2br w:val="nil"/>
                    <w:tr2bl w:val="nil"/>
                  </w:tcBorders>
                  <w:shd w:val="clear" w:color="auto" w:fill="auto"/>
                  <w:vAlign w:val="center"/>
                </w:tcPr>
                <w:p w14:paraId="237AFA59">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p>
              </w:tc>
            </w:tr>
            <w:tr w14:paraId="1797E6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3E08B1FC">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644C9904">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废化学品包装</w:t>
                  </w:r>
                </w:p>
              </w:tc>
              <w:tc>
                <w:tcPr>
                  <w:tcW w:w="3072" w:type="dxa"/>
                  <w:vMerge w:val="continue"/>
                  <w:tcBorders>
                    <w:tl2br w:val="nil"/>
                    <w:tr2bl w:val="nil"/>
                  </w:tcBorders>
                  <w:shd w:val="clear" w:color="auto" w:fill="auto"/>
                  <w:vAlign w:val="center"/>
                </w:tcPr>
                <w:p w14:paraId="4404BA7C">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vMerge w:val="continue"/>
                  <w:tcBorders>
                    <w:tl2br w:val="nil"/>
                    <w:tr2bl w:val="nil"/>
                  </w:tcBorders>
                  <w:shd w:val="clear" w:color="auto" w:fill="auto"/>
                  <w:vAlign w:val="center"/>
                </w:tcPr>
                <w:p w14:paraId="6866DE6E">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p>
              </w:tc>
            </w:tr>
            <w:tr w14:paraId="46A7C1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71D6F1AA">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59A68700">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废过滤物</w:t>
                  </w:r>
                </w:p>
              </w:tc>
              <w:tc>
                <w:tcPr>
                  <w:tcW w:w="3072" w:type="dxa"/>
                  <w:vMerge w:val="continue"/>
                  <w:tcBorders>
                    <w:tl2br w:val="nil"/>
                    <w:tr2bl w:val="nil"/>
                  </w:tcBorders>
                  <w:shd w:val="clear" w:color="auto" w:fill="auto"/>
                  <w:vAlign w:val="center"/>
                </w:tcPr>
                <w:p w14:paraId="43690F63">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vMerge w:val="continue"/>
                  <w:tcBorders>
                    <w:tl2br w:val="nil"/>
                    <w:tr2bl w:val="nil"/>
                  </w:tcBorders>
                  <w:shd w:val="clear" w:color="auto" w:fill="auto"/>
                  <w:vAlign w:val="center"/>
                </w:tcPr>
                <w:p w14:paraId="791159D7">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p>
              </w:tc>
            </w:tr>
            <w:tr w14:paraId="4B1DED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5D91D01B">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43089264">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废机油</w:t>
                  </w:r>
                </w:p>
              </w:tc>
              <w:tc>
                <w:tcPr>
                  <w:tcW w:w="3072" w:type="dxa"/>
                  <w:vMerge w:val="continue"/>
                  <w:tcBorders>
                    <w:tl2br w:val="nil"/>
                    <w:tr2bl w:val="nil"/>
                  </w:tcBorders>
                  <w:shd w:val="clear" w:color="auto" w:fill="auto"/>
                  <w:vAlign w:val="center"/>
                </w:tcPr>
                <w:p w14:paraId="5CCE9BDE">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vMerge w:val="continue"/>
                  <w:tcBorders>
                    <w:tl2br w:val="nil"/>
                    <w:tr2bl w:val="nil"/>
                  </w:tcBorders>
                  <w:shd w:val="clear" w:color="auto" w:fill="auto"/>
                  <w:vAlign w:val="center"/>
                </w:tcPr>
                <w:p w14:paraId="5D92F1B2">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p>
              </w:tc>
            </w:tr>
            <w:tr w14:paraId="4E66E4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5F0D4EA2">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1D9BA16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废弃纯水制备耗材</w:t>
                  </w:r>
                </w:p>
              </w:tc>
              <w:tc>
                <w:tcPr>
                  <w:tcW w:w="3072" w:type="dxa"/>
                  <w:vMerge w:val="continue"/>
                  <w:tcBorders>
                    <w:tl2br w:val="nil"/>
                    <w:tr2bl w:val="nil"/>
                  </w:tcBorders>
                  <w:shd w:val="clear" w:color="auto" w:fill="auto"/>
                  <w:vAlign w:val="center"/>
                </w:tcPr>
                <w:p w14:paraId="5A072EFE">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vMerge w:val="continue"/>
                  <w:tcBorders>
                    <w:tl2br w:val="nil"/>
                    <w:tr2bl w:val="nil"/>
                  </w:tcBorders>
                  <w:shd w:val="clear" w:color="auto" w:fill="auto"/>
                  <w:vAlign w:val="center"/>
                </w:tcPr>
                <w:p w14:paraId="2C077710">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p>
              </w:tc>
            </w:tr>
            <w:tr w14:paraId="5C472B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7CA8DEDF">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7647BD91">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废滤膜</w:t>
                  </w:r>
                </w:p>
              </w:tc>
              <w:tc>
                <w:tcPr>
                  <w:tcW w:w="3072" w:type="dxa"/>
                  <w:vMerge w:val="continue"/>
                  <w:tcBorders>
                    <w:tl2br w:val="nil"/>
                    <w:tr2bl w:val="nil"/>
                  </w:tcBorders>
                  <w:shd w:val="clear" w:color="auto" w:fill="auto"/>
                  <w:vAlign w:val="center"/>
                </w:tcPr>
                <w:p w14:paraId="4B6D6396">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vMerge w:val="continue"/>
                  <w:tcBorders>
                    <w:tl2br w:val="nil"/>
                    <w:tr2bl w:val="nil"/>
                  </w:tcBorders>
                  <w:shd w:val="clear" w:color="auto" w:fill="auto"/>
                  <w:vAlign w:val="center"/>
                </w:tcPr>
                <w:p w14:paraId="6130FCD0">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p>
              </w:tc>
            </w:tr>
            <w:tr w14:paraId="283A3F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325411BE">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6C01F934">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废水处理污泥</w:t>
                  </w:r>
                </w:p>
              </w:tc>
              <w:tc>
                <w:tcPr>
                  <w:tcW w:w="3072" w:type="dxa"/>
                  <w:vMerge w:val="continue"/>
                  <w:tcBorders>
                    <w:tl2br w:val="nil"/>
                    <w:tr2bl w:val="nil"/>
                  </w:tcBorders>
                  <w:shd w:val="clear" w:color="auto" w:fill="auto"/>
                  <w:vAlign w:val="center"/>
                </w:tcPr>
                <w:p w14:paraId="528D00D9">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vMerge w:val="continue"/>
                  <w:tcBorders>
                    <w:tl2br w:val="nil"/>
                    <w:tr2bl w:val="nil"/>
                  </w:tcBorders>
                  <w:shd w:val="clear" w:color="auto" w:fill="auto"/>
                  <w:vAlign w:val="center"/>
                </w:tcPr>
                <w:p w14:paraId="2B37A5E8">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p>
              </w:tc>
            </w:tr>
            <w:tr w14:paraId="6D5842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71B96795">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3AA2DE28">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废含油抹布手套</w:t>
                  </w:r>
                </w:p>
              </w:tc>
              <w:tc>
                <w:tcPr>
                  <w:tcW w:w="3072" w:type="dxa"/>
                  <w:vMerge w:val="continue"/>
                  <w:tcBorders>
                    <w:tl2br w:val="nil"/>
                    <w:tr2bl w:val="nil"/>
                  </w:tcBorders>
                  <w:shd w:val="clear" w:color="auto" w:fill="auto"/>
                  <w:vAlign w:val="center"/>
                </w:tcPr>
                <w:p w14:paraId="5DE32F71">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6"/>
                      <w:sz w:val="21"/>
                      <w:szCs w:val="21"/>
                    </w:rPr>
                  </w:pPr>
                </w:p>
              </w:tc>
              <w:tc>
                <w:tcPr>
                  <w:tcW w:w="2110" w:type="dxa"/>
                  <w:vMerge w:val="continue"/>
                  <w:tcBorders>
                    <w:tl2br w:val="nil"/>
                    <w:tr2bl w:val="nil"/>
                  </w:tcBorders>
                  <w:shd w:val="clear" w:color="auto" w:fill="auto"/>
                  <w:vAlign w:val="center"/>
                </w:tcPr>
                <w:p w14:paraId="0A8E4652">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olor w:val="auto"/>
                      <w:spacing w:val="3"/>
                      <w:sz w:val="21"/>
                      <w:szCs w:val="21"/>
                    </w:rPr>
                  </w:pPr>
                </w:p>
              </w:tc>
            </w:tr>
            <w:tr w14:paraId="7674E9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vMerge w:val="continue"/>
                  <w:tcBorders>
                    <w:tl2br w:val="nil"/>
                    <w:tr2bl w:val="nil"/>
                  </w:tcBorders>
                  <w:vAlign w:val="center"/>
                </w:tcPr>
                <w:p w14:paraId="39C8F4A8">
                  <w:pPr>
                    <w:pStyle w:val="44"/>
                    <w:keepNext w:val="0"/>
                    <w:keepLines w:val="0"/>
                    <w:pageBreakBefore w:val="0"/>
                    <w:widowControl w:val="0"/>
                    <w:kinsoku/>
                    <w:wordWrap/>
                    <w:overflowPunct/>
                    <w:topLinePunct w:val="0"/>
                    <w:bidi w:val="0"/>
                    <w:adjustRightInd/>
                    <w:snapToGrid/>
                    <w:spacing w:line="240" w:lineRule="auto"/>
                    <w:ind w:left="0" w:right="0" w:firstLine="0" w:firstLineChars="0"/>
                    <w:jc w:val="center"/>
                    <w:textAlignment w:val="auto"/>
                    <w:rPr>
                      <w:rFonts w:ascii="Times New Roman" w:hAnsi="Times New Roman" w:eastAsia="宋体"/>
                      <w:color w:val="auto"/>
                      <w:sz w:val="21"/>
                      <w:szCs w:val="21"/>
                      <w:highlight w:val="none"/>
                      <w:vertAlign w:val="baseline"/>
                    </w:rPr>
                  </w:pPr>
                </w:p>
              </w:tc>
              <w:tc>
                <w:tcPr>
                  <w:tcW w:w="2054" w:type="dxa"/>
                  <w:tcBorders>
                    <w:tl2br w:val="nil"/>
                    <w:tr2bl w:val="nil"/>
                  </w:tcBorders>
                  <w:shd w:val="clear" w:color="auto" w:fill="auto"/>
                  <w:vAlign w:val="center"/>
                </w:tcPr>
                <w:p w14:paraId="356246D7">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6"/>
                      <w:sz w:val="21"/>
                    </w:rPr>
                    <w:t>生活垃圾</w:t>
                  </w:r>
                </w:p>
              </w:tc>
              <w:tc>
                <w:tcPr>
                  <w:tcW w:w="3072" w:type="dxa"/>
                  <w:tcBorders>
                    <w:tl2br w:val="nil"/>
                    <w:tr2bl w:val="nil"/>
                  </w:tcBorders>
                  <w:shd w:val="clear" w:color="auto" w:fill="auto"/>
                  <w:vAlign w:val="center"/>
                </w:tcPr>
                <w:p w14:paraId="25AFBB1E">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z w:val="21"/>
                    </w:rPr>
                    <w:t>定期清运，交于环卫部门处</w:t>
                  </w:r>
                </w:p>
                <w:p w14:paraId="38D01DCF">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2"/>
                      <w:sz w:val="21"/>
                    </w:rPr>
                    <w:t>置</w:t>
                  </w:r>
                </w:p>
              </w:tc>
              <w:tc>
                <w:tcPr>
                  <w:tcW w:w="2110" w:type="dxa"/>
                  <w:tcBorders>
                    <w:tl2br w:val="nil"/>
                    <w:tr2bl w:val="nil"/>
                  </w:tcBorders>
                  <w:shd w:val="clear" w:color="auto" w:fill="auto"/>
                  <w:vAlign w:val="center"/>
                </w:tcPr>
                <w:p w14:paraId="7DD62AC9">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r w14:paraId="1C22AA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tcBorders>
                    <w:tl2br w:val="nil"/>
                    <w:tr2bl w:val="nil"/>
                  </w:tcBorders>
                  <w:shd w:val="clear" w:color="auto" w:fill="auto"/>
                  <w:vAlign w:val="center"/>
                </w:tcPr>
                <w:p w14:paraId="114C3976">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8"/>
                      <w:sz w:val="21"/>
                    </w:rPr>
                    <w:t>地下水、土</w:t>
                  </w:r>
                </w:p>
                <w:p w14:paraId="3E32EA02">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壤治理措施</w:t>
                  </w:r>
                </w:p>
              </w:tc>
              <w:tc>
                <w:tcPr>
                  <w:tcW w:w="5126" w:type="dxa"/>
                  <w:gridSpan w:val="2"/>
                  <w:tcBorders>
                    <w:tl2br w:val="nil"/>
                    <w:tr2bl w:val="nil"/>
                  </w:tcBorders>
                  <w:shd w:val="clear" w:color="auto" w:fill="auto"/>
                  <w:vAlign w:val="center"/>
                </w:tcPr>
                <w:p w14:paraId="41079522">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8"/>
                      <w:sz w:val="21"/>
                    </w:rPr>
                    <w:t>①源头上控制对地下水的污染。</w:t>
                  </w:r>
                </w:p>
                <w:p w14:paraId="40DDA149">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8"/>
                      <w:sz w:val="21"/>
                    </w:rPr>
                    <w:t>②厂内不同区域实施分区防治。</w:t>
                  </w:r>
                </w:p>
                <w:p w14:paraId="2C52B84C">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5"/>
                      <w:sz w:val="21"/>
                    </w:rPr>
                    <w:t>③运行期严格管理，加强巡检，及时发现污染物</w:t>
                  </w:r>
                  <w:r>
                    <w:rPr>
                      <w:rFonts w:ascii="Times New Roman" w:hAnsi="Times New Roman" w:eastAsia="宋体"/>
                      <w:color w:val="auto"/>
                      <w:spacing w:val="7"/>
                      <w:sz w:val="21"/>
                    </w:rPr>
                    <w:t>泄漏；一旦出现泄漏及时处理，检查检修设备，</w:t>
                  </w:r>
                  <w:r>
                    <w:rPr>
                      <w:rFonts w:ascii="Times New Roman" w:hAnsi="Times New Roman" w:eastAsia="宋体"/>
                      <w:color w:val="auto"/>
                      <w:spacing w:val="5"/>
                      <w:sz w:val="21"/>
                    </w:rPr>
                    <w:t>将污染物泄漏的环境风险事故降到最低；制定并</w:t>
                  </w:r>
                  <w:r>
                    <w:rPr>
                      <w:rFonts w:ascii="Times New Roman" w:hAnsi="Times New Roman" w:eastAsia="宋体"/>
                      <w:color w:val="auto"/>
                      <w:spacing w:val="8"/>
                      <w:sz w:val="21"/>
                    </w:rPr>
                    <w:t>落实相应环境风险事故应急预案。</w:t>
                  </w:r>
                </w:p>
              </w:tc>
              <w:tc>
                <w:tcPr>
                  <w:tcW w:w="2110" w:type="dxa"/>
                  <w:tcBorders>
                    <w:tl2br w:val="nil"/>
                    <w:tr2bl w:val="nil"/>
                  </w:tcBorders>
                  <w:shd w:val="clear" w:color="auto" w:fill="auto"/>
                  <w:vAlign w:val="center"/>
                </w:tcPr>
                <w:p w14:paraId="6BC77909">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r w14:paraId="71370B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gridAfter w:val="1"/>
                <w:wAfter w:w="1318" w:type="dxa"/>
              </w:trPr>
              <w:tc>
                <w:tcPr>
                  <w:tcW w:w="1436" w:type="dxa"/>
                  <w:tcBorders>
                    <w:tl2br w:val="nil"/>
                    <w:tr2bl w:val="nil"/>
                  </w:tcBorders>
                  <w:shd w:val="clear" w:color="auto" w:fill="auto"/>
                  <w:vAlign w:val="center"/>
                </w:tcPr>
                <w:p w14:paraId="3F8ABED8">
                  <w:pPr>
                    <w:pStyle w:val="113"/>
                    <w:keepNext w:val="0"/>
                    <w:keepLines w:val="0"/>
                    <w:pageBreakBefore w:val="0"/>
                    <w:widowControl w:val="0"/>
                    <w:kinsoku/>
                    <w:wordWrap/>
                    <w:overflowPunct/>
                    <w:topLinePunct w:val="0"/>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8"/>
                      <w:sz w:val="21"/>
                    </w:rPr>
                    <w:t>环境风险应</w:t>
                  </w:r>
                </w:p>
                <w:p w14:paraId="43CE9228">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急措施</w:t>
                  </w:r>
                </w:p>
              </w:tc>
              <w:tc>
                <w:tcPr>
                  <w:tcW w:w="5126" w:type="dxa"/>
                  <w:gridSpan w:val="2"/>
                  <w:tcBorders>
                    <w:tl2br w:val="nil"/>
                    <w:tr2bl w:val="nil"/>
                  </w:tcBorders>
                  <w:shd w:val="clear" w:color="auto" w:fill="auto"/>
                  <w:vAlign w:val="center"/>
                </w:tcPr>
                <w:p w14:paraId="3284FB9F">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9"/>
                      <w:sz w:val="21"/>
                    </w:rPr>
                    <w:t>具体见建设项目环境风险简单分析内容表</w:t>
                  </w:r>
                </w:p>
              </w:tc>
              <w:tc>
                <w:tcPr>
                  <w:tcW w:w="2110" w:type="dxa"/>
                  <w:tcBorders>
                    <w:tl2br w:val="nil"/>
                    <w:tr2bl w:val="nil"/>
                  </w:tcBorders>
                  <w:shd w:val="clear" w:color="auto" w:fill="auto"/>
                  <w:vAlign w:val="center"/>
                </w:tcPr>
                <w:p w14:paraId="122E7DB4">
                  <w:pPr>
                    <w:pStyle w:val="113"/>
                    <w:keepNext w:val="0"/>
                    <w:keepLines w:val="0"/>
                    <w:pageBreakBefore w:val="0"/>
                    <w:widowControl w:val="0"/>
                    <w:kinsoku/>
                    <w:wordWrap/>
                    <w:overflowPunct/>
                    <w:topLinePunct w:val="0"/>
                    <w:bidi w:val="0"/>
                    <w:adjustRightInd/>
                    <w:snapToGrid/>
                    <w:spacing w:line="240" w:lineRule="auto"/>
                    <w:ind w:left="0" w:leftChars="0" w:right="0" w:firstLine="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新建</w:t>
                  </w:r>
                </w:p>
              </w:tc>
            </w:tr>
          </w:tbl>
          <w:p w14:paraId="2AEEF611">
            <w:pPr>
              <w:pStyle w:val="44"/>
              <w:ind w:left="0" w:leftChars="0" w:firstLine="0" w:firstLineChars="0"/>
              <w:rPr>
                <w:color w:val="auto"/>
                <w:highlight w:val="none"/>
              </w:rPr>
            </w:pPr>
          </w:p>
        </w:tc>
      </w:tr>
      <w:bookmarkEnd w:id="13"/>
    </w:tbl>
    <w:p w14:paraId="6F6B07CD">
      <w:pPr>
        <w:rPr>
          <w:color w:val="auto"/>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tbl>
      <w:tblPr>
        <w:tblStyle w:val="33"/>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8862"/>
      </w:tblGrid>
      <w:tr w14:paraId="302C1C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72" w:hRule="atLeast"/>
          <w:jc w:val="center"/>
        </w:trPr>
        <w:tc>
          <w:tcPr>
            <w:tcW w:w="197" w:type="pct"/>
            <w:vAlign w:val="center"/>
          </w:tcPr>
          <w:p w14:paraId="002E3CED">
            <w:pPr>
              <w:pStyle w:val="31"/>
              <w:adjustRightInd w:val="0"/>
              <w:snapToGrid w:val="0"/>
              <w:spacing w:before="0" w:beforeAutospacing="0" w:after="0" w:afterAutospacing="0"/>
              <w:jc w:val="center"/>
              <w:rPr>
                <w:rFonts w:cs="宋体"/>
                <w:color w:val="auto"/>
                <w:sz w:val="21"/>
                <w:szCs w:val="21"/>
                <w:highlight w:val="none"/>
              </w:rPr>
            </w:pPr>
            <w:r>
              <w:rPr>
                <w:rFonts w:hint="eastAsia" w:cs="宋体"/>
                <w:color w:val="auto"/>
                <w:sz w:val="21"/>
                <w:szCs w:val="21"/>
                <w:highlight w:val="none"/>
              </w:rPr>
              <w:t>建设内容</w:t>
            </w:r>
          </w:p>
        </w:tc>
        <w:tc>
          <w:tcPr>
            <w:tcW w:w="4802" w:type="pct"/>
          </w:tcPr>
          <w:p w14:paraId="4AD7BE4C">
            <w:pPr>
              <w:pStyle w:val="4"/>
              <w:bidi w:val="0"/>
              <w:ind w:left="720" w:leftChars="0" w:hanging="720" w:firstLineChars="0"/>
              <w:rPr>
                <w:rFonts w:hint="eastAsia"/>
                <w:color w:val="auto"/>
                <w:highlight w:val="none"/>
              </w:rPr>
            </w:pPr>
            <w:r>
              <w:rPr>
                <w:rFonts w:hint="eastAsia"/>
                <w:color w:val="auto"/>
                <w:highlight w:val="none"/>
              </w:rPr>
              <w:t>平面布局</w:t>
            </w:r>
          </w:p>
          <w:p w14:paraId="69C70D42">
            <w:pPr>
              <w:pStyle w:val="137"/>
              <w:keepNext w:val="0"/>
              <w:keepLines w:val="0"/>
              <w:pageBreakBefore w:val="0"/>
              <w:widowControl w:val="0"/>
              <w:shd w:val="clear"/>
              <w:kinsoku/>
              <w:wordWrap/>
              <w:overflowPunct/>
              <w:topLinePunct w:val="0"/>
              <w:autoSpaceDE/>
              <w:autoSpaceDN/>
              <w:bidi w:val="0"/>
              <w:adjustRightInd/>
              <w:snapToGrid/>
              <w:ind w:firstLine="31680"/>
              <w:textAlignment w:val="auto"/>
              <w:rPr>
                <w:color w:val="auto"/>
                <w:highlight w:val="none"/>
              </w:rPr>
            </w:pPr>
            <w:r>
              <w:rPr>
                <w:rFonts w:hint="eastAsia" w:ascii="Times New Roman" w:hAnsi="Times New Roman" w:eastAsia="宋体"/>
                <w:color w:val="auto"/>
                <w:szCs w:val="24"/>
                <w:highlight w:val="none"/>
              </w:rPr>
              <w:t>本项目位于</w:t>
            </w:r>
            <w:r>
              <w:rPr>
                <w:rFonts w:hint="eastAsia"/>
                <w:color w:val="auto"/>
                <w:lang w:val="en-US" w:eastAsia="zh-CN"/>
              </w:rPr>
              <w:t>福建省福州市福清市镜洋镇过洋39号（租赁福州清山压铸有限公司2#厂房、3#厂房）</w:t>
            </w:r>
            <w:r>
              <w:rPr>
                <w:rFonts w:hint="eastAsia" w:ascii="Times New Roman" w:hAnsi="Times New Roman" w:eastAsia="宋体"/>
                <w:color w:val="auto"/>
                <w:szCs w:val="24"/>
                <w:highlight w:val="none"/>
              </w:rPr>
              <w:t>，总</w:t>
            </w:r>
            <w:r>
              <w:rPr>
                <w:rFonts w:hint="eastAsia"/>
                <w:color w:val="auto"/>
                <w:szCs w:val="24"/>
                <w:highlight w:val="none"/>
                <w:lang w:val="en-US" w:eastAsia="zh-CN"/>
              </w:rPr>
              <w:t>建筑面积2030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eastAsia" w:ascii="Times New Roman" w:hAnsi="Times New Roman" w:eastAsia="宋体"/>
                <w:color w:val="auto"/>
                <w:szCs w:val="24"/>
                <w:highlight w:val="none"/>
              </w:rPr>
              <w:t>。项目厂区</w:t>
            </w:r>
            <w:r>
              <w:rPr>
                <w:rFonts w:hint="eastAsia"/>
                <w:color w:val="auto"/>
                <w:szCs w:val="24"/>
                <w:highlight w:val="none"/>
                <w:lang w:val="en-US" w:eastAsia="zh-CN"/>
              </w:rPr>
              <w:t>周围均为工业厂房</w:t>
            </w:r>
            <w:r>
              <w:rPr>
                <w:rFonts w:hint="eastAsia" w:ascii="Times New Roman" w:hAnsi="Times New Roman" w:eastAsia="宋体"/>
                <w:color w:val="auto"/>
                <w:szCs w:val="24"/>
                <w:highlight w:val="none"/>
              </w:rPr>
              <w:t>，</w:t>
            </w:r>
            <w:r>
              <w:rPr>
                <w:rFonts w:hint="eastAsia"/>
                <w:color w:val="auto"/>
                <w:szCs w:val="24"/>
                <w:highlight w:val="none"/>
                <w:lang w:val="en-US" w:eastAsia="zh-CN"/>
              </w:rPr>
              <w:t>东</w:t>
            </w:r>
            <w:r>
              <w:rPr>
                <w:rFonts w:hint="eastAsia" w:ascii="Times New Roman" w:hAnsi="Times New Roman" w:eastAsia="宋体"/>
                <w:color w:val="auto"/>
                <w:szCs w:val="24"/>
                <w:highlight w:val="none"/>
              </w:rPr>
              <w:t>侧为</w:t>
            </w:r>
            <w:r>
              <w:rPr>
                <w:rFonts w:hint="eastAsia"/>
                <w:color w:val="auto"/>
                <w:szCs w:val="24"/>
                <w:highlight w:val="none"/>
                <w:lang w:val="en-US" w:eastAsia="zh-CN"/>
              </w:rPr>
              <w:t>国道G104</w:t>
            </w:r>
            <w:r>
              <w:rPr>
                <w:rFonts w:hint="eastAsia" w:ascii="Times New Roman" w:hAnsi="Times New Roman" w:eastAsia="宋体"/>
                <w:color w:val="auto"/>
                <w:szCs w:val="24"/>
                <w:highlight w:val="none"/>
              </w:rPr>
              <w:t>。</w:t>
            </w:r>
            <w:r>
              <w:rPr>
                <w:rFonts w:hint="eastAsia"/>
                <w:color w:val="auto"/>
                <w:szCs w:val="24"/>
                <w:highlight w:val="none"/>
                <w:lang w:val="en-US" w:eastAsia="zh-CN"/>
              </w:rPr>
              <w:t>厂区北侧为福建省玉上丰科技发展有限公司，南侧为福州鼎力机械有限公司，厂区东侧为福建丰沃生物科技有限公司，厂区西侧为福建本缘苍山电动工具配件有限公司。</w:t>
            </w:r>
            <w:r>
              <w:rPr>
                <w:rFonts w:hint="eastAsia" w:ascii="Times New Roman" w:hAnsi="Times New Roman" w:eastAsia="宋体"/>
                <w:color w:val="auto"/>
                <w:szCs w:val="24"/>
                <w:highlight w:val="none"/>
              </w:rPr>
              <w:t>厂区出入口设置在</w:t>
            </w:r>
            <w:r>
              <w:rPr>
                <w:rFonts w:hint="eastAsia"/>
                <w:color w:val="auto"/>
                <w:szCs w:val="24"/>
                <w:highlight w:val="none"/>
                <w:lang w:val="en-US" w:eastAsia="zh-CN"/>
              </w:rPr>
              <w:t>厂区</w:t>
            </w:r>
            <w:r>
              <w:rPr>
                <w:rFonts w:hint="eastAsia" w:ascii="Times New Roman" w:hAnsi="Times New Roman" w:eastAsia="宋体"/>
                <w:color w:val="auto"/>
                <w:szCs w:val="24"/>
                <w:highlight w:val="none"/>
                <w:lang w:val="en-US" w:eastAsia="zh-CN"/>
              </w:rPr>
              <w:t>东侧</w:t>
            </w:r>
            <w:r>
              <w:rPr>
                <w:rFonts w:hint="eastAsia"/>
                <w:color w:val="auto"/>
                <w:szCs w:val="24"/>
                <w:highlight w:val="none"/>
                <w:lang w:val="en-US" w:eastAsia="zh-CN"/>
              </w:rPr>
              <w:t>，周边环境详见附图3</w:t>
            </w:r>
            <w:r>
              <w:rPr>
                <w:rFonts w:hint="eastAsia" w:ascii="Times New Roman" w:hAnsi="Times New Roman" w:eastAsia="宋体"/>
                <w:color w:val="auto"/>
                <w:szCs w:val="24"/>
                <w:highlight w:val="none"/>
              </w:rPr>
              <w:t>。本项目生产</w:t>
            </w:r>
            <w:r>
              <w:rPr>
                <w:rFonts w:hint="eastAsia" w:ascii="Times New Roman" w:hAnsi="Times New Roman" w:eastAsia="宋体"/>
                <w:color w:val="auto"/>
                <w:szCs w:val="24"/>
                <w:highlight w:val="none"/>
                <w:lang w:eastAsia="zh-CN"/>
              </w:rPr>
              <w:t>厂房</w:t>
            </w:r>
            <w:r>
              <w:rPr>
                <w:rFonts w:hint="eastAsia" w:ascii="Times New Roman" w:hAnsi="Times New Roman" w:eastAsia="宋体"/>
                <w:color w:val="auto"/>
                <w:szCs w:val="24"/>
                <w:highlight w:val="none"/>
              </w:rPr>
              <w:t>平面布局根据生产工艺需求和周边环境等特点进行布置，生产过程中产生的各类污染物经治理后对周边环境影响较小。生产</w:t>
            </w:r>
            <w:r>
              <w:rPr>
                <w:rFonts w:hint="eastAsia" w:ascii="Times New Roman" w:hAnsi="Times New Roman" w:eastAsia="宋体"/>
                <w:color w:val="auto"/>
                <w:szCs w:val="24"/>
                <w:highlight w:val="none"/>
                <w:lang w:eastAsia="zh-CN"/>
              </w:rPr>
              <w:t>厂房</w:t>
            </w:r>
            <w:r>
              <w:rPr>
                <w:rFonts w:hint="eastAsia" w:ascii="Times New Roman" w:hAnsi="Times New Roman" w:eastAsia="宋体"/>
                <w:color w:val="auto"/>
                <w:szCs w:val="24"/>
                <w:highlight w:val="none"/>
              </w:rPr>
              <w:t>各区块功能明确，物料流向顺畅，符合防火、安全等有关规范，总体布局功能分区明确，便于生产的连续性，项目平面布置基本合理。</w:t>
            </w:r>
          </w:p>
          <w:p w14:paraId="4B8A1D00">
            <w:pPr>
              <w:pStyle w:val="3"/>
              <w:bidi w:val="0"/>
              <w:ind w:left="0" w:leftChars="0" w:firstLine="0" w:firstLineChars="0"/>
              <w:rPr>
                <w:rFonts w:hint="eastAsia"/>
                <w:color w:val="auto"/>
                <w:highlight w:val="none"/>
              </w:rPr>
            </w:pPr>
            <w:bookmarkStart w:id="14" w:name="_Toc24506"/>
            <w:bookmarkStart w:id="15" w:name="_Toc6646"/>
            <w:bookmarkStart w:id="16" w:name="_Toc10081"/>
            <w:bookmarkStart w:id="17" w:name="_Toc9977"/>
            <w:r>
              <w:rPr>
                <w:rFonts w:hint="eastAsia"/>
                <w:color w:val="auto"/>
                <w:highlight w:val="none"/>
              </w:rPr>
              <w:t>主要生产设备</w:t>
            </w:r>
            <w:bookmarkEnd w:id="14"/>
            <w:bookmarkEnd w:id="15"/>
            <w:bookmarkEnd w:id="16"/>
            <w:bookmarkEnd w:id="17"/>
          </w:p>
          <w:p w14:paraId="07B67904">
            <w:pPr>
              <w:pStyle w:val="44"/>
              <w:ind w:firstLine="480"/>
              <w:rPr>
                <w:color w:val="auto"/>
                <w:highlight w:val="none"/>
              </w:rPr>
            </w:pPr>
            <w:r>
              <w:rPr>
                <w:color w:val="auto"/>
                <w:highlight w:val="none"/>
              </w:rPr>
              <w:t>本项目主要生产设备</w:t>
            </w:r>
            <w:r>
              <w:rPr>
                <w:rFonts w:hint="eastAsia"/>
                <w:color w:val="auto"/>
                <w:highlight w:val="none"/>
                <w:lang w:val="en-US" w:eastAsia="zh-CN"/>
              </w:rPr>
              <w:t>及建成后全厂主要生产设施</w:t>
            </w:r>
            <w:r>
              <w:rPr>
                <w:rFonts w:hint="eastAsia"/>
                <w:color w:val="auto"/>
                <w:highlight w:val="none"/>
              </w:rPr>
              <w:t>见下表</w:t>
            </w:r>
            <w:r>
              <w:rPr>
                <w:color w:val="auto"/>
                <w:highlight w:val="none"/>
              </w:rPr>
              <w:t>。</w:t>
            </w:r>
          </w:p>
          <w:p w14:paraId="56598085">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color w:val="auto"/>
                <w:highlight w:val="none"/>
              </w:rPr>
            </w:pPr>
            <w:bookmarkStart w:id="18" w:name="_Ref15628"/>
            <w:bookmarkStart w:id="19" w:name="_Toc4944"/>
            <w:bookmarkStart w:id="20" w:name="_Toc25944"/>
            <w:bookmarkStart w:id="21" w:name="_Toc12299"/>
            <w:bookmarkStart w:id="22" w:name="_Toc20936"/>
            <w:r>
              <w:rPr>
                <w:rFonts w:hint="eastAsia"/>
                <w:color w:val="auto"/>
                <w:highlight w:val="none"/>
              </w:rPr>
              <w:t>项目生产设备</w:t>
            </w:r>
            <w:bookmarkEnd w:id="18"/>
            <w:r>
              <w:rPr>
                <w:rFonts w:hint="eastAsia"/>
                <w:color w:val="auto"/>
                <w:highlight w:val="none"/>
              </w:rPr>
              <w:t>清单表</w:t>
            </w:r>
          </w:p>
          <w:tbl>
            <w:tblPr>
              <w:tblStyle w:val="34"/>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1"/>
              <w:gridCol w:w="1757"/>
              <w:gridCol w:w="3163"/>
              <w:gridCol w:w="1205"/>
              <w:gridCol w:w="1845"/>
            </w:tblGrid>
            <w:tr w14:paraId="75A885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bottom w:val="single" w:color="000000" w:sz="12" w:space="0"/>
                  </w:tcBorders>
                  <w:vAlign w:val="center"/>
                </w:tcPr>
                <w:p w14:paraId="694126A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序号</w:t>
                  </w:r>
                </w:p>
              </w:tc>
              <w:tc>
                <w:tcPr>
                  <w:tcW w:w="1016" w:type="pct"/>
                  <w:tcBorders>
                    <w:bottom w:val="single" w:color="000000" w:sz="12" w:space="0"/>
                  </w:tcBorders>
                  <w:vAlign w:val="center"/>
                </w:tcPr>
                <w:p w14:paraId="11E8C65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设备名称</w:t>
                  </w:r>
                </w:p>
              </w:tc>
              <w:tc>
                <w:tcPr>
                  <w:tcW w:w="1829" w:type="pct"/>
                  <w:tcBorders>
                    <w:bottom w:val="single" w:color="000000" w:sz="12" w:space="0"/>
                  </w:tcBorders>
                  <w:vAlign w:val="center"/>
                </w:tcPr>
                <w:p w14:paraId="0B388F9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型号/功率</w:t>
                  </w:r>
                </w:p>
              </w:tc>
              <w:tc>
                <w:tcPr>
                  <w:tcW w:w="697" w:type="pct"/>
                  <w:tcBorders>
                    <w:bottom w:val="single" w:color="000000" w:sz="12" w:space="0"/>
                  </w:tcBorders>
                  <w:vAlign w:val="center"/>
                </w:tcPr>
                <w:p w14:paraId="5208A15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数量</w:t>
                  </w:r>
                  <w:r>
                    <w:rPr>
                      <w:color w:val="auto"/>
                      <w:spacing w:val="6"/>
                    </w:rPr>
                    <w:t>（台套）</w:t>
                  </w:r>
                </w:p>
              </w:tc>
              <w:tc>
                <w:tcPr>
                  <w:tcW w:w="1067" w:type="pct"/>
                  <w:tcBorders>
                    <w:bottom w:val="single" w:color="000000" w:sz="12" w:space="0"/>
                  </w:tcBorders>
                  <w:vAlign w:val="center"/>
                </w:tcPr>
                <w:p w14:paraId="581BF8A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所在工段</w:t>
                  </w:r>
                </w:p>
              </w:tc>
            </w:tr>
            <w:tr w14:paraId="74072F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op w:val="single" w:color="000000" w:sz="12" w:space="0"/>
                    <w:tl2br w:val="nil"/>
                    <w:tr2bl w:val="nil"/>
                  </w:tcBorders>
                  <w:shd w:val="clear" w:color="auto" w:fill="auto"/>
                  <w:vAlign w:val="center"/>
                </w:tcPr>
                <w:p w14:paraId="087B1FD5">
                  <w:pPr>
                    <w:jc w:val="center"/>
                    <w:rPr>
                      <w:rFonts w:hint="eastAsia"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w:t>
                  </w:r>
                </w:p>
              </w:tc>
              <w:tc>
                <w:tcPr>
                  <w:tcW w:w="1016" w:type="pct"/>
                  <w:tcBorders>
                    <w:top w:val="single" w:color="000000" w:sz="12" w:space="0"/>
                    <w:tl2br w:val="nil"/>
                    <w:tr2bl w:val="nil"/>
                  </w:tcBorders>
                  <w:shd w:val="clear" w:color="auto" w:fill="auto"/>
                  <w:vAlign w:val="center"/>
                </w:tcPr>
                <w:p w14:paraId="1A583EB6">
                  <w:pPr>
                    <w:pStyle w:val="113"/>
                    <w:jc w:val="center"/>
                    <w:rPr>
                      <w:rFonts w:hint="default" w:ascii="Times New Roman" w:hAnsi="Times New Roman" w:eastAsia="宋体" w:cs="Times New Roman"/>
                      <w:color w:val="auto"/>
                      <w:kern w:val="2"/>
                      <w:sz w:val="21"/>
                      <w:szCs w:val="24"/>
                      <w:lang w:val="en-US" w:eastAsia="zh-CN" w:bidi="ar-SA"/>
                    </w:rPr>
                  </w:pPr>
                  <w:r>
                    <w:rPr>
                      <w:rFonts w:ascii="Times New Roman" w:hAnsi="Times New Roman" w:eastAsia="宋体" w:cs="p&gt;:#"/>
                      <w:color w:val="auto"/>
                      <w:kern w:val="0"/>
                      <w:sz w:val="21"/>
                      <w:szCs w:val="24"/>
                    </w:rPr>
                    <w:t>焊机</w:t>
                  </w:r>
                </w:p>
              </w:tc>
              <w:tc>
                <w:tcPr>
                  <w:tcW w:w="1829" w:type="pct"/>
                  <w:tcBorders>
                    <w:top w:val="single" w:color="000000" w:sz="12" w:space="0"/>
                    <w:tl2br w:val="nil"/>
                    <w:tr2bl w:val="nil"/>
                  </w:tcBorders>
                  <w:shd w:val="clear" w:color="auto" w:fill="auto"/>
                  <w:vAlign w:val="center"/>
                </w:tcPr>
                <w:p w14:paraId="0969331B">
                  <w:pPr>
                    <w:jc w:val="center"/>
                    <w:rPr>
                      <w:rFonts w:hint="default" w:ascii="Times New Roman" w:hAnsi="Times New Roman" w:eastAsia="宋体" w:cs="Times New Roman"/>
                      <w:color w:val="auto"/>
                      <w:kern w:val="2"/>
                      <w:sz w:val="21"/>
                      <w:szCs w:val="24"/>
                      <w:lang w:val="en-US" w:eastAsia="zh-CN" w:bidi="ar-SA"/>
                    </w:rPr>
                  </w:pPr>
                  <w:r>
                    <w:rPr>
                      <w:rFonts w:ascii="Times New Roman" w:hAnsi="Times New Roman" w:eastAsia="宋体" w:cs="p&gt;:#"/>
                      <w:color w:val="auto"/>
                      <w:kern w:val="0"/>
                      <w:sz w:val="21"/>
                    </w:rPr>
                    <w:t>NJ1530</w:t>
                  </w:r>
                </w:p>
              </w:tc>
              <w:tc>
                <w:tcPr>
                  <w:tcW w:w="697" w:type="pct"/>
                  <w:tcBorders>
                    <w:top w:val="single" w:color="000000" w:sz="12" w:space="0"/>
                    <w:tl2br w:val="nil"/>
                    <w:tr2bl w:val="nil"/>
                  </w:tcBorders>
                  <w:shd w:val="clear" w:color="auto" w:fill="auto"/>
                  <w:vAlign w:val="center"/>
                </w:tcPr>
                <w:p w14:paraId="76E796B1">
                  <w:pPr>
                    <w:pStyle w:val="113"/>
                    <w:jc w:val="center"/>
                    <w:rPr>
                      <w:rFonts w:hint="eastAsia" w:ascii="Times New Roman" w:hAnsi="Times New Roman" w:eastAsia="宋体" w:cs="Times New Roman"/>
                      <w:color w:val="auto"/>
                      <w:kern w:val="2"/>
                      <w:sz w:val="21"/>
                      <w:szCs w:val="24"/>
                      <w:lang w:val="en-US" w:eastAsia="zh-CN" w:bidi="ar-SA"/>
                    </w:rPr>
                  </w:pPr>
                  <w:r>
                    <w:rPr>
                      <w:rFonts w:ascii="Times New Roman" w:hAnsi="Times New Roman" w:eastAsia="宋体" w:cs="p&gt;:#"/>
                      <w:color w:val="auto"/>
                      <w:kern w:val="0"/>
                      <w:sz w:val="21"/>
                      <w:szCs w:val="24"/>
                    </w:rPr>
                    <w:t>24</w:t>
                  </w:r>
                </w:p>
              </w:tc>
              <w:tc>
                <w:tcPr>
                  <w:tcW w:w="1067" w:type="pct"/>
                  <w:tcBorders>
                    <w:top w:val="single" w:color="000000" w:sz="12" w:space="0"/>
                    <w:tl2br w:val="nil"/>
                    <w:tr2bl w:val="nil"/>
                  </w:tcBorders>
                  <w:shd w:val="clear" w:color="auto" w:fill="auto"/>
                  <w:vAlign w:val="center"/>
                </w:tcPr>
                <w:p w14:paraId="5A948B99">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焊接</w:t>
                  </w:r>
                </w:p>
              </w:tc>
            </w:tr>
            <w:tr w14:paraId="30A62C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shd w:val="clear" w:color="auto" w:fill="auto"/>
                  <w:vAlign w:val="center"/>
                </w:tcPr>
                <w:p w14:paraId="66D8B2FB">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2</w:t>
                  </w:r>
                </w:p>
              </w:tc>
              <w:tc>
                <w:tcPr>
                  <w:tcW w:w="1016" w:type="pct"/>
                  <w:tcBorders>
                    <w:tl2br w:val="nil"/>
                    <w:tr2bl w:val="nil"/>
                  </w:tcBorders>
                  <w:shd w:val="clear" w:color="auto" w:fill="auto"/>
                  <w:vAlign w:val="center"/>
                </w:tcPr>
                <w:p w14:paraId="203D270B">
                  <w:pPr>
                    <w:pStyle w:val="113"/>
                    <w:jc w:val="center"/>
                    <w:rPr>
                      <w:rFonts w:hint="default" w:ascii="Times New Roman" w:hAnsi="Times New Roman" w:eastAsia="宋体" w:cs="Times New Roman"/>
                      <w:color w:val="auto"/>
                      <w:kern w:val="2"/>
                      <w:sz w:val="21"/>
                      <w:szCs w:val="24"/>
                      <w:lang w:val="en-US" w:eastAsia="zh-CN" w:bidi="ar-SA"/>
                    </w:rPr>
                  </w:pPr>
                  <w:r>
                    <w:rPr>
                      <w:rFonts w:ascii="Times New Roman" w:hAnsi="Times New Roman" w:eastAsia="宋体" w:cs="p&gt;:#"/>
                      <w:color w:val="auto"/>
                      <w:kern w:val="0"/>
                      <w:sz w:val="21"/>
                      <w:szCs w:val="24"/>
                    </w:rPr>
                    <w:t>纯水制备</w:t>
                  </w:r>
                  <w:r>
                    <w:rPr>
                      <w:rFonts w:hint="eastAsia" w:ascii="Times New Roman" w:hAnsi="Times New Roman" w:eastAsia="宋体" w:cs="p&gt;:#"/>
                      <w:color w:val="auto"/>
                      <w:kern w:val="0"/>
                      <w:sz w:val="21"/>
                      <w:szCs w:val="24"/>
                      <w:lang w:eastAsia="zh-CN"/>
                    </w:rPr>
                    <w:t>系统</w:t>
                  </w:r>
                </w:p>
              </w:tc>
              <w:tc>
                <w:tcPr>
                  <w:tcW w:w="1829" w:type="pct"/>
                  <w:tcBorders>
                    <w:tl2br w:val="nil"/>
                    <w:tr2bl w:val="nil"/>
                  </w:tcBorders>
                  <w:shd w:val="clear" w:color="auto" w:fill="auto"/>
                  <w:vAlign w:val="center"/>
                </w:tcPr>
                <w:p w14:paraId="1CEB9A9E">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CHL4-30</w:t>
                  </w:r>
                </w:p>
              </w:tc>
              <w:tc>
                <w:tcPr>
                  <w:tcW w:w="697" w:type="pct"/>
                  <w:tcBorders>
                    <w:tl2br w:val="nil"/>
                    <w:tr2bl w:val="nil"/>
                  </w:tcBorders>
                  <w:shd w:val="clear" w:color="auto" w:fill="auto"/>
                  <w:vAlign w:val="center"/>
                </w:tcPr>
                <w:p w14:paraId="025F4EAE">
                  <w:pPr>
                    <w:pStyle w:val="113"/>
                    <w:jc w:val="center"/>
                    <w:rPr>
                      <w:rFonts w:hint="default" w:ascii="Times New Roman" w:hAnsi="Times New Roman" w:eastAsia="宋体" w:cs="Times New Roman"/>
                      <w:color w:val="auto"/>
                      <w:spacing w:val="-2"/>
                      <w:kern w:val="2"/>
                      <w:sz w:val="21"/>
                      <w:szCs w:val="24"/>
                      <w:lang w:val="en-US" w:eastAsia="zh-CN" w:bidi="ar-SA"/>
                    </w:rPr>
                  </w:pPr>
                  <w:r>
                    <w:rPr>
                      <w:rFonts w:hint="eastAsia" w:ascii="Times New Roman" w:hAnsi="Times New Roman" w:eastAsia="宋体" w:cs="Times New Roman"/>
                      <w:color w:val="auto"/>
                      <w:spacing w:val="-2"/>
                      <w:sz w:val="21"/>
                      <w:szCs w:val="24"/>
                      <w:lang w:eastAsia="zh-CN"/>
                    </w:rPr>
                    <w:t>1</w:t>
                  </w:r>
                </w:p>
              </w:tc>
              <w:tc>
                <w:tcPr>
                  <w:tcW w:w="1067" w:type="pct"/>
                  <w:tcBorders>
                    <w:tl2br w:val="nil"/>
                    <w:tr2bl w:val="nil"/>
                  </w:tcBorders>
                  <w:shd w:val="clear" w:color="auto" w:fill="auto"/>
                  <w:vAlign w:val="center"/>
                </w:tcPr>
                <w:p w14:paraId="11FD8197">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21C754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shd w:val="clear" w:color="auto" w:fill="auto"/>
                  <w:vAlign w:val="center"/>
                </w:tcPr>
                <w:p w14:paraId="447F2844">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3</w:t>
                  </w:r>
                </w:p>
              </w:tc>
              <w:tc>
                <w:tcPr>
                  <w:tcW w:w="1016" w:type="pct"/>
                  <w:tcBorders>
                    <w:tl2br w:val="nil"/>
                    <w:tr2bl w:val="nil"/>
                  </w:tcBorders>
                  <w:shd w:val="clear" w:color="auto" w:fill="auto"/>
                  <w:vAlign w:val="center"/>
                </w:tcPr>
                <w:p w14:paraId="3C5A7126">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szCs w:val="24"/>
                    </w:rPr>
                    <w:t>预脱脂</w:t>
                  </w:r>
                </w:p>
              </w:tc>
              <w:tc>
                <w:tcPr>
                  <w:tcW w:w="1829" w:type="pct"/>
                  <w:tcBorders>
                    <w:tl2br w:val="nil"/>
                    <w:tr2bl w:val="nil"/>
                  </w:tcBorders>
                  <w:shd w:val="clear" w:color="auto" w:fill="auto"/>
                  <w:vAlign w:val="center"/>
                </w:tcPr>
                <w:p w14:paraId="7EB9495A">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12000*1500*2200mm</w:t>
                  </w:r>
                </w:p>
              </w:tc>
              <w:tc>
                <w:tcPr>
                  <w:tcW w:w="697" w:type="pct"/>
                  <w:tcBorders>
                    <w:tl2br w:val="nil"/>
                    <w:tr2bl w:val="nil"/>
                  </w:tcBorders>
                  <w:shd w:val="clear" w:color="auto" w:fill="auto"/>
                  <w:vAlign w:val="center"/>
                </w:tcPr>
                <w:p w14:paraId="23B5FBB2">
                  <w:pPr>
                    <w:pStyle w:val="113"/>
                    <w:jc w:val="center"/>
                    <w:rPr>
                      <w:rFonts w:hint="default" w:ascii="Times New Roman" w:hAnsi="Times New Roman" w:eastAsia="宋体" w:cs="Times New Roman"/>
                      <w:color w:val="auto"/>
                      <w:spacing w:val="-3"/>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017EFE38">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17F8E3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shd w:val="clear" w:color="auto" w:fill="auto"/>
                  <w:vAlign w:val="center"/>
                </w:tcPr>
                <w:p w14:paraId="4D9D9623">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4</w:t>
                  </w:r>
                </w:p>
              </w:tc>
              <w:tc>
                <w:tcPr>
                  <w:tcW w:w="1016" w:type="pct"/>
                  <w:tcBorders>
                    <w:tl2br w:val="nil"/>
                    <w:tr2bl w:val="nil"/>
                  </w:tcBorders>
                  <w:shd w:val="clear" w:color="auto" w:fill="auto"/>
                  <w:vAlign w:val="center"/>
                </w:tcPr>
                <w:p w14:paraId="505F767F">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szCs w:val="24"/>
                    </w:rPr>
                    <w:t>主脱脂</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125A7EEC">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12000*500*2200mm</w:t>
                  </w:r>
                </w:p>
              </w:tc>
              <w:tc>
                <w:tcPr>
                  <w:tcW w:w="697" w:type="pct"/>
                  <w:tcBorders>
                    <w:tl2br w:val="nil"/>
                    <w:tr2bl w:val="nil"/>
                  </w:tcBorders>
                  <w:shd w:val="clear" w:color="auto" w:fill="auto"/>
                  <w:vAlign w:val="center"/>
                </w:tcPr>
                <w:p w14:paraId="1E35E096">
                  <w:pPr>
                    <w:pStyle w:val="113"/>
                    <w:jc w:val="center"/>
                    <w:rPr>
                      <w:rFonts w:hint="default" w:ascii="Times New Roman" w:hAnsi="Times New Roman" w:eastAsia="宋体" w:cs="Times New Roman"/>
                      <w:color w:val="auto"/>
                      <w:spacing w:val="-10"/>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06BC12F3">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26C4BE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shd w:val="clear" w:color="auto" w:fill="auto"/>
                  <w:vAlign w:val="center"/>
                </w:tcPr>
                <w:p w14:paraId="504D17D0">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5</w:t>
                  </w:r>
                </w:p>
              </w:tc>
              <w:tc>
                <w:tcPr>
                  <w:tcW w:w="1016" w:type="pct"/>
                  <w:tcBorders>
                    <w:tl2br w:val="nil"/>
                    <w:tr2bl w:val="nil"/>
                  </w:tcBorders>
                  <w:shd w:val="clear" w:color="auto" w:fill="auto"/>
                  <w:vAlign w:val="center"/>
                </w:tcPr>
                <w:p w14:paraId="464BF940">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szCs w:val="24"/>
                    </w:rPr>
                    <w:t>水洗1</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55322834">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6000*1500*2880+2500mm</w:t>
                  </w:r>
                </w:p>
              </w:tc>
              <w:tc>
                <w:tcPr>
                  <w:tcW w:w="697" w:type="pct"/>
                  <w:tcBorders>
                    <w:tl2br w:val="nil"/>
                    <w:tr2bl w:val="nil"/>
                  </w:tcBorders>
                  <w:shd w:val="clear" w:color="auto" w:fill="auto"/>
                  <w:vAlign w:val="center"/>
                </w:tcPr>
                <w:p w14:paraId="477BC9BE">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05DA79A0">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74A085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shd w:val="clear" w:color="auto" w:fill="auto"/>
                  <w:vAlign w:val="center"/>
                </w:tcPr>
                <w:p w14:paraId="0BAC1FA1">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6</w:t>
                  </w:r>
                </w:p>
              </w:tc>
              <w:tc>
                <w:tcPr>
                  <w:tcW w:w="1016" w:type="pct"/>
                  <w:tcBorders>
                    <w:tl2br w:val="nil"/>
                    <w:tr2bl w:val="nil"/>
                  </w:tcBorders>
                  <w:shd w:val="clear" w:color="auto" w:fill="auto"/>
                  <w:vAlign w:val="center"/>
                </w:tcPr>
                <w:p w14:paraId="109DCBA9">
                  <w:pPr>
                    <w:pStyle w:val="113"/>
                    <w:jc w:val="center"/>
                    <w:rPr>
                      <w:rFonts w:hint="default" w:ascii="Times New Roman" w:hAnsi="Times New Roman" w:eastAsia="宋体" w:cs="Times New Roman"/>
                      <w:color w:val="auto"/>
                      <w:spacing w:val="2"/>
                      <w:kern w:val="2"/>
                      <w:position w:val="1"/>
                      <w:sz w:val="21"/>
                      <w:szCs w:val="24"/>
                      <w:lang w:val="en-US" w:eastAsia="zh-CN" w:bidi="ar-SA"/>
                    </w:rPr>
                  </w:pPr>
                  <w:r>
                    <w:rPr>
                      <w:rFonts w:hint="eastAsia" w:ascii="Times New Roman" w:hAnsi="Times New Roman" w:eastAsia="宋体"/>
                      <w:color w:val="auto"/>
                      <w:sz w:val="21"/>
                      <w:szCs w:val="24"/>
                    </w:rPr>
                    <w:t>水洗2</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2E2E5854">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8000*1500*2200mm</w:t>
                  </w:r>
                </w:p>
              </w:tc>
              <w:tc>
                <w:tcPr>
                  <w:tcW w:w="697" w:type="pct"/>
                  <w:tcBorders>
                    <w:tl2br w:val="nil"/>
                    <w:tr2bl w:val="nil"/>
                  </w:tcBorders>
                  <w:shd w:val="clear" w:color="auto" w:fill="auto"/>
                  <w:vAlign w:val="center"/>
                </w:tcPr>
                <w:p w14:paraId="7E02A938">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363B9D6D">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3E6694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5C998E13">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7</w:t>
                  </w:r>
                </w:p>
              </w:tc>
              <w:tc>
                <w:tcPr>
                  <w:tcW w:w="1016" w:type="pct"/>
                  <w:tcBorders>
                    <w:tl2br w:val="nil"/>
                    <w:tr2bl w:val="nil"/>
                  </w:tcBorders>
                  <w:shd w:val="clear" w:color="auto" w:fill="auto"/>
                  <w:vAlign w:val="center"/>
                </w:tcPr>
                <w:p w14:paraId="45F91FCF">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szCs w:val="24"/>
                    </w:rPr>
                    <w:t>硅烷</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43ADB9A9">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11000*1500*2200mm</w:t>
                  </w:r>
                </w:p>
              </w:tc>
              <w:tc>
                <w:tcPr>
                  <w:tcW w:w="697" w:type="pct"/>
                  <w:tcBorders>
                    <w:tl2br w:val="nil"/>
                    <w:tr2bl w:val="nil"/>
                  </w:tcBorders>
                  <w:shd w:val="clear" w:color="auto" w:fill="auto"/>
                  <w:vAlign w:val="center"/>
                </w:tcPr>
                <w:p w14:paraId="023B7FB4">
                  <w:pPr>
                    <w:pStyle w:val="113"/>
                    <w:jc w:val="center"/>
                    <w:rPr>
                      <w:rFonts w:hint="default" w:ascii="Times New Roman" w:hAnsi="Times New Roman" w:eastAsia="宋体" w:cs="Times New Roman"/>
                      <w:color w:val="auto"/>
                      <w:spacing w:val="-10"/>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3CCDAB54">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3B4067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0CB917F7">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8</w:t>
                  </w:r>
                </w:p>
              </w:tc>
              <w:tc>
                <w:tcPr>
                  <w:tcW w:w="1016" w:type="pct"/>
                  <w:tcBorders>
                    <w:tl2br w:val="nil"/>
                    <w:tr2bl w:val="nil"/>
                  </w:tcBorders>
                  <w:shd w:val="clear" w:color="auto" w:fill="auto"/>
                  <w:vAlign w:val="center"/>
                </w:tcPr>
                <w:p w14:paraId="31907FBD">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szCs w:val="24"/>
                    </w:rPr>
                    <w:t>水洗3</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04D001FB">
                  <w:pPr>
                    <w:jc w:val="center"/>
                    <w:rPr>
                      <w:rFonts w:hint="default" w:ascii="Times New Roman" w:hAnsi="Times New Roman" w:eastAsia="宋体" w:cs="Times New Roman"/>
                      <w:color w:val="auto"/>
                      <w:spacing w:val="2"/>
                      <w:kern w:val="2"/>
                      <w:position w:val="1"/>
                      <w:sz w:val="21"/>
                      <w:szCs w:val="24"/>
                      <w:lang w:val="en-US" w:eastAsia="zh-CN" w:bidi="ar-SA"/>
                    </w:rPr>
                  </w:pPr>
                  <w:r>
                    <w:rPr>
                      <w:rFonts w:hint="eastAsia" w:ascii="Times New Roman" w:hAnsi="Times New Roman" w:eastAsia="宋体"/>
                      <w:color w:val="auto"/>
                      <w:sz w:val="21"/>
                    </w:rPr>
                    <w:t>5500*1500*2880+2500mm</w:t>
                  </w:r>
                </w:p>
              </w:tc>
              <w:tc>
                <w:tcPr>
                  <w:tcW w:w="697" w:type="pct"/>
                  <w:tcBorders>
                    <w:tl2br w:val="nil"/>
                    <w:tr2bl w:val="nil"/>
                  </w:tcBorders>
                  <w:shd w:val="clear" w:color="auto" w:fill="auto"/>
                  <w:vAlign w:val="center"/>
                </w:tcPr>
                <w:p w14:paraId="0797A1BC">
                  <w:pPr>
                    <w:pStyle w:val="113"/>
                    <w:jc w:val="center"/>
                    <w:rPr>
                      <w:rFonts w:hint="default" w:ascii="Times New Roman" w:hAnsi="Times New Roman" w:eastAsia="宋体" w:cs="Times New Roman"/>
                      <w:color w:val="auto"/>
                      <w:spacing w:val="-10"/>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7EF6C775">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37B60E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05F20F6F">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9</w:t>
                  </w:r>
                </w:p>
              </w:tc>
              <w:tc>
                <w:tcPr>
                  <w:tcW w:w="1016" w:type="pct"/>
                  <w:tcBorders>
                    <w:tl2br w:val="nil"/>
                    <w:tr2bl w:val="nil"/>
                  </w:tcBorders>
                  <w:shd w:val="clear" w:color="auto" w:fill="auto"/>
                  <w:vAlign w:val="center"/>
                </w:tcPr>
                <w:p w14:paraId="37E88243">
                  <w:pPr>
                    <w:pStyle w:val="113"/>
                    <w:jc w:val="center"/>
                    <w:rPr>
                      <w:rFonts w:hint="eastAsia" w:ascii="Times New Roman" w:hAnsi="Times New Roman" w:eastAsia="宋体" w:cs="Times New Roman"/>
                      <w:color w:val="auto"/>
                      <w:spacing w:val="7"/>
                      <w:kern w:val="2"/>
                      <w:sz w:val="21"/>
                      <w:szCs w:val="24"/>
                      <w:lang w:val="en-US" w:eastAsia="zh-CN" w:bidi="ar-SA"/>
                    </w:rPr>
                  </w:pPr>
                  <w:r>
                    <w:rPr>
                      <w:rFonts w:hint="eastAsia" w:ascii="Times New Roman" w:hAnsi="Times New Roman" w:eastAsia="宋体"/>
                      <w:color w:val="auto"/>
                      <w:sz w:val="21"/>
                      <w:szCs w:val="24"/>
                    </w:rPr>
                    <w:t>纯水洗1</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374798EE">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8000*1500*2200mm</w:t>
                  </w:r>
                </w:p>
              </w:tc>
              <w:tc>
                <w:tcPr>
                  <w:tcW w:w="697" w:type="pct"/>
                  <w:tcBorders>
                    <w:tl2br w:val="nil"/>
                    <w:tr2bl w:val="nil"/>
                  </w:tcBorders>
                  <w:shd w:val="clear" w:color="auto" w:fill="auto"/>
                  <w:vAlign w:val="center"/>
                </w:tcPr>
                <w:p w14:paraId="6E5FCEBD">
                  <w:pPr>
                    <w:pStyle w:val="113"/>
                    <w:jc w:val="center"/>
                    <w:rPr>
                      <w:rFonts w:hint="default" w:ascii="Times New Roman" w:hAnsi="Times New Roman" w:eastAsia="宋体" w:cs="Times New Roman"/>
                      <w:color w:val="auto"/>
                      <w:spacing w:val="-10"/>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4B16E7BD">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1EE0D2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30F02B8D">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10</w:t>
                  </w:r>
                </w:p>
              </w:tc>
              <w:tc>
                <w:tcPr>
                  <w:tcW w:w="1016" w:type="pct"/>
                  <w:tcBorders>
                    <w:tl2br w:val="nil"/>
                    <w:tr2bl w:val="nil"/>
                  </w:tcBorders>
                  <w:shd w:val="clear" w:color="auto" w:fill="auto"/>
                  <w:vAlign w:val="center"/>
                </w:tcPr>
                <w:p w14:paraId="22146C2C">
                  <w:pPr>
                    <w:pStyle w:val="113"/>
                    <w:jc w:val="center"/>
                    <w:rPr>
                      <w:rFonts w:hint="default" w:ascii="Times New Roman" w:hAnsi="Times New Roman" w:eastAsia="宋体" w:cs="Times New Roman"/>
                      <w:color w:val="auto"/>
                      <w:spacing w:val="2"/>
                      <w:kern w:val="2"/>
                      <w:position w:val="1"/>
                      <w:sz w:val="21"/>
                      <w:szCs w:val="24"/>
                      <w:lang w:val="en-US" w:eastAsia="zh-CN" w:bidi="ar-SA"/>
                    </w:rPr>
                  </w:pPr>
                  <w:r>
                    <w:rPr>
                      <w:rFonts w:hint="eastAsia" w:ascii="Times New Roman" w:hAnsi="Times New Roman" w:eastAsia="宋体"/>
                      <w:color w:val="auto"/>
                      <w:sz w:val="21"/>
                      <w:szCs w:val="24"/>
                    </w:rPr>
                    <w:t>电泳</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7CD30FCC">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pacing w:val="6"/>
                      <w:sz w:val="21"/>
                    </w:rPr>
                    <w:t>12000*1500*2200mm</w:t>
                  </w:r>
                </w:p>
              </w:tc>
              <w:tc>
                <w:tcPr>
                  <w:tcW w:w="697" w:type="pct"/>
                  <w:tcBorders>
                    <w:tl2br w:val="nil"/>
                    <w:tr2bl w:val="nil"/>
                  </w:tcBorders>
                  <w:shd w:val="clear" w:color="auto" w:fill="auto"/>
                  <w:vAlign w:val="center"/>
                </w:tcPr>
                <w:p w14:paraId="607F3758">
                  <w:pPr>
                    <w:pStyle w:val="113"/>
                    <w:jc w:val="center"/>
                    <w:rPr>
                      <w:rFonts w:hint="default" w:ascii="Times New Roman" w:hAnsi="Times New Roman" w:eastAsia="宋体" w:cs="Times New Roman"/>
                      <w:color w:val="auto"/>
                      <w:spacing w:val="-3"/>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35A2A4D2">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56BE69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6DD89908">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11</w:t>
                  </w:r>
                </w:p>
              </w:tc>
              <w:tc>
                <w:tcPr>
                  <w:tcW w:w="1016" w:type="pct"/>
                  <w:tcBorders>
                    <w:tl2br w:val="nil"/>
                    <w:tr2bl w:val="nil"/>
                  </w:tcBorders>
                  <w:shd w:val="clear" w:color="auto" w:fill="auto"/>
                  <w:vAlign w:val="center"/>
                </w:tcPr>
                <w:p w14:paraId="728BF775">
                  <w:pPr>
                    <w:pStyle w:val="113"/>
                    <w:jc w:val="center"/>
                    <w:rPr>
                      <w:rFonts w:hint="default" w:ascii="Times New Roman" w:hAnsi="Times New Roman" w:eastAsia="宋体" w:cs="Times New Roman"/>
                      <w:color w:val="auto"/>
                      <w:spacing w:val="6"/>
                      <w:kern w:val="2"/>
                      <w:sz w:val="21"/>
                      <w:szCs w:val="24"/>
                      <w:lang w:val="en-US" w:eastAsia="zh-CN" w:bidi="ar-SA"/>
                    </w:rPr>
                  </w:pPr>
                  <w:r>
                    <w:rPr>
                      <w:rFonts w:hint="eastAsia" w:ascii="Times New Roman" w:hAnsi="Times New Roman" w:eastAsia="宋体"/>
                      <w:color w:val="auto"/>
                      <w:sz w:val="21"/>
                      <w:szCs w:val="24"/>
                    </w:rPr>
                    <w:t>UF0洗</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11BB9E4D">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lang w:val="de-DE"/>
                    </w:rPr>
                    <w:t>14000*1500*</w:t>
                  </w:r>
                  <w:r>
                    <w:rPr>
                      <w:rFonts w:hint="eastAsia" w:ascii="Times New Roman" w:hAnsi="Times New Roman" w:eastAsia="宋体"/>
                      <w:color w:val="auto"/>
                      <w:sz w:val="21"/>
                    </w:rPr>
                    <w:t>28</w:t>
                  </w:r>
                  <w:r>
                    <w:rPr>
                      <w:rFonts w:hint="eastAsia" w:ascii="Times New Roman" w:hAnsi="Times New Roman" w:eastAsia="宋体"/>
                      <w:color w:val="auto"/>
                      <w:sz w:val="21"/>
                      <w:lang w:val="de-DE"/>
                    </w:rPr>
                    <w:t>80+2800mm</w:t>
                  </w:r>
                </w:p>
              </w:tc>
              <w:tc>
                <w:tcPr>
                  <w:tcW w:w="697" w:type="pct"/>
                  <w:tcBorders>
                    <w:tl2br w:val="nil"/>
                    <w:tr2bl w:val="nil"/>
                  </w:tcBorders>
                  <w:shd w:val="clear" w:color="auto" w:fill="auto"/>
                  <w:vAlign w:val="center"/>
                </w:tcPr>
                <w:p w14:paraId="1E05C4C2">
                  <w:pPr>
                    <w:pStyle w:val="113"/>
                    <w:jc w:val="center"/>
                    <w:rPr>
                      <w:rFonts w:hint="default" w:ascii="Times New Roman" w:hAnsi="Times New Roman" w:eastAsia="宋体" w:cs="Times New Roman"/>
                      <w:color w:val="auto"/>
                      <w:spacing w:val="-10"/>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20F6DB08">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1B4D18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1EF701C1">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12</w:t>
                  </w:r>
                </w:p>
              </w:tc>
              <w:tc>
                <w:tcPr>
                  <w:tcW w:w="1016" w:type="pct"/>
                  <w:tcBorders>
                    <w:tl2br w:val="nil"/>
                    <w:tr2bl w:val="nil"/>
                  </w:tcBorders>
                  <w:shd w:val="clear" w:color="auto" w:fill="auto"/>
                  <w:vAlign w:val="center"/>
                </w:tcPr>
                <w:p w14:paraId="6CDF4545">
                  <w:pPr>
                    <w:pStyle w:val="113"/>
                    <w:jc w:val="center"/>
                    <w:rPr>
                      <w:rFonts w:hint="eastAsia" w:ascii="Times New Roman" w:hAnsi="Times New Roman" w:eastAsia="宋体" w:cs="Times New Roman"/>
                      <w:color w:val="auto"/>
                      <w:spacing w:val="2"/>
                      <w:kern w:val="2"/>
                      <w:position w:val="1"/>
                      <w:sz w:val="21"/>
                      <w:szCs w:val="24"/>
                      <w:lang w:val="en-US" w:eastAsia="zh-CN" w:bidi="ar-SA"/>
                    </w:rPr>
                  </w:pPr>
                  <w:r>
                    <w:rPr>
                      <w:rFonts w:hint="eastAsia" w:ascii="Times New Roman" w:hAnsi="Times New Roman" w:eastAsia="宋体"/>
                      <w:color w:val="auto"/>
                      <w:sz w:val="21"/>
                      <w:szCs w:val="24"/>
                    </w:rPr>
                    <w:t>UF1洗</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2C60CCAE">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5000*1500*2880+2800mm</w:t>
                  </w:r>
                </w:p>
              </w:tc>
              <w:tc>
                <w:tcPr>
                  <w:tcW w:w="697" w:type="pct"/>
                  <w:tcBorders>
                    <w:tl2br w:val="nil"/>
                    <w:tr2bl w:val="nil"/>
                  </w:tcBorders>
                  <w:shd w:val="clear" w:color="auto" w:fill="auto"/>
                  <w:vAlign w:val="center"/>
                </w:tcPr>
                <w:p w14:paraId="283830D2">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44F9A75D">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20D6E5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40D30337">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13</w:t>
                  </w:r>
                </w:p>
              </w:tc>
              <w:tc>
                <w:tcPr>
                  <w:tcW w:w="1016" w:type="pct"/>
                  <w:tcBorders>
                    <w:tl2br w:val="nil"/>
                    <w:tr2bl w:val="nil"/>
                  </w:tcBorders>
                  <w:shd w:val="clear" w:color="auto" w:fill="auto"/>
                  <w:vAlign w:val="center"/>
                </w:tcPr>
                <w:p w14:paraId="78E1EAAC">
                  <w:pPr>
                    <w:pStyle w:val="113"/>
                    <w:jc w:val="center"/>
                    <w:rPr>
                      <w:rFonts w:hint="default" w:ascii="Times New Roman" w:hAnsi="Times New Roman" w:eastAsia="宋体" w:cs="Times New Roman"/>
                      <w:color w:val="auto"/>
                      <w:spacing w:val="2"/>
                      <w:kern w:val="2"/>
                      <w:position w:val="1"/>
                      <w:sz w:val="21"/>
                      <w:szCs w:val="24"/>
                      <w:lang w:val="en-US" w:eastAsia="zh-CN" w:bidi="ar-SA"/>
                    </w:rPr>
                  </w:pPr>
                  <w:r>
                    <w:rPr>
                      <w:rFonts w:hint="eastAsia" w:ascii="Times New Roman" w:hAnsi="Times New Roman" w:eastAsia="宋体"/>
                      <w:color w:val="auto"/>
                      <w:sz w:val="21"/>
                      <w:szCs w:val="24"/>
                    </w:rPr>
                    <w:t>UF2洗</w:t>
                  </w:r>
                  <w:r>
                    <w:rPr>
                      <w:rFonts w:hint="eastAsia" w:ascii="Times New Roman" w:hAnsi="Times New Roman" w:eastAsia="宋体"/>
                      <w:color w:val="auto"/>
                      <w:sz w:val="21"/>
                      <w:szCs w:val="24"/>
                      <w:lang w:eastAsia="zh-CN"/>
                    </w:rPr>
                    <w:t>槽</w:t>
                  </w:r>
                </w:p>
              </w:tc>
              <w:tc>
                <w:tcPr>
                  <w:tcW w:w="1829" w:type="pct"/>
                  <w:tcBorders>
                    <w:tl2br w:val="nil"/>
                    <w:tr2bl w:val="nil"/>
                  </w:tcBorders>
                  <w:shd w:val="clear" w:color="auto" w:fill="auto"/>
                  <w:vAlign w:val="center"/>
                </w:tcPr>
                <w:p w14:paraId="6C6D9AB8">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4500*1500*2880+2800mm</w:t>
                  </w:r>
                </w:p>
              </w:tc>
              <w:tc>
                <w:tcPr>
                  <w:tcW w:w="697" w:type="pct"/>
                  <w:tcBorders>
                    <w:tl2br w:val="nil"/>
                    <w:tr2bl w:val="nil"/>
                  </w:tcBorders>
                  <w:shd w:val="clear" w:color="auto" w:fill="auto"/>
                  <w:vAlign w:val="center"/>
                </w:tcPr>
                <w:p w14:paraId="702426C6">
                  <w:pPr>
                    <w:pStyle w:val="113"/>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65B9113F">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48225C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137A8549">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14</w:t>
                  </w:r>
                </w:p>
              </w:tc>
              <w:tc>
                <w:tcPr>
                  <w:tcW w:w="1016" w:type="pct"/>
                  <w:tcBorders>
                    <w:tl2br w:val="nil"/>
                    <w:tr2bl w:val="nil"/>
                  </w:tcBorders>
                  <w:shd w:val="clear" w:color="auto" w:fill="auto"/>
                  <w:vAlign w:val="center"/>
                </w:tcPr>
                <w:p w14:paraId="7A92AB48">
                  <w:pPr>
                    <w:pStyle w:val="113"/>
                    <w:jc w:val="center"/>
                    <w:rPr>
                      <w:rFonts w:hint="default" w:ascii="Times New Roman" w:hAnsi="Times New Roman" w:eastAsia="宋体" w:cs="Times New Roman"/>
                      <w:color w:val="auto"/>
                      <w:spacing w:val="2"/>
                      <w:kern w:val="2"/>
                      <w:position w:val="1"/>
                      <w:sz w:val="21"/>
                      <w:szCs w:val="24"/>
                      <w:lang w:val="en-US" w:eastAsia="zh-CN" w:bidi="ar-SA"/>
                    </w:rPr>
                  </w:pPr>
                  <w:r>
                    <w:rPr>
                      <w:rFonts w:hint="default" w:ascii="Times New Roman" w:hAnsi="Times New Roman" w:eastAsia="宋体" w:cs="Times New Roman"/>
                      <w:color w:val="auto"/>
                      <w:spacing w:val="2"/>
                      <w:kern w:val="2"/>
                      <w:position w:val="1"/>
                      <w:sz w:val="21"/>
                      <w:szCs w:val="24"/>
                      <w:lang w:val="en-US" w:eastAsia="zh-CN" w:bidi="ar-SA"/>
                    </w:rPr>
                    <w:t>天然气</w:t>
                  </w:r>
                  <w:r>
                    <w:rPr>
                      <w:rFonts w:hint="eastAsia" w:ascii="Times New Roman" w:hAnsi="Times New Roman" w:cs="Times New Roman"/>
                      <w:color w:val="auto"/>
                      <w:spacing w:val="2"/>
                      <w:kern w:val="2"/>
                      <w:position w:val="1"/>
                      <w:sz w:val="21"/>
                      <w:szCs w:val="24"/>
                      <w:lang w:val="en-US" w:eastAsia="zh-CN" w:bidi="ar-SA"/>
                    </w:rPr>
                    <w:t>烘干</w:t>
                  </w:r>
                  <w:r>
                    <w:rPr>
                      <w:rFonts w:hint="default" w:ascii="Times New Roman" w:hAnsi="Times New Roman" w:eastAsia="宋体" w:cs="Times New Roman"/>
                      <w:color w:val="auto"/>
                      <w:spacing w:val="2"/>
                      <w:kern w:val="2"/>
                      <w:position w:val="1"/>
                      <w:sz w:val="21"/>
                      <w:szCs w:val="24"/>
                      <w:lang w:val="en-US" w:eastAsia="zh-CN" w:bidi="ar-SA"/>
                    </w:rPr>
                    <w:t>炉</w:t>
                  </w:r>
                </w:p>
              </w:tc>
              <w:tc>
                <w:tcPr>
                  <w:tcW w:w="1829" w:type="pct"/>
                  <w:tcBorders>
                    <w:tl2br w:val="nil"/>
                    <w:tr2bl w:val="nil"/>
                  </w:tcBorders>
                  <w:shd w:val="clear" w:color="auto" w:fill="auto"/>
                  <w:vAlign w:val="center"/>
                </w:tcPr>
                <w:p w14:paraId="7000D012">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lang w:val="de-DE"/>
                    </w:rPr>
                    <w:t>4</w:t>
                  </w:r>
                  <w:r>
                    <w:rPr>
                      <w:rFonts w:hint="eastAsia" w:ascii="Times New Roman" w:hAnsi="Times New Roman" w:eastAsia="宋体"/>
                      <w:color w:val="auto"/>
                      <w:sz w:val="21"/>
                    </w:rPr>
                    <w:t>5</w:t>
                  </w:r>
                  <w:r>
                    <w:rPr>
                      <w:rFonts w:hint="eastAsia" w:ascii="Times New Roman" w:hAnsi="Times New Roman" w:eastAsia="宋体"/>
                      <w:color w:val="auto"/>
                      <w:sz w:val="21"/>
                      <w:lang w:val="de-DE"/>
                    </w:rPr>
                    <w:t>000*</w:t>
                  </w:r>
                  <w:r>
                    <w:rPr>
                      <w:rFonts w:hint="eastAsia" w:ascii="Times New Roman" w:hAnsi="Times New Roman" w:eastAsia="宋体"/>
                      <w:color w:val="auto"/>
                      <w:sz w:val="21"/>
                    </w:rPr>
                    <w:t>300</w:t>
                  </w:r>
                  <w:r>
                    <w:rPr>
                      <w:rFonts w:hint="eastAsia" w:ascii="Times New Roman" w:hAnsi="Times New Roman" w:eastAsia="宋体"/>
                      <w:color w:val="auto"/>
                      <w:sz w:val="21"/>
                      <w:lang w:val="de-DE"/>
                    </w:rPr>
                    <w:t>0*3</w:t>
                  </w:r>
                  <w:r>
                    <w:rPr>
                      <w:rFonts w:hint="eastAsia" w:ascii="Times New Roman" w:hAnsi="Times New Roman" w:eastAsia="宋体"/>
                      <w:color w:val="auto"/>
                      <w:sz w:val="21"/>
                    </w:rPr>
                    <w:t>00</w:t>
                  </w:r>
                  <w:r>
                    <w:rPr>
                      <w:rFonts w:hint="eastAsia" w:ascii="Times New Roman" w:hAnsi="Times New Roman" w:eastAsia="宋体"/>
                      <w:color w:val="auto"/>
                      <w:sz w:val="21"/>
                      <w:lang w:val="de-DE"/>
                    </w:rPr>
                    <w:t>0mm</w:t>
                  </w:r>
                </w:p>
              </w:tc>
              <w:tc>
                <w:tcPr>
                  <w:tcW w:w="697" w:type="pct"/>
                  <w:tcBorders>
                    <w:tl2br w:val="nil"/>
                    <w:tr2bl w:val="nil"/>
                  </w:tcBorders>
                  <w:shd w:val="clear" w:color="auto" w:fill="auto"/>
                  <w:vAlign w:val="center"/>
                </w:tcPr>
                <w:p w14:paraId="229B5AB8">
                  <w:pPr>
                    <w:pStyle w:val="113"/>
                    <w:jc w:val="center"/>
                    <w:rPr>
                      <w:rFonts w:hint="default" w:ascii="Times New Roman" w:hAnsi="Times New Roman" w:eastAsia="宋体" w:cs="Times New Roman"/>
                      <w:color w:val="auto"/>
                      <w:spacing w:val="-10"/>
                      <w:kern w:val="2"/>
                      <w:sz w:val="21"/>
                      <w:szCs w:val="24"/>
                      <w:lang w:val="en-US" w:eastAsia="zh-CN" w:bidi="ar-SA"/>
                    </w:rPr>
                  </w:pPr>
                  <w:r>
                    <w:rPr>
                      <w:rFonts w:hint="eastAsia" w:ascii="Times New Roman" w:hAnsi="Times New Roman" w:eastAsia="宋体" w:cs="Times New Roman"/>
                      <w:color w:val="auto"/>
                      <w:spacing w:val="-3"/>
                      <w:sz w:val="21"/>
                      <w:szCs w:val="24"/>
                      <w:lang w:eastAsia="zh-CN"/>
                    </w:rPr>
                    <w:t>1</w:t>
                  </w:r>
                </w:p>
              </w:tc>
              <w:tc>
                <w:tcPr>
                  <w:tcW w:w="1067" w:type="pct"/>
                  <w:tcBorders>
                    <w:tl2br w:val="nil"/>
                    <w:tr2bl w:val="nil"/>
                  </w:tcBorders>
                  <w:shd w:val="clear" w:color="auto" w:fill="auto"/>
                  <w:vAlign w:val="center"/>
                </w:tcPr>
                <w:p w14:paraId="194F1F31">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电泳</w:t>
                  </w:r>
                </w:p>
              </w:tc>
            </w:tr>
            <w:tr w14:paraId="2B2479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394E2B5D">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15</w:t>
                  </w:r>
                </w:p>
              </w:tc>
              <w:tc>
                <w:tcPr>
                  <w:tcW w:w="1016" w:type="pct"/>
                  <w:tcBorders>
                    <w:tl2br w:val="nil"/>
                    <w:tr2bl w:val="nil"/>
                  </w:tcBorders>
                  <w:shd w:val="clear" w:color="auto" w:fill="auto"/>
                  <w:vAlign w:val="center"/>
                </w:tcPr>
                <w:p w14:paraId="4E0AD2AC">
                  <w:pPr>
                    <w:pStyle w:val="113"/>
                    <w:jc w:val="center"/>
                    <w:rPr>
                      <w:rFonts w:hint="default" w:ascii="Times New Roman" w:hAnsi="Times New Roman" w:eastAsia="宋体" w:cs="Times New Roman"/>
                      <w:color w:val="auto"/>
                      <w:spacing w:val="2"/>
                      <w:kern w:val="2"/>
                      <w:position w:val="1"/>
                      <w:sz w:val="21"/>
                      <w:szCs w:val="24"/>
                      <w:lang w:val="en-US" w:eastAsia="zh-CN" w:bidi="ar-SA"/>
                    </w:rPr>
                  </w:pPr>
                  <w:r>
                    <w:rPr>
                      <w:rFonts w:ascii="Times New Roman" w:hAnsi="Times New Roman" w:eastAsia="宋体" w:cs="p&gt;:#"/>
                      <w:color w:val="auto"/>
                      <w:kern w:val="0"/>
                      <w:sz w:val="21"/>
                      <w:szCs w:val="24"/>
                    </w:rPr>
                    <w:t>污水处理设施</w:t>
                  </w:r>
                </w:p>
              </w:tc>
              <w:tc>
                <w:tcPr>
                  <w:tcW w:w="1829" w:type="pct"/>
                  <w:tcBorders>
                    <w:tl2br w:val="nil"/>
                    <w:tr2bl w:val="nil"/>
                  </w:tcBorders>
                  <w:shd w:val="clear" w:color="auto" w:fill="auto"/>
                  <w:vAlign w:val="center"/>
                </w:tcPr>
                <w:p w14:paraId="33EE8701">
                  <w:pPr>
                    <w:jc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highlight w:val="none"/>
                      <w:lang w:val="en-US" w:eastAsia="zh-CN" w:bidi="ar-SA"/>
                    </w:rPr>
                    <w:t>气浮+A/O+沉淀</w:t>
                  </w:r>
                </w:p>
              </w:tc>
              <w:tc>
                <w:tcPr>
                  <w:tcW w:w="697" w:type="pct"/>
                  <w:tcBorders>
                    <w:tl2br w:val="nil"/>
                    <w:tr2bl w:val="nil"/>
                  </w:tcBorders>
                  <w:shd w:val="clear" w:color="auto" w:fill="auto"/>
                  <w:vAlign w:val="center"/>
                </w:tcPr>
                <w:p w14:paraId="4B1A34B3">
                  <w:pPr>
                    <w:pStyle w:val="113"/>
                    <w:jc w:val="center"/>
                    <w:rPr>
                      <w:rFonts w:hint="default" w:ascii="Times New Roman" w:hAnsi="Times New Roman" w:eastAsia="宋体" w:cs="Times New Roman"/>
                      <w:color w:val="auto"/>
                      <w:spacing w:val="-10"/>
                      <w:kern w:val="2"/>
                      <w:sz w:val="21"/>
                      <w:szCs w:val="24"/>
                      <w:lang w:val="en-US" w:eastAsia="zh-CN" w:bidi="ar-SA"/>
                    </w:rPr>
                  </w:pPr>
                  <w:r>
                    <w:rPr>
                      <w:rFonts w:hint="eastAsia" w:ascii="Times New Roman" w:hAnsi="Times New Roman" w:eastAsia="宋体" w:cs="Times New Roman"/>
                      <w:color w:val="auto"/>
                      <w:spacing w:val="-10"/>
                      <w:sz w:val="21"/>
                      <w:szCs w:val="24"/>
                      <w:lang w:eastAsia="zh-CN"/>
                    </w:rPr>
                    <w:t>1</w:t>
                  </w:r>
                </w:p>
              </w:tc>
              <w:tc>
                <w:tcPr>
                  <w:tcW w:w="1067" w:type="pct"/>
                  <w:tcBorders>
                    <w:tl2br w:val="nil"/>
                    <w:tr2bl w:val="nil"/>
                  </w:tcBorders>
                  <w:shd w:val="clear" w:color="auto" w:fill="auto"/>
                  <w:vAlign w:val="center"/>
                </w:tcPr>
                <w:p w14:paraId="069725A1">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污水处理</w:t>
                  </w:r>
                </w:p>
              </w:tc>
            </w:tr>
            <w:tr w14:paraId="1201E1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388" w:type="pct"/>
                  <w:tcBorders>
                    <w:tl2br w:val="nil"/>
                    <w:tr2bl w:val="nil"/>
                  </w:tcBorders>
                  <w:vAlign w:val="center"/>
                </w:tcPr>
                <w:p w14:paraId="6A65819D">
                  <w:pPr>
                    <w:jc w:val="center"/>
                    <w:rPr>
                      <w:rFonts w:hint="default" w:ascii="Times New Roman" w:hAnsi="Times New Roman" w:eastAsia="宋体" w:cs="Times New Roman"/>
                      <w:bCs/>
                      <w:color w:val="auto"/>
                      <w:sz w:val="21"/>
                      <w:szCs w:val="21"/>
                      <w:lang w:val="en-US" w:eastAsia="zh-CN"/>
                    </w:rPr>
                  </w:pPr>
                  <w:r>
                    <w:rPr>
                      <w:rFonts w:hint="eastAsia" w:ascii="Times New Roman" w:hAnsi="Times New Roman" w:eastAsia="宋体" w:cs="Times New Roman"/>
                      <w:bCs/>
                      <w:color w:val="auto"/>
                      <w:sz w:val="21"/>
                      <w:szCs w:val="21"/>
                      <w:lang w:val="en-US" w:eastAsia="zh-CN"/>
                    </w:rPr>
                    <w:t>16</w:t>
                  </w:r>
                </w:p>
              </w:tc>
              <w:tc>
                <w:tcPr>
                  <w:tcW w:w="1016" w:type="pct"/>
                  <w:tcBorders>
                    <w:tl2br w:val="nil"/>
                    <w:tr2bl w:val="nil"/>
                  </w:tcBorders>
                  <w:shd w:val="clear" w:color="auto" w:fill="auto"/>
                  <w:vAlign w:val="center"/>
                </w:tcPr>
                <w:p w14:paraId="052DE20C">
                  <w:pPr>
                    <w:pStyle w:val="113"/>
                    <w:jc w:val="center"/>
                    <w:rPr>
                      <w:rFonts w:hint="eastAsia" w:ascii="Times New Roman" w:hAnsi="Times New Roman" w:eastAsia="宋体" w:cs="Times New Roman"/>
                      <w:color w:val="auto"/>
                      <w:spacing w:val="2"/>
                      <w:kern w:val="2"/>
                      <w:position w:val="1"/>
                      <w:sz w:val="21"/>
                      <w:szCs w:val="24"/>
                      <w:lang w:val="en-US" w:eastAsia="zh-CN" w:bidi="ar-SA"/>
                    </w:rPr>
                  </w:pPr>
                  <w:r>
                    <w:rPr>
                      <w:rFonts w:ascii="Times New Roman" w:hAnsi="Times New Roman" w:eastAsia="宋体" w:cs="p&gt;:#"/>
                      <w:color w:val="auto"/>
                      <w:kern w:val="0"/>
                      <w:sz w:val="21"/>
                      <w:szCs w:val="24"/>
                    </w:rPr>
                    <w:t>座椅骨架装配线</w:t>
                  </w:r>
                </w:p>
              </w:tc>
              <w:tc>
                <w:tcPr>
                  <w:tcW w:w="1829" w:type="pct"/>
                  <w:tcBorders>
                    <w:tl2br w:val="nil"/>
                    <w:tr2bl w:val="nil"/>
                  </w:tcBorders>
                  <w:shd w:val="clear" w:color="auto" w:fill="auto"/>
                  <w:vAlign w:val="center"/>
                </w:tcPr>
                <w:p w14:paraId="77EB0675">
                  <w:pPr>
                    <w:jc w:val="center"/>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w:t>
                  </w:r>
                </w:p>
              </w:tc>
              <w:tc>
                <w:tcPr>
                  <w:tcW w:w="697" w:type="pct"/>
                  <w:tcBorders>
                    <w:tl2br w:val="nil"/>
                    <w:tr2bl w:val="nil"/>
                  </w:tcBorders>
                  <w:shd w:val="clear" w:color="auto" w:fill="auto"/>
                  <w:vAlign w:val="center"/>
                </w:tcPr>
                <w:p w14:paraId="6CCBF159">
                  <w:pPr>
                    <w:pStyle w:val="113"/>
                    <w:jc w:val="center"/>
                    <w:rPr>
                      <w:rFonts w:hint="eastAsia" w:ascii="Times New Roman" w:hAnsi="Times New Roman" w:eastAsia="宋体" w:cs="Times New Roman"/>
                      <w:color w:val="auto"/>
                      <w:spacing w:val="-5"/>
                      <w:kern w:val="2"/>
                      <w:sz w:val="21"/>
                      <w:szCs w:val="24"/>
                      <w:lang w:val="en-US" w:eastAsia="zh-CN" w:bidi="ar-SA"/>
                    </w:rPr>
                  </w:pPr>
                  <w:r>
                    <w:rPr>
                      <w:rFonts w:hint="eastAsia" w:ascii="Times New Roman" w:hAnsi="Times New Roman" w:eastAsia="宋体" w:cs="Times New Roman"/>
                      <w:color w:val="auto"/>
                      <w:spacing w:val="-5"/>
                      <w:sz w:val="21"/>
                      <w:szCs w:val="24"/>
                      <w:lang w:eastAsia="zh-CN"/>
                    </w:rPr>
                    <w:t>1</w:t>
                  </w:r>
                </w:p>
              </w:tc>
              <w:tc>
                <w:tcPr>
                  <w:tcW w:w="1067" w:type="pct"/>
                  <w:tcBorders>
                    <w:tl2br w:val="nil"/>
                    <w:tr2bl w:val="nil"/>
                  </w:tcBorders>
                  <w:shd w:val="clear" w:color="auto" w:fill="auto"/>
                  <w:vAlign w:val="center"/>
                </w:tcPr>
                <w:p w14:paraId="254DBDC3">
                  <w:pPr>
                    <w:jc w:val="center"/>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olor w:val="auto"/>
                      <w:sz w:val="21"/>
                    </w:rPr>
                    <w:t>装配</w:t>
                  </w:r>
                </w:p>
              </w:tc>
            </w:tr>
          </w:tbl>
          <w:p w14:paraId="6B9B9891">
            <w:pPr>
              <w:pStyle w:val="3"/>
              <w:bidi w:val="0"/>
              <w:ind w:left="0" w:leftChars="0" w:firstLine="0" w:firstLineChars="0"/>
              <w:rPr>
                <w:rFonts w:hint="eastAsia"/>
                <w:color w:val="auto"/>
                <w:highlight w:val="none"/>
              </w:rPr>
            </w:pPr>
            <w:r>
              <w:rPr>
                <w:rFonts w:hint="eastAsia"/>
                <w:color w:val="auto"/>
                <w:highlight w:val="none"/>
              </w:rPr>
              <w:t>主要原辅材料</w:t>
            </w:r>
            <w:bookmarkEnd w:id="19"/>
            <w:bookmarkEnd w:id="20"/>
            <w:bookmarkEnd w:id="21"/>
            <w:bookmarkEnd w:id="22"/>
            <w:r>
              <w:rPr>
                <w:rFonts w:hint="eastAsia"/>
                <w:color w:val="auto"/>
                <w:highlight w:val="none"/>
              </w:rPr>
              <w:t>及能源消耗</w:t>
            </w:r>
          </w:p>
          <w:p w14:paraId="5C4BFD5A">
            <w:pPr>
              <w:pStyle w:val="44"/>
              <w:ind w:firstLine="480"/>
              <w:rPr>
                <w:color w:val="auto"/>
                <w:highlight w:val="none"/>
              </w:rPr>
            </w:pPr>
            <w:r>
              <w:rPr>
                <w:rFonts w:hint="eastAsia"/>
                <w:color w:val="auto"/>
                <w:highlight w:val="none"/>
              </w:rPr>
              <w:t>（1）主要原辅材料</w:t>
            </w:r>
          </w:p>
          <w:p w14:paraId="33A1201D">
            <w:pPr>
              <w:pStyle w:val="44"/>
              <w:ind w:firstLine="480"/>
              <w:rPr>
                <w:color w:val="auto"/>
                <w:highlight w:val="none"/>
              </w:rPr>
            </w:pPr>
            <w:r>
              <w:rPr>
                <w:rFonts w:hint="eastAsia"/>
                <w:color w:val="auto"/>
                <w:highlight w:val="none"/>
              </w:rPr>
              <w:t>项目</w:t>
            </w:r>
            <w:r>
              <w:rPr>
                <w:color w:val="auto"/>
                <w:highlight w:val="none"/>
              </w:rPr>
              <w:t>主要原辅材料用量见</w:t>
            </w:r>
            <w:r>
              <w:rPr>
                <w:rFonts w:hint="eastAsia"/>
                <w:color w:val="auto"/>
                <w:highlight w:val="none"/>
              </w:rPr>
              <w:t>下表</w:t>
            </w:r>
            <w:r>
              <w:rPr>
                <w:color w:val="auto"/>
                <w:highlight w:val="none"/>
              </w:rPr>
              <w:t>。</w:t>
            </w:r>
          </w:p>
          <w:p w14:paraId="72136843">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color w:val="auto"/>
                <w:highlight w:val="none"/>
              </w:rPr>
            </w:pPr>
            <w:r>
              <w:rPr>
                <w:color w:val="auto"/>
                <w:highlight w:val="none"/>
              </w:rPr>
              <w:t>主要原辅材料预计消耗一览表</w:t>
            </w:r>
          </w:p>
          <w:tbl>
            <w:tblPr>
              <w:tblStyle w:val="33"/>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556"/>
              <w:gridCol w:w="898"/>
              <w:gridCol w:w="2072"/>
              <w:gridCol w:w="488"/>
              <w:gridCol w:w="650"/>
              <w:gridCol w:w="964"/>
              <w:gridCol w:w="1050"/>
              <w:gridCol w:w="723"/>
              <w:gridCol w:w="1240"/>
            </w:tblGrid>
            <w:tr w14:paraId="49B0DE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blHeader/>
              </w:trPr>
              <w:tc>
                <w:tcPr>
                  <w:tcW w:w="326" w:type="pct"/>
                  <w:tcBorders>
                    <w:bottom w:val="single" w:color="000000" w:sz="12" w:space="0"/>
                  </w:tcBorders>
                  <w:shd w:val="clear" w:color="auto" w:fill="auto"/>
                  <w:vAlign w:val="center"/>
                </w:tcPr>
                <w:p w14:paraId="76567A0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序号</w:t>
                  </w:r>
                </w:p>
              </w:tc>
              <w:tc>
                <w:tcPr>
                  <w:tcW w:w="524" w:type="pct"/>
                  <w:tcBorders>
                    <w:bottom w:val="single" w:color="000000" w:sz="12" w:space="0"/>
                  </w:tcBorders>
                  <w:shd w:val="clear" w:color="auto" w:fill="auto"/>
                  <w:vAlign w:val="center"/>
                </w:tcPr>
                <w:p w14:paraId="0D14BE0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原料名称</w:t>
                  </w:r>
                </w:p>
              </w:tc>
              <w:tc>
                <w:tcPr>
                  <w:tcW w:w="1202" w:type="pct"/>
                  <w:tcBorders>
                    <w:bottom w:val="single" w:color="000000" w:sz="12" w:space="0"/>
                  </w:tcBorders>
                  <w:shd w:val="clear" w:color="auto" w:fill="auto"/>
                  <w:vAlign w:val="center"/>
                </w:tcPr>
                <w:p w14:paraId="7A07F878">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成分</w:t>
                  </w:r>
                </w:p>
              </w:tc>
              <w:tc>
                <w:tcPr>
                  <w:tcW w:w="286" w:type="pct"/>
                  <w:tcBorders>
                    <w:bottom w:val="single" w:color="000000" w:sz="12" w:space="0"/>
                  </w:tcBorders>
                  <w:shd w:val="clear" w:color="auto" w:fill="auto"/>
                  <w:vAlign w:val="center"/>
                </w:tcPr>
                <w:p w14:paraId="5250BD5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形态</w:t>
                  </w:r>
                </w:p>
              </w:tc>
              <w:tc>
                <w:tcPr>
                  <w:tcW w:w="380" w:type="pct"/>
                  <w:tcBorders>
                    <w:bottom w:val="single" w:color="000000" w:sz="12" w:space="0"/>
                  </w:tcBorders>
                  <w:shd w:val="clear" w:color="auto" w:fill="auto"/>
                  <w:vAlign w:val="center"/>
                </w:tcPr>
                <w:p w14:paraId="3F4A1A1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包装</w:t>
                  </w:r>
                </w:p>
                <w:p w14:paraId="2C58043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规格</w:t>
                  </w:r>
                </w:p>
              </w:tc>
              <w:tc>
                <w:tcPr>
                  <w:tcW w:w="524" w:type="pct"/>
                  <w:tcBorders>
                    <w:bottom w:val="single" w:color="000000" w:sz="12" w:space="0"/>
                  </w:tcBorders>
                  <w:shd w:val="clear" w:color="auto" w:fill="auto"/>
                  <w:vAlign w:val="center"/>
                </w:tcPr>
                <w:p w14:paraId="2C7D634B">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年用量</w:t>
                  </w:r>
                </w:p>
              </w:tc>
              <w:tc>
                <w:tcPr>
                  <w:tcW w:w="611" w:type="pct"/>
                  <w:tcBorders>
                    <w:bottom w:val="single" w:color="000000" w:sz="12" w:space="0"/>
                  </w:tcBorders>
                  <w:shd w:val="clear" w:color="auto" w:fill="auto"/>
                  <w:vAlign w:val="center"/>
                </w:tcPr>
                <w:p w14:paraId="70FD8F9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贮存位置</w:t>
                  </w:r>
                </w:p>
              </w:tc>
              <w:tc>
                <w:tcPr>
                  <w:tcW w:w="422" w:type="pct"/>
                  <w:tcBorders>
                    <w:bottom w:val="single" w:color="000000" w:sz="12" w:space="0"/>
                  </w:tcBorders>
                  <w:shd w:val="clear" w:color="auto" w:fill="auto"/>
                  <w:vAlign w:val="center"/>
                </w:tcPr>
                <w:p w14:paraId="3621322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厂区贮存量</w:t>
                  </w:r>
                </w:p>
              </w:tc>
              <w:tc>
                <w:tcPr>
                  <w:tcW w:w="721" w:type="pct"/>
                  <w:tcBorders>
                    <w:bottom w:val="single" w:color="000000" w:sz="12" w:space="0"/>
                  </w:tcBorders>
                  <w:shd w:val="clear" w:color="auto" w:fill="auto"/>
                  <w:vAlign w:val="center"/>
                </w:tcPr>
                <w:p w14:paraId="13843BF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用途</w:t>
                  </w:r>
                </w:p>
              </w:tc>
            </w:tr>
            <w:tr w14:paraId="28A010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10" w:hRule="atLeast"/>
              </w:trPr>
              <w:tc>
                <w:tcPr>
                  <w:tcW w:w="326" w:type="pct"/>
                  <w:tcBorders>
                    <w:top w:val="single" w:color="000000" w:sz="12" w:space="0"/>
                    <w:tl2br w:val="nil"/>
                    <w:tr2bl w:val="nil"/>
                  </w:tcBorders>
                  <w:shd w:val="clear" w:color="auto" w:fill="auto"/>
                  <w:vAlign w:val="center"/>
                </w:tcPr>
                <w:p w14:paraId="54BA741B">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524" w:type="pct"/>
                  <w:tcBorders>
                    <w:top w:val="single" w:color="000000" w:sz="12" w:space="0"/>
                    <w:tl2br w:val="nil"/>
                    <w:tr2bl w:val="nil"/>
                  </w:tcBorders>
                  <w:shd w:val="clear" w:color="auto" w:fill="auto"/>
                  <w:vAlign w:val="center"/>
                </w:tcPr>
                <w:p w14:paraId="0E2A0E0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座椅座垫</w:t>
                  </w:r>
                </w:p>
                <w:p w14:paraId="7F0DB35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骨架零件</w:t>
                  </w:r>
                </w:p>
              </w:tc>
              <w:tc>
                <w:tcPr>
                  <w:tcW w:w="1202" w:type="pct"/>
                  <w:tcBorders>
                    <w:top w:val="single" w:color="000000" w:sz="12" w:space="0"/>
                    <w:tl2br w:val="nil"/>
                    <w:tr2bl w:val="nil"/>
                  </w:tcBorders>
                  <w:shd w:val="clear" w:color="auto" w:fill="auto"/>
                  <w:vAlign w:val="center"/>
                </w:tcPr>
                <w:p w14:paraId="0CA18A6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冷轧钢材，成分为C：0.1%，Mn：0.5%，P：0.035%，S：0.025%，Fe：99.34%</w:t>
                  </w:r>
                </w:p>
              </w:tc>
              <w:tc>
                <w:tcPr>
                  <w:tcW w:w="286" w:type="pct"/>
                  <w:tcBorders>
                    <w:top w:val="single" w:color="000000" w:sz="12" w:space="0"/>
                    <w:tl2br w:val="nil"/>
                    <w:tr2bl w:val="nil"/>
                  </w:tcBorders>
                  <w:shd w:val="clear" w:color="auto" w:fill="auto"/>
                  <w:vAlign w:val="center"/>
                </w:tcPr>
                <w:p w14:paraId="6A9023F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380" w:type="pct"/>
                  <w:tcBorders>
                    <w:top w:val="single" w:color="000000" w:sz="12" w:space="0"/>
                    <w:tl2br w:val="nil"/>
                    <w:tr2bl w:val="nil"/>
                  </w:tcBorders>
                  <w:shd w:val="clear" w:color="auto" w:fill="auto"/>
                  <w:vAlign w:val="center"/>
                </w:tcPr>
                <w:p w14:paraId="40BC4F7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料架</w:t>
                  </w:r>
                </w:p>
              </w:tc>
              <w:tc>
                <w:tcPr>
                  <w:tcW w:w="524" w:type="pct"/>
                  <w:tcBorders>
                    <w:top w:val="single" w:color="000000" w:sz="12" w:space="0"/>
                    <w:tl2br w:val="nil"/>
                    <w:tr2bl w:val="nil"/>
                  </w:tcBorders>
                  <w:shd w:val="clear" w:color="auto" w:fill="auto"/>
                  <w:vAlign w:val="center"/>
                </w:tcPr>
                <w:p w14:paraId="3FBD1FF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10万</w:t>
                  </w:r>
                </w:p>
                <w:p w14:paraId="7EABCB6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套/a</w:t>
                  </w:r>
                </w:p>
              </w:tc>
              <w:tc>
                <w:tcPr>
                  <w:tcW w:w="611" w:type="pct"/>
                  <w:tcBorders>
                    <w:top w:val="single" w:color="000000" w:sz="12" w:space="0"/>
                    <w:tl2br w:val="nil"/>
                    <w:tr2bl w:val="nil"/>
                  </w:tcBorders>
                  <w:shd w:val="clear" w:color="auto" w:fill="auto"/>
                  <w:vAlign w:val="center"/>
                </w:tcPr>
                <w:p w14:paraId="219DC7D2">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进料暂存区</w:t>
                  </w:r>
                </w:p>
              </w:tc>
              <w:tc>
                <w:tcPr>
                  <w:tcW w:w="422" w:type="pct"/>
                  <w:tcBorders>
                    <w:top w:val="single" w:color="000000" w:sz="12" w:space="0"/>
                    <w:tl2br w:val="nil"/>
                    <w:tr2bl w:val="nil"/>
                  </w:tcBorders>
                  <w:shd w:val="clear" w:color="auto" w:fill="auto"/>
                  <w:vAlign w:val="center"/>
                </w:tcPr>
                <w:p w14:paraId="1947967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2500套</w:t>
                  </w:r>
                </w:p>
              </w:tc>
              <w:tc>
                <w:tcPr>
                  <w:tcW w:w="721" w:type="pct"/>
                  <w:vMerge w:val="restart"/>
                  <w:tcBorders>
                    <w:top w:val="single" w:color="000000" w:sz="12" w:space="0"/>
                    <w:tl2br w:val="nil"/>
                    <w:tr2bl w:val="nil"/>
                  </w:tcBorders>
                  <w:shd w:val="clear" w:color="auto" w:fill="auto"/>
                  <w:vAlign w:val="center"/>
                </w:tcPr>
                <w:p w14:paraId="0C4731F8">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装配</w:t>
                  </w:r>
                </w:p>
              </w:tc>
            </w:tr>
            <w:tr w14:paraId="003673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71FC923A">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524" w:type="pct"/>
                  <w:tcBorders>
                    <w:tl2br w:val="nil"/>
                    <w:tr2bl w:val="nil"/>
                  </w:tcBorders>
                  <w:shd w:val="clear" w:color="auto" w:fill="auto"/>
                  <w:vAlign w:val="center"/>
                </w:tcPr>
                <w:p w14:paraId="2F0F57BB">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螺栓</w:t>
                  </w:r>
                </w:p>
              </w:tc>
              <w:tc>
                <w:tcPr>
                  <w:tcW w:w="1202" w:type="pct"/>
                  <w:tcBorders>
                    <w:tl2br w:val="nil"/>
                    <w:tr2bl w:val="nil"/>
                  </w:tcBorders>
                  <w:shd w:val="clear" w:color="auto" w:fill="auto"/>
                  <w:vAlign w:val="center"/>
                </w:tcPr>
                <w:p w14:paraId="3C958D3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both"/>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冷墩钢，成分为C：0.18%</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0.23%，Si：0.1%，Mn：0.7%</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1%，P：0.025%，S：0.025%，Alt：0.02%，Fe：98.6%</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98.95%</w:t>
                  </w:r>
                </w:p>
              </w:tc>
              <w:tc>
                <w:tcPr>
                  <w:tcW w:w="286" w:type="pct"/>
                  <w:tcBorders>
                    <w:tl2br w:val="nil"/>
                    <w:tr2bl w:val="nil"/>
                  </w:tcBorders>
                  <w:shd w:val="clear" w:color="auto" w:fill="auto"/>
                  <w:vAlign w:val="center"/>
                </w:tcPr>
                <w:p w14:paraId="30656C0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380" w:type="pct"/>
                  <w:tcBorders>
                    <w:tl2br w:val="nil"/>
                    <w:tr2bl w:val="nil"/>
                  </w:tcBorders>
                  <w:shd w:val="clear" w:color="auto" w:fill="auto"/>
                  <w:vAlign w:val="center"/>
                </w:tcPr>
                <w:p w14:paraId="0F90B262">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纸箱</w:t>
                  </w:r>
                </w:p>
              </w:tc>
              <w:tc>
                <w:tcPr>
                  <w:tcW w:w="524" w:type="pct"/>
                  <w:tcBorders>
                    <w:tl2br w:val="nil"/>
                    <w:tr2bl w:val="nil"/>
                  </w:tcBorders>
                  <w:shd w:val="clear" w:color="auto" w:fill="auto"/>
                  <w:vAlign w:val="center"/>
                </w:tcPr>
                <w:p w14:paraId="68FDD56A">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10万</w:t>
                  </w:r>
                </w:p>
                <w:p w14:paraId="7D930F5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套/a</w:t>
                  </w:r>
                </w:p>
              </w:tc>
              <w:tc>
                <w:tcPr>
                  <w:tcW w:w="611" w:type="pct"/>
                  <w:tcBorders>
                    <w:tl2br w:val="nil"/>
                    <w:tr2bl w:val="nil"/>
                  </w:tcBorders>
                  <w:shd w:val="clear" w:color="auto" w:fill="auto"/>
                  <w:vAlign w:val="center"/>
                </w:tcPr>
                <w:p w14:paraId="1893921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进料暂存区</w:t>
                  </w:r>
                </w:p>
              </w:tc>
              <w:tc>
                <w:tcPr>
                  <w:tcW w:w="422" w:type="pct"/>
                  <w:tcBorders>
                    <w:tl2br w:val="nil"/>
                    <w:tr2bl w:val="nil"/>
                  </w:tcBorders>
                  <w:shd w:val="clear" w:color="auto" w:fill="auto"/>
                  <w:vAlign w:val="center"/>
                </w:tcPr>
                <w:p w14:paraId="24647A84">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2500套</w:t>
                  </w:r>
                </w:p>
              </w:tc>
              <w:tc>
                <w:tcPr>
                  <w:tcW w:w="721" w:type="pct"/>
                  <w:vMerge w:val="continue"/>
                  <w:tcBorders>
                    <w:tl2br w:val="nil"/>
                    <w:tr2bl w:val="nil"/>
                  </w:tcBorders>
                  <w:shd w:val="clear" w:color="auto" w:fill="auto"/>
                  <w:vAlign w:val="center"/>
                </w:tcPr>
                <w:p w14:paraId="251365D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r>
            <w:tr w14:paraId="4A9EB8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3164093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524" w:type="pct"/>
                  <w:tcBorders>
                    <w:tl2br w:val="nil"/>
                    <w:tr2bl w:val="nil"/>
                  </w:tcBorders>
                  <w:shd w:val="clear" w:color="auto" w:fill="auto"/>
                  <w:vAlign w:val="center"/>
                </w:tcPr>
                <w:p w14:paraId="67FCF05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焊丝</w:t>
                  </w:r>
                </w:p>
              </w:tc>
              <w:tc>
                <w:tcPr>
                  <w:tcW w:w="1202" w:type="pct"/>
                  <w:tcBorders>
                    <w:tl2br w:val="nil"/>
                    <w:tr2bl w:val="nil"/>
                  </w:tcBorders>
                  <w:shd w:val="clear" w:color="auto" w:fill="auto"/>
                  <w:vAlign w:val="center"/>
                </w:tcPr>
                <w:p w14:paraId="46DA4DD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0.06%</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0.15%</w:t>
                  </w:r>
                  <w:r>
                    <w:rPr>
                      <w:rFonts w:hint="eastAsia" w:cs="Times New Roman"/>
                      <w:color w:val="auto"/>
                      <w:sz w:val="21"/>
                      <w:szCs w:val="21"/>
                      <w:lang w:val="en-US" w:eastAsia="zh-CN"/>
                    </w:rPr>
                    <w:t>，</w:t>
                  </w:r>
                </w:p>
                <w:p w14:paraId="779D6C7E">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Si</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0.7%</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0.95%</w:t>
                  </w:r>
                  <w:r>
                    <w:rPr>
                      <w:rFonts w:hint="eastAsia" w:cs="Times New Roman"/>
                      <w:color w:val="auto"/>
                      <w:sz w:val="21"/>
                      <w:szCs w:val="21"/>
                      <w:lang w:val="en-US" w:eastAsia="zh-CN"/>
                    </w:rPr>
                    <w:t>，</w:t>
                  </w:r>
                </w:p>
                <w:p w14:paraId="2287C3A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Mn</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1.8%</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2.1%</w:t>
                  </w:r>
                  <w:r>
                    <w:rPr>
                      <w:rFonts w:hint="eastAsia" w:cs="Times New Roman"/>
                      <w:color w:val="auto"/>
                      <w:sz w:val="21"/>
                      <w:szCs w:val="21"/>
                      <w:lang w:val="en-US" w:eastAsia="zh-CN"/>
                    </w:rPr>
                    <w:t>，</w:t>
                  </w:r>
                </w:p>
                <w:p w14:paraId="5B53C42A">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S≤0.03%</w:t>
                  </w:r>
                  <w:r>
                    <w:rPr>
                      <w:rFonts w:hint="eastAsia" w:cs="Times New Roman"/>
                      <w:color w:val="auto"/>
                      <w:sz w:val="21"/>
                      <w:szCs w:val="21"/>
                      <w:lang w:val="en-US" w:eastAsia="zh-CN"/>
                    </w:rPr>
                    <w:t>，</w:t>
                  </w:r>
                </w:p>
                <w:p w14:paraId="27E4C11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P≤0.035%</w:t>
                  </w:r>
                  <w:r>
                    <w:rPr>
                      <w:rFonts w:hint="eastAsia" w:cs="Times New Roman"/>
                      <w:color w:val="auto"/>
                      <w:sz w:val="21"/>
                      <w:szCs w:val="21"/>
                      <w:lang w:val="en-US" w:eastAsia="zh-CN"/>
                    </w:rPr>
                    <w:t>，</w:t>
                  </w:r>
                </w:p>
                <w:p w14:paraId="3A67ABF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Cr≤0.02%</w:t>
                  </w:r>
                </w:p>
              </w:tc>
              <w:tc>
                <w:tcPr>
                  <w:tcW w:w="286" w:type="pct"/>
                  <w:tcBorders>
                    <w:tl2br w:val="nil"/>
                    <w:tr2bl w:val="nil"/>
                  </w:tcBorders>
                  <w:shd w:val="clear" w:color="auto" w:fill="auto"/>
                  <w:vAlign w:val="center"/>
                </w:tcPr>
                <w:p w14:paraId="0CD8701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380" w:type="pct"/>
                  <w:tcBorders>
                    <w:tl2br w:val="nil"/>
                    <w:tr2bl w:val="nil"/>
                  </w:tcBorders>
                  <w:shd w:val="clear" w:color="auto" w:fill="auto"/>
                  <w:vAlign w:val="center"/>
                </w:tcPr>
                <w:p w14:paraId="04F32AA4">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纸箱</w:t>
                  </w:r>
                </w:p>
              </w:tc>
              <w:tc>
                <w:tcPr>
                  <w:tcW w:w="524" w:type="pct"/>
                  <w:tcBorders>
                    <w:tl2br w:val="nil"/>
                    <w:tr2bl w:val="nil"/>
                  </w:tcBorders>
                  <w:shd w:val="clear" w:color="auto" w:fill="auto"/>
                  <w:vAlign w:val="center"/>
                </w:tcPr>
                <w:p w14:paraId="5C8915A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20t/a</w:t>
                  </w:r>
                </w:p>
              </w:tc>
              <w:tc>
                <w:tcPr>
                  <w:tcW w:w="611" w:type="pct"/>
                  <w:tcBorders>
                    <w:tl2br w:val="nil"/>
                    <w:tr2bl w:val="nil"/>
                  </w:tcBorders>
                  <w:shd w:val="clear" w:color="auto" w:fill="auto"/>
                  <w:vAlign w:val="center"/>
                </w:tcPr>
                <w:p w14:paraId="12E8CDE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进料暂存区</w:t>
                  </w:r>
                </w:p>
              </w:tc>
              <w:tc>
                <w:tcPr>
                  <w:tcW w:w="422" w:type="pct"/>
                  <w:tcBorders>
                    <w:tl2br w:val="nil"/>
                    <w:tr2bl w:val="nil"/>
                  </w:tcBorders>
                  <w:shd w:val="clear" w:color="auto" w:fill="auto"/>
                  <w:vAlign w:val="center"/>
                </w:tcPr>
                <w:p w14:paraId="12A63FAE">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2t</w:t>
                  </w:r>
                </w:p>
              </w:tc>
              <w:tc>
                <w:tcPr>
                  <w:tcW w:w="721" w:type="pct"/>
                  <w:vMerge w:val="restart"/>
                  <w:tcBorders>
                    <w:tl2br w:val="nil"/>
                    <w:tr2bl w:val="nil"/>
                  </w:tcBorders>
                  <w:shd w:val="clear" w:color="auto" w:fill="auto"/>
                  <w:vAlign w:val="center"/>
                </w:tcPr>
                <w:p w14:paraId="5D85317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焊接</w:t>
                  </w:r>
                </w:p>
              </w:tc>
            </w:tr>
            <w:tr w14:paraId="220FCB3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38E2AB4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524" w:type="pct"/>
                  <w:tcBorders>
                    <w:tl2br w:val="nil"/>
                    <w:tr2bl w:val="nil"/>
                  </w:tcBorders>
                  <w:shd w:val="clear" w:color="auto" w:fill="auto"/>
                  <w:vAlign w:val="center"/>
                </w:tcPr>
                <w:p w14:paraId="478F9D5A">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CO</w:t>
                  </w:r>
                  <w:r>
                    <w:rPr>
                      <w:rFonts w:hint="eastAsia" w:ascii="Times New Roman" w:hAnsi="Times New Roman" w:eastAsia="宋体" w:cs="Times New Roman"/>
                      <w:color w:val="auto"/>
                      <w:sz w:val="21"/>
                      <w:szCs w:val="21"/>
                      <w:vertAlign w:val="subscript"/>
                      <w:lang w:val="en-US" w:eastAsia="zh-CN"/>
                    </w:rPr>
                    <w:t>2</w:t>
                  </w:r>
                </w:p>
              </w:tc>
              <w:tc>
                <w:tcPr>
                  <w:tcW w:w="1202" w:type="pct"/>
                  <w:tcBorders>
                    <w:tl2br w:val="nil"/>
                    <w:tr2bl w:val="nil"/>
                  </w:tcBorders>
                  <w:shd w:val="clear" w:color="auto" w:fill="auto"/>
                  <w:vAlign w:val="center"/>
                </w:tcPr>
                <w:p w14:paraId="55A99CA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CO</w:t>
                  </w:r>
                  <w:r>
                    <w:rPr>
                      <w:rFonts w:hint="eastAsia" w:ascii="Times New Roman" w:hAnsi="Times New Roman" w:eastAsia="宋体" w:cs="Times New Roman"/>
                      <w:color w:val="auto"/>
                      <w:sz w:val="21"/>
                      <w:szCs w:val="21"/>
                      <w:vertAlign w:val="subscript"/>
                      <w:lang w:val="en-US" w:eastAsia="zh-CN"/>
                    </w:rPr>
                    <w:t>2</w:t>
                  </w:r>
                </w:p>
              </w:tc>
              <w:tc>
                <w:tcPr>
                  <w:tcW w:w="286" w:type="pct"/>
                  <w:tcBorders>
                    <w:tl2br w:val="nil"/>
                    <w:tr2bl w:val="nil"/>
                  </w:tcBorders>
                  <w:shd w:val="clear" w:color="auto" w:fill="auto"/>
                  <w:vAlign w:val="center"/>
                </w:tcPr>
                <w:p w14:paraId="2AE0008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液态</w:t>
                  </w:r>
                </w:p>
              </w:tc>
              <w:tc>
                <w:tcPr>
                  <w:tcW w:w="380" w:type="pct"/>
                  <w:tcBorders>
                    <w:tl2br w:val="nil"/>
                    <w:tr2bl w:val="nil"/>
                  </w:tcBorders>
                  <w:shd w:val="clear" w:color="auto" w:fill="auto"/>
                  <w:vAlign w:val="center"/>
                </w:tcPr>
                <w:p w14:paraId="79127372">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钢瓶</w:t>
                  </w:r>
                </w:p>
              </w:tc>
              <w:tc>
                <w:tcPr>
                  <w:tcW w:w="524" w:type="pct"/>
                  <w:tcBorders>
                    <w:tl2br w:val="nil"/>
                    <w:tr2bl w:val="nil"/>
                  </w:tcBorders>
                  <w:shd w:val="clear" w:color="auto" w:fill="auto"/>
                  <w:vAlign w:val="center"/>
                </w:tcPr>
                <w:p w14:paraId="516C3FE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10万</w:t>
                  </w:r>
                </w:p>
                <w:p w14:paraId="44B7B41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t/a</w:t>
                  </w:r>
                </w:p>
              </w:tc>
              <w:tc>
                <w:tcPr>
                  <w:tcW w:w="611" w:type="pct"/>
                  <w:tcBorders>
                    <w:tl2br w:val="nil"/>
                    <w:tr2bl w:val="nil"/>
                  </w:tcBorders>
                  <w:shd w:val="clear" w:color="auto" w:fill="auto"/>
                  <w:vAlign w:val="center"/>
                </w:tcPr>
                <w:p w14:paraId="1C33FD58">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55DC89E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2t</w:t>
                  </w:r>
                </w:p>
              </w:tc>
              <w:tc>
                <w:tcPr>
                  <w:tcW w:w="721" w:type="pct"/>
                  <w:vMerge w:val="continue"/>
                  <w:tcBorders>
                    <w:tl2br w:val="nil"/>
                    <w:tr2bl w:val="nil"/>
                  </w:tcBorders>
                  <w:shd w:val="clear" w:color="auto" w:fill="auto"/>
                  <w:vAlign w:val="center"/>
                </w:tcPr>
                <w:p w14:paraId="7E032394">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r>
            <w:tr w14:paraId="32DD8A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5B144DC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p>
              </w:tc>
              <w:tc>
                <w:tcPr>
                  <w:tcW w:w="524" w:type="pct"/>
                  <w:tcBorders>
                    <w:tl2br w:val="nil"/>
                    <w:tr2bl w:val="nil"/>
                  </w:tcBorders>
                  <w:shd w:val="clear" w:color="auto" w:fill="auto"/>
                  <w:vAlign w:val="center"/>
                </w:tcPr>
                <w:p w14:paraId="1417B7A4">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脱脂</w:t>
                  </w:r>
                  <w:r>
                    <w:rPr>
                      <w:rFonts w:hint="eastAsia" w:cs="Times New Roman"/>
                      <w:color w:val="auto"/>
                      <w:sz w:val="21"/>
                      <w:szCs w:val="21"/>
                      <w:lang w:val="en-US" w:eastAsia="zh-CN"/>
                    </w:rPr>
                    <w:t>剂</w:t>
                  </w:r>
                </w:p>
              </w:tc>
              <w:tc>
                <w:tcPr>
                  <w:tcW w:w="1202" w:type="pct"/>
                  <w:tcBorders>
                    <w:tl2br w:val="nil"/>
                    <w:tr2bl w:val="nil"/>
                  </w:tcBorders>
                  <w:shd w:val="clear" w:color="auto" w:fill="auto"/>
                  <w:vAlign w:val="center"/>
                </w:tcPr>
                <w:p w14:paraId="612F26C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偏硅酸钠30%、</w:t>
                  </w:r>
                </w:p>
                <w:p w14:paraId="14DF0B2E">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碳酸钠60%、非</w:t>
                  </w:r>
                </w:p>
                <w:p w14:paraId="00A9879B">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离子表面活性</w:t>
                  </w:r>
                </w:p>
                <w:p w14:paraId="3409486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剂10%</w:t>
                  </w:r>
                </w:p>
              </w:tc>
              <w:tc>
                <w:tcPr>
                  <w:tcW w:w="286" w:type="pct"/>
                  <w:tcBorders>
                    <w:tl2br w:val="nil"/>
                    <w:tr2bl w:val="nil"/>
                  </w:tcBorders>
                  <w:shd w:val="clear" w:color="auto" w:fill="auto"/>
                  <w:vAlign w:val="center"/>
                </w:tcPr>
                <w:p w14:paraId="31931B4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380" w:type="pct"/>
                  <w:tcBorders>
                    <w:tl2br w:val="nil"/>
                    <w:tr2bl w:val="nil"/>
                  </w:tcBorders>
                  <w:shd w:val="clear" w:color="auto" w:fill="auto"/>
                  <w:vAlign w:val="center"/>
                </w:tcPr>
                <w:p w14:paraId="2E87982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25kg/袋</w:t>
                  </w:r>
                </w:p>
              </w:tc>
              <w:tc>
                <w:tcPr>
                  <w:tcW w:w="524" w:type="pct"/>
                  <w:tcBorders>
                    <w:tl2br w:val="nil"/>
                    <w:tr2bl w:val="nil"/>
                  </w:tcBorders>
                  <w:shd w:val="clear" w:color="auto" w:fill="auto"/>
                  <w:vAlign w:val="center"/>
                </w:tcPr>
                <w:p w14:paraId="77A5AD2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5t/a</w:t>
                  </w:r>
                </w:p>
              </w:tc>
              <w:tc>
                <w:tcPr>
                  <w:tcW w:w="611" w:type="pct"/>
                  <w:tcBorders>
                    <w:tl2br w:val="nil"/>
                    <w:tr2bl w:val="nil"/>
                  </w:tcBorders>
                  <w:shd w:val="clear" w:color="auto" w:fill="auto"/>
                  <w:vAlign w:val="center"/>
                </w:tcPr>
                <w:p w14:paraId="51F3656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58A957F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1t</w:t>
                  </w:r>
                </w:p>
              </w:tc>
              <w:tc>
                <w:tcPr>
                  <w:tcW w:w="721" w:type="pct"/>
                  <w:tcBorders>
                    <w:tl2br w:val="nil"/>
                    <w:tr2bl w:val="nil"/>
                  </w:tcBorders>
                  <w:shd w:val="clear" w:color="auto" w:fill="auto"/>
                  <w:vAlign w:val="center"/>
                </w:tcPr>
                <w:p w14:paraId="3B03464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脱脂</w:t>
                  </w:r>
                </w:p>
              </w:tc>
            </w:tr>
            <w:tr w14:paraId="6D58FF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2E5B1808">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w:t>
                  </w:r>
                </w:p>
              </w:tc>
              <w:tc>
                <w:tcPr>
                  <w:tcW w:w="524" w:type="pct"/>
                  <w:tcBorders>
                    <w:tl2br w:val="nil"/>
                    <w:tr2bl w:val="nil"/>
                  </w:tcBorders>
                  <w:shd w:val="clear" w:color="auto" w:fill="auto"/>
                  <w:vAlign w:val="center"/>
                </w:tcPr>
                <w:p w14:paraId="2C855D12">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无磷皮膜剂</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陶化剂</w:t>
                  </w:r>
                  <w:r>
                    <w:rPr>
                      <w:rFonts w:hint="eastAsia" w:cs="Times New Roman"/>
                      <w:color w:val="auto"/>
                      <w:sz w:val="21"/>
                      <w:szCs w:val="21"/>
                      <w:highlight w:val="none"/>
                      <w:lang w:val="en-US" w:eastAsia="zh-CN"/>
                    </w:rPr>
                    <w:t>）</w:t>
                  </w:r>
                </w:p>
              </w:tc>
              <w:tc>
                <w:tcPr>
                  <w:tcW w:w="1202" w:type="pct"/>
                  <w:tcBorders>
                    <w:tl2br w:val="nil"/>
                    <w:tr2bl w:val="nil"/>
                  </w:tcBorders>
                  <w:shd w:val="clear" w:color="auto" w:fill="auto"/>
                  <w:vAlign w:val="center"/>
                </w:tcPr>
                <w:p w14:paraId="69D6421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r-缩水甘油醚氧丙基三甲氧基硅烷6</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10%</w:t>
                  </w:r>
                </w:p>
                <w:p w14:paraId="1A78B88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碳酸钠0.1</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1%</w:t>
                  </w:r>
                </w:p>
                <w:p w14:paraId="78C563D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硅酸钠3</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5%</w:t>
                  </w:r>
                </w:p>
                <w:p w14:paraId="38E59C5E">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纳米二氧化硅10</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20%</w:t>
                  </w:r>
                </w:p>
              </w:tc>
              <w:tc>
                <w:tcPr>
                  <w:tcW w:w="286" w:type="pct"/>
                  <w:tcBorders>
                    <w:tl2br w:val="nil"/>
                    <w:tr2bl w:val="nil"/>
                  </w:tcBorders>
                  <w:shd w:val="clear" w:color="auto" w:fill="auto"/>
                  <w:vAlign w:val="center"/>
                </w:tcPr>
                <w:p w14:paraId="3D93CAAA">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液态</w:t>
                  </w:r>
                </w:p>
              </w:tc>
              <w:tc>
                <w:tcPr>
                  <w:tcW w:w="380" w:type="pct"/>
                  <w:tcBorders>
                    <w:tl2br w:val="nil"/>
                    <w:tr2bl w:val="nil"/>
                  </w:tcBorders>
                  <w:shd w:val="clear" w:color="auto" w:fill="auto"/>
                  <w:vAlign w:val="center"/>
                </w:tcPr>
                <w:p w14:paraId="6431E233">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25kg/桶</w:t>
                  </w:r>
                </w:p>
              </w:tc>
              <w:tc>
                <w:tcPr>
                  <w:tcW w:w="524" w:type="pct"/>
                  <w:tcBorders>
                    <w:tl2br w:val="nil"/>
                    <w:tr2bl w:val="nil"/>
                  </w:tcBorders>
                  <w:shd w:val="clear" w:color="auto" w:fill="auto"/>
                  <w:vAlign w:val="center"/>
                </w:tcPr>
                <w:p w14:paraId="595D04A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 t/a</w:t>
                  </w:r>
                </w:p>
              </w:tc>
              <w:tc>
                <w:tcPr>
                  <w:tcW w:w="611" w:type="pct"/>
                  <w:tcBorders>
                    <w:tl2br w:val="nil"/>
                    <w:tr2bl w:val="nil"/>
                  </w:tcBorders>
                  <w:shd w:val="clear" w:color="auto" w:fill="auto"/>
                  <w:vAlign w:val="center"/>
                </w:tcPr>
                <w:p w14:paraId="69D23A6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1388FD8A">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0.5t</w:t>
                  </w:r>
                </w:p>
              </w:tc>
              <w:tc>
                <w:tcPr>
                  <w:tcW w:w="721" w:type="pct"/>
                  <w:tcBorders>
                    <w:tl2br w:val="nil"/>
                    <w:tr2bl w:val="nil"/>
                  </w:tcBorders>
                  <w:shd w:val="clear" w:color="auto" w:fill="auto"/>
                  <w:vAlign w:val="center"/>
                </w:tcPr>
                <w:p w14:paraId="18C766E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硅烷</w:t>
                  </w:r>
                </w:p>
              </w:tc>
            </w:tr>
            <w:tr w14:paraId="39A538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661EB434">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w:t>
                  </w:r>
                </w:p>
              </w:tc>
              <w:tc>
                <w:tcPr>
                  <w:tcW w:w="524" w:type="pct"/>
                  <w:tcBorders>
                    <w:tl2br w:val="nil"/>
                    <w:tr2bl w:val="nil"/>
                  </w:tcBorders>
                  <w:shd w:val="clear" w:color="auto" w:fill="auto"/>
                  <w:vAlign w:val="center"/>
                </w:tcPr>
                <w:p w14:paraId="7A9D4C78">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CS9200乳液阴极电泳涂料</w:t>
                  </w:r>
                  <w:r>
                    <w:rPr>
                      <w:rFonts w:hint="eastAsia" w:cs="Times New Roman"/>
                      <w:color w:val="auto"/>
                      <w:sz w:val="21"/>
                      <w:szCs w:val="21"/>
                      <w:lang w:val="en-US" w:eastAsia="zh-CN"/>
                    </w:rPr>
                    <w:t>（巴德富）</w:t>
                  </w:r>
                </w:p>
              </w:tc>
              <w:tc>
                <w:tcPr>
                  <w:tcW w:w="1202" w:type="pct"/>
                  <w:tcBorders>
                    <w:tl2br w:val="nil"/>
                    <w:tr2bl w:val="nil"/>
                  </w:tcBorders>
                  <w:shd w:val="clear" w:color="auto" w:fill="auto"/>
                  <w:vAlign w:val="center"/>
                </w:tcPr>
                <w:p w14:paraId="663E9BF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环氧树脂30%、聚氨酯交联剂10%、聚酰胺</w:t>
                  </w:r>
                </w:p>
                <w:p w14:paraId="2E57352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10%、去离子水45.4%、乙酸0.6%、混合溶剂</w:t>
                  </w:r>
                </w:p>
                <w:p w14:paraId="1708644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p>
              </w:tc>
              <w:tc>
                <w:tcPr>
                  <w:tcW w:w="286" w:type="pct"/>
                  <w:tcBorders>
                    <w:tl2br w:val="nil"/>
                    <w:tr2bl w:val="nil"/>
                  </w:tcBorders>
                  <w:shd w:val="clear" w:color="auto" w:fill="auto"/>
                  <w:vAlign w:val="center"/>
                </w:tcPr>
                <w:p w14:paraId="5E45D04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液态</w:t>
                  </w:r>
                </w:p>
              </w:tc>
              <w:tc>
                <w:tcPr>
                  <w:tcW w:w="380" w:type="pct"/>
                  <w:tcBorders>
                    <w:tl2br w:val="nil"/>
                    <w:tr2bl w:val="nil"/>
                  </w:tcBorders>
                  <w:shd w:val="clear" w:color="auto" w:fill="auto"/>
                  <w:vAlign w:val="center"/>
                </w:tcPr>
                <w:p w14:paraId="79671603">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250kg/桶</w:t>
                  </w:r>
                </w:p>
              </w:tc>
              <w:tc>
                <w:tcPr>
                  <w:tcW w:w="524" w:type="pct"/>
                  <w:tcBorders>
                    <w:tl2br w:val="nil"/>
                    <w:tr2bl w:val="nil"/>
                  </w:tcBorders>
                  <w:shd w:val="clear" w:color="auto" w:fill="auto"/>
                  <w:vAlign w:val="center"/>
                </w:tcPr>
                <w:p w14:paraId="263CD2EE">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13.5t/a</w:t>
                  </w:r>
                </w:p>
              </w:tc>
              <w:tc>
                <w:tcPr>
                  <w:tcW w:w="611" w:type="pct"/>
                  <w:tcBorders>
                    <w:tl2br w:val="nil"/>
                    <w:tr2bl w:val="nil"/>
                  </w:tcBorders>
                  <w:shd w:val="clear" w:color="auto" w:fill="auto"/>
                  <w:vAlign w:val="center"/>
                </w:tcPr>
                <w:p w14:paraId="1C36FD53">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720919AE">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 t</w:t>
                  </w:r>
                </w:p>
              </w:tc>
              <w:tc>
                <w:tcPr>
                  <w:tcW w:w="721" w:type="pct"/>
                  <w:vMerge w:val="restart"/>
                  <w:tcBorders>
                    <w:tl2br w:val="nil"/>
                    <w:tr2bl w:val="nil"/>
                  </w:tcBorders>
                  <w:shd w:val="clear" w:color="auto" w:fill="auto"/>
                  <w:vAlign w:val="center"/>
                </w:tcPr>
                <w:p w14:paraId="7BCE0378">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firstLine="210" w:firstLineChars="10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阴极电泳</w:t>
                  </w:r>
                </w:p>
              </w:tc>
            </w:tr>
            <w:tr w14:paraId="03430E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2DF5FD1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w:t>
                  </w:r>
                </w:p>
              </w:tc>
              <w:tc>
                <w:tcPr>
                  <w:tcW w:w="524" w:type="pct"/>
                  <w:tcBorders>
                    <w:tl2br w:val="nil"/>
                    <w:tr2bl w:val="nil"/>
                  </w:tcBorders>
                  <w:shd w:val="clear" w:color="auto" w:fill="auto"/>
                  <w:vAlign w:val="center"/>
                </w:tcPr>
                <w:p w14:paraId="4284B443">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CS200黑浆阴极电泳涂料</w:t>
                  </w:r>
                  <w:r>
                    <w:rPr>
                      <w:rFonts w:hint="eastAsia" w:cs="Times New Roman"/>
                      <w:color w:val="auto"/>
                      <w:sz w:val="21"/>
                      <w:szCs w:val="21"/>
                      <w:lang w:val="en-US" w:eastAsia="zh-CN"/>
                    </w:rPr>
                    <w:t>（巴德富）</w:t>
                  </w:r>
                </w:p>
              </w:tc>
              <w:tc>
                <w:tcPr>
                  <w:tcW w:w="1202" w:type="pct"/>
                  <w:tcBorders>
                    <w:tl2br w:val="nil"/>
                    <w:tr2bl w:val="nil"/>
                  </w:tcBorders>
                  <w:shd w:val="clear" w:color="auto" w:fill="auto"/>
                  <w:vAlign w:val="center"/>
                </w:tcPr>
                <w:p w14:paraId="407FB90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环氧树脂30%、高岭土15%、炭黑8%、去离子水38%、乙酸1%、混合溶剂8%</w:t>
                  </w:r>
                </w:p>
              </w:tc>
              <w:tc>
                <w:tcPr>
                  <w:tcW w:w="286" w:type="pct"/>
                  <w:tcBorders>
                    <w:tl2br w:val="nil"/>
                    <w:tr2bl w:val="nil"/>
                  </w:tcBorders>
                  <w:shd w:val="clear" w:color="auto" w:fill="auto"/>
                  <w:vAlign w:val="center"/>
                </w:tcPr>
                <w:p w14:paraId="2CD6C33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液态</w:t>
                  </w:r>
                </w:p>
              </w:tc>
              <w:tc>
                <w:tcPr>
                  <w:tcW w:w="380" w:type="pct"/>
                  <w:tcBorders>
                    <w:tl2br w:val="nil"/>
                    <w:tr2bl w:val="nil"/>
                  </w:tcBorders>
                  <w:shd w:val="clear" w:color="auto" w:fill="auto"/>
                  <w:vAlign w:val="center"/>
                </w:tcPr>
                <w:p w14:paraId="370AECB4">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250kg/桶</w:t>
                  </w:r>
                </w:p>
              </w:tc>
              <w:tc>
                <w:tcPr>
                  <w:tcW w:w="524" w:type="pct"/>
                  <w:tcBorders>
                    <w:tl2br w:val="nil"/>
                    <w:tr2bl w:val="nil"/>
                  </w:tcBorders>
                  <w:shd w:val="clear" w:color="auto" w:fill="auto"/>
                  <w:vAlign w:val="center"/>
                </w:tcPr>
                <w:p w14:paraId="0B96BC7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2.1t/a</w:t>
                  </w:r>
                </w:p>
              </w:tc>
              <w:tc>
                <w:tcPr>
                  <w:tcW w:w="611" w:type="pct"/>
                  <w:tcBorders>
                    <w:tl2br w:val="nil"/>
                    <w:tr2bl w:val="nil"/>
                  </w:tcBorders>
                  <w:shd w:val="clear" w:color="auto" w:fill="auto"/>
                  <w:vAlign w:val="center"/>
                </w:tcPr>
                <w:p w14:paraId="25DD85E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5A46D5E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0.5 t</w:t>
                  </w:r>
                </w:p>
              </w:tc>
              <w:tc>
                <w:tcPr>
                  <w:tcW w:w="721" w:type="pct"/>
                  <w:vMerge w:val="continue"/>
                  <w:tcBorders>
                    <w:tl2br w:val="nil"/>
                    <w:tr2bl w:val="nil"/>
                  </w:tcBorders>
                  <w:shd w:val="clear" w:color="auto" w:fill="auto"/>
                  <w:vAlign w:val="center"/>
                </w:tcPr>
                <w:p w14:paraId="4F01723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r>
            <w:tr w14:paraId="0F1C4B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2F40F5C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w:t>
                  </w:r>
                </w:p>
              </w:tc>
              <w:tc>
                <w:tcPr>
                  <w:tcW w:w="524" w:type="pct"/>
                  <w:tcBorders>
                    <w:tl2br w:val="nil"/>
                    <w:tr2bl w:val="nil"/>
                  </w:tcBorders>
                  <w:shd w:val="clear" w:color="auto" w:fill="auto"/>
                  <w:vAlign w:val="center"/>
                </w:tcPr>
                <w:p w14:paraId="107B3674">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CS11</w:t>
                  </w:r>
                  <w:r>
                    <w:rPr>
                      <w:rFonts w:hint="eastAsia" w:ascii="Times New Roman" w:hAnsi="Times New Roman" w:eastAsia="宋体" w:cs="Times New Roman"/>
                      <w:color w:val="auto"/>
                      <w:sz w:val="21"/>
                      <w:szCs w:val="21"/>
                      <w:lang w:val="en-US" w:eastAsia="zh-CN"/>
                    </w:rPr>
                    <w:t>助剂</w:t>
                  </w:r>
                  <w:r>
                    <w:rPr>
                      <w:rFonts w:hint="eastAsia" w:cs="Times New Roman"/>
                      <w:color w:val="auto"/>
                      <w:sz w:val="21"/>
                      <w:szCs w:val="21"/>
                      <w:lang w:val="en-US" w:eastAsia="zh-CN"/>
                    </w:rPr>
                    <w:t>（巴德富）</w:t>
                  </w:r>
                </w:p>
              </w:tc>
              <w:tc>
                <w:tcPr>
                  <w:tcW w:w="1202" w:type="pct"/>
                  <w:tcBorders>
                    <w:tl2br w:val="nil"/>
                    <w:tr2bl w:val="nil"/>
                  </w:tcBorders>
                  <w:shd w:val="clear" w:color="auto" w:fill="auto"/>
                  <w:vAlign w:val="center"/>
                </w:tcPr>
                <w:p w14:paraId="22323D4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乙二醇丁醚45%、丙二醇苯醚8%、去离子水47%</w:t>
                  </w:r>
                </w:p>
              </w:tc>
              <w:tc>
                <w:tcPr>
                  <w:tcW w:w="286" w:type="pct"/>
                  <w:tcBorders>
                    <w:tl2br w:val="nil"/>
                    <w:tr2bl w:val="nil"/>
                  </w:tcBorders>
                  <w:shd w:val="clear" w:color="auto" w:fill="auto"/>
                  <w:vAlign w:val="center"/>
                </w:tcPr>
                <w:p w14:paraId="238CF50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液态</w:t>
                  </w:r>
                </w:p>
              </w:tc>
              <w:tc>
                <w:tcPr>
                  <w:tcW w:w="380" w:type="pct"/>
                  <w:tcBorders>
                    <w:tl2br w:val="nil"/>
                    <w:tr2bl w:val="nil"/>
                  </w:tcBorders>
                  <w:shd w:val="clear" w:color="auto" w:fill="auto"/>
                  <w:vAlign w:val="center"/>
                </w:tcPr>
                <w:p w14:paraId="3B298BC2">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25kg/桶</w:t>
                  </w:r>
                </w:p>
              </w:tc>
              <w:tc>
                <w:tcPr>
                  <w:tcW w:w="524" w:type="pct"/>
                  <w:tcBorders>
                    <w:tl2br w:val="nil"/>
                    <w:tr2bl w:val="nil"/>
                  </w:tcBorders>
                  <w:shd w:val="clear" w:color="auto" w:fill="auto"/>
                  <w:vAlign w:val="center"/>
                </w:tcPr>
                <w:p w14:paraId="51A5845B">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0.18t/a</w:t>
                  </w:r>
                </w:p>
              </w:tc>
              <w:tc>
                <w:tcPr>
                  <w:tcW w:w="611" w:type="pct"/>
                  <w:tcBorders>
                    <w:tl2br w:val="nil"/>
                    <w:tr2bl w:val="nil"/>
                  </w:tcBorders>
                  <w:shd w:val="clear" w:color="auto" w:fill="auto"/>
                  <w:vAlign w:val="center"/>
                </w:tcPr>
                <w:p w14:paraId="34E2ADF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6615F09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0.1t</w:t>
                  </w:r>
                </w:p>
              </w:tc>
              <w:tc>
                <w:tcPr>
                  <w:tcW w:w="721" w:type="pct"/>
                  <w:vMerge w:val="continue"/>
                  <w:tcBorders>
                    <w:tl2br w:val="nil"/>
                    <w:tr2bl w:val="nil"/>
                  </w:tcBorders>
                  <w:shd w:val="clear" w:color="auto" w:fill="auto"/>
                  <w:vAlign w:val="center"/>
                </w:tcPr>
                <w:p w14:paraId="0C29656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r>
            <w:tr w14:paraId="2C5427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3124C4C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w:t>
                  </w:r>
                </w:p>
              </w:tc>
              <w:tc>
                <w:tcPr>
                  <w:tcW w:w="524" w:type="pct"/>
                  <w:tcBorders>
                    <w:tl2br w:val="nil"/>
                    <w:tr2bl w:val="nil"/>
                  </w:tcBorders>
                  <w:shd w:val="clear" w:color="auto" w:fill="auto"/>
                  <w:vAlign w:val="center"/>
                </w:tcPr>
                <w:p w14:paraId="6E4B255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CS20</w:t>
                  </w:r>
                  <w:r>
                    <w:rPr>
                      <w:rFonts w:hint="eastAsia" w:ascii="Times New Roman" w:hAnsi="Times New Roman" w:eastAsia="宋体" w:cs="Times New Roman"/>
                      <w:color w:val="auto"/>
                      <w:sz w:val="21"/>
                      <w:szCs w:val="21"/>
                      <w:lang w:val="en-US" w:eastAsia="zh-CN"/>
                    </w:rPr>
                    <w:t>中和剂</w:t>
                  </w:r>
                  <w:r>
                    <w:rPr>
                      <w:rFonts w:hint="eastAsia" w:cs="Times New Roman"/>
                      <w:color w:val="auto"/>
                      <w:sz w:val="21"/>
                      <w:szCs w:val="21"/>
                      <w:lang w:val="en-US" w:eastAsia="zh-CN"/>
                    </w:rPr>
                    <w:t>（巴德富）</w:t>
                  </w:r>
                </w:p>
              </w:tc>
              <w:tc>
                <w:tcPr>
                  <w:tcW w:w="1202" w:type="pct"/>
                  <w:tcBorders>
                    <w:tl2br w:val="nil"/>
                    <w:tr2bl w:val="nil"/>
                  </w:tcBorders>
                  <w:shd w:val="clear" w:color="auto" w:fill="auto"/>
                  <w:vAlign w:val="center"/>
                </w:tcPr>
                <w:p w14:paraId="01880E8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去离子水70%、</w:t>
                  </w:r>
                </w:p>
                <w:p w14:paraId="48A88D58">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乙酸30%</w:t>
                  </w:r>
                </w:p>
              </w:tc>
              <w:tc>
                <w:tcPr>
                  <w:tcW w:w="286" w:type="pct"/>
                  <w:tcBorders>
                    <w:tl2br w:val="nil"/>
                    <w:tr2bl w:val="nil"/>
                  </w:tcBorders>
                  <w:shd w:val="clear" w:color="auto" w:fill="auto"/>
                  <w:vAlign w:val="center"/>
                </w:tcPr>
                <w:p w14:paraId="73CDDD1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液态</w:t>
                  </w:r>
                </w:p>
              </w:tc>
              <w:tc>
                <w:tcPr>
                  <w:tcW w:w="380" w:type="pct"/>
                  <w:tcBorders>
                    <w:tl2br w:val="nil"/>
                    <w:tr2bl w:val="nil"/>
                  </w:tcBorders>
                  <w:shd w:val="clear" w:color="auto" w:fill="auto"/>
                  <w:vAlign w:val="center"/>
                </w:tcPr>
                <w:p w14:paraId="382B400B">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25kg/桶</w:t>
                  </w:r>
                </w:p>
              </w:tc>
              <w:tc>
                <w:tcPr>
                  <w:tcW w:w="524" w:type="pct"/>
                  <w:tcBorders>
                    <w:tl2br w:val="nil"/>
                    <w:tr2bl w:val="nil"/>
                  </w:tcBorders>
                  <w:shd w:val="clear" w:color="auto" w:fill="auto"/>
                  <w:vAlign w:val="center"/>
                </w:tcPr>
                <w:p w14:paraId="5EE6A542">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0.12t/a</w:t>
                  </w:r>
                </w:p>
              </w:tc>
              <w:tc>
                <w:tcPr>
                  <w:tcW w:w="611" w:type="pct"/>
                  <w:tcBorders>
                    <w:tl2br w:val="nil"/>
                    <w:tr2bl w:val="nil"/>
                  </w:tcBorders>
                  <w:shd w:val="clear" w:color="auto" w:fill="auto"/>
                  <w:vAlign w:val="center"/>
                </w:tcPr>
                <w:p w14:paraId="4F022A6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3472B5C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0.1 t</w:t>
                  </w:r>
                </w:p>
              </w:tc>
              <w:tc>
                <w:tcPr>
                  <w:tcW w:w="721" w:type="pct"/>
                  <w:vMerge w:val="continue"/>
                  <w:tcBorders>
                    <w:tl2br w:val="nil"/>
                    <w:tr2bl w:val="nil"/>
                  </w:tcBorders>
                  <w:shd w:val="clear" w:color="auto" w:fill="auto"/>
                  <w:vAlign w:val="center"/>
                </w:tcPr>
                <w:p w14:paraId="2690C34E">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r>
            <w:tr w14:paraId="1F1C14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7C3D140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w:t>
                  </w:r>
                </w:p>
              </w:tc>
              <w:tc>
                <w:tcPr>
                  <w:tcW w:w="524" w:type="pct"/>
                  <w:tcBorders>
                    <w:tl2br w:val="nil"/>
                    <w:tr2bl w:val="nil"/>
                  </w:tcBorders>
                  <w:shd w:val="clear" w:color="auto" w:fill="auto"/>
                  <w:vAlign w:val="center"/>
                </w:tcPr>
                <w:p w14:paraId="1EAF5DA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天然气</w:t>
                  </w:r>
                </w:p>
              </w:tc>
              <w:tc>
                <w:tcPr>
                  <w:tcW w:w="1202" w:type="pct"/>
                  <w:tcBorders>
                    <w:tl2br w:val="nil"/>
                    <w:tr2bl w:val="nil"/>
                  </w:tcBorders>
                  <w:shd w:val="clear" w:color="auto" w:fill="auto"/>
                  <w:vAlign w:val="center"/>
                </w:tcPr>
                <w:p w14:paraId="32F960D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86" w:type="pct"/>
                  <w:tcBorders>
                    <w:tl2br w:val="nil"/>
                    <w:tr2bl w:val="nil"/>
                  </w:tcBorders>
                  <w:shd w:val="clear" w:color="auto" w:fill="auto"/>
                  <w:vAlign w:val="center"/>
                </w:tcPr>
                <w:p w14:paraId="4D3B0D7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气态</w:t>
                  </w:r>
                </w:p>
              </w:tc>
              <w:tc>
                <w:tcPr>
                  <w:tcW w:w="380" w:type="pct"/>
                  <w:tcBorders>
                    <w:tl2br w:val="nil"/>
                    <w:tr2bl w:val="nil"/>
                  </w:tcBorders>
                  <w:shd w:val="clear" w:color="auto" w:fill="auto"/>
                  <w:vAlign w:val="center"/>
                </w:tcPr>
                <w:p w14:paraId="5159CF0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524" w:type="pct"/>
                  <w:tcBorders>
                    <w:tl2br w:val="nil"/>
                    <w:tr2bl w:val="nil"/>
                  </w:tcBorders>
                  <w:shd w:val="clear" w:color="auto" w:fill="auto"/>
                  <w:vAlign w:val="center"/>
                </w:tcPr>
                <w:p w14:paraId="02B6373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10000m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/a</w:t>
                  </w:r>
                </w:p>
              </w:tc>
              <w:tc>
                <w:tcPr>
                  <w:tcW w:w="611" w:type="pct"/>
                  <w:tcBorders>
                    <w:tl2br w:val="nil"/>
                    <w:tr2bl w:val="nil"/>
                  </w:tcBorders>
                  <w:shd w:val="clear" w:color="auto" w:fill="auto"/>
                  <w:vAlign w:val="center"/>
                </w:tcPr>
                <w:p w14:paraId="6E51167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422" w:type="pct"/>
                  <w:tcBorders>
                    <w:tl2br w:val="nil"/>
                    <w:tr2bl w:val="nil"/>
                  </w:tcBorders>
                  <w:shd w:val="clear" w:color="auto" w:fill="auto"/>
                  <w:vAlign w:val="center"/>
                </w:tcPr>
                <w:p w14:paraId="64079F2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0.001t*</w:t>
                  </w:r>
                </w:p>
              </w:tc>
              <w:tc>
                <w:tcPr>
                  <w:tcW w:w="721" w:type="pct"/>
                  <w:tcBorders>
                    <w:tl2br w:val="nil"/>
                    <w:tr2bl w:val="nil"/>
                  </w:tcBorders>
                  <w:shd w:val="clear" w:color="auto" w:fill="auto"/>
                  <w:vAlign w:val="center"/>
                </w:tcPr>
                <w:p w14:paraId="6F3D4C0B">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燃料</w:t>
                  </w:r>
                </w:p>
              </w:tc>
            </w:tr>
            <w:tr w14:paraId="56204F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7B7C364A">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12</w:t>
                  </w:r>
                </w:p>
              </w:tc>
              <w:tc>
                <w:tcPr>
                  <w:tcW w:w="524" w:type="pct"/>
                  <w:tcBorders>
                    <w:tl2br w:val="nil"/>
                    <w:tr2bl w:val="nil"/>
                  </w:tcBorders>
                  <w:shd w:val="clear" w:color="auto" w:fill="auto"/>
                  <w:vAlign w:val="center"/>
                </w:tcPr>
                <w:p w14:paraId="5579442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机油</w:t>
                  </w:r>
                </w:p>
              </w:tc>
              <w:tc>
                <w:tcPr>
                  <w:tcW w:w="1202" w:type="pct"/>
                  <w:tcBorders>
                    <w:tl2br w:val="nil"/>
                    <w:tr2bl w:val="nil"/>
                  </w:tcBorders>
                  <w:shd w:val="clear" w:color="auto" w:fill="auto"/>
                  <w:vAlign w:val="center"/>
                </w:tcPr>
                <w:p w14:paraId="6E78315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286" w:type="pct"/>
                  <w:tcBorders>
                    <w:tl2br w:val="nil"/>
                    <w:tr2bl w:val="nil"/>
                  </w:tcBorders>
                  <w:shd w:val="clear" w:color="auto" w:fill="auto"/>
                  <w:vAlign w:val="center"/>
                </w:tcPr>
                <w:p w14:paraId="27C4DDF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液态</w:t>
                  </w:r>
                </w:p>
              </w:tc>
              <w:tc>
                <w:tcPr>
                  <w:tcW w:w="380" w:type="pct"/>
                  <w:tcBorders>
                    <w:tl2br w:val="nil"/>
                    <w:tr2bl w:val="nil"/>
                  </w:tcBorders>
                  <w:shd w:val="clear" w:color="auto" w:fill="auto"/>
                  <w:vAlign w:val="center"/>
                </w:tcPr>
                <w:p w14:paraId="49C8D81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20kg/桶</w:t>
                  </w:r>
                </w:p>
              </w:tc>
              <w:tc>
                <w:tcPr>
                  <w:tcW w:w="524" w:type="pct"/>
                  <w:tcBorders>
                    <w:tl2br w:val="nil"/>
                    <w:tr2bl w:val="nil"/>
                  </w:tcBorders>
                  <w:shd w:val="clear" w:color="auto" w:fill="auto"/>
                  <w:vAlign w:val="center"/>
                </w:tcPr>
                <w:p w14:paraId="08CAC4B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0.2t/a</w:t>
                  </w:r>
                </w:p>
              </w:tc>
              <w:tc>
                <w:tcPr>
                  <w:tcW w:w="611" w:type="pct"/>
                  <w:tcBorders>
                    <w:tl2br w:val="nil"/>
                    <w:tr2bl w:val="nil"/>
                  </w:tcBorders>
                  <w:shd w:val="clear" w:color="auto" w:fill="auto"/>
                  <w:vAlign w:val="center"/>
                </w:tcPr>
                <w:p w14:paraId="607C86AE">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3221ECB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0.02t</w:t>
                  </w:r>
                </w:p>
              </w:tc>
              <w:tc>
                <w:tcPr>
                  <w:tcW w:w="721" w:type="pct"/>
                  <w:tcBorders>
                    <w:tl2br w:val="nil"/>
                    <w:tr2bl w:val="nil"/>
                  </w:tcBorders>
                  <w:shd w:val="clear" w:color="auto" w:fill="auto"/>
                  <w:vAlign w:val="center"/>
                </w:tcPr>
                <w:p w14:paraId="2BB9E7C4">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firstLine="210" w:firstLineChars="10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设备维护、</w:t>
                  </w:r>
                </w:p>
                <w:p w14:paraId="7F9533E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left="0" w:leftChars="0" w:right="0" w:rightChars="0" w:firstLine="420" w:firstLineChars="20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保养</w:t>
                  </w:r>
                </w:p>
              </w:tc>
            </w:tr>
            <w:tr w14:paraId="368CDE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743EDE2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w:t>
                  </w:r>
                </w:p>
              </w:tc>
              <w:tc>
                <w:tcPr>
                  <w:tcW w:w="524" w:type="pct"/>
                  <w:tcBorders>
                    <w:tl2br w:val="nil"/>
                    <w:tr2bl w:val="nil"/>
                  </w:tcBorders>
                  <w:shd w:val="clear" w:color="auto" w:fill="auto"/>
                  <w:vAlign w:val="center"/>
                </w:tcPr>
                <w:p w14:paraId="49BE3A1C">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PAC</w:t>
                  </w:r>
                </w:p>
              </w:tc>
              <w:tc>
                <w:tcPr>
                  <w:tcW w:w="1202" w:type="pct"/>
                  <w:tcBorders>
                    <w:tl2br w:val="nil"/>
                    <w:tr2bl w:val="nil"/>
                  </w:tcBorders>
                  <w:shd w:val="clear" w:color="auto" w:fill="auto"/>
                  <w:vAlign w:val="center"/>
                </w:tcPr>
                <w:p w14:paraId="36751D3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聚合氯化铝</w:t>
                  </w:r>
                </w:p>
              </w:tc>
              <w:tc>
                <w:tcPr>
                  <w:tcW w:w="286" w:type="pct"/>
                  <w:tcBorders>
                    <w:tl2br w:val="nil"/>
                    <w:tr2bl w:val="nil"/>
                  </w:tcBorders>
                  <w:shd w:val="clear" w:color="auto" w:fill="auto"/>
                  <w:vAlign w:val="center"/>
                </w:tcPr>
                <w:p w14:paraId="2773073D">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380" w:type="pct"/>
                  <w:tcBorders>
                    <w:tl2br w:val="nil"/>
                    <w:tr2bl w:val="nil"/>
                  </w:tcBorders>
                  <w:shd w:val="clear" w:color="auto" w:fill="auto"/>
                  <w:vAlign w:val="center"/>
                </w:tcPr>
                <w:p w14:paraId="052758F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25kg/袋</w:t>
                  </w:r>
                </w:p>
              </w:tc>
              <w:tc>
                <w:tcPr>
                  <w:tcW w:w="524" w:type="pct"/>
                  <w:tcBorders>
                    <w:tl2br w:val="nil"/>
                    <w:tr2bl w:val="nil"/>
                  </w:tcBorders>
                  <w:shd w:val="clear" w:color="auto" w:fill="auto"/>
                  <w:vAlign w:val="center"/>
                </w:tcPr>
                <w:p w14:paraId="0710B262">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0.2t/a</w:t>
                  </w:r>
                </w:p>
              </w:tc>
              <w:tc>
                <w:tcPr>
                  <w:tcW w:w="611" w:type="pct"/>
                  <w:tcBorders>
                    <w:tl2br w:val="nil"/>
                    <w:tr2bl w:val="nil"/>
                  </w:tcBorders>
                  <w:shd w:val="clear" w:color="auto" w:fill="auto"/>
                  <w:vAlign w:val="center"/>
                </w:tcPr>
                <w:p w14:paraId="3224C36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6600C1D1">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0.2 t</w:t>
                  </w:r>
                </w:p>
              </w:tc>
              <w:tc>
                <w:tcPr>
                  <w:tcW w:w="721" w:type="pct"/>
                  <w:tcBorders>
                    <w:tl2br w:val="nil"/>
                    <w:tr2bl w:val="nil"/>
                  </w:tcBorders>
                  <w:shd w:val="clear" w:color="auto" w:fill="auto"/>
                  <w:vAlign w:val="center"/>
                </w:tcPr>
                <w:p w14:paraId="0FE681CF">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left="0" w:leftChars="0" w:right="0" w:rightChars="0" w:firstLine="210" w:firstLineChars="10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废水处理</w:t>
                  </w:r>
                </w:p>
              </w:tc>
            </w:tr>
            <w:tr w14:paraId="0C0818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37" w:hRule="atLeast"/>
              </w:trPr>
              <w:tc>
                <w:tcPr>
                  <w:tcW w:w="326" w:type="pct"/>
                  <w:tcBorders>
                    <w:tl2br w:val="nil"/>
                    <w:tr2bl w:val="nil"/>
                  </w:tcBorders>
                  <w:shd w:val="clear" w:color="auto" w:fill="auto"/>
                  <w:vAlign w:val="center"/>
                </w:tcPr>
                <w:p w14:paraId="31EF3667">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14</w:t>
                  </w:r>
                </w:p>
              </w:tc>
              <w:tc>
                <w:tcPr>
                  <w:tcW w:w="524" w:type="pct"/>
                  <w:tcBorders>
                    <w:tl2br w:val="nil"/>
                    <w:tr2bl w:val="nil"/>
                  </w:tcBorders>
                  <w:shd w:val="clear" w:color="auto" w:fill="auto"/>
                  <w:vAlign w:val="center"/>
                </w:tcPr>
                <w:p w14:paraId="48731A35">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PAM</w:t>
                  </w:r>
                </w:p>
              </w:tc>
              <w:tc>
                <w:tcPr>
                  <w:tcW w:w="1202" w:type="pct"/>
                  <w:tcBorders>
                    <w:tl2br w:val="nil"/>
                    <w:tr2bl w:val="nil"/>
                  </w:tcBorders>
                  <w:shd w:val="clear" w:color="auto" w:fill="auto"/>
                  <w:vAlign w:val="center"/>
                </w:tcPr>
                <w:p w14:paraId="4186E4E3">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聚丙烯酰胺</w:t>
                  </w:r>
                </w:p>
              </w:tc>
              <w:tc>
                <w:tcPr>
                  <w:tcW w:w="286" w:type="pct"/>
                  <w:tcBorders>
                    <w:tl2br w:val="nil"/>
                    <w:tr2bl w:val="nil"/>
                  </w:tcBorders>
                  <w:shd w:val="clear" w:color="auto" w:fill="auto"/>
                  <w:vAlign w:val="center"/>
                </w:tcPr>
                <w:p w14:paraId="1757EC90">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固态</w:t>
                  </w:r>
                </w:p>
              </w:tc>
              <w:tc>
                <w:tcPr>
                  <w:tcW w:w="380" w:type="pct"/>
                  <w:tcBorders>
                    <w:tl2br w:val="nil"/>
                    <w:tr2bl w:val="nil"/>
                  </w:tcBorders>
                  <w:shd w:val="clear" w:color="auto" w:fill="auto"/>
                  <w:vAlign w:val="center"/>
                </w:tcPr>
                <w:p w14:paraId="1C57EE68">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25kg/袋</w:t>
                  </w:r>
                </w:p>
              </w:tc>
              <w:tc>
                <w:tcPr>
                  <w:tcW w:w="524" w:type="pct"/>
                  <w:tcBorders>
                    <w:tl2br w:val="nil"/>
                    <w:tr2bl w:val="nil"/>
                  </w:tcBorders>
                  <w:shd w:val="clear" w:color="auto" w:fill="auto"/>
                  <w:vAlign w:val="center"/>
                </w:tcPr>
                <w:p w14:paraId="7CB29FFA">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0.01t/a</w:t>
                  </w:r>
                </w:p>
              </w:tc>
              <w:tc>
                <w:tcPr>
                  <w:tcW w:w="611" w:type="pct"/>
                  <w:tcBorders>
                    <w:tl2br w:val="nil"/>
                    <w:tr2bl w:val="nil"/>
                  </w:tcBorders>
                  <w:shd w:val="clear" w:color="auto" w:fill="auto"/>
                  <w:vAlign w:val="center"/>
                </w:tcPr>
                <w:p w14:paraId="22857DB3">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化学品库</w:t>
                  </w:r>
                </w:p>
              </w:tc>
              <w:tc>
                <w:tcPr>
                  <w:tcW w:w="422" w:type="pct"/>
                  <w:tcBorders>
                    <w:tl2br w:val="nil"/>
                    <w:tr2bl w:val="nil"/>
                  </w:tcBorders>
                  <w:shd w:val="clear" w:color="auto" w:fill="auto"/>
                  <w:vAlign w:val="center"/>
                </w:tcPr>
                <w:p w14:paraId="0A0142A9">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0.01 t</w:t>
                  </w:r>
                </w:p>
              </w:tc>
              <w:tc>
                <w:tcPr>
                  <w:tcW w:w="721" w:type="pct"/>
                  <w:tcBorders>
                    <w:tl2br w:val="nil"/>
                    <w:tr2bl w:val="nil"/>
                  </w:tcBorders>
                  <w:shd w:val="clear" w:color="auto" w:fill="auto"/>
                  <w:vAlign w:val="center"/>
                </w:tcPr>
                <w:p w14:paraId="68325E66">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firstLine="210" w:firstLineChars="100"/>
                    <w:jc w:val="both"/>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废水处理</w:t>
                  </w:r>
                </w:p>
              </w:tc>
            </w:tr>
          </w:tbl>
          <w:p w14:paraId="05A369D9">
            <w:pPr>
              <w:pStyle w:val="44"/>
              <w:ind w:firstLine="480"/>
              <w:rPr>
                <w:rFonts w:hint="eastAsia"/>
                <w:color w:val="auto"/>
                <w:sz w:val="21"/>
                <w:szCs w:val="21"/>
                <w:highlight w:val="none"/>
              </w:rPr>
            </w:pPr>
            <w:r>
              <w:rPr>
                <w:rFonts w:hint="eastAsia"/>
                <w:color w:val="auto"/>
                <w:sz w:val="21"/>
                <w:szCs w:val="21"/>
                <w:highlight w:val="none"/>
              </w:rPr>
              <w:t>注：[1]本项目使用的天然气来源为市政管道，厂区贮存量为厂区天然气管道内的在线量。[2]本项目使用的原辅材料中均不含</w:t>
            </w:r>
            <w:r>
              <w:rPr>
                <w:rFonts w:hint="eastAsia"/>
                <w:color w:val="auto"/>
                <w:sz w:val="21"/>
                <w:szCs w:val="21"/>
                <w:highlight w:val="none"/>
                <w:lang w:val="en-US" w:eastAsia="zh-CN"/>
              </w:rPr>
              <w:t>重金属如</w:t>
            </w:r>
            <w:r>
              <w:rPr>
                <w:rFonts w:hint="eastAsia"/>
                <w:color w:val="auto"/>
                <w:sz w:val="21"/>
                <w:szCs w:val="21"/>
                <w:highlight w:val="none"/>
              </w:rPr>
              <w:t>汞、烷基汞、镉、铬、砷、铅、镍、铍、银、钒、硒、钴、锡、苯并（a）芘等成分。</w:t>
            </w:r>
          </w:p>
          <w:p w14:paraId="1DF2C00B">
            <w:pPr>
              <w:pStyle w:val="44"/>
              <w:ind w:firstLine="480"/>
              <w:rPr>
                <w:color w:val="auto"/>
                <w:sz w:val="21"/>
                <w:szCs w:val="21"/>
                <w:highlight w:val="none"/>
                <w:shd w:val="clear" w:fill="FFFF00"/>
              </w:rPr>
            </w:pPr>
            <w:r>
              <w:rPr>
                <w:rFonts w:hint="eastAsia"/>
                <w:color w:val="auto"/>
                <w:sz w:val="21"/>
                <w:szCs w:val="21"/>
                <w:highlight w:val="none"/>
              </w:rPr>
              <w:t>（</w:t>
            </w:r>
            <w:r>
              <w:rPr>
                <w:rFonts w:hint="eastAsia"/>
                <w:color w:val="auto"/>
                <w:sz w:val="21"/>
                <w:szCs w:val="21"/>
                <w:highlight w:val="none"/>
                <w:lang w:val="en-US" w:eastAsia="zh-CN"/>
              </w:rPr>
              <w:t>2</w:t>
            </w:r>
            <w:r>
              <w:rPr>
                <w:rFonts w:hint="eastAsia"/>
                <w:color w:val="auto"/>
                <w:sz w:val="21"/>
                <w:szCs w:val="21"/>
                <w:highlight w:val="none"/>
              </w:rPr>
              <w:t>）</w:t>
            </w:r>
            <w:r>
              <w:rPr>
                <w:rFonts w:hint="eastAsia"/>
                <w:color w:val="auto"/>
                <w:sz w:val="21"/>
                <w:szCs w:val="21"/>
                <w:highlight w:val="none"/>
                <w:shd w:val="clear"/>
              </w:rPr>
              <w:t>主要原辅材料特性</w:t>
            </w:r>
          </w:p>
          <w:p w14:paraId="449630F3">
            <w:pPr>
              <w:pStyle w:val="42"/>
              <w:keepNext/>
              <w:keepLines/>
              <w:pageBreakBefore w:val="0"/>
              <w:widowControl w:val="0"/>
              <w:kinsoku/>
              <w:wordWrap/>
              <w:overflowPunct/>
              <w:topLinePunct w:val="0"/>
              <w:autoSpaceDE/>
              <w:autoSpaceDN/>
              <w:bidi w:val="0"/>
              <w:adjustRightInd/>
              <w:snapToGrid/>
              <w:spacing w:before="157" w:beforeLines="50" w:after="0"/>
              <w:ind w:left="630" w:leftChars="0" w:firstLineChars="0"/>
              <w:textAlignment w:val="auto"/>
              <w:rPr>
                <w:rFonts w:hint="eastAsia" w:ascii="Times New Roman" w:hAnsi="Times New Roman" w:eastAsia="宋体"/>
                <w:color w:val="auto"/>
                <w:highlight w:val="none"/>
              </w:rPr>
            </w:pPr>
            <w:r>
              <w:rPr>
                <w:rFonts w:hint="eastAsia" w:ascii="Times New Roman" w:hAnsi="Times New Roman" w:eastAsia="宋体"/>
                <w:color w:val="auto"/>
                <w:highlight w:val="none"/>
              </w:rPr>
              <w:t>项目主要原辅料理化性质一览表</w:t>
            </w:r>
          </w:p>
          <w:tbl>
            <w:tblPr>
              <w:tblStyle w:val="3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95"/>
              <w:gridCol w:w="1278"/>
              <w:gridCol w:w="2180"/>
              <w:gridCol w:w="1035"/>
              <w:gridCol w:w="2002"/>
              <w:gridCol w:w="1053"/>
            </w:tblGrid>
            <w:tr w14:paraId="2886BF7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bottom w:val="single" w:color="000000" w:sz="12" w:space="0"/>
                  </w:tcBorders>
                  <w:shd w:val="clear" w:color="auto" w:fill="auto"/>
                  <w:vAlign w:val="center"/>
                </w:tcPr>
                <w:p w14:paraId="0AE34C1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名称</w:t>
                  </w:r>
                </w:p>
              </w:tc>
              <w:tc>
                <w:tcPr>
                  <w:tcW w:w="764" w:type="pct"/>
                  <w:tcBorders>
                    <w:bottom w:val="single" w:color="000000" w:sz="12" w:space="0"/>
                  </w:tcBorders>
                  <w:shd w:val="clear" w:color="auto" w:fill="auto"/>
                  <w:vAlign w:val="center"/>
                </w:tcPr>
                <w:p w14:paraId="2A3600D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CAS</w:t>
                  </w:r>
                </w:p>
              </w:tc>
              <w:tc>
                <w:tcPr>
                  <w:tcW w:w="1285" w:type="pct"/>
                  <w:tcBorders>
                    <w:bottom w:val="single" w:color="000000" w:sz="12" w:space="0"/>
                  </w:tcBorders>
                  <w:shd w:val="clear" w:color="auto" w:fill="auto"/>
                  <w:vAlign w:val="center"/>
                </w:tcPr>
                <w:p w14:paraId="3DB0B63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理化特性</w:t>
                  </w:r>
                </w:p>
              </w:tc>
              <w:tc>
                <w:tcPr>
                  <w:tcW w:w="623" w:type="pct"/>
                  <w:tcBorders>
                    <w:bottom w:val="single" w:color="000000" w:sz="12" w:space="0"/>
                  </w:tcBorders>
                  <w:shd w:val="clear" w:color="auto" w:fill="auto"/>
                  <w:vAlign w:val="center"/>
                </w:tcPr>
                <w:p w14:paraId="6F2729F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燃烧爆炸性</w:t>
                  </w:r>
                </w:p>
              </w:tc>
              <w:tc>
                <w:tcPr>
                  <w:tcW w:w="1034" w:type="pct"/>
                  <w:tcBorders>
                    <w:bottom w:val="single" w:color="000000" w:sz="12" w:space="0"/>
                  </w:tcBorders>
                  <w:shd w:val="clear" w:color="auto" w:fill="auto"/>
                  <w:vAlign w:val="center"/>
                </w:tcPr>
                <w:p w14:paraId="251DC4F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毒性毒理</w:t>
                  </w:r>
                </w:p>
              </w:tc>
              <w:tc>
                <w:tcPr>
                  <w:tcW w:w="633" w:type="pct"/>
                  <w:tcBorders>
                    <w:bottom w:val="single" w:color="000000" w:sz="12" w:space="0"/>
                  </w:tcBorders>
                  <w:shd w:val="clear" w:color="auto" w:fill="auto"/>
                  <w:vAlign w:val="center"/>
                </w:tcPr>
                <w:p w14:paraId="67E998B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VOCs判</w:t>
                  </w:r>
                </w:p>
                <w:p w14:paraId="431D435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定</w:t>
                  </w:r>
                </w:p>
              </w:tc>
            </w:tr>
            <w:tr w14:paraId="04CF4D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op w:val="single" w:color="000000" w:sz="12" w:space="0"/>
                    <w:tl2br w:val="nil"/>
                    <w:tr2bl w:val="nil"/>
                  </w:tcBorders>
                  <w:shd w:val="clear" w:color="auto" w:fill="auto"/>
                  <w:vAlign w:val="center"/>
                </w:tcPr>
                <w:p w14:paraId="3166A89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偏硅酸钠</w:t>
                  </w:r>
                </w:p>
              </w:tc>
              <w:tc>
                <w:tcPr>
                  <w:tcW w:w="764" w:type="pct"/>
                  <w:tcBorders>
                    <w:top w:val="single" w:color="000000" w:sz="12" w:space="0"/>
                    <w:tl2br w:val="nil"/>
                    <w:tr2bl w:val="nil"/>
                  </w:tcBorders>
                  <w:shd w:val="clear" w:color="auto" w:fill="auto"/>
                  <w:vAlign w:val="center"/>
                </w:tcPr>
                <w:p w14:paraId="7843D03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13517-24-3</w:t>
                  </w:r>
                </w:p>
              </w:tc>
              <w:tc>
                <w:tcPr>
                  <w:tcW w:w="1285" w:type="pct"/>
                  <w:tcBorders>
                    <w:top w:val="single" w:color="000000" w:sz="12" w:space="0"/>
                    <w:tl2br w:val="nil"/>
                    <w:tr2bl w:val="nil"/>
                  </w:tcBorders>
                  <w:shd w:val="clear" w:color="auto" w:fill="auto"/>
                  <w:vAlign w:val="center"/>
                </w:tcPr>
                <w:p w14:paraId="5935E81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分子量为284.2。白色结晶状粉末，易溶于水及稀碱液，不溶于醇和酸。熔点72.2℃</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相对密度（水=1）：2.61</w:t>
                  </w:r>
                </w:p>
              </w:tc>
              <w:tc>
                <w:tcPr>
                  <w:tcW w:w="623" w:type="pct"/>
                  <w:tcBorders>
                    <w:top w:val="single" w:color="000000" w:sz="12" w:space="0"/>
                    <w:tl2br w:val="nil"/>
                    <w:tr2bl w:val="nil"/>
                  </w:tcBorders>
                  <w:shd w:val="clear" w:color="auto" w:fill="auto"/>
                  <w:vAlign w:val="center"/>
                </w:tcPr>
                <w:p w14:paraId="220DBAE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不燃</w:t>
                  </w:r>
                </w:p>
              </w:tc>
              <w:tc>
                <w:tcPr>
                  <w:tcW w:w="1034" w:type="pct"/>
                  <w:tcBorders>
                    <w:top w:val="single" w:color="000000" w:sz="12" w:space="0"/>
                    <w:tl2br w:val="nil"/>
                    <w:tr2bl w:val="nil"/>
                  </w:tcBorders>
                  <w:shd w:val="clear" w:color="auto" w:fill="auto"/>
                  <w:vAlign w:val="center"/>
                </w:tcPr>
                <w:p w14:paraId="312232C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LD50</w:t>
                  </w:r>
                  <w:r>
                    <w:rPr>
                      <w:rFonts w:hint="eastAsia" w:cs="Times New Roman"/>
                      <w:color w:val="auto"/>
                      <w:sz w:val="21"/>
                      <w:szCs w:val="21"/>
                      <w:lang w:val="en-US" w:eastAsia="zh-CN"/>
                    </w:rPr>
                    <w:t>：</w:t>
                  </w:r>
                </w:p>
                <w:p w14:paraId="6929EFD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1152mg/kg</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大鼠</w:t>
                  </w:r>
                </w:p>
                <w:p w14:paraId="242D8EE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经口</w:t>
                  </w:r>
                  <w:r>
                    <w:rPr>
                      <w:rFonts w:hint="eastAsia" w:cs="Times New Roman"/>
                      <w:color w:val="auto"/>
                      <w:sz w:val="21"/>
                      <w:szCs w:val="21"/>
                      <w:lang w:val="en-US" w:eastAsia="zh-CN"/>
                    </w:rPr>
                    <w:t>)</w:t>
                  </w:r>
                </w:p>
              </w:tc>
              <w:tc>
                <w:tcPr>
                  <w:tcW w:w="633" w:type="pct"/>
                  <w:tcBorders>
                    <w:top w:val="single" w:color="000000" w:sz="12" w:space="0"/>
                    <w:tl2br w:val="nil"/>
                    <w:tr2bl w:val="nil"/>
                  </w:tcBorders>
                  <w:shd w:val="clear" w:color="auto" w:fill="auto"/>
                  <w:vAlign w:val="center"/>
                </w:tcPr>
                <w:p w14:paraId="2E2F24C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否</w:t>
                  </w:r>
                </w:p>
              </w:tc>
            </w:tr>
            <w:tr w14:paraId="2CF52A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shd w:val="clear" w:color="auto" w:fill="auto"/>
                  <w:vAlign w:val="center"/>
                </w:tcPr>
                <w:p w14:paraId="007815F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碳酸钠</w:t>
                  </w:r>
                </w:p>
              </w:tc>
              <w:tc>
                <w:tcPr>
                  <w:tcW w:w="764" w:type="pct"/>
                  <w:tcBorders>
                    <w:tl2br w:val="nil"/>
                    <w:tr2bl w:val="nil"/>
                  </w:tcBorders>
                  <w:shd w:val="clear" w:color="auto" w:fill="auto"/>
                  <w:vAlign w:val="center"/>
                </w:tcPr>
                <w:p w14:paraId="0E4DF40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497-19-8</w:t>
                  </w:r>
                </w:p>
              </w:tc>
              <w:tc>
                <w:tcPr>
                  <w:tcW w:w="1285" w:type="pct"/>
                  <w:tcBorders>
                    <w:tl2br w:val="nil"/>
                    <w:tr2bl w:val="nil"/>
                  </w:tcBorders>
                  <w:shd w:val="clear" w:color="auto" w:fill="auto"/>
                  <w:vAlign w:val="center"/>
                </w:tcPr>
                <w:p w14:paraId="7C3F8E8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分子量为105.99。白色无气味的粉末或颗粒。密度2.532g/cm³</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熔点851℃</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沸点1600℃</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相对密度（水=1）：2.53g/cm3。溶于水，微溶于无水乙醇，不溶于丙醇，溶于甘油</w:t>
                  </w:r>
                </w:p>
              </w:tc>
              <w:tc>
                <w:tcPr>
                  <w:tcW w:w="623" w:type="pct"/>
                  <w:tcBorders>
                    <w:tl2br w:val="nil"/>
                    <w:tr2bl w:val="nil"/>
                  </w:tcBorders>
                  <w:shd w:val="clear" w:color="auto" w:fill="auto"/>
                  <w:vAlign w:val="center"/>
                </w:tcPr>
                <w:p w14:paraId="00CC7F6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不燃</w:t>
                  </w:r>
                </w:p>
              </w:tc>
              <w:tc>
                <w:tcPr>
                  <w:tcW w:w="1034" w:type="pct"/>
                  <w:tcBorders>
                    <w:tl2br w:val="nil"/>
                    <w:tr2bl w:val="nil"/>
                  </w:tcBorders>
                  <w:shd w:val="clear" w:color="auto" w:fill="auto"/>
                  <w:vAlign w:val="center"/>
                </w:tcPr>
                <w:p w14:paraId="78BD920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LD50</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4090 mg/kg</w:t>
                  </w:r>
                </w:p>
                <w:p w14:paraId="0FB3DE4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（大鼠经口）</w:t>
                  </w:r>
                </w:p>
                <w:p w14:paraId="77663B1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LC50</w:t>
                  </w:r>
                  <w:r>
                    <w:rPr>
                      <w:rFonts w:hint="eastAsia" w:cs="Times New Roman"/>
                      <w:color w:val="auto"/>
                      <w:sz w:val="21"/>
                      <w:szCs w:val="21"/>
                      <w:lang w:val="en-US" w:eastAsia="zh-CN"/>
                    </w:rPr>
                    <w:t>：</w:t>
                  </w:r>
                </w:p>
                <w:p w14:paraId="3E4691D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2300mg/m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lang w:val="en-US" w:eastAsia="zh-CN"/>
                    </w:rPr>
                    <w:t>，2小时（大鼠吸入）</w:t>
                  </w:r>
                </w:p>
              </w:tc>
              <w:tc>
                <w:tcPr>
                  <w:tcW w:w="633" w:type="pct"/>
                  <w:tcBorders>
                    <w:tl2br w:val="nil"/>
                    <w:tr2bl w:val="nil"/>
                  </w:tcBorders>
                  <w:shd w:val="clear" w:color="auto" w:fill="auto"/>
                  <w:vAlign w:val="center"/>
                </w:tcPr>
                <w:p w14:paraId="7F29306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否</w:t>
                  </w:r>
                </w:p>
              </w:tc>
            </w:tr>
            <w:tr w14:paraId="219712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shd w:val="clear" w:color="auto" w:fill="auto"/>
                  <w:vAlign w:val="center"/>
                </w:tcPr>
                <w:p w14:paraId="3CDC3623">
                  <w:pPr>
                    <w:pStyle w:val="46"/>
                    <w:keepNext w:val="0"/>
                    <w:keepLines w:val="0"/>
                    <w:pageBreakBefore w:val="0"/>
                    <w:widowControl w:val="0"/>
                    <w:suppressLineNumbers w:val="0"/>
                    <w:tabs>
                      <w:tab w:val="left" w:pos="0"/>
                    </w:tabs>
                    <w:kinsoku/>
                    <w:wordWrap/>
                    <w:overflowPunct/>
                    <w:topLinePunct/>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r-缩水甘油醚氧丙基三甲氧基硅烷</w:t>
                  </w:r>
                </w:p>
                <w:p w14:paraId="2E2C31E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highlight w:val="yellow"/>
                      <w:lang w:val="en-US" w:eastAsia="en-US"/>
                    </w:rPr>
                  </w:pPr>
                </w:p>
              </w:tc>
              <w:tc>
                <w:tcPr>
                  <w:tcW w:w="764" w:type="pct"/>
                  <w:tcBorders>
                    <w:tl2br w:val="nil"/>
                    <w:tr2bl w:val="nil"/>
                  </w:tcBorders>
                  <w:shd w:val="clear" w:color="auto" w:fill="auto"/>
                  <w:vAlign w:val="center"/>
                </w:tcPr>
                <w:p w14:paraId="61CA6E2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2</w:t>
                  </w:r>
                  <w:r>
                    <w:rPr>
                      <w:rFonts w:hint="eastAsia" w:ascii="Times New Roman" w:hAnsi="Times New Roman" w:eastAsia="宋体" w:cs="Times New Roman"/>
                      <w:color w:val="auto"/>
                      <w:sz w:val="21"/>
                      <w:szCs w:val="21"/>
                      <w:lang w:val="en-US" w:eastAsia="zh-CN"/>
                    </w:rPr>
                    <w:t>530-83-8</w:t>
                  </w:r>
                </w:p>
              </w:tc>
              <w:tc>
                <w:tcPr>
                  <w:tcW w:w="1285" w:type="pct"/>
                  <w:tcBorders>
                    <w:tl2br w:val="nil"/>
                    <w:tr2bl w:val="nil"/>
                  </w:tcBorders>
                  <w:shd w:val="clear" w:color="auto" w:fill="auto"/>
                  <w:vAlign w:val="center"/>
                </w:tcPr>
                <w:p w14:paraId="2F0CADD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分子量为</w:t>
                  </w:r>
                  <w:r>
                    <w:rPr>
                      <w:rFonts w:hint="eastAsia" w:cs="Times New Roman"/>
                      <w:color w:val="auto"/>
                      <w:sz w:val="21"/>
                      <w:szCs w:val="21"/>
                      <w:lang w:val="en-US" w:eastAsia="zh-CN"/>
                    </w:rPr>
                    <w:t>236.34</w:t>
                  </w:r>
                  <w:r>
                    <w:rPr>
                      <w:rFonts w:hint="eastAsia" w:ascii="Times New Roman" w:hAnsi="Times New Roman" w:eastAsia="宋体" w:cs="Times New Roman"/>
                      <w:color w:val="auto"/>
                      <w:sz w:val="21"/>
                      <w:szCs w:val="21"/>
                      <w:lang w:val="en-US" w:eastAsia="zh-CN"/>
                    </w:rPr>
                    <w:t>。熔</w:t>
                  </w:r>
                </w:p>
                <w:p w14:paraId="4701988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点-</w:t>
                  </w:r>
                  <w:r>
                    <w:rPr>
                      <w:rFonts w:hint="eastAsia" w:cs="Times New Roman"/>
                      <w:color w:val="auto"/>
                      <w:sz w:val="21"/>
                      <w:szCs w:val="21"/>
                      <w:lang w:val="en-US" w:eastAsia="zh-CN"/>
                    </w:rPr>
                    <w:t>50</w:t>
                  </w: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沸</w:t>
                  </w:r>
                </w:p>
                <w:p w14:paraId="38429CA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点</w:t>
                  </w:r>
                  <w:r>
                    <w:rPr>
                      <w:rFonts w:hint="eastAsia" w:cs="Times New Roman"/>
                      <w:color w:val="auto"/>
                      <w:sz w:val="21"/>
                      <w:szCs w:val="21"/>
                      <w:lang w:val="en-US" w:eastAsia="zh-CN"/>
                    </w:rPr>
                    <w:t>120.0</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相对密度</w:t>
                  </w:r>
                </w:p>
                <w:p w14:paraId="57695F6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en-US"/>
                    </w:rPr>
                    <w:t>1.070 g/mL at 20 °C无色透明液体</w:t>
                  </w:r>
                </w:p>
              </w:tc>
              <w:tc>
                <w:tcPr>
                  <w:tcW w:w="623" w:type="pct"/>
                  <w:tcBorders>
                    <w:tl2br w:val="nil"/>
                    <w:tr2bl w:val="nil"/>
                  </w:tcBorders>
                  <w:shd w:val="clear" w:color="auto" w:fill="auto"/>
                  <w:vAlign w:val="center"/>
                </w:tcPr>
                <w:p w14:paraId="7A5CE3C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易燃</w:t>
                  </w:r>
                </w:p>
              </w:tc>
              <w:tc>
                <w:tcPr>
                  <w:tcW w:w="1034" w:type="pct"/>
                  <w:tcBorders>
                    <w:tl2br w:val="nil"/>
                    <w:tr2bl w:val="nil"/>
                  </w:tcBorders>
                  <w:shd w:val="clear" w:color="auto" w:fill="auto"/>
                  <w:vAlign w:val="center"/>
                </w:tcPr>
                <w:p w14:paraId="5D387F3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LD50 oral in rat: 22600uL/k</w:t>
                  </w:r>
                  <w:r>
                    <w:rPr>
                      <w:rFonts w:hint="eastAsia" w:cs="Times New Roman"/>
                      <w:color w:val="auto"/>
                      <w:sz w:val="21"/>
                      <w:szCs w:val="21"/>
                      <w:lang w:val="en-US" w:eastAsia="zh-CN"/>
                    </w:rPr>
                    <w:t>g(</w:t>
                  </w:r>
                  <w:r>
                    <w:rPr>
                      <w:rFonts w:hint="eastAsia" w:ascii="Times New Roman" w:hAnsi="Times New Roman" w:eastAsia="宋体" w:cs="Times New Roman"/>
                      <w:color w:val="auto"/>
                      <w:sz w:val="21"/>
                      <w:szCs w:val="21"/>
                      <w:lang w:val="en-US" w:eastAsia="zh-CN"/>
                    </w:rPr>
                    <w:t>大鼠经口</w:t>
                  </w:r>
                  <w:r>
                    <w:rPr>
                      <w:rFonts w:hint="eastAsia" w:cs="Times New Roman"/>
                      <w:color w:val="auto"/>
                      <w:sz w:val="21"/>
                      <w:szCs w:val="21"/>
                      <w:lang w:val="en-US" w:eastAsia="zh-CN"/>
                    </w:rPr>
                    <w:t>)</w:t>
                  </w:r>
                </w:p>
              </w:tc>
              <w:tc>
                <w:tcPr>
                  <w:tcW w:w="633" w:type="pct"/>
                  <w:tcBorders>
                    <w:tl2br w:val="nil"/>
                    <w:tr2bl w:val="nil"/>
                  </w:tcBorders>
                  <w:shd w:val="clear" w:color="auto" w:fill="auto"/>
                  <w:vAlign w:val="center"/>
                </w:tcPr>
                <w:p w14:paraId="75C534A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否</w:t>
                  </w:r>
                </w:p>
              </w:tc>
            </w:tr>
            <w:tr w14:paraId="77F141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shd w:val="clear" w:color="auto" w:fill="auto"/>
                  <w:vAlign w:val="center"/>
                </w:tcPr>
                <w:p w14:paraId="3B4B15B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highlight w:val="yellow"/>
                      <w:lang w:val="en-US" w:eastAsia="en-US"/>
                    </w:rPr>
                  </w:pPr>
                  <w:r>
                    <w:rPr>
                      <w:rFonts w:hint="eastAsia" w:ascii="Times New Roman" w:hAnsi="Times New Roman" w:eastAsia="宋体" w:cs="Times New Roman"/>
                      <w:color w:val="auto"/>
                      <w:sz w:val="21"/>
                      <w:szCs w:val="21"/>
                      <w:highlight w:val="none"/>
                      <w:lang w:val="en-US" w:eastAsia="zh-CN"/>
                    </w:rPr>
                    <w:t>硅酸钠</w:t>
                  </w:r>
                </w:p>
              </w:tc>
              <w:tc>
                <w:tcPr>
                  <w:tcW w:w="764" w:type="pct"/>
                  <w:tcBorders>
                    <w:tl2br w:val="nil"/>
                    <w:tr2bl w:val="nil"/>
                  </w:tcBorders>
                  <w:shd w:val="clear" w:color="auto" w:fill="auto"/>
                  <w:vAlign w:val="center"/>
                </w:tcPr>
                <w:p w14:paraId="0CC2C9B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1344</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09</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8</w:t>
                  </w:r>
                </w:p>
              </w:tc>
              <w:tc>
                <w:tcPr>
                  <w:tcW w:w="1285" w:type="pct"/>
                  <w:tcBorders>
                    <w:tl2br w:val="nil"/>
                    <w:tr2bl w:val="nil"/>
                  </w:tcBorders>
                  <w:shd w:val="clear" w:color="auto" w:fill="auto"/>
                  <w:vAlign w:val="center"/>
                </w:tcPr>
                <w:p w14:paraId="00F6A78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分子量为122.07。熔点1088°C</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无色、略带颜色的半透明或透明块状玻璃体</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相对密度（水=1）：2.</w:t>
                  </w:r>
                  <w:r>
                    <w:rPr>
                      <w:rFonts w:hint="eastAsia" w:cs="Times New Roman"/>
                      <w:color w:val="auto"/>
                      <w:sz w:val="21"/>
                      <w:szCs w:val="21"/>
                      <w:lang w:val="en-US" w:eastAsia="zh-CN"/>
                    </w:rPr>
                    <w:t>33</w:t>
                  </w:r>
                </w:p>
              </w:tc>
              <w:tc>
                <w:tcPr>
                  <w:tcW w:w="623" w:type="pct"/>
                  <w:tcBorders>
                    <w:tl2br w:val="nil"/>
                    <w:tr2bl w:val="nil"/>
                  </w:tcBorders>
                  <w:shd w:val="clear" w:color="auto" w:fill="auto"/>
                  <w:vAlign w:val="center"/>
                </w:tcPr>
                <w:p w14:paraId="5C5DB70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不燃</w:t>
                  </w:r>
                </w:p>
              </w:tc>
              <w:tc>
                <w:tcPr>
                  <w:tcW w:w="1034" w:type="pct"/>
                  <w:tcBorders>
                    <w:tl2br w:val="nil"/>
                    <w:tr2bl w:val="nil"/>
                  </w:tcBorders>
                  <w:shd w:val="clear" w:color="auto" w:fill="auto"/>
                  <w:vAlign w:val="center"/>
                </w:tcPr>
                <w:p w14:paraId="7AAF8B4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LD50:1280mg/kg</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大鼠经口</w:t>
                  </w:r>
                  <w:r>
                    <w:rPr>
                      <w:rFonts w:hint="eastAsia" w:cs="Times New Roman"/>
                      <w:color w:val="auto"/>
                      <w:sz w:val="21"/>
                      <w:szCs w:val="21"/>
                      <w:lang w:val="en-US" w:eastAsia="zh-CN"/>
                    </w:rPr>
                    <w:t>)</w:t>
                  </w:r>
                </w:p>
              </w:tc>
              <w:tc>
                <w:tcPr>
                  <w:tcW w:w="633" w:type="pct"/>
                  <w:tcBorders>
                    <w:tl2br w:val="nil"/>
                    <w:tr2bl w:val="nil"/>
                  </w:tcBorders>
                  <w:shd w:val="clear" w:color="auto" w:fill="auto"/>
                  <w:vAlign w:val="center"/>
                </w:tcPr>
                <w:p w14:paraId="2B3A276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否</w:t>
                  </w:r>
                </w:p>
              </w:tc>
            </w:tr>
            <w:tr w14:paraId="57416D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shd w:val="clear" w:color="auto" w:fill="auto"/>
                  <w:vAlign w:val="center"/>
                </w:tcPr>
                <w:p w14:paraId="353C93D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highlight w:val="yellow"/>
                      <w:lang w:val="en-US" w:eastAsia="en-US"/>
                    </w:rPr>
                  </w:pPr>
                  <w:r>
                    <w:rPr>
                      <w:rFonts w:hint="eastAsia" w:ascii="Times New Roman" w:hAnsi="Times New Roman" w:eastAsia="宋体" w:cs="Times New Roman"/>
                      <w:color w:val="auto"/>
                      <w:sz w:val="21"/>
                      <w:szCs w:val="21"/>
                      <w:highlight w:val="none"/>
                      <w:lang w:val="en-US" w:eastAsia="en-US"/>
                    </w:rPr>
                    <w:t>纳米二氧化硅</w:t>
                  </w:r>
                </w:p>
              </w:tc>
              <w:tc>
                <w:tcPr>
                  <w:tcW w:w="764" w:type="pct"/>
                  <w:tcBorders>
                    <w:tl2br w:val="nil"/>
                    <w:tr2bl w:val="nil"/>
                  </w:tcBorders>
                  <w:shd w:val="clear" w:color="auto" w:fill="auto"/>
                  <w:vAlign w:val="center"/>
                </w:tcPr>
                <w:p w14:paraId="7830499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60676-86-0</w:t>
                  </w:r>
                </w:p>
              </w:tc>
              <w:tc>
                <w:tcPr>
                  <w:tcW w:w="1285" w:type="pct"/>
                  <w:tcBorders>
                    <w:tl2br w:val="nil"/>
                    <w:tr2bl w:val="nil"/>
                  </w:tcBorders>
                  <w:shd w:val="clear" w:color="auto" w:fill="auto"/>
                  <w:vAlign w:val="center"/>
                </w:tcPr>
                <w:p w14:paraId="2B0539B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分子量为60.08。</w:t>
                  </w:r>
                  <w:r>
                    <w:rPr>
                      <w:rFonts w:hint="eastAsia" w:cs="Times New Roman"/>
                      <w:color w:val="auto"/>
                      <w:sz w:val="21"/>
                      <w:szCs w:val="21"/>
                      <w:lang w:val="en-US" w:eastAsia="zh-CN"/>
                    </w:rPr>
                    <w:t>白色粉末</w:t>
                  </w:r>
                  <w:r>
                    <w:rPr>
                      <w:rFonts w:hint="eastAsia" w:ascii="Times New Roman" w:hAnsi="Times New Roman" w:eastAsia="宋体" w:cs="Times New Roman"/>
                      <w:color w:val="auto"/>
                      <w:sz w:val="21"/>
                      <w:szCs w:val="21"/>
                      <w:lang w:val="en-US" w:eastAsia="zh-CN"/>
                    </w:rPr>
                    <w:t>，味微苦，易潮解。熔点</w:t>
                  </w:r>
                  <w:r>
                    <w:rPr>
                      <w:rFonts w:hint="eastAsia" w:cs="Times New Roman"/>
                      <w:color w:val="auto"/>
                      <w:sz w:val="21"/>
                      <w:szCs w:val="21"/>
                      <w:lang w:val="en-US" w:eastAsia="zh-CN"/>
                    </w:rPr>
                    <w:t>1750</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相对密度（水＝1）：2.26</w:t>
                  </w:r>
                </w:p>
              </w:tc>
              <w:tc>
                <w:tcPr>
                  <w:tcW w:w="623" w:type="pct"/>
                  <w:tcBorders>
                    <w:tl2br w:val="nil"/>
                    <w:tr2bl w:val="nil"/>
                  </w:tcBorders>
                  <w:shd w:val="clear" w:color="auto" w:fill="auto"/>
                  <w:vAlign w:val="center"/>
                </w:tcPr>
                <w:p w14:paraId="75F7A30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不燃</w:t>
                  </w:r>
                </w:p>
              </w:tc>
              <w:tc>
                <w:tcPr>
                  <w:tcW w:w="1034" w:type="pct"/>
                  <w:tcBorders>
                    <w:tl2br w:val="nil"/>
                    <w:tr2bl w:val="nil"/>
                  </w:tcBorders>
                  <w:shd w:val="clear" w:color="auto" w:fill="auto"/>
                  <w:vAlign w:val="center"/>
                </w:tcPr>
                <w:p w14:paraId="525B202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w:t>
                  </w:r>
                </w:p>
              </w:tc>
              <w:tc>
                <w:tcPr>
                  <w:tcW w:w="633" w:type="pct"/>
                  <w:tcBorders>
                    <w:tl2br w:val="nil"/>
                    <w:tr2bl w:val="nil"/>
                  </w:tcBorders>
                  <w:shd w:val="clear" w:color="auto" w:fill="auto"/>
                  <w:vAlign w:val="center"/>
                </w:tcPr>
                <w:p w14:paraId="3DE6B79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否</w:t>
                  </w:r>
                </w:p>
              </w:tc>
            </w:tr>
            <w:tr w14:paraId="6FB15C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shd w:val="clear" w:color="auto" w:fill="auto"/>
                  <w:vAlign w:val="center"/>
                </w:tcPr>
                <w:p w14:paraId="679539A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聚酰胺</w:t>
                  </w:r>
                </w:p>
              </w:tc>
              <w:tc>
                <w:tcPr>
                  <w:tcW w:w="764" w:type="pct"/>
                  <w:tcBorders>
                    <w:tl2br w:val="nil"/>
                    <w:tr2bl w:val="nil"/>
                  </w:tcBorders>
                  <w:shd w:val="clear" w:color="auto" w:fill="auto"/>
                  <w:vAlign w:val="center"/>
                </w:tcPr>
                <w:p w14:paraId="2EF8B54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63428-83-1</w:t>
                  </w:r>
                </w:p>
              </w:tc>
              <w:tc>
                <w:tcPr>
                  <w:tcW w:w="1285" w:type="pct"/>
                  <w:tcBorders>
                    <w:tl2br w:val="nil"/>
                    <w:tr2bl w:val="nil"/>
                  </w:tcBorders>
                  <w:shd w:val="clear" w:color="auto" w:fill="auto"/>
                  <w:vAlign w:val="center"/>
                </w:tcPr>
                <w:p w14:paraId="374AD96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白色至淡黄色固体，</w:t>
                  </w:r>
                </w:p>
                <w:p w14:paraId="1438F99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分子量为341.489，熔点250℃</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沸点611.8℃</w:t>
                  </w:r>
                </w:p>
              </w:tc>
              <w:tc>
                <w:tcPr>
                  <w:tcW w:w="623" w:type="pct"/>
                  <w:tcBorders>
                    <w:tl2br w:val="nil"/>
                    <w:tr2bl w:val="nil"/>
                  </w:tcBorders>
                  <w:shd w:val="clear" w:color="auto" w:fill="auto"/>
                  <w:vAlign w:val="center"/>
                </w:tcPr>
                <w:p w14:paraId="168EE21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可燃</w:t>
                  </w:r>
                </w:p>
              </w:tc>
              <w:tc>
                <w:tcPr>
                  <w:tcW w:w="1034" w:type="pct"/>
                  <w:tcBorders>
                    <w:tl2br w:val="nil"/>
                    <w:tr2bl w:val="nil"/>
                  </w:tcBorders>
                  <w:shd w:val="clear" w:color="auto" w:fill="auto"/>
                  <w:vAlign w:val="center"/>
                </w:tcPr>
                <w:p w14:paraId="353DEA2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33" w:type="pct"/>
                  <w:tcBorders>
                    <w:tl2br w:val="nil"/>
                    <w:tr2bl w:val="nil"/>
                  </w:tcBorders>
                  <w:shd w:val="clear" w:color="auto" w:fill="auto"/>
                  <w:vAlign w:val="center"/>
                </w:tcPr>
                <w:p w14:paraId="12494D7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否</w:t>
                  </w:r>
                </w:p>
              </w:tc>
            </w:tr>
            <w:tr w14:paraId="724A43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shd w:val="clear" w:color="auto" w:fill="auto"/>
                  <w:vAlign w:val="center"/>
                </w:tcPr>
                <w:p w14:paraId="318C225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乙酸</w:t>
                  </w:r>
                </w:p>
              </w:tc>
              <w:tc>
                <w:tcPr>
                  <w:tcW w:w="764" w:type="pct"/>
                  <w:tcBorders>
                    <w:tl2br w:val="nil"/>
                    <w:tr2bl w:val="nil"/>
                  </w:tcBorders>
                  <w:shd w:val="clear" w:color="auto" w:fill="auto"/>
                  <w:vAlign w:val="center"/>
                </w:tcPr>
                <w:p w14:paraId="1AEB521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64-19-7</w:t>
                  </w:r>
                </w:p>
              </w:tc>
              <w:tc>
                <w:tcPr>
                  <w:tcW w:w="1285" w:type="pct"/>
                  <w:tcBorders>
                    <w:tl2br w:val="nil"/>
                    <w:tr2bl w:val="nil"/>
                  </w:tcBorders>
                  <w:shd w:val="clear" w:color="auto" w:fill="auto"/>
                  <w:vAlign w:val="center"/>
                </w:tcPr>
                <w:p w14:paraId="391B48F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无色透明液体，有刺激性酸臭，分子量60.05。熔点16.7℃</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沸点118.1℃</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溶于水、醚、甘油，不溶于二硫化碳</w:t>
                  </w:r>
                </w:p>
              </w:tc>
              <w:tc>
                <w:tcPr>
                  <w:tcW w:w="623" w:type="pct"/>
                  <w:tcBorders>
                    <w:tl2br w:val="nil"/>
                    <w:tr2bl w:val="nil"/>
                  </w:tcBorders>
                  <w:shd w:val="clear" w:color="auto" w:fill="auto"/>
                  <w:vAlign w:val="center"/>
                </w:tcPr>
                <w:p w14:paraId="4E41A64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易燃</w:t>
                  </w:r>
                </w:p>
              </w:tc>
              <w:tc>
                <w:tcPr>
                  <w:tcW w:w="1034" w:type="pct"/>
                  <w:tcBorders>
                    <w:tl2br w:val="nil"/>
                    <w:tr2bl w:val="nil"/>
                  </w:tcBorders>
                  <w:shd w:val="clear" w:color="auto" w:fill="auto"/>
                  <w:vAlign w:val="center"/>
                </w:tcPr>
                <w:p w14:paraId="39BA8FD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LD50</w:t>
                  </w:r>
                  <w:r>
                    <w:rPr>
                      <w:rFonts w:hint="eastAsia" w:cs="Times New Roman"/>
                      <w:color w:val="auto"/>
                      <w:sz w:val="21"/>
                      <w:szCs w:val="21"/>
                      <w:lang w:val="en-US" w:eastAsia="zh-CN"/>
                    </w:rPr>
                    <w:t>：</w:t>
                  </w:r>
                </w:p>
                <w:p w14:paraId="35584F6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3530mg/kg</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大鼠</w:t>
                  </w:r>
                </w:p>
                <w:p w14:paraId="08B106F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经口</w:t>
                  </w:r>
                  <w:r>
                    <w:rPr>
                      <w:rFonts w:hint="eastAsia" w:cs="Times New Roman"/>
                      <w:color w:val="auto"/>
                      <w:sz w:val="21"/>
                      <w:szCs w:val="21"/>
                      <w:lang w:val="en-US" w:eastAsia="zh-CN"/>
                    </w:rPr>
                    <w:t>)</w:t>
                  </w:r>
                </w:p>
                <w:p w14:paraId="71B27D4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LD50</w:t>
                  </w:r>
                  <w:r>
                    <w:rPr>
                      <w:rFonts w:hint="eastAsia" w:cs="Times New Roman"/>
                      <w:color w:val="auto"/>
                      <w:sz w:val="21"/>
                      <w:szCs w:val="21"/>
                      <w:lang w:val="en-US" w:eastAsia="zh-CN"/>
                    </w:rPr>
                    <w:t>：</w:t>
                  </w:r>
                </w:p>
                <w:p w14:paraId="3110B65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1060mg/kg</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兔经</w:t>
                  </w:r>
                </w:p>
                <w:p w14:paraId="208C7BD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皮</w:t>
                  </w:r>
                  <w:r>
                    <w:rPr>
                      <w:rFonts w:hint="eastAsia" w:cs="Times New Roman"/>
                      <w:color w:val="auto"/>
                      <w:sz w:val="21"/>
                      <w:szCs w:val="21"/>
                      <w:lang w:val="en-US" w:eastAsia="zh-CN"/>
                    </w:rPr>
                    <w:t>)</w:t>
                  </w:r>
                </w:p>
              </w:tc>
              <w:tc>
                <w:tcPr>
                  <w:tcW w:w="633" w:type="pct"/>
                  <w:tcBorders>
                    <w:tl2br w:val="nil"/>
                    <w:tr2bl w:val="nil"/>
                  </w:tcBorders>
                  <w:shd w:val="clear" w:color="auto" w:fill="auto"/>
                  <w:vAlign w:val="center"/>
                </w:tcPr>
                <w:p w14:paraId="396953B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是</w:t>
                  </w:r>
                </w:p>
              </w:tc>
            </w:tr>
            <w:tr w14:paraId="726004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shd w:val="clear" w:color="auto" w:fill="auto"/>
                  <w:vAlign w:val="center"/>
                </w:tcPr>
                <w:p w14:paraId="03F184E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环氧树</w:t>
                  </w:r>
                </w:p>
                <w:p w14:paraId="22FA2D2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脂</w:t>
                  </w:r>
                </w:p>
              </w:tc>
              <w:tc>
                <w:tcPr>
                  <w:tcW w:w="764" w:type="pct"/>
                  <w:tcBorders>
                    <w:tl2br w:val="nil"/>
                    <w:tr2bl w:val="nil"/>
                  </w:tcBorders>
                  <w:shd w:val="clear" w:color="auto" w:fill="auto"/>
                  <w:vAlign w:val="center"/>
                </w:tcPr>
                <w:p w14:paraId="13E3094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61788-97-4</w:t>
                  </w:r>
                </w:p>
              </w:tc>
              <w:tc>
                <w:tcPr>
                  <w:tcW w:w="1285" w:type="pct"/>
                  <w:tcBorders>
                    <w:tl2br w:val="nil"/>
                    <w:tr2bl w:val="nil"/>
                  </w:tcBorders>
                  <w:shd w:val="clear" w:color="auto" w:fill="auto"/>
                  <w:vAlign w:val="center"/>
                </w:tcPr>
                <w:p w14:paraId="2718BDB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黄色或透明固体。沸点大于260℃</w:t>
                  </w:r>
                </w:p>
              </w:tc>
              <w:tc>
                <w:tcPr>
                  <w:tcW w:w="623" w:type="pct"/>
                  <w:tcBorders>
                    <w:tl2br w:val="nil"/>
                    <w:tr2bl w:val="nil"/>
                  </w:tcBorders>
                  <w:shd w:val="clear" w:color="auto" w:fill="auto"/>
                  <w:vAlign w:val="center"/>
                </w:tcPr>
                <w:p w14:paraId="2CF92DD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可燃</w:t>
                  </w:r>
                </w:p>
              </w:tc>
              <w:tc>
                <w:tcPr>
                  <w:tcW w:w="1034" w:type="pct"/>
                  <w:tcBorders>
                    <w:tl2br w:val="nil"/>
                    <w:tr2bl w:val="nil"/>
                  </w:tcBorders>
                  <w:shd w:val="clear" w:color="auto" w:fill="auto"/>
                  <w:vAlign w:val="center"/>
                </w:tcPr>
                <w:p w14:paraId="504A44D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33" w:type="pct"/>
                  <w:tcBorders>
                    <w:tl2br w:val="nil"/>
                    <w:tr2bl w:val="nil"/>
                  </w:tcBorders>
                  <w:shd w:val="clear" w:color="auto" w:fill="auto"/>
                  <w:vAlign w:val="center"/>
                </w:tcPr>
                <w:p w14:paraId="38A0B99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否</w:t>
                  </w:r>
                </w:p>
              </w:tc>
            </w:tr>
            <w:tr w14:paraId="7470BB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shd w:val="clear" w:color="auto" w:fill="auto"/>
                  <w:vAlign w:val="center"/>
                </w:tcPr>
                <w:p w14:paraId="44F1AE3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2-丁氧基</w:t>
                  </w:r>
                </w:p>
                <w:p w14:paraId="00DE4CF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乙醇（乙</w:t>
                  </w:r>
                </w:p>
                <w:p w14:paraId="1148BD0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二醇丁</w:t>
                  </w:r>
                </w:p>
                <w:p w14:paraId="2387DF7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醚）</w:t>
                  </w:r>
                </w:p>
              </w:tc>
              <w:tc>
                <w:tcPr>
                  <w:tcW w:w="764" w:type="pct"/>
                  <w:tcBorders>
                    <w:tl2br w:val="nil"/>
                    <w:tr2bl w:val="nil"/>
                  </w:tcBorders>
                  <w:shd w:val="clear" w:color="auto" w:fill="auto"/>
                  <w:vAlign w:val="center"/>
                </w:tcPr>
                <w:p w14:paraId="245A2B6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111-76-2</w:t>
                  </w:r>
                </w:p>
              </w:tc>
              <w:tc>
                <w:tcPr>
                  <w:tcW w:w="1285" w:type="pct"/>
                  <w:tcBorders>
                    <w:tl2br w:val="nil"/>
                    <w:tr2bl w:val="nil"/>
                  </w:tcBorders>
                  <w:shd w:val="clear" w:color="auto" w:fill="auto"/>
                  <w:vAlign w:val="center"/>
                </w:tcPr>
                <w:p w14:paraId="7384A8F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无色透明液体。分子量：118.174，相对密度：0.902，沸点：</w:t>
                  </w:r>
                </w:p>
                <w:p w14:paraId="17CF500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171℃</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闪点：60℃</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蒸气压（25℃</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w:t>
                  </w:r>
                </w:p>
                <w:p w14:paraId="3998007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1.368mmHg</w:t>
                  </w:r>
                </w:p>
              </w:tc>
              <w:tc>
                <w:tcPr>
                  <w:tcW w:w="623" w:type="pct"/>
                  <w:tcBorders>
                    <w:tl2br w:val="nil"/>
                    <w:tr2bl w:val="nil"/>
                  </w:tcBorders>
                  <w:shd w:val="clear" w:color="auto" w:fill="auto"/>
                  <w:vAlign w:val="center"/>
                </w:tcPr>
                <w:p w14:paraId="311ED69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易燃</w:t>
                  </w:r>
                </w:p>
              </w:tc>
              <w:tc>
                <w:tcPr>
                  <w:tcW w:w="1034" w:type="pct"/>
                  <w:tcBorders>
                    <w:tl2br w:val="nil"/>
                    <w:tr2bl w:val="nil"/>
                  </w:tcBorders>
                  <w:shd w:val="clear" w:color="auto" w:fill="auto"/>
                  <w:vAlign w:val="center"/>
                </w:tcPr>
                <w:p w14:paraId="08801B5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LD50</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2500 mg/kg</w:t>
                  </w:r>
                </w:p>
                <w:p w14:paraId="0999C57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（大鼠经口）</w:t>
                  </w:r>
                </w:p>
              </w:tc>
              <w:tc>
                <w:tcPr>
                  <w:tcW w:w="633" w:type="pct"/>
                  <w:tcBorders>
                    <w:tl2br w:val="nil"/>
                    <w:tr2bl w:val="nil"/>
                  </w:tcBorders>
                  <w:shd w:val="clear" w:color="auto" w:fill="auto"/>
                  <w:vAlign w:val="center"/>
                </w:tcPr>
                <w:p w14:paraId="2BB7ED1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是</w:t>
                  </w:r>
                </w:p>
              </w:tc>
            </w:tr>
            <w:tr w14:paraId="25A252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vAlign w:val="center"/>
                </w:tcPr>
                <w:p w14:paraId="19FE11A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丙二醇苯醚</w:t>
                  </w:r>
                </w:p>
              </w:tc>
              <w:tc>
                <w:tcPr>
                  <w:tcW w:w="764" w:type="pct"/>
                  <w:tcBorders>
                    <w:tl2br w:val="nil"/>
                    <w:tr2bl w:val="nil"/>
                  </w:tcBorders>
                  <w:shd w:val="clear" w:color="auto" w:fill="auto"/>
                  <w:vAlign w:val="center"/>
                </w:tcPr>
                <w:p w14:paraId="440FB5E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6180-61-6</w:t>
                  </w:r>
                </w:p>
              </w:tc>
              <w:tc>
                <w:tcPr>
                  <w:tcW w:w="1285" w:type="pct"/>
                  <w:tcBorders>
                    <w:tl2br w:val="nil"/>
                    <w:tr2bl w:val="nil"/>
                  </w:tcBorders>
                  <w:shd w:val="clear" w:color="auto" w:fill="auto"/>
                  <w:vAlign w:val="center"/>
                </w:tcPr>
                <w:p w14:paraId="3FE1356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分子量为152.190，相</w:t>
                  </w:r>
                </w:p>
                <w:p w14:paraId="72B2455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对密度：1.1，沸点：</w:t>
                  </w:r>
                </w:p>
                <w:p w14:paraId="2EEB035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250.2℃</w:t>
                  </w:r>
                </w:p>
              </w:tc>
              <w:tc>
                <w:tcPr>
                  <w:tcW w:w="623" w:type="pct"/>
                  <w:tcBorders>
                    <w:tl2br w:val="nil"/>
                    <w:tr2bl w:val="nil"/>
                  </w:tcBorders>
                  <w:shd w:val="clear" w:color="auto" w:fill="auto"/>
                  <w:vAlign w:val="center"/>
                </w:tcPr>
                <w:p w14:paraId="4B5B257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1034" w:type="pct"/>
                  <w:tcBorders>
                    <w:tl2br w:val="nil"/>
                    <w:tr2bl w:val="nil"/>
                  </w:tcBorders>
                  <w:shd w:val="clear" w:color="auto" w:fill="auto"/>
                  <w:vAlign w:val="center"/>
                </w:tcPr>
                <w:p w14:paraId="3802706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33" w:type="pct"/>
                  <w:tcBorders>
                    <w:tl2br w:val="nil"/>
                    <w:tr2bl w:val="nil"/>
                  </w:tcBorders>
                  <w:vAlign w:val="center"/>
                </w:tcPr>
                <w:p w14:paraId="3B91C9A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是</w:t>
                  </w:r>
                </w:p>
              </w:tc>
            </w:tr>
            <w:tr w14:paraId="227F6C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vAlign w:val="center"/>
                </w:tcPr>
                <w:p w14:paraId="5E29A88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天然气</w:t>
                  </w:r>
                </w:p>
              </w:tc>
              <w:tc>
                <w:tcPr>
                  <w:tcW w:w="764" w:type="pct"/>
                  <w:tcBorders>
                    <w:tl2br w:val="nil"/>
                    <w:tr2bl w:val="nil"/>
                  </w:tcBorders>
                  <w:shd w:val="clear" w:color="auto" w:fill="auto"/>
                  <w:vAlign w:val="center"/>
                </w:tcPr>
                <w:p w14:paraId="51CA852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8006-14-2</w:t>
                  </w:r>
                </w:p>
              </w:tc>
              <w:tc>
                <w:tcPr>
                  <w:tcW w:w="1285" w:type="pct"/>
                  <w:tcBorders>
                    <w:tl2br w:val="nil"/>
                    <w:tr2bl w:val="nil"/>
                  </w:tcBorders>
                  <w:shd w:val="clear" w:color="auto" w:fill="auto"/>
                  <w:vAlign w:val="center"/>
                </w:tcPr>
                <w:p w14:paraId="5E36D6D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无色气体。不溶于水，密度：0.7174kg/m3，</w:t>
                  </w:r>
                </w:p>
                <w:p w14:paraId="59EA678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相对密度（水）：0.45（液化）燃点</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w:t>
                  </w:r>
                </w:p>
                <w:p w14:paraId="14C5E22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650，爆炸极限（V%）：</w:t>
                  </w:r>
                </w:p>
                <w:p w14:paraId="3F7BEAF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5-15</w:t>
                  </w:r>
                </w:p>
              </w:tc>
              <w:tc>
                <w:tcPr>
                  <w:tcW w:w="623" w:type="pct"/>
                  <w:tcBorders>
                    <w:tl2br w:val="nil"/>
                    <w:tr2bl w:val="nil"/>
                  </w:tcBorders>
                  <w:shd w:val="clear" w:color="auto" w:fill="auto"/>
                  <w:vAlign w:val="center"/>
                </w:tcPr>
                <w:p w14:paraId="178224C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易燃</w:t>
                  </w:r>
                </w:p>
              </w:tc>
              <w:tc>
                <w:tcPr>
                  <w:tcW w:w="1034" w:type="pct"/>
                  <w:tcBorders>
                    <w:tl2br w:val="nil"/>
                    <w:tr2bl w:val="nil"/>
                  </w:tcBorders>
                  <w:shd w:val="clear" w:color="auto" w:fill="auto"/>
                  <w:vAlign w:val="center"/>
                </w:tcPr>
                <w:p w14:paraId="7B67C9B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33" w:type="pct"/>
                  <w:tcBorders>
                    <w:tl2br w:val="nil"/>
                    <w:tr2bl w:val="nil"/>
                  </w:tcBorders>
                  <w:vAlign w:val="center"/>
                </w:tcPr>
                <w:p w14:paraId="06B44DD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否</w:t>
                  </w:r>
                </w:p>
              </w:tc>
            </w:tr>
            <w:tr w14:paraId="7AD780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vAlign w:val="center"/>
                </w:tcPr>
                <w:p w14:paraId="7391E25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聚合氯化铝</w:t>
                  </w:r>
                </w:p>
              </w:tc>
              <w:tc>
                <w:tcPr>
                  <w:tcW w:w="764" w:type="pct"/>
                  <w:tcBorders>
                    <w:tl2br w:val="nil"/>
                    <w:tr2bl w:val="nil"/>
                  </w:tcBorders>
                  <w:shd w:val="clear" w:color="auto" w:fill="auto"/>
                  <w:vAlign w:val="center"/>
                </w:tcPr>
                <w:p w14:paraId="7C994ED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1327-41-9</w:t>
                  </w:r>
                </w:p>
              </w:tc>
              <w:tc>
                <w:tcPr>
                  <w:tcW w:w="1285" w:type="pct"/>
                  <w:tcBorders>
                    <w:tl2br w:val="nil"/>
                    <w:tr2bl w:val="nil"/>
                  </w:tcBorders>
                  <w:shd w:val="clear" w:color="auto" w:fill="auto"/>
                  <w:vAlign w:val="center"/>
                </w:tcPr>
                <w:p w14:paraId="7B8C231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黄色或灰色固体。熔点：190℃</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易溶于水</w:t>
                  </w:r>
                </w:p>
              </w:tc>
              <w:tc>
                <w:tcPr>
                  <w:tcW w:w="623" w:type="pct"/>
                  <w:tcBorders>
                    <w:tl2br w:val="nil"/>
                    <w:tr2bl w:val="nil"/>
                  </w:tcBorders>
                  <w:shd w:val="clear" w:color="auto" w:fill="auto"/>
                  <w:vAlign w:val="center"/>
                </w:tcPr>
                <w:p w14:paraId="71862CF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不燃</w:t>
                  </w:r>
                </w:p>
              </w:tc>
              <w:tc>
                <w:tcPr>
                  <w:tcW w:w="1034" w:type="pct"/>
                  <w:tcBorders>
                    <w:tl2br w:val="nil"/>
                    <w:tr2bl w:val="nil"/>
                  </w:tcBorders>
                  <w:shd w:val="clear" w:color="auto" w:fill="auto"/>
                  <w:vAlign w:val="center"/>
                </w:tcPr>
                <w:p w14:paraId="34DC8D2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33" w:type="pct"/>
                  <w:tcBorders>
                    <w:tl2br w:val="nil"/>
                    <w:tr2bl w:val="nil"/>
                  </w:tcBorders>
                  <w:vAlign w:val="center"/>
                </w:tcPr>
                <w:p w14:paraId="6D0A1DA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否</w:t>
                  </w:r>
                </w:p>
              </w:tc>
            </w:tr>
            <w:tr w14:paraId="4988A3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8" w:type="pct"/>
                  <w:tcBorders>
                    <w:tl2br w:val="nil"/>
                    <w:tr2bl w:val="nil"/>
                  </w:tcBorders>
                  <w:vAlign w:val="center"/>
                </w:tcPr>
                <w:p w14:paraId="5C5F31A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聚丙烯酰胺</w:t>
                  </w:r>
                </w:p>
              </w:tc>
              <w:tc>
                <w:tcPr>
                  <w:tcW w:w="764" w:type="pct"/>
                  <w:tcBorders>
                    <w:tl2br w:val="nil"/>
                    <w:tr2bl w:val="nil"/>
                  </w:tcBorders>
                  <w:shd w:val="clear" w:color="auto" w:fill="auto"/>
                  <w:vAlign w:val="center"/>
                </w:tcPr>
                <w:p w14:paraId="47366E5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9003-05-8</w:t>
                  </w:r>
                </w:p>
              </w:tc>
              <w:tc>
                <w:tcPr>
                  <w:tcW w:w="1285" w:type="pct"/>
                  <w:tcBorders>
                    <w:tl2br w:val="nil"/>
                    <w:tr2bl w:val="nil"/>
                  </w:tcBorders>
                  <w:shd w:val="clear" w:color="auto" w:fill="auto"/>
                  <w:vAlign w:val="center"/>
                </w:tcPr>
                <w:p w14:paraId="7FEC057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常温下为坚硬的玻璃态固体。密度：1.302 g/cm³(23℃</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，易溶于水</w:t>
                  </w:r>
                </w:p>
              </w:tc>
              <w:tc>
                <w:tcPr>
                  <w:tcW w:w="623" w:type="pct"/>
                  <w:tcBorders>
                    <w:tl2br w:val="nil"/>
                    <w:tr2bl w:val="nil"/>
                  </w:tcBorders>
                  <w:shd w:val="clear" w:color="auto" w:fill="auto"/>
                  <w:vAlign w:val="center"/>
                </w:tcPr>
                <w:p w14:paraId="396B3D2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不燃</w:t>
                  </w:r>
                </w:p>
              </w:tc>
              <w:tc>
                <w:tcPr>
                  <w:tcW w:w="1034" w:type="pct"/>
                  <w:tcBorders>
                    <w:tl2br w:val="nil"/>
                    <w:tr2bl w:val="nil"/>
                  </w:tcBorders>
                  <w:shd w:val="clear" w:color="auto" w:fill="auto"/>
                  <w:vAlign w:val="center"/>
                </w:tcPr>
                <w:p w14:paraId="0EEA429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633" w:type="pct"/>
                  <w:tcBorders>
                    <w:tl2br w:val="nil"/>
                    <w:tr2bl w:val="nil"/>
                  </w:tcBorders>
                  <w:vAlign w:val="center"/>
                </w:tcPr>
                <w:p w14:paraId="47B5F48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否</w:t>
                  </w:r>
                </w:p>
              </w:tc>
            </w:tr>
          </w:tbl>
          <w:p w14:paraId="54E8B468">
            <w:pPr>
              <w:rPr>
                <w:rFonts w:hint="eastAsia"/>
                <w:color w:val="auto"/>
              </w:rPr>
            </w:pPr>
          </w:p>
          <w:p w14:paraId="180804C7">
            <w:pPr>
              <w:pStyle w:val="113"/>
              <w:numPr>
                <w:ilvl w:val="0"/>
                <w:numId w:val="8"/>
              </w:numPr>
              <w:spacing w:before="4" w:line="359" w:lineRule="exact"/>
              <w:ind w:left="601"/>
              <w:outlineLvl w:val="1"/>
              <w:rPr>
                <w:color w:val="auto"/>
                <w:spacing w:val="3"/>
                <w:position w:val="2"/>
                <w:sz w:val="24"/>
                <w:szCs w:val="24"/>
              </w:rPr>
            </w:pPr>
            <w:r>
              <w:rPr>
                <w:color w:val="auto"/>
                <w:spacing w:val="3"/>
                <w:position w:val="2"/>
                <w:sz w:val="24"/>
                <w:szCs w:val="24"/>
              </w:rPr>
              <w:t>原辅材料中</w:t>
            </w:r>
            <w:r>
              <w:rPr>
                <w:rFonts w:ascii="Times New Roman" w:hAnsi="Times New Roman" w:eastAsia="Times New Roman" w:cs="Times New Roman"/>
                <w:color w:val="auto"/>
                <w:position w:val="2"/>
                <w:sz w:val="24"/>
                <w:szCs w:val="24"/>
              </w:rPr>
              <w:t>VOCs</w:t>
            </w:r>
            <w:r>
              <w:rPr>
                <w:color w:val="auto"/>
                <w:spacing w:val="3"/>
                <w:position w:val="2"/>
                <w:sz w:val="24"/>
                <w:szCs w:val="24"/>
              </w:rPr>
              <w:t>含量分析</w:t>
            </w:r>
          </w:p>
          <w:p w14:paraId="77FDB838">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color w:val="auto"/>
                <w:sz w:val="24"/>
                <w:szCs w:val="24"/>
              </w:rPr>
            </w:pPr>
            <w:r>
              <w:rPr>
                <w:color w:val="auto"/>
                <w:spacing w:val="-1"/>
                <w:sz w:val="24"/>
                <w:szCs w:val="24"/>
              </w:rPr>
              <w:t>①原辅材料用量核算</w:t>
            </w:r>
          </w:p>
          <w:p w14:paraId="053AC449">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color w:val="auto"/>
                <w:sz w:val="24"/>
                <w:szCs w:val="24"/>
              </w:rPr>
            </w:pPr>
            <w:r>
              <w:rPr>
                <w:color w:val="auto"/>
                <w:spacing w:val="-2"/>
                <w:sz w:val="24"/>
                <w:szCs w:val="24"/>
              </w:rPr>
              <w:t>根据项目电泳方案，电泳漆每层厚度约为</w:t>
            </w:r>
            <w:r>
              <w:rPr>
                <w:rFonts w:ascii="Times New Roman" w:hAnsi="Times New Roman" w:eastAsia="Times New Roman" w:cs="Times New Roman"/>
                <w:color w:val="auto"/>
                <w:spacing w:val="-2"/>
                <w:sz w:val="24"/>
                <w:szCs w:val="24"/>
              </w:rPr>
              <w:t>20μm</w:t>
            </w:r>
            <w:r>
              <w:rPr>
                <w:color w:val="auto"/>
                <w:spacing w:val="-2"/>
                <w:sz w:val="24"/>
                <w:szCs w:val="24"/>
              </w:rPr>
              <w:t>，链速为</w:t>
            </w:r>
            <w:r>
              <w:rPr>
                <w:rFonts w:ascii="Times New Roman" w:hAnsi="Times New Roman" w:eastAsia="Times New Roman" w:cs="Times New Roman"/>
                <w:color w:val="auto"/>
                <w:spacing w:val="-2"/>
                <w:sz w:val="24"/>
                <w:szCs w:val="24"/>
              </w:rPr>
              <w:t>3m/min</w:t>
            </w:r>
            <w:r>
              <w:rPr>
                <w:color w:val="auto"/>
                <w:spacing w:val="-2"/>
                <w:sz w:val="24"/>
                <w:szCs w:val="24"/>
              </w:rPr>
              <w:t>，电泳面积为</w:t>
            </w:r>
            <w:r>
              <w:rPr>
                <w:rFonts w:hint="eastAsia" w:ascii="Times New Roman" w:hAnsi="Times New Roman" w:eastAsia="宋体" w:cs="Times New Roman"/>
                <w:color w:val="auto"/>
                <w:spacing w:val="-2"/>
                <w:sz w:val="24"/>
                <w:szCs w:val="24"/>
                <w:lang w:val="en-US" w:eastAsia="zh-CN"/>
              </w:rPr>
              <w:t>3</w:t>
            </w:r>
            <w:r>
              <w:rPr>
                <w:rFonts w:ascii="Times New Roman" w:hAnsi="Times New Roman" w:eastAsia="Times New Roman" w:cs="Times New Roman"/>
                <w:color w:val="auto"/>
                <w:spacing w:val="-2"/>
                <w:sz w:val="24"/>
                <w:szCs w:val="24"/>
              </w:rPr>
              <w:t>m</w:t>
            </w:r>
            <w:r>
              <w:rPr>
                <w:rFonts w:ascii="Times New Roman" w:hAnsi="Times New Roman" w:eastAsia="Times New Roman" w:cs="Times New Roman"/>
                <w:color w:val="auto"/>
                <w:spacing w:val="-2"/>
                <w:position w:val="8"/>
                <w:sz w:val="15"/>
                <w:szCs w:val="15"/>
              </w:rPr>
              <w:t>2</w:t>
            </w:r>
            <w:r>
              <w:rPr>
                <w:rFonts w:ascii="Times New Roman" w:hAnsi="Times New Roman" w:eastAsia="Times New Roman" w:cs="Times New Roman"/>
                <w:color w:val="auto"/>
                <w:spacing w:val="-2"/>
                <w:sz w:val="24"/>
                <w:szCs w:val="24"/>
              </w:rPr>
              <w:t>/</w:t>
            </w:r>
            <w:r>
              <w:rPr>
                <w:color w:val="auto"/>
                <w:spacing w:val="-2"/>
                <w:sz w:val="24"/>
                <w:szCs w:val="24"/>
              </w:rPr>
              <w:t>套，</w:t>
            </w:r>
            <w:r>
              <w:rPr>
                <w:rFonts w:hint="eastAsia"/>
                <w:color w:val="auto"/>
                <w:spacing w:val="-2"/>
                <w:sz w:val="24"/>
                <w:szCs w:val="24"/>
                <w:lang w:val="en-US" w:eastAsia="zh-CN"/>
              </w:rPr>
              <w:t>本项目设计年加工10万套汽车座椅骨架</w:t>
            </w:r>
            <w:r>
              <w:rPr>
                <w:color w:val="auto"/>
                <w:spacing w:val="-2"/>
                <w:sz w:val="24"/>
                <w:szCs w:val="24"/>
              </w:rPr>
              <w:t>电泳</w:t>
            </w:r>
            <w:r>
              <w:rPr>
                <w:rFonts w:hint="eastAsia"/>
                <w:color w:val="auto"/>
                <w:spacing w:val="-2"/>
                <w:sz w:val="24"/>
                <w:szCs w:val="24"/>
                <w:lang w:val="en-US" w:eastAsia="zh-CN"/>
              </w:rPr>
              <w:t>生产规模</w:t>
            </w:r>
            <w:r>
              <w:rPr>
                <w:rFonts w:hint="eastAsia"/>
                <w:color w:val="auto"/>
                <w:spacing w:val="-2"/>
                <w:sz w:val="24"/>
                <w:szCs w:val="24"/>
                <w:lang w:eastAsia="zh-CN"/>
              </w:rPr>
              <w:t>，</w:t>
            </w:r>
            <w:r>
              <w:rPr>
                <w:rFonts w:hint="eastAsia"/>
                <w:color w:val="auto"/>
                <w:spacing w:val="-2"/>
                <w:sz w:val="24"/>
                <w:szCs w:val="24"/>
                <w:lang w:val="en-US" w:eastAsia="zh-CN"/>
              </w:rPr>
              <w:t>设需电泳</w:t>
            </w:r>
            <w:r>
              <w:rPr>
                <w:color w:val="auto"/>
                <w:spacing w:val="-2"/>
                <w:sz w:val="24"/>
                <w:szCs w:val="24"/>
              </w:rPr>
              <w:t>产品为</w:t>
            </w:r>
            <w:r>
              <w:rPr>
                <w:rFonts w:ascii="Times New Roman" w:hAnsi="Times New Roman" w:eastAsia="Times New Roman" w:cs="Times New Roman"/>
                <w:color w:val="auto"/>
                <w:spacing w:val="-2"/>
                <w:sz w:val="24"/>
                <w:szCs w:val="24"/>
              </w:rPr>
              <w:t>1</w:t>
            </w:r>
            <w:r>
              <w:rPr>
                <w:rFonts w:hint="eastAsia" w:ascii="Times New Roman" w:hAnsi="Times New Roman" w:eastAsia="宋体" w:cs="Times New Roman"/>
                <w:color w:val="auto"/>
                <w:spacing w:val="-2"/>
                <w:sz w:val="24"/>
                <w:szCs w:val="24"/>
                <w:lang w:val="en-US" w:eastAsia="zh-CN"/>
              </w:rPr>
              <w:t>0</w:t>
            </w:r>
            <w:r>
              <w:rPr>
                <w:color w:val="auto"/>
                <w:spacing w:val="-2"/>
                <w:sz w:val="24"/>
                <w:szCs w:val="24"/>
              </w:rPr>
              <w:t>万套</w:t>
            </w:r>
            <w:r>
              <w:rPr>
                <w:rFonts w:ascii="Times New Roman" w:hAnsi="Times New Roman" w:eastAsia="Times New Roman" w:cs="Times New Roman"/>
                <w:color w:val="auto"/>
                <w:spacing w:val="-2"/>
                <w:sz w:val="24"/>
                <w:szCs w:val="24"/>
              </w:rPr>
              <w:t>/a</w:t>
            </w:r>
            <w:r>
              <w:rPr>
                <w:color w:val="auto"/>
                <w:spacing w:val="-2"/>
                <w:sz w:val="24"/>
                <w:szCs w:val="24"/>
              </w:rPr>
              <w:t>，</w:t>
            </w:r>
            <w:r>
              <w:rPr>
                <w:color w:val="auto"/>
                <w:spacing w:val="-3"/>
                <w:sz w:val="24"/>
                <w:szCs w:val="24"/>
              </w:rPr>
              <w:t>电泳漆调配工艺为乳液：黑浆：</w:t>
            </w:r>
            <w:r>
              <w:rPr>
                <w:color w:val="auto"/>
                <w:spacing w:val="-5"/>
                <w:sz w:val="24"/>
                <w:szCs w:val="24"/>
              </w:rPr>
              <w:t>助剂：中和剂</w:t>
            </w:r>
            <w:r>
              <w:rPr>
                <w:rFonts w:ascii="Times New Roman" w:hAnsi="Times New Roman" w:eastAsia="Times New Roman" w:cs="Times New Roman"/>
                <w:color w:val="auto"/>
                <w:spacing w:val="-5"/>
                <w:sz w:val="24"/>
                <w:szCs w:val="24"/>
              </w:rPr>
              <w:t>=112.5</w:t>
            </w:r>
            <w:r>
              <w:rPr>
                <w:rFonts w:hint="eastAsia" w:ascii="Times New Roman" w:hAnsi="Times New Roman" w:eastAsia="宋体" w:cs="Times New Roman"/>
                <w:color w:val="auto"/>
                <w:spacing w:val="-5"/>
                <w:sz w:val="24"/>
                <w:szCs w:val="24"/>
                <w:lang w:eastAsia="zh-CN"/>
              </w:rPr>
              <w:t>：</w:t>
            </w:r>
            <w:r>
              <w:rPr>
                <w:rFonts w:ascii="Times New Roman" w:hAnsi="Times New Roman" w:eastAsia="Times New Roman" w:cs="Times New Roman"/>
                <w:color w:val="auto"/>
                <w:spacing w:val="-5"/>
                <w:sz w:val="24"/>
                <w:szCs w:val="24"/>
              </w:rPr>
              <w:t>17.5</w:t>
            </w:r>
            <w:r>
              <w:rPr>
                <w:rFonts w:hint="eastAsia" w:ascii="Times New Roman" w:hAnsi="Times New Roman" w:eastAsia="宋体" w:cs="Times New Roman"/>
                <w:color w:val="auto"/>
                <w:spacing w:val="-5"/>
                <w:sz w:val="24"/>
                <w:szCs w:val="24"/>
                <w:lang w:eastAsia="zh-CN"/>
              </w:rPr>
              <w:t>：</w:t>
            </w:r>
            <w:r>
              <w:rPr>
                <w:rFonts w:ascii="Times New Roman" w:hAnsi="Times New Roman" w:eastAsia="Times New Roman" w:cs="Times New Roman"/>
                <w:color w:val="auto"/>
                <w:spacing w:val="-5"/>
                <w:sz w:val="24"/>
                <w:szCs w:val="24"/>
              </w:rPr>
              <w:t>1.5</w:t>
            </w:r>
            <w:r>
              <w:rPr>
                <w:rFonts w:hint="eastAsia" w:ascii="Times New Roman" w:hAnsi="Times New Roman" w:eastAsia="宋体" w:cs="Times New Roman"/>
                <w:color w:val="auto"/>
                <w:spacing w:val="-5"/>
                <w:sz w:val="24"/>
                <w:szCs w:val="24"/>
                <w:lang w:eastAsia="zh-CN"/>
              </w:rPr>
              <w:t>：</w:t>
            </w:r>
            <w:r>
              <w:rPr>
                <w:rFonts w:ascii="Times New Roman" w:hAnsi="Times New Roman" w:eastAsia="Times New Roman" w:cs="Times New Roman"/>
                <w:color w:val="auto"/>
                <w:spacing w:val="-5"/>
                <w:sz w:val="24"/>
                <w:szCs w:val="24"/>
              </w:rPr>
              <w:t>1</w:t>
            </w:r>
            <w:r>
              <w:rPr>
                <w:color w:val="auto"/>
                <w:spacing w:val="-5"/>
                <w:sz w:val="24"/>
                <w:szCs w:val="24"/>
              </w:rPr>
              <w:t>。</w:t>
            </w:r>
          </w:p>
          <w:p w14:paraId="75F91123">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68" w:firstLineChars="200"/>
              <w:textAlignment w:val="auto"/>
              <w:rPr>
                <w:color w:val="auto"/>
                <w:sz w:val="24"/>
                <w:szCs w:val="24"/>
              </w:rPr>
            </w:pPr>
            <w:r>
              <w:rPr>
                <w:color w:val="auto"/>
                <w:spacing w:val="-3"/>
                <w:sz w:val="24"/>
                <w:szCs w:val="24"/>
              </w:rPr>
              <w:t>电泳漆用量采用以下公式计算。</w:t>
            </w:r>
          </w:p>
          <w:p w14:paraId="5E2423CF">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jc w:val="center"/>
              <w:textAlignment w:val="auto"/>
              <w:rPr>
                <w:color w:val="auto"/>
              </w:rPr>
            </w:pPr>
            <w:r>
              <w:rPr>
                <w:color w:val="auto"/>
                <w:position w:val="-11"/>
              </w:rPr>
              <w:drawing>
                <wp:inline distT="0" distB="0" distL="0" distR="0">
                  <wp:extent cx="1040765" cy="347345"/>
                  <wp:effectExtent l="0" t="0" r="6985" b="14605"/>
                  <wp:docPr id="237" name="IM 2"/>
                  <wp:cNvGraphicFramePr/>
                  <a:graphic xmlns:a="http://schemas.openxmlformats.org/drawingml/2006/main">
                    <a:graphicData uri="http://schemas.openxmlformats.org/drawingml/2006/picture">
                      <pic:pic xmlns:pic="http://schemas.openxmlformats.org/drawingml/2006/picture">
                        <pic:nvPicPr>
                          <pic:cNvPr id="237" name="IM 2"/>
                          <pic:cNvPicPr/>
                        </pic:nvPicPr>
                        <pic:blipFill>
                          <a:blip r:embed="rId21"/>
                          <a:stretch>
                            <a:fillRect/>
                          </a:stretch>
                        </pic:blipFill>
                        <pic:spPr>
                          <a:xfrm>
                            <a:off x="0" y="0"/>
                            <a:ext cx="1041196" cy="347713"/>
                          </a:xfrm>
                          <a:prstGeom prst="rect">
                            <a:avLst/>
                          </a:prstGeom>
                        </pic:spPr>
                      </pic:pic>
                    </a:graphicData>
                  </a:graphic>
                </wp:inline>
              </w:drawing>
            </w:r>
          </w:p>
          <w:p w14:paraId="21C8DF67">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color w:val="auto"/>
                <w:sz w:val="24"/>
                <w:szCs w:val="24"/>
              </w:rPr>
            </w:pPr>
            <w:r>
              <w:rPr>
                <w:color w:val="auto"/>
                <w:spacing w:val="-1"/>
                <w:sz w:val="24"/>
                <w:szCs w:val="24"/>
              </w:rPr>
              <w:t>其中：</w:t>
            </w:r>
            <w:r>
              <w:rPr>
                <w:rFonts w:ascii="Times New Roman" w:hAnsi="Times New Roman" w:eastAsia="Times New Roman" w:cs="Times New Roman"/>
                <w:color w:val="auto"/>
                <w:spacing w:val="-1"/>
                <w:sz w:val="24"/>
                <w:szCs w:val="24"/>
              </w:rPr>
              <w:t>m——</w:t>
            </w:r>
            <w:r>
              <w:rPr>
                <w:color w:val="auto"/>
                <w:spacing w:val="-1"/>
                <w:sz w:val="24"/>
                <w:szCs w:val="24"/>
              </w:rPr>
              <w:t>电泳漆总用量（</w:t>
            </w:r>
            <w:r>
              <w:rPr>
                <w:rFonts w:ascii="Times New Roman" w:hAnsi="Times New Roman" w:eastAsia="Times New Roman" w:cs="Times New Roman"/>
                <w:color w:val="auto"/>
                <w:spacing w:val="-1"/>
                <w:sz w:val="24"/>
                <w:szCs w:val="24"/>
              </w:rPr>
              <w:t>t/a</w:t>
            </w:r>
            <w:r>
              <w:rPr>
                <w:color w:val="auto"/>
                <w:spacing w:val="1"/>
                <w:sz w:val="24"/>
                <w:szCs w:val="24"/>
              </w:rPr>
              <w:t>）；</w:t>
            </w:r>
          </w:p>
          <w:p w14:paraId="0BAF8DB9">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color w:val="auto"/>
                <w:sz w:val="24"/>
                <w:szCs w:val="24"/>
              </w:rPr>
            </w:pPr>
            <w:r>
              <w:rPr>
                <w:rFonts w:ascii="Times New Roman" w:hAnsi="Times New Roman" w:eastAsia="Times New Roman" w:cs="Times New Roman"/>
                <w:color w:val="auto"/>
                <w:spacing w:val="-1"/>
                <w:sz w:val="24"/>
                <w:szCs w:val="24"/>
              </w:rPr>
              <w:t>ρ——</w:t>
            </w:r>
            <w:r>
              <w:rPr>
                <w:color w:val="auto"/>
                <w:spacing w:val="-1"/>
                <w:sz w:val="24"/>
                <w:szCs w:val="24"/>
              </w:rPr>
              <w:t>油漆密度（</w:t>
            </w:r>
            <w:r>
              <w:rPr>
                <w:rFonts w:ascii="Times New Roman" w:hAnsi="Times New Roman" w:eastAsia="Times New Roman" w:cs="Times New Roman"/>
                <w:color w:val="auto"/>
                <w:spacing w:val="-1"/>
                <w:sz w:val="24"/>
                <w:szCs w:val="24"/>
              </w:rPr>
              <w:t>g/cm</w:t>
            </w:r>
            <w:r>
              <w:rPr>
                <w:rFonts w:ascii="Times New Roman" w:hAnsi="Times New Roman" w:eastAsia="Times New Roman" w:cs="Times New Roman"/>
                <w:color w:val="auto"/>
                <w:spacing w:val="-1"/>
                <w:position w:val="7"/>
                <w:sz w:val="15"/>
                <w:szCs w:val="15"/>
              </w:rPr>
              <w:t>3</w:t>
            </w:r>
            <w:r>
              <w:rPr>
                <w:color w:val="auto"/>
                <w:spacing w:val="-17"/>
                <w:sz w:val="24"/>
                <w:szCs w:val="24"/>
              </w:rPr>
              <w:t>）；</w:t>
            </w:r>
          </w:p>
          <w:p w14:paraId="5F8A329D">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color w:val="auto"/>
                <w:sz w:val="24"/>
                <w:szCs w:val="24"/>
              </w:rPr>
            </w:pPr>
            <w:r>
              <w:rPr>
                <w:rFonts w:ascii="Times New Roman" w:hAnsi="Times New Roman" w:eastAsia="Times New Roman" w:cs="Times New Roman"/>
                <w:color w:val="auto"/>
                <w:spacing w:val="-1"/>
                <w:sz w:val="24"/>
                <w:szCs w:val="24"/>
              </w:rPr>
              <w:t>δ——</w:t>
            </w:r>
            <w:r>
              <w:rPr>
                <w:color w:val="auto"/>
                <w:spacing w:val="-1"/>
                <w:sz w:val="24"/>
                <w:szCs w:val="24"/>
              </w:rPr>
              <w:t>涂层厚度</w:t>
            </w:r>
            <w:r>
              <w:rPr>
                <w:rFonts w:hint="eastAsia"/>
                <w:color w:val="auto"/>
                <w:spacing w:val="-1"/>
                <w:sz w:val="24"/>
                <w:szCs w:val="24"/>
                <w:lang w:eastAsia="zh-CN"/>
              </w:rPr>
              <w:t>(</w:t>
            </w:r>
            <w:r>
              <w:rPr>
                <w:rFonts w:ascii="Times New Roman" w:hAnsi="Times New Roman" w:eastAsia="Times New Roman" w:cs="Times New Roman"/>
                <w:color w:val="auto"/>
                <w:spacing w:val="-1"/>
                <w:sz w:val="24"/>
                <w:szCs w:val="24"/>
              </w:rPr>
              <w:t>μm</w:t>
            </w:r>
            <w:r>
              <w:rPr>
                <w:color w:val="auto"/>
                <w:sz w:val="24"/>
                <w:szCs w:val="24"/>
              </w:rPr>
              <w:t>）；</w:t>
            </w:r>
          </w:p>
          <w:p w14:paraId="7956621E">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textAlignment w:val="auto"/>
              <w:rPr>
                <w:color w:val="auto"/>
                <w:sz w:val="24"/>
                <w:szCs w:val="24"/>
              </w:rPr>
            </w:pPr>
            <w:r>
              <w:rPr>
                <w:rFonts w:ascii="Times New Roman" w:hAnsi="Times New Roman" w:eastAsia="Times New Roman" w:cs="Times New Roman"/>
                <w:color w:val="auto"/>
                <w:spacing w:val="-1"/>
                <w:sz w:val="24"/>
                <w:szCs w:val="24"/>
              </w:rPr>
              <w:t>s——</w:t>
            </w:r>
            <w:r>
              <w:rPr>
                <w:color w:val="auto"/>
                <w:spacing w:val="-1"/>
                <w:sz w:val="24"/>
                <w:szCs w:val="24"/>
              </w:rPr>
              <w:t>涂层总面积（</w:t>
            </w:r>
            <w:r>
              <w:rPr>
                <w:rFonts w:ascii="Times New Roman" w:hAnsi="Times New Roman" w:eastAsia="Times New Roman" w:cs="Times New Roman"/>
                <w:color w:val="auto"/>
                <w:spacing w:val="-1"/>
                <w:sz w:val="24"/>
                <w:szCs w:val="24"/>
              </w:rPr>
              <w:t>m</w:t>
            </w:r>
            <w:r>
              <w:rPr>
                <w:rFonts w:ascii="Times New Roman" w:hAnsi="Times New Roman" w:eastAsia="Times New Roman" w:cs="Times New Roman"/>
                <w:color w:val="auto"/>
                <w:spacing w:val="-1"/>
                <w:position w:val="7"/>
                <w:sz w:val="15"/>
                <w:szCs w:val="15"/>
              </w:rPr>
              <w:t>2</w:t>
            </w:r>
            <w:r>
              <w:rPr>
                <w:rFonts w:ascii="Times New Roman" w:hAnsi="Times New Roman" w:eastAsia="Times New Roman" w:cs="Times New Roman"/>
                <w:color w:val="auto"/>
                <w:spacing w:val="-1"/>
                <w:sz w:val="24"/>
                <w:szCs w:val="24"/>
              </w:rPr>
              <w:t>/a</w:t>
            </w:r>
            <w:r>
              <w:rPr>
                <w:color w:val="auto"/>
                <w:spacing w:val="1"/>
                <w:sz w:val="24"/>
                <w:szCs w:val="24"/>
              </w:rPr>
              <w:t>）；</w:t>
            </w:r>
          </w:p>
          <w:p w14:paraId="47FA5EEE">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color w:val="auto"/>
                <w:sz w:val="24"/>
                <w:szCs w:val="24"/>
              </w:rPr>
            </w:pPr>
            <w:r>
              <w:rPr>
                <w:rFonts w:ascii="Times New Roman" w:hAnsi="Times New Roman" w:eastAsia="Times New Roman" w:cs="Times New Roman"/>
                <w:color w:val="auto"/>
                <w:sz w:val="24"/>
                <w:szCs w:val="24"/>
              </w:rPr>
              <w:t>NV——</w:t>
            </w:r>
            <w:r>
              <w:rPr>
                <w:color w:val="auto"/>
                <w:sz w:val="24"/>
                <w:szCs w:val="24"/>
              </w:rPr>
              <w:t>漆料中的体积固体份；</w:t>
            </w:r>
          </w:p>
          <w:p w14:paraId="382AF2F8">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textAlignment w:val="auto"/>
              <w:rPr>
                <w:color w:val="auto"/>
                <w:sz w:val="24"/>
                <w:szCs w:val="24"/>
              </w:rPr>
            </w:pPr>
            <w:r>
              <w:rPr>
                <w:rFonts w:ascii="Times New Roman" w:hAnsi="Times New Roman" w:eastAsia="Times New Roman" w:cs="Times New Roman"/>
                <w:color w:val="auto"/>
                <w:spacing w:val="-2"/>
                <w:sz w:val="24"/>
                <w:szCs w:val="24"/>
              </w:rPr>
              <w:t>ε——</w:t>
            </w:r>
            <w:r>
              <w:rPr>
                <w:color w:val="auto"/>
                <w:spacing w:val="-2"/>
                <w:sz w:val="24"/>
                <w:szCs w:val="24"/>
              </w:rPr>
              <w:t>上漆率。</w:t>
            </w:r>
          </w:p>
          <w:p w14:paraId="7C7BBA09">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color w:val="auto"/>
                <w:spacing w:val="-1"/>
                <w:sz w:val="24"/>
                <w:szCs w:val="24"/>
              </w:rPr>
            </w:pPr>
            <w:r>
              <w:rPr>
                <w:color w:val="auto"/>
                <w:spacing w:val="-1"/>
                <w:sz w:val="24"/>
                <w:szCs w:val="24"/>
              </w:rPr>
              <w:t>本项目涂料使用计算参数见下表。</w:t>
            </w:r>
          </w:p>
          <w:p w14:paraId="08235301">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color w:val="auto"/>
                <w:sz w:val="24"/>
                <w:szCs w:val="24"/>
              </w:rPr>
            </w:pPr>
            <w:r>
              <w:rPr>
                <w:rFonts w:hint="eastAsia" w:ascii="Times New Roman" w:hAnsi="Times New Roman" w:eastAsia="宋体" w:cs="Times New Roman"/>
                <w:color w:val="auto"/>
                <w:highlight w:val="none"/>
              </w:rPr>
              <w:t>电泳漆用量计算参数一览表</w:t>
            </w:r>
          </w:p>
          <w:tbl>
            <w:tblPr>
              <w:tblStyle w:val="84"/>
              <w:tblW w:w="499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926"/>
              <w:gridCol w:w="1075"/>
              <w:gridCol w:w="863"/>
              <w:gridCol w:w="1032"/>
              <w:gridCol w:w="896"/>
              <w:gridCol w:w="1039"/>
              <w:gridCol w:w="941"/>
              <w:gridCol w:w="934"/>
              <w:gridCol w:w="937"/>
            </w:tblGrid>
            <w:tr w14:paraId="0D35FA7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147" w:hRule="atLeast"/>
              </w:trPr>
              <w:tc>
                <w:tcPr>
                  <w:tcW w:w="536" w:type="pct"/>
                  <w:tcBorders>
                    <w:bottom w:val="single" w:color="000000" w:sz="12" w:space="0"/>
                  </w:tcBorders>
                  <w:vAlign w:val="center"/>
                </w:tcPr>
                <w:p w14:paraId="6BEAD9C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eastAsia="宋体"/>
                      <w:b w:val="0"/>
                      <w:bCs w:val="0"/>
                      <w:color w:val="auto"/>
                      <w:spacing w:val="3"/>
                      <w:sz w:val="21"/>
                    </w:rPr>
                    <w:t>类型</w:t>
                  </w:r>
                </w:p>
              </w:tc>
              <w:tc>
                <w:tcPr>
                  <w:tcW w:w="622" w:type="pct"/>
                  <w:tcBorders>
                    <w:bottom w:val="single" w:color="000000" w:sz="12" w:space="0"/>
                  </w:tcBorders>
                  <w:vAlign w:val="center"/>
                </w:tcPr>
                <w:p w14:paraId="4058CC9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eastAsia="宋体"/>
                      <w:b w:val="0"/>
                      <w:bCs w:val="0"/>
                      <w:color w:val="auto"/>
                      <w:spacing w:val="-4"/>
                      <w:sz w:val="21"/>
                    </w:rPr>
                    <w:t>电泳漆</w:t>
                  </w:r>
                  <w:r>
                    <w:rPr>
                      <w:rFonts w:eastAsia="宋体"/>
                      <w:b w:val="0"/>
                      <w:bCs w:val="0"/>
                      <w:color w:val="auto"/>
                      <w:spacing w:val="3"/>
                      <w:sz w:val="21"/>
                    </w:rPr>
                    <w:t>密度</w:t>
                  </w:r>
                </w:p>
                <w:p w14:paraId="23EF37B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b w:val="0"/>
                      <w:bCs w:val="0"/>
                      <w:color w:val="auto"/>
                      <w:sz w:val="21"/>
                      <w:szCs w:val="20"/>
                    </w:rPr>
                  </w:pPr>
                  <w:r>
                    <w:rPr>
                      <w:rFonts w:ascii="Times New Roman" w:hAnsi="Times New Roman" w:eastAsia="宋体" w:cs="Times New Roman"/>
                      <w:b w:val="0"/>
                      <w:bCs w:val="0"/>
                      <w:color w:val="auto"/>
                      <w:spacing w:val="4"/>
                      <w:sz w:val="21"/>
                      <w:szCs w:val="20"/>
                    </w:rPr>
                    <w:t>ρ(g/</w:t>
                  </w:r>
                  <w:r>
                    <w:rPr>
                      <w:rFonts w:ascii="Times New Roman" w:hAnsi="Times New Roman" w:eastAsia="宋体" w:cs="Times New Roman"/>
                      <w:b w:val="0"/>
                      <w:bCs w:val="0"/>
                      <w:color w:val="auto"/>
                      <w:sz w:val="21"/>
                      <w:szCs w:val="20"/>
                    </w:rPr>
                    <w:t>cm</w:t>
                  </w:r>
                  <w:r>
                    <w:rPr>
                      <w:rFonts w:ascii="Times New Roman" w:hAnsi="Times New Roman" w:eastAsia="宋体" w:cs="Times New Roman"/>
                      <w:b w:val="0"/>
                      <w:bCs w:val="0"/>
                      <w:color w:val="auto"/>
                      <w:spacing w:val="4"/>
                      <w:position w:val="6"/>
                      <w:sz w:val="21"/>
                      <w:szCs w:val="13"/>
                    </w:rPr>
                    <w:t>3</w:t>
                  </w:r>
                  <w:r>
                    <w:rPr>
                      <w:rFonts w:ascii="Times New Roman" w:hAnsi="Times New Roman" w:eastAsia="宋体" w:cs="Times New Roman"/>
                      <w:b w:val="0"/>
                      <w:bCs w:val="0"/>
                      <w:color w:val="auto"/>
                      <w:spacing w:val="4"/>
                      <w:sz w:val="21"/>
                      <w:szCs w:val="20"/>
                    </w:rPr>
                    <w:t>)</w:t>
                  </w:r>
                </w:p>
              </w:tc>
              <w:tc>
                <w:tcPr>
                  <w:tcW w:w="499" w:type="pct"/>
                  <w:tcBorders>
                    <w:bottom w:val="single" w:color="000000" w:sz="12" w:space="0"/>
                  </w:tcBorders>
                  <w:vAlign w:val="center"/>
                </w:tcPr>
                <w:p w14:paraId="40B3FE0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b w:val="0"/>
                      <w:bCs w:val="0"/>
                      <w:color w:val="auto"/>
                      <w:sz w:val="21"/>
                    </w:rPr>
                  </w:pPr>
                  <w:r>
                    <w:rPr>
                      <w:rFonts w:eastAsia="宋体"/>
                      <w:b w:val="0"/>
                      <w:bCs w:val="0"/>
                      <w:color w:val="auto"/>
                      <w:spacing w:val="2"/>
                      <w:sz w:val="21"/>
                    </w:rPr>
                    <w:t>涂层</w:t>
                  </w:r>
                  <w:r>
                    <w:rPr>
                      <w:rFonts w:eastAsia="宋体"/>
                      <w:b w:val="0"/>
                      <w:bCs w:val="0"/>
                      <w:color w:val="auto"/>
                      <w:spacing w:val="1"/>
                      <w:sz w:val="21"/>
                    </w:rPr>
                    <w:t>厚度</w:t>
                  </w:r>
                  <w:r>
                    <w:rPr>
                      <w:rFonts w:ascii="Times New Roman" w:hAnsi="Times New Roman" w:eastAsia="宋体" w:cs="Times New Roman"/>
                      <w:b w:val="0"/>
                      <w:bCs w:val="0"/>
                      <w:color w:val="auto"/>
                      <w:spacing w:val="5"/>
                      <w:sz w:val="21"/>
                    </w:rPr>
                    <w:t>δ(</w:t>
                  </w:r>
                  <w:r>
                    <w:rPr>
                      <w:rFonts w:ascii="Times New Roman" w:hAnsi="Times New Roman" w:eastAsia="宋体" w:cs="Times New Roman"/>
                      <w:b w:val="0"/>
                      <w:bCs w:val="0"/>
                      <w:color w:val="auto"/>
                      <w:sz w:val="21"/>
                    </w:rPr>
                    <w:t>um</w:t>
                  </w:r>
                  <w:r>
                    <w:rPr>
                      <w:rFonts w:ascii="Times New Roman" w:hAnsi="Times New Roman" w:eastAsia="宋体" w:cs="Times New Roman"/>
                      <w:b w:val="0"/>
                      <w:bCs w:val="0"/>
                      <w:color w:val="auto"/>
                      <w:spacing w:val="5"/>
                      <w:sz w:val="21"/>
                    </w:rPr>
                    <w:t>)</w:t>
                  </w:r>
                </w:p>
              </w:tc>
              <w:tc>
                <w:tcPr>
                  <w:tcW w:w="597" w:type="pct"/>
                  <w:tcBorders>
                    <w:bottom w:val="single" w:color="000000" w:sz="12" w:space="0"/>
                  </w:tcBorders>
                  <w:vAlign w:val="center"/>
                </w:tcPr>
                <w:p w14:paraId="35FC495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b w:val="0"/>
                      <w:bCs w:val="0"/>
                      <w:color w:val="auto"/>
                      <w:sz w:val="21"/>
                    </w:rPr>
                  </w:pPr>
                  <w:r>
                    <w:rPr>
                      <w:rFonts w:eastAsia="宋体"/>
                      <w:b w:val="0"/>
                      <w:bCs w:val="0"/>
                      <w:color w:val="auto"/>
                      <w:spacing w:val="-4"/>
                      <w:sz w:val="21"/>
                    </w:rPr>
                    <w:t>电泳漆</w:t>
                  </w:r>
                  <w:r>
                    <w:rPr>
                      <w:rFonts w:eastAsia="宋体"/>
                      <w:b w:val="0"/>
                      <w:bCs w:val="0"/>
                      <w:color w:val="auto"/>
                      <w:spacing w:val="-1"/>
                      <w:sz w:val="21"/>
                    </w:rPr>
                    <w:t>中的固</w:t>
                  </w:r>
                  <w:r>
                    <w:rPr>
                      <w:rFonts w:eastAsia="宋体"/>
                      <w:b w:val="0"/>
                      <w:bCs w:val="0"/>
                      <w:color w:val="auto"/>
                      <w:spacing w:val="28"/>
                      <w:sz w:val="21"/>
                    </w:rPr>
                    <w:t>体份</w:t>
                  </w:r>
                  <w:r>
                    <w:rPr>
                      <w:rFonts w:ascii="Times New Roman" w:hAnsi="Times New Roman" w:eastAsia="宋体" w:cs="Times New Roman"/>
                      <w:b w:val="0"/>
                      <w:bCs w:val="0"/>
                      <w:color w:val="auto"/>
                      <w:sz w:val="21"/>
                    </w:rPr>
                    <w:t>NV</w:t>
                  </w:r>
                  <w:r>
                    <w:rPr>
                      <w:rFonts w:ascii="Times New Roman" w:hAnsi="Times New Roman" w:eastAsia="宋体" w:cs="Times New Roman"/>
                      <w:b w:val="0"/>
                      <w:bCs w:val="0"/>
                      <w:color w:val="auto"/>
                      <w:spacing w:val="19"/>
                      <w:sz w:val="21"/>
                    </w:rPr>
                    <w:t>%</w:t>
                  </w:r>
                </w:p>
              </w:tc>
              <w:tc>
                <w:tcPr>
                  <w:tcW w:w="518" w:type="pct"/>
                  <w:tcBorders>
                    <w:bottom w:val="single" w:color="000000" w:sz="12" w:space="0"/>
                  </w:tcBorders>
                  <w:vAlign w:val="center"/>
                </w:tcPr>
                <w:p w14:paraId="00B0775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b w:val="0"/>
                      <w:bCs w:val="0"/>
                      <w:color w:val="auto"/>
                      <w:sz w:val="21"/>
                    </w:rPr>
                  </w:pPr>
                  <w:r>
                    <w:rPr>
                      <w:rFonts w:eastAsia="宋体"/>
                      <w:b w:val="0"/>
                      <w:bCs w:val="0"/>
                      <w:color w:val="auto"/>
                      <w:spacing w:val="3"/>
                      <w:sz w:val="21"/>
                    </w:rPr>
                    <w:t>上漆率</w:t>
                  </w:r>
                  <w:r>
                    <w:rPr>
                      <w:rFonts w:ascii="Times New Roman" w:hAnsi="Times New Roman" w:eastAsia="宋体" w:cs="Times New Roman"/>
                      <w:b w:val="0"/>
                      <w:bCs w:val="0"/>
                      <w:color w:val="auto"/>
                      <w:spacing w:val="3"/>
                      <w:sz w:val="21"/>
                    </w:rPr>
                    <w:t>ε%</w:t>
                  </w:r>
                </w:p>
              </w:tc>
              <w:tc>
                <w:tcPr>
                  <w:tcW w:w="598" w:type="pct"/>
                  <w:tcBorders>
                    <w:bottom w:val="single" w:color="000000" w:sz="12" w:space="0"/>
                  </w:tcBorders>
                  <w:vAlign w:val="center"/>
                </w:tcPr>
                <w:p w14:paraId="05AE97A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b w:val="0"/>
                      <w:bCs w:val="0"/>
                      <w:color w:val="auto"/>
                      <w:sz w:val="21"/>
                    </w:rPr>
                  </w:pPr>
                  <w:r>
                    <w:rPr>
                      <w:rFonts w:eastAsia="宋体"/>
                      <w:b w:val="0"/>
                      <w:bCs w:val="0"/>
                      <w:color w:val="auto"/>
                      <w:spacing w:val="-3"/>
                      <w:sz w:val="21"/>
                    </w:rPr>
                    <w:t>电泳面</w:t>
                  </w:r>
                  <w:r>
                    <w:rPr>
                      <w:rFonts w:eastAsia="宋体"/>
                      <w:b w:val="0"/>
                      <w:bCs w:val="0"/>
                      <w:color w:val="auto"/>
                      <w:spacing w:val="8"/>
                      <w:sz w:val="21"/>
                    </w:rPr>
                    <w:t>积</w:t>
                  </w:r>
                  <w:r>
                    <w:rPr>
                      <w:rFonts w:ascii="Times New Roman" w:hAnsi="Times New Roman" w:eastAsia="宋体" w:cs="Times New Roman"/>
                      <w:b w:val="0"/>
                      <w:bCs w:val="0"/>
                      <w:color w:val="auto"/>
                      <w:spacing w:val="8"/>
                      <w:sz w:val="21"/>
                    </w:rPr>
                    <w:t>S(m</w:t>
                  </w:r>
                  <w:r>
                    <w:rPr>
                      <w:rFonts w:hint="eastAsia" w:ascii="Times New Roman" w:hAnsi="Times New Roman" w:eastAsia="宋体" w:cs="Times New Roman"/>
                      <w:b w:val="0"/>
                      <w:bCs w:val="0"/>
                      <w:color w:val="auto"/>
                      <w:spacing w:val="8"/>
                      <w:sz w:val="21"/>
                      <w:vertAlign w:val="superscript"/>
                      <w:lang w:val="en-US" w:eastAsia="zh-CN"/>
                    </w:rPr>
                    <w:t>2</w:t>
                  </w:r>
                  <w:r>
                    <w:rPr>
                      <w:rFonts w:ascii="Times New Roman" w:hAnsi="Times New Roman" w:eastAsia="宋体" w:cs="Times New Roman"/>
                      <w:b w:val="0"/>
                      <w:bCs w:val="0"/>
                      <w:color w:val="auto"/>
                      <w:spacing w:val="8"/>
                      <w:sz w:val="21"/>
                    </w:rPr>
                    <w:t>)</w:t>
                  </w:r>
                </w:p>
              </w:tc>
              <w:tc>
                <w:tcPr>
                  <w:tcW w:w="544" w:type="pct"/>
                  <w:tcBorders>
                    <w:bottom w:val="single" w:color="000000" w:sz="12" w:space="0"/>
                  </w:tcBorders>
                  <w:vAlign w:val="center"/>
                </w:tcPr>
                <w:p w14:paraId="3031234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eastAsia="宋体"/>
                      <w:b w:val="0"/>
                      <w:bCs w:val="0"/>
                      <w:color w:val="auto"/>
                      <w:spacing w:val="4"/>
                      <w:sz w:val="21"/>
                    </w:rPr>
                    <w:t>理论计</w:t>
                  </w:r>
                </w:p>
                <w:p w14:paraId="1C25944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eastAsia="宋体"/>
                      <w:b w:val="0"/>
                      <w:bCs w:val="0"/>
                      <w:color w:val="auto"/>
                      <w:spacing w:val="5"/>
                      <w:sz w:val="21"/>
                    </w:rPr>
                    <w:t>算用量</w:t>
                  </w:r>
                </w:p>
                <w:p w14:paraId="73C0D9C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hint="eastAsia"/>
                      <w:b w:val="0"/>
                      <w:bCs w:val="0"/>
                      <w:color w:val="auto"/>
                      <w:spacing w:val="-1"/>
                      <w:sz w:val="21"/>
                      <w:lang w:eastAsia="zh-CN"/>
                    </w:rPr>
                    <w:t>（</w:t>
                  </w:r>
                  <w:r>
                    <w:rPr>
                      <w:rFonts w:ascii="Times New Roman" w:hAnsi="Times New Roman" w:eastAsia="宋体" w:cs="Times New Roman"/>
                      <w:b w:val="0"/>
                      <w:bCs w:val="0"/>
                      <w:color w:val="auto"/>
                      <w:spacing w:val="-1"/>
                      <w:sz w:val="21"/>
                    </w:rPr>
                    <w:t>t/a</w:t>
                  </w:r>
                  <w:r>
                    <w:rPr>
                      <w:rFonts w:hint="eastAsia" w:ascii="Times New Roman" w:hAnsi="Times New Roman" w:cs="Times New Roman"/>
                      <w:b w:val="0"/>
                      <w:bCs w:val="0"/>
                      <w:color w:val="auto"/>
                      <w:spacing w:val="-1"/>
                      <w:sz w:val="21"/>
                      <w:lang w:eastAsia="zh-CN"/>
                    </w:rPr>
                    <w:t>）</w:t>
                  </w:r>
                </w:p>
              </w:tc>
              <w:tc>
                <w:tcPr>
                  <w:tcW w:w="540" w:type="pct"/>
                  <w:tcBorders>
                    <w:bottom w:val="single" w:color="000000" w:sz="12" w:space="0"/>
                  </w:tcBorders>
                  <w:vAlign w:val="center"/>
                </w:tcPr>
                <w:p w14:paraId="547588D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eastAsia="宋体"/>
                      <w:b w:val="0"/>
                      <w:bCs w:val="0"/>
                      <w:color w:val="auto"/>
                      <w:spacing w:val="4"/>
                      <w:sz w:val="21"/>
                    </w:rPr>
                    <w:t>设计用</w:t>
                  </w:r>
                </w:p>
                <w:p w14:paraId="4CDBE6D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eastAsia="宋体"/>
                      <w:b w:val="0"/>
                      <w:bCs w:val="0"/>
                      <w:color w:val="auto"/>
                      <w:spacing w:val="-2"/>
                      <w:sz w:val="21"/>
                    </w:rPr>
                    <w:t>量</w:t>
                  </w:r>
                </w:p>
                <w:p w14:paraId="00F1DDE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hint="eastAsia"/>
                      <w:b w:val="0"/>
                      <w:bCs w:val="0"/>
                      <w:color w:val="auto"/>
                      <w:spacing w:val="-1"/>
                      <w:sz w:val="21"/>
                      <w:lang w:eastAsia="zh-CN"/>
                    </w:rPr>
                    <w:t>（</w:t>
                  </w:r>
                  <w:r>
                    <w:rPr>
                      <w:rFonts w:ascii="Times New Roman" w:hAnsi="Times New Roman" w:eastAsia="宋体" w:cs="Times New Roman"/>
                      <w:b w:val="0"/>
                      <w:bCs w:val="0"/>
                      <w:color w:val="auto"/>
                      <w:spacing w:val="-1"/>
                      <w:sz w:val="21"/>
                    </w:rPr>
                    <w:t>t/a</w:t>
                  </w:r>
                  <w:r>
                    <w:rPr>
                      <w:rFonts w:hint="eastAsia" w:ascii="Times New Roman" w:hAnsi="Times New Roman" w:cs="Times New Roman"/>
                      <w:b w:val="0"/>
                      <w:bCs w:val="0"/>
                      <w:color w:val="auto"/>
                      <w:spacing w:val="-1"/>
                      <w:sz w:val="21"/>
                      <w:lang w:eastAsia="zh-CN"/>
                    </w:rPr>
                    <w:t>）</w:t>
                  </w:r>
                </w:p>
              </w:tc>
              <w:tc>
                <w:tcPr>
                  <w:tcW w:w="542" w:type="pct"/>
                  <w:tcBorders>
                    <w:bottom w:val="single" w:color="000000" w:sz="12" w:space="0"/>
                  </w:tcBorders>
                  <w:vAlign w:val="center"/>
                </w:tcPr>
                <w:p w14:paraId="02850EE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b w:val="0"/>
                      <w:bCs w:val="0"/>
                      <w:color w:val="auto"/>
                      <w:sz w:val="21"/>
                    </w:rPr>
                  </w:pPr>
                  <w:r>
                    <w:rPr>
                      <w:rFonts w:eastAsia="宋体"/>
                      <w:b w:val="0"/>
                      <w:bCs w:val="0"/>
                      <w:color w:val="auto"/>
                      <w:spacing w:val="2"/>
                      <w:sz w:val="21"/>
                    </w:rPr>
                    <w:t>匹配情</w:t>
                  </w:r>
                  <w:r>
                    <w:rPr>
                      <w:rFonts w:eastAsia="宋体"/>
                      <w:b w:val="0"/>
                      <w:bCs w:val="0"/>
                      <w:color w:val="auto"/>
                      <w:spacing w:val="-3"/>
                      <w:sz w:val="21"/>
                    </w:rPr>
                    <w:t>况</w:t>
                  </w:r>
                </w:p>
              </w:tc>
            </w:tr>
            <w:tr w14:paraId="36AB3D7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80" w:hRule="atLeast"/>
              </w:trPr>
              <w:tc>
                <w:tcPr>
                  <w:tcW w:w="536" w:type="pct"/>
                  <w:tcBorders>
                    <w:top w:val="single" w:color="000000" w:sz="12" w:space="0"/>
                    <w:tl2br w:val="nil"/>
                    <w:tr2bl w:val="nil"/>
                  </w:tcBorders>
                  <w:vAlign w:val="center"/>
                </w:tcPr>
                <w:p w14:paraId="25A0C4A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pacing w:val="3"/>
                      <w:sz w:val="21"/>
                    </w:rPr>
                    <w:t>乳液</w:t>
                  </w:r>
                </w:p>
              </w:tc>
              <w:tc>
                <w:tcPr>
                  <w:tcW w:w="622" w:type="pct"/>
                  <w:tcBorders>
                    <w:top w:val="single" w:color="000000" w:sz="12" w:space="0"/>
                    <w:tl2br w:val="nil"/>
                    <w:tr2bl w:val="nil"/>
                  </w:tcBorders>
                  <w:vAlign w:val="center"/>
                </w:tcPr>
                <w:p w14:paraId="43E2576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6"/>
                      <w:sz w:val="21"/>
                      <w:szCs w:val="20"/>
                    </w:rPr>
                    <w:t>1.1</w:t>
                  </w:r>
                </w:p>
              </w:tc>
              <w:tc>
                <w:tcPr>
                  <w:tcW w:w="499" w:type="pct"/>
                  <w:tcBorders>
                    <w:top w:val="single" w:color="000000" w:sz="12" w:space="0"/>
                    <w:tl2br w:val="nil"/>
                    <w:tr2bl w:val="nil"/>
                  </w:tcBorders>
                  <w:vAlign w:val="center"/>
                </w:tcPr>
                <w:p w14:paraId="6EC161B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sz w:val="21"/>
                      <w:szCs w:val="20"/>
                    </w:rPr>
                    <w:t>20</w:t>
                  </w:r>
                </w:p>
              </w:tc>
              <w:tc>
                <w:tcPr>
                  <w:tcW w:w="597" w:type="pct"/>
                  <w:tcBorders>
                    <w:top w:val="single" w:color="000000" w:sz="12" w:space="0"/>
                    <w:tl2br w:val="nil"/>
                    <w:tr2bl w:val="nil"/>
                  </w:tcBorders>
                  <w:vAlign w:val="center"/>
                </w:tcPr>
                <w:p w14:paraId="1FB5B8A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z w:val="21"/>
                      <w:szCs w:val="20"/>
                    </w:rPr>
                    <w:t>50</w:t>
                  </w:r>
                </w:p>
              </w:tc>
              <w:tc>
                <w:tcPr>
                  <w:tcW w:w="518" w:type="pct"/>
                  <w:tcBorders>
                    <w:top w:val="single" w:color="000000" w:sz="12" w:space="0"/>
                    <w:tl2br w:val="nil"/>
                    <w:tr2bl w:val="nil"/>
                  </w:tcBorders>
                  <w:vAlign w:val="center"/>
                </w:tcPr>
                <w:p w14:paraId="6930151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z w:val="21"/>
                      <w:szCs w:val="20"/>
                    </w:rPr>
                    <w:t>95</w:t>
                  </w:r>
                </w:p>
              </w:tc>
              <w:tc>
                <w:tcPr>
                  <w:tcW w:w="598" w:type="pct"/>
                  <w:tcBorders>
                    <w:top w:val="single" w:color="000000" w:sz="12" w:space="0"/>
                    <w:tl2br w:val="nil"/>
                    <w:tr2bl w:val="nil"/>
                  </w:tcBorders>
                  <w:vAlign w:val="center"/>
                </w:tcPr>
                <w:p w14:paraId="1B6F824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rPr>
                  </w:pPr>
                  <w:r>
                    <w:rPr>
                      <w:rFonts w:ascii="Times New Roman" w:hAnsi="Times New Roman" w:eastAsia="Times New Roman" w:cs="Times New Roman"/>
                      <w:color w:val="auto"/>
                      <w:spacing w:val="3"/>
                      <w:sz w:val="20"/>
                      <w:szCs w:val="20"/>
                    </w:rPr>
                    <w:t>300000</w:t>
                  </w:r>
                </w:p>
              </w:tc>
              <w:tc>
                <w:tcPr>
                  <w:tcW w:w="544" w:type="pct"/>
                  <w:tcBorders>
                    <w:top w:val="single" w:color="000000" w:sz="12" w:space="0"/>
                    <w:tl2br w:val="nil"/>
                    <w:tr2bl w:val="nil"/>
                  </w:tcBorders>
                  <w:vAlign w:val="center"/>
                </w:tcPr>
                <w:p w14:paraId="4AD7C2A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z w:val="21"/>
                      <w:szCs w:val="20"/>
                      <w:lang w:val="en-US" w:eastAsia="zh-CN"/>
                    </w:rPr>
                  </w:pPr>
                  <w:r>
                    <w:rPr>
                      <w:rFonts w:ascii="Times New Roman" w:hAnsi="Times New Roman" w:eastAsia="Times New Roman" w:cs="Times New Roman"/>
                      <w:color w:val="auto"/>
                      <w:spacing w:val="-1"/>
                      <w:sz w:val="20"/>
                      <w:szCs w:val="20"/>
                    </w:rPr>
                    <w:t>13.89</w:t>
                  </w:r>
                </w:p>
              </w:tc>
              <w:tc>
                <w:tcPr>
                  <w:tcW w:w="540" w:type="pct"/>
                  <w:tcBorders>
                    <w:top w:val="single" w:color="000000" w:sz="12" w:space="0"/>
                    <w:tl2br w:val="nil"/>
                    <w:tr2bl w:val="nil"/>
                  </w:tcBorders>
                  <w:vAlign w:val="center"/>
                </w:tcPr>
                <w:p w14:paraId="54764FC8">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z w:val="21"/>
                      <w:szCs w:val="20"/>
                      <w:lang w:val="en-US" w:eastAsia="zh-CN"/>
                    </w:rPr>
                  </w:pPr>
                  <w:r>
                    <w:rPr>
                      <w:rFonts w:ascii="Times New Roman" w:hAnsi="Times New Roman" w:eastAsia="Times New Roman" w:cs="Times New Roman"/>
                      <w:color w:val="auto"/>
                      <w:spacing w:val="-2"/>
                      <w:sz w:val="20"/>
                      <w:szCs w:val="20"/>
                    </w:rPr>
                    <w:t>13.5</w:t>
                  </w:r>
                </w:p>
              </w:tc>
              <w:tc>
                <w:tcPr>
                  <w:tcW w:w="542" w:type="pct"/>
                  <w:vMerge w:val="restart"/>
                  <w:tcBorders>
                    <w:top w:val="single" w:color="000000" w:sz="12" w:space="0"/>
                    <w:tl2br w:val="nil"/>
                    <w:tr2bl w:val="nil"/>
                  </w:tcBorders>
                  <w:vAlign w:val="center"/>
                </w:tcPr>
                <w:p w14:paraId="7B5A20E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pacing w:val="6"/>
                      <w:sz w:val="21"/>
                    </w:rPr>
                    <w:t>基本匹</w:t>
                  </w:r>
                </w:p>
                <w:p w14:paraId="5514152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z w:val="21"/>
                    </w:rPr>
                    <w:t>配</w:t>
                  </w:r>
                </w:p>
              </w:tc>
            </w:tr>
            <w:tr w14:paraId="17D0CDD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536" w:type="pct"/>
                  <w:tcBorders>
                    <w:tl2br w:val="nil"/>
                    <w:tr2bl w:val="nil"/>
                  </w:tcBorders>
                  <w:vAlign w:val="center"/>
                </w:tcPr>
                <w:p w14:paraId="08FF371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pacing w:val="2"/>
                      <w:sz w:val="21"/>
                    </w:rPr>
                    <w:t>黑浆</w:t>
                  </w:r>
                </w:p>
              </w:tc>
              <w:tc>
                <w:tcPr>
                  <w:tcW w:w="2837" w:type="pct"/>
                  <w:gridSpan w:val="5"/>
                  <w:tcBorders>
                    <w:tl2br w:val="nil"/>
                    <w:tr2bl w:val="nil"/>
                  </w:tcBorders>
                  <w:vAlign w:val="center"/>
                </w:tcPr>
                <w:p w14:paraId="287F4AA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pacing w:val="8"/>
                      <w:sz w:val="21"/>
                    </w:rPr>
                    <w:t>按照电泳漆配比</w:t>
                  </w:r>
                </w:p>
              </w:tc>
              <w:tc>
                <w:tcPr>
                  <w:tcW w:w="544" w:type="pct"/>
                  <w:tcBorders>
                    <w:tl2br w:val="nil"/>
                    <w:tr2bl w:val="nil"/>
                  </w:tcBorders>
                  <w:vAlign w:val="center"/>
                </w:tcPr>
                <w:p w14:paraId="34594DC7">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z w:val="21"/>
                      <w:szCs w:val="20"/>
                      <w:lang w:val="en-US" w:eastAsia="zh-CN"/>
                    </w:rPr>
                  </w:pPr>
                  <w:r>
                    <w:rPr>
                      <w:rFonts w:ascii="Times New Roman" w:hAnsi="Times New Roman" w:eastAsia="Times New Roman" w:cs="Times New Roman"/>
                      <w:color w:val="auto"/>
                      <w:spacing w:val="3"/>
                      <w:sz w:val="20"/>
                      <w:szCs w:val="20"/>
                    </w:rPr>
                    <w:t>2.16</w:t>
                  </w:r>
                </w:p>
              </w:tc>
              <w:tc>
                <w:tcPr>
                  <w:tcW w:w="540" w:type="pct"/>
                  <w:tcBorders>
                    <w:tl2br w:val="nil"/>
                    <w:tr2bl w:val="nil"/>
                  </w:tcBorders>
                  <w:vAlign w:val="center"/>
                </w:tcPr>
                <w:p w14:paraId="23AF9A8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z w:val="21"/>
                      <w:szCs w:val="20"/>
                      <w:lang w:val="en-US" w:eastAsia="zh-CN"/>
                    </w:rPr>
                  </w:pPr>
                  <w:r>
                    <w:rPr>
                      <w:rFonts w:ascii="Times New Roman" w:hAnsi="Times New Roman" w:eastAsia="Times New Roman" w:cs="Times New Roman"/>
                      <w:color w:val="auto"/>
                      <w:spacing w:val="1"/>
                      <w:sz w:val="20"/>
                      <w:szCs w:val="20"/>
                    </w:rPr>
                    <w:t>2.1</w:t>
                  </w:r>
                </w:p>
              </w:tc>
              <w:tc>
                <w:tcPr>
                  <w:tcW w:w="542" w:type="pct"/>
                  <w:vMerge w:val="continue"/>
                  <w:tcBorders>
                    <w:tl2br w:val="nil"/>
                    <w:tr2bl w:val="nil"/>
                  </w:tcBorders>
                  <w:vAlign w:val="center"/>
                </w:tcPr>
                <w:p w14:paraId="3D094EDC">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Arial" w:eastAsia="宋体"/>
                      <w:color w:val="auto"/>
                      <w:sz w:val="21"/>
                    </w:rPr>
                  </w:pPr>
                </w:p>
              </w:tc>
            </w:tr>
            <w:tr w14:paraId="2058992D">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56" w:hRule="atLeast"/>
              </w:trPr>
              <w:tc>
                <w:tcPr>
                  <w:tcW w:w="536" w:type="pct"/>
                  <w:tcBorders>
                    <w:tl2br w:val="nil"/>
                    <w:tr2bl w:val="nil"/>
                  </w:tcBorders>
                  <w:vAlign w:val="center"/>
                </w:tcPr>
                <w:p w14:paraId="4F7C44E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pacing w:val="4"/>
                      <w:sz w:val="21"/>
                    </w:rPr>
                    <w:t>助剂</w:t>
                  </w:r>
                </w:p>
              </w:tc>
              <w:tc>
                <w:tcPr>
                  <w:tcW w:w="2837" w:type="pct"/>
                  <w:gridSpan w:val="5"/>
                  <w:tcBorders>
                    <w:tl2br w:val="nil"/>
                    <w:tr2bl w:val="nil"/>
                  </w:tcBorders>
                  <w:vAlign w:val="center"/>
                </w:tcPr>
                <w:p w14:paraId="75C4FE5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pacing w:val="8"/>
                      <w:sz w:val="21"/>
                    </w:rPr>
                    <w:t>按照电泳漆配比</w:t>
                  </w:r>
                </w:p>
              </w:tc>
              <w:tc>
                <w:tcPr>
                  <w:tcW w:w="544" w:type="pct"/>
                  <w:tcBorders>
                    <w:tl2br w:val="nil"/>
                    <w:tr2bl w:val="nil"/>
                  </w:tcBorders>
                  <w:vAlign w:val="center"/>
                </w:tcPr>
                <w:p w14:paraId="106B98C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z w:val="21"/>
                      <w:szCs w:val="20"/>
                      <w:lang w:val="en-US" w:eastAsia="zh-CN"/>
                    </w:rPr>
                  </w:pPr>
                  <w:r>
                    <w:rPr>
                      <w:rFonts w:ascii="Times New Roman" w:hAnsi="Times New Roman" w:eastAsia="Times New Roman" w:cs="Times New Roman"/>
                      <w:color w:val="auto"/>
                      <w:spacing w:val="2"/>
                      <w:sz w:val="20"/>
                      <w:szCs w:val="20"/>
                    </w:rPr>
                    <w:t>0.19</w:t>
                  </w:r>
                </w:p>
              </w:tc>
              <w:tc>
                <w:tcPr>
                  <w:tcW w:w="540" w:type="pct"/>
                  <w:tcBorders>
                    <w:tl2br w:val="nil"/>
                    <w:tr2bl w:val="nil"/>
                  </w:tcBorders>
                  <w:vAlign w:val="center"/>
                </w:tcPr>
                <w:p w14:paraId="4CE343A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z w:val="21"/>
                      <w:szCs w:val="20"/>
                      <w:lang w:val="en-US" w:eastAsia="zh-CN"/>
                    </w:rPr>
                  </w:pPr>
                  <w:r>
                    <w:rPr>
                      <w:rFonts w:ascii="Times New Roman" w:hAnsi="Times New Roman" w:eastAsia="Times New Roman" w:cs="Times New Roman"/>
                      <w:color w:val="auto"/>
                      <w:spacing w:val="2"/>
                      <w:sz w:val="20"/>
                      <w:szCs w:val="20"/>
                    </w:rPr>
                    <w:t>0.18</w:t>
                  </w:r>
                </w:p>
              </w:tc>
              <w:tc>
                <w:tcPr>
                  <w:tcW w:w="542" w:type="pct"/>
                  <w:vMerge w:val="continue"/>
                  <w:tcBorders>
                    <w:tl2br w:val="nil"/>
                    <w:tr2bl w:val="nil"/>
                  </w:tcBorders>
                  <w:vAlign w:val="center"/>
                </w:tcPr>
                <w:p w14:paraId="40BAFCE3">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Arial" w:eastAsia="宋体"/>
                      <w:color w:val="auto"/>
                      <w:sz w:val="21"/>
                    </w:rPr>
                  </w:pPr>
                </w:p>
              </w:tc>
            </w:tr>
            <w:tr w14:paraId="5EE54922">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536" w:type="pct"/>
                  <w:tcBorders>
                    <w:tl2br w:val="nil"/>
                    <w:tr2bl w:val="nil"/>
                  </w:tcBorders>
                  <w:vAlign w:val="center"/>
                </w:tcPr>
                <w:p w14:paraId="2E10C9A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z w:val="21"/>
                    </w:rPr>
                    <w:t>中和剂</w:t>
                  </w:r>
                </w:p>
              </w:tc>
              <w:tc>
                <w:tcPr>
                  <w:tcW w:w="2837" w:type="pct"/>
                  <w:gridSpan w:val="5"/>
                  <w:tcBorders>
                    <w:tl2br w:val="nil"/>
                    <w:tr2bl w:val="nil"/>
                  </w:tcBorders>
                  <w:vAlign w:val="center"/>
                </w:tcPr>
                <w:p w14:paraId="09C9707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eastAsia="宋体"/>
                      <w:color w:val="auto"/>
                      <w:sz w:val="21"/>
                    </w:rPr>
                  </w:pPr>
                  <w:r>
                    <w:rPr>
                      <w:rFonts w:eastAsia="宋体"/>
                      <w:color w:val="auto"/>
                      <w:spacing w:val="8"/>
                      <w:sz w:val="21"/>
                    </w:rPr>
                    <w:t>按照电泳漆配比</w:t>
                  </w:r>
                </w:p>
              </w:tc>
              <w:tc>
                <w:tcPr>
                  <w:tcW w:w="544" w:type="pct"/>
                  <w:tcBorders>
                    <w:tl2br w:val="nil"/>
                    <w:tr2bl w:val="nil"/>
                  </w:tcBorders>
                  <w:vAlign w:val="center"/>
                </w:tcPr>
                <w:p w14:paraId="04EE328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z w:val="21"/>
                      <w:szCs w:val="20"/>
                      <w:lang w:val="en-US" w:eastAsia="zh-CN"/>
                    </w:rPr>
                  </w:pPr>
                  <w:r>
                    <w:rPr>
                      <w:rFonts w:ascii="Times New Roman" w:hAnsi="Times New Roman" w:eastAsia="Times New Roman" w:cs="Times New Roman"/>
                      <w:color w:val="auto"/>
                      <w:spacing w:val="-4"/>
                      <w:sz w:val="20"/>
                      <w:szCs w:val="20"/>
                    </w:rPr>
                    <w:t>0.12</w:t>
                  </w:r>
                </w:p>
              </w:tc>
              <w:tc>
                <w:tcPr>
                  <w:tcW w:w="540" w:type="pct"/>
                  <w:tcBorders>
                    <w:tl2br w:val="nil"/>
                    <w:tr2bl w:val="nil"/>
                  </w:tcBorders>
                  <w:vAlign w:val="center"/>
                </w:tcPr>
                <w:p w14:paraId="50114F76">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sz w:val="21"/>
                      <w:szCs w:val="20"/>
                      <w:lang w:val="en-US" w:eastAsia="zh-CN"/>
                    </w:rPr>
                  </w:pPr>
                  <w:r>
                    <w:rPr>
                      <w:rFonts w:ascii="Times New Roman" w:hAnsi="Times New Roman" w:eastAsia="Times New Roman" w:cs="Times New Roman"/>
                      <w:color w:val="auto"/>
                      <w:spacing w:val="-4"/>
                      <w:sz w:val="20"/>
                      <w:szCs w:val="20"/>
                    </w:rPr>
                    <w:t>0.12</w:t>
                  </w:r>
                </w:p>
              </w:tc>
              <w:tc>
                <w:tcPr>
                  <w:tcW w:w="542" w:type="pct"/>
                  <w:vMerge w:val="continue"/>
                  <w:tcBorders>
                    <w:tl2br w:val="nil"/>
                    <w:tr2bl w:val="nil"/>
                  </w:tcBorders>
                  <w:vAlign w:val="center"/>
                </w:tcPr>
                <w:p w14:paraId="076D6768">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Arial" w:eastAsia="宋体"/>
                      <w:color w:val="auto"/>
                      <w:sz w:val="21"/>
                    </w:rPr>
                  </w:pPr>
                </w:p>
              </w:tc>
            </w:tr>
          </w:tbl>
          <w:p w14:paraId="05E479BA">
            <w:pPr>
              <w:pStyle w:val="113"/>
              <w:spacing w:before="143" w:line="218" w:lineRule="auto"/>
              <w:ind w:left="588"/>
              <w:rPr>
                <w:color w:val="auto"/>
                <w:spacing w:val="-2"/>
                <w:sz w:val="24"/>
                <w:szCs w:val="24"/>
              </w:rPr>
            </w:pPr>
            <w:r>
              <w:rPr>
                <w:color w:val="auto"/>
                <w:spacing w:val="-2"/>
                <w:sz w:val="24"/>
                <w:szCs w:val="24"/>
              </w:rPr>
              <w:t>②低</w:t>
            </w:r>
            <w:r>
              <w:rPr>
                <w:rFonts w:ascii="Times New Roman" w:hAnsi="Times New Roman" w:eastAsia="Times New Roman" w:cs="Times New Roman"/>
                <w:color w:val="auto"/>
                <w:spacing w:val="-2"/>
                <w:sz w:val="24"/>
                <w:szCs w:val="24"/>
              </w:rPr>
              <w:t>VOC</w:t>
            </w:r>
            <w:r>
              <w:rPr>
                <w:color w:val="auto"/>
                <w:spacing w:val="-2"/>
                <w:sz w:val="24"/>
                <w:szCs w:val="24"/>
              </w:rPr>
              <w:t>含量涂料分析</w:t>
            </w:r>
          </w:p>
          <w:p w14:paraId="6918EB4A">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rFonts w:hint="eastAsia" w:ascii="Times New Roman" w:hAnsi="Times New Roman" w:eastAsia="宋体" w:cs="宋体"/>
                <w:color w:val="auto"/>
                <w:kern w:val="0"/>
                <w:sz w:val="24"/>
                <w:szCs w:val="20"/>
                <w:lang w:val="zh-CN" w:eastAsia="zh-CN" w:bidi="ar-SA"/>
              </w:rPr>
            </w:pPr>
            <w:r>
              <w:rPr>
                <w:rFonts w:hint="eastAsia" w:cs="宋体"/>
                <w:color w:val="auto"/>
                <w:kern w:val="0"/>
                <w:sz w:val="24"/>
                <w:szCs w:val="20"/>
                <w:lang w:val="zh-CN" w:eastAsia="zh-CN" w:bidi="ar-SA"/>
              </w:rPr>
              <w:t>使用</w:t>
            </w:r>
            <w:r>
              <w:rPr>
                <w:rFonts w:hint="eastAsia" w:ascii="Times New Roman" w:hAnsi="Times New Roman" w:eastAsia="宋体" w:cs="宋体"/>
                <w:color w:val="auto"/>
                <w:kern w:val="0"/>
                <w:sz w:val="24"/>
                <w:szCs w:val="20"/>
                <w:lang w:val="zh-CN" w:eastAsia="zh-CN" w:bidi="ar-SA"/>
              </w:rPr>
              <w:t>状态下电泳漆中VOCs含量计算过程如下：</w:t>
            </w:r>
          </w:p>
          <w:p w14:paraId="0CA43B46">
            <w:pPr>
              <w:pStyle w:val="113"/>
              <w:keepNext w:val="0"/>
              <w:keepLines w:val="0"/>
              <w:pageBreakBefore w:val="0"/>
              <w:widowControl w:val="0"/>
              <w:kinsoku/>
              <w:wordWrap/>
              <w:overflowPunct/>
              <w:topLinePunct w:val="0"/>
              <w:autoSpaceDE/>
              <w:autoSpaceDN/>
              <w:bidi w:val="0"/>
              <w:adjustRightInd/>
              <w:snapToGrid/>
              <w:spacing w:line="360" w:lineRule="auto"/>
              <w:ind w:left="0" w:right="0" w:firstLine="456" w:firstLineChars="200"/>
              <w:jc w:val="both"/>
              <w:textAlignment w:val="auto"/>
              <w:rPr>
                <w:color w:val="auto"/>
                <w:sz w:val="24"/>
                <w:szCs w:val="24"/>
              </w:rPr>
            </w:pPr>
            <w:r>
              <w:rPr>
                <w:color w:val="auto"/>
                <w:spacing w:val="-6"/>
                <w:sz w:val="24"/>
                <w:szCs w:val="24"/>
              </w:rPr>
              <w:t>乳液总量为</w:t>
            </w:r>
            <w:r>
              <w:rPr>
                <w:rFonts w:ascii="Times New Roman" w:hAnsi="Times New Roman" w:eastAsia="Times New Roman" w:cs="Times New Roman"/>
                <w:color w:val="auto"/>
                <w:spacing w:val="-6"/>
                <w:sz w:val="24"/>
                <w:szCs w:val="24"/>
              </w:rPr>
              <w:t>13.5t/a</w:t>
            </w:r>
            <w:r>
              <w:rPr>
                <w:color w:val="auto"/>
                <w:spacing w:val="-6"/>
                <w:sz w:val="24"/>
                <w:szCs w:val="24"/>
              </w:rPr>
              <w:t>，需要加入黑浆</w:t>
            </w:r>
            <w:r>
              <w:rPr>
                <w:rFonts w:ascii="Times New Roman" w:hAnsi="Times New Roman" w:eastAsia="Times New Roman" w:cs="Times New Roman"/>
                <w:color w:val="auto"/>
                <w:spacing w:val="-6"/>
                <w:sz w:val="24"/>
                <w:szCs w:val="24"/>
              </w:rPr>
              <w:t>2.1t/a</w:t>
            </w:r>
            <w:r>
              <w:rPr>
                <w:color w:val="auto"/>
                <w:spacing w:val="-6"/>
                <w:sz w:val="24"/>
                <w:szCs w:val="24"/>
              </w:rPr>
              <w:t>，助剂</w:t>
            </w:r>
            <w:r>
              <w:rPr>
                <w:rFonts w:ascii="Times New Roman" w:hAnsi="Times New Roman" w:eastAsia="Times New Roman" w:cs="Times New Roman"/>
                <w:color w:val="auto"/>
                <w:spacing w:val="-6"/>
                <w:sz w:val="24"/>
                <w:szCs w:val="24"/>
              </w:rPr>
              <w:t>0.18t/a</w:t>
            </w:r>
            <w:r>
              <w:rPr>
                <w:color w:val="auto"/>
                <w:spacing w:val="-6"/>
                <w:sz w:val="24"/>
                <w:szCs w:val="24"/>
              </w:rPr>
              <w:t>，中和剂</w:t>
            </w:r>
            <w:r>
              <w:rPr>
                <w:rFonts w:ascii="Times New Roman" w:hAnsi="Times New Roman" w:eastAsia="Times New Roman" w:cs="Times New Roman"/>
                <w:color w:val="auto"/>
                <w:spacing w:val="-6"/>
                <w:sz w:val="24"/>
                <w:szCs w:val="24"/>
              </w:rPr>
              <w:t>0.12t/a</w:t>
            </w:r>
            <w:r>
              <w:rPr>
                <w:color w:val="auto"/>
                <w:spacing w:val="-6"/>
                <w:sz w:val="24"/>
                <w:szCs w:val="24"/>
              </w:rPr>
              <w:t>。乳液密度为</w:t>
            </w:r>
            <w:r>
              <w:rPr>
                <w:rFonts w:ascii="Times New Roman" w:hAnsi="Times New Roman" w:eastAsia="Times New Roman" w:cs="Times New Roman"/>
                <w:color w:val="auto"/>
                <w:spacing w:val="-6"/>
                <w:sz w:val="24"/>
                <w:szCs w:val="24"/>
              </w:rPr>
              <w:t>1.1g/cm</w:t>
            </w:r>
            <w:r>
              <w:rPr>
                <w:rFonts w:ascii="Times New Roman" w:hAnsi="Times New Roman" w:eastAsia="Times New Roman" w:cs="Times New Roman"/>
                <w:color w:val="auto"/>
                <w:spacing w:val="-6"/>
                <w:position w:val="7"/>
                <w:sz w:val="15"/>
                <w:szCs w:val="15"/>
              </w:rPr>
              <w:t>3</w:t>
            </w:r>
            <w:r>
              <w:rPr>
                <w:color w:val="auto"/>
                <w:spacing w:val="-6"/>
                <w:sz w:val="24"/>
                <w:szCs w:val="24"/>
              </w:rPr>
              <w:t>，黑浆密度为</w:t>
            </w:r>
            <w:r>
              <w:rPr>
                <w:rFonts w:ascii="Times New Roman" w:hAnsi="Times New Roman" w:eastAsia="Times New Roman" w:cs="Times New Roman"/>
                <w:color w:val="auto"/>
                <w:spacing w:val="-6"/>
                <w:sz w:val="24"/>
                <w:szCs w:val="24"/>
              </w:rPr>
              <w:t>1.2g/cm</w:t>
            </w:r>
            <w:r>
              <w:rPr>
                <w:rFonts w:ascii="Times New Roman" w:hAnsi="Times New Roman" w:eastAsia="Times New Roman" w:cs="Times New Roman"/>
                <w:color w:val="auto"/>
                <w:spacing w:val="-6"/>
                <w:position w:val="7"/>
                <w:sz w:val="15"/>
                <w:szCs w:val="15"/>
              </w:rPr>
              <w:t>3</w:t>
            </w:r>
            <w:r>
              <w:rPr>
                <w:color w:val="auto"/>
                <w:spacing w:val="-6"/>
                <w:sz w:val="24"/>
                <w:szCs w:val="24"/>
              </w:rPr>
              <w:t>，助剂密度为</w:t>
            </w:r>
            <w:r>
              <w:rPr>
                <w:rFonts w:ascii="Times New Roman" w:hAnsi="Times New Roman" w:eastAsia="Times New Roman" w:cs="Times New Roman"/>
                <w:color w:val="auto"/>
                <w:spacing w:val="-6"/>
                <w:sz w:val="24"/>
                <w:szCs w:val="24"/>
              </w:rPr>
              <w:t>1.1g/cm</w:t>
            </w:r>
            <w:r>
              <w:rPr>
                <w:rFonts w:ascii="Times New Roman" w:hAnsi="Times New Roman" w:eastAsia="Times New Roman" w:cs="Times New Roman"/>
                <w:color w:val="auto"/>
                <w:spacing w:val="-6"/>
                <w:position w:val="7"/>
                <w:sz w:val="15"/>
                <w:szCs w:val="15"/>
              </w:rPr>
              <w:t>3</w:t>
            </w:r>
            <w:r>
              <w:rPr>
                <w:color w:val="auto"/>
                <w:spacing w:val="-6"/>
                <w:sz w:val="24"/>
                <w:szCs w:val="24"/>
              </w:rPr>
              <w:t>，中和剂密</w:t>
            </w:r>
            <w:r>
              <w:rPr>
                <w:color w:val="auto"/>
                <w:spacing w:val="-5"/>
                <w:sz w:val="24"/>
                <w:szCs w:val="24"/>
              </w:rPr>
              <w:t>度为</w:t>
            </w:r>
            <w:r>
              <w:rPr>
                <w:rFonts w:ascii="Times New Roman" w:hAnsi="Times New Roman" w:eastAsia="Times New Roman" w:cs="Times New Roman"/>
                <w:color w:val="auto"/>
                <w:spacing w:val="-5"/>
                <w:sz w:val="24"/>
                <w:szCs w:val="24"/>
              </w:rPr>
              <w:t>1.1g/cm</w:t>
            </w:r>
            <w:r>
              <w:rPr>
                <w:rFonts w:ascii="Times New Roman" w:hAnsi="Times New Roman" w:eastAsia="Times New Roman" w:cs="Times New Roman"/>
                <w:color w:val="auto"/>
                <w:spacing w:val="-5"/>
                <w:position w:val="7"/>
                <w:sz w:val="15"/>
                <w:szCs w:val="15"/>
              </w:rPr>
              <w:t>3</w:t>
            </w:r>
            <w:r>
              <w:rPr>
                <w:color w:val="auto"/>
                <w:spacing w:val="-5"/>
                <w:sz w:val="24"/>
                <w:szCs w:val="24"/>
              </w:rPr>
              <w:t>，则乳液体积为</w:t>
            </w:r>
            <w:r>
              <w:rPr>
                <w:rFonts w:ascii="Times New Roman" w:hAnsi="Times New Roman" w:eastAsia="Times New Roman" w:cs="Times New Roman"/>
                <w:color w:val="auto"/>
                <w:spacing w:val="-5"/>
                <w:sz w:val="24"/>
                <w:szCs w:val="24"/>
              </w:rPr>
              <w:t>12272.7L</w:t>
            </w:r>
            <w:r>
              <w:rPr>
                <w:color w:val="auto"/>
                <w:spacing w:val="-5"/>
                <w:sz w:val="24"/>
                <w:szCs w:val="24"/>
              </w:rPr>
              <w:t>，黑浆体积为</w:t>
            </w:r>
            <w:r>
              <w:rPr>
                <w:rFonts w:ascii="Times New Roman" w:hAnsi="Times New Roman" w:eastAsia="Times New Roman" w:cs="Times New Roman"/>
                <w:color w:val="auto"/>
                <w:spacing w:val="-5"/>
                <w:sz w:val="24"/>
                <w:szCs w:val="24"/>
              </w:rPr>
              <w:t>1750L</w:t>
            </w:r>
            <w:r>
              <w:rPr>
                <w:color w:val="auto"/>
                <w:spacing w:val="-5"/>
                <w:sz w:val="24"/>
                <w:szCs w:val="24"/>
              </w:rPr>
              <w:t>，助剂体积为</w:t>
            </w:r>
            <w:r>
              <w:rPr>
                <w:rFonts w:ascii="Times New Roman" w:hAnsi="Times New Roman" w:eastAsia="Times New Roman" w:cs="Times New Roman"/>
                <w:color w:val="auto"/>
                <w:spacing w:val="-4"/>
                <w:sz w:val="24"/>
                <w:szCs w:val="24"/>
              </w:rPr>
              <w:t>163.63L</w:t>
            </w:r>
            <w:r>
              <w:rPr>
                <w:color w:val="auto"/>
                <w:spacing w:val="-4"/>
                <w:sz w:val="24"/>
                <w:szCs w:val="24"/>
              </w:rPr>
              <w:t>，中和剂体积为</w:t>
            </w:r>
            <w:r>
              <w:rPr>
                <w:rFonts w:ascii="Times New Roman" w:hAnsi="Times New Roman" w:eastAsia="Times New Roman" w:cs="Times New Roman"/>
                <w:color w:val="auto"/>
                <w:spacing w:val="-4"/>
                <w:sz w:val="24"/>
                <w:szCs w:val="24"/>
              </w:rPr>
              <w:t>109.09L</w:t>
            </w:r>
            <w:r>
              <w:rPr>
                <w:color w:val="auto"/>
                <w:spacing w:val="-4"/>
                <w:sz w:val="24"/>
                <w:szCs w:val="24"/>
              </w:rPr>
              <w:t>。挥发性有机物量为</w:t>
            </w:r>
            <w:r>
              <w:rPr>
                <w:rFonts w:ascii="Times New Roman" w:hAnsi="Times New Roman" w:eastAsia="Times New Roman" w:cs="Times New Roman"/>
                <w:color w:val="auto"/>
                <w:spacing w:val="-1"/>
                <w:sz w:val="24"/>
                <w:szCs w:val="24"/>
              </w:rPr>
              <w:t>621kg+189kg+95.4kg+36kg=941.4kg</w:t>
            </w:r>
            <w:r>
              <w:rPr>
                <w:color w:val="auto"/>
                <w:spacing w:val="-1"/>
                <w:sz w:val="24"/>
                <w:szCs w:val="24"/>
              </w:rPr>
              <w:t>；则施用状态，电泳漆挥发性有机物含量</w:t>
            </w:r>
            <w:r>
              <w:rPr>
                <w:color w:val="auto"/>
                <w:spacing w:val="-3"/>
                <w:sz w:val="24"/>
                <w:szCs w:val="24"/>
              </w:rPr>
              <w:t>为</w:t>
            </w:r>
            <w:r>
              <w:rPr>
                <w:rFonts w:ascii="Times New Roman" w:hAnsi="Times New Roman" w:eastAsia="Times New Roman" w:cs="Times New Roman"/>
                <w:color w:val="auto"/>
                <w:spacing w:val="-3"/>
                <w:sz w:val="24"/>
                <w:szCs w:val="24"/>
              </w:rPr>
              <w:t>65.85g/L</w:t>
            </w:r>
            <w:r>
              <w:rPr>
                <w:color w:val="auto"/>
                <w:spacing w:val="-3"/>
                <w:sz w:val="24"/>
                <w:szCs w:val="24"/>
              </w:rPr>
              <w:t>。</w:t>
            </w:r>
          </w:p>
          <w:p w14:paraId="0DF3C1DC">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rPr>
            </w:pPr>
            <w:r>
              <w:rPr>
                <w:rFonts w:hint="eastAsia" w:ascii="Times New Roman" w:hAnsi="Times New Roman" w:eastAsia="宋体"/>
                <w:color w:val="auto"/>
                <w:highlight w:val="none"/>
              </w:rPr>
              <w:t>项目使用的涂料中VOCs含量判定</w:t>
            </w:r>
          </w:p>
          <w:p w14:paraId="7176FA9E">
            <w:pPr>
              <w:spacing w:line="146" w:lineRule="exact"/>
              <w:rPr>
                <w:color w:val="auto"/>
              </w:rPr>
            </w:pPr>
          </w:p>
          <w:tbl>
            <w:tblPr>
              <w:tblStyle w:val="84"/>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autofit"/>
              <w:tblCellMar>
                <w:top w:w="0" w:type="dxa"/>
                <w:left w:w="0" w:type="dxa"/>
                <w:bottom w:w="0" w:type="dxa"/>
                <w:right w:w="0" w:type="dxa"/>
              </w:tblCellMar>
            </w:tblPr>
            <w:tblGrid>
              <w:gridCol w:w="550"/>
              <w:gridCol w:w="1309"/>
              <w:gridCol w:w="1706"/>
              <w:gridCol w:w="1789"/>
              <w:gridCol w:w="840"/>
              <w:gridCol w:w="2449"/>
            </w:tblGrid>
            <w:tr w14:paraId="113D1857">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trPr>
              <w:tc>
                <w:tcPr>
                  <w:tcW w:w="318" w:type="pct"/>
                  <w:tcBorders>
                    <w:bottom w:val="single" w:color="000000" w:sz="12" w:space="0"/>
                  </w:tcBorders>
                  <w:vAlign w:val="center"/>
                </w:tcPr>
                <w:p w14:paraId="7921AA1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序号</w:t>
                  </w:r>
                </w:p>
              </w:tc>
              <w:tc>
                <w:tcPr>
                  <w:tcW w:w="757" w:type="pct"/>
                  <w:tcBorders>
                    <w:bottom w:val="single" w:color="000000" w:sz="12" w:space="0"/>
                  </w:tcBorders>
                  <w:vAlign w:val="center"/>
                </w:tcPr>
                <w:p w14:paraId="6E4CD9F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含VOCs物料</w:t>
                  </w:r>
                </w:p>
              </w:tc>
              <w:tc>
                <w:tcPr>
                  <w:tcW w:w="987" w:type="pct"/>
                  <w:tcBorders>
                    <w:bottom w:val="single" w:color="000000" w:sz="12" w:space="0"/>
                  </w:tcBorders>
                  <w:vAlign w:val="center"/>
                </w:tcPr>
                <w:p w14:paraId="4EF86C8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本项目生产状态</w:t>
                  </w:r>
                </w:p>
                <w:p w14:paraId="3B8F883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下电泳涂料中</w:t>
                  </w:r>
                </w:p>
                <w:p w14:paraId="75FD681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VOCs含量</w:t>
                  </w:r>
                </w:p>
              </w:tc>
              <w:tc>
                <w:tcPr>
                  <w:tcW w:w="1035" w:type="pct"/>
                  <w:tcBorders>
                    <w:bottom w:val="single" w:color="000000" w:sz="12" w:space="0"/>
                  </w:tcBorders>
                  <w:vAlign w:val="center"/>
                </w:tcPr>
                <w:p w14:paraId="0C8D104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涂料中VOCs含量限值</w:t>
                  </w:r>
                </w:p>
              </w:tc>
              <w:tc>
                <w:tcPr>
                  <w:tcW w:w="486" w:type="pct"/>
                  <w:tcBorders>
                    <w:bottom w:val="single" w:color="000000" w:sz="12" w:space="0"/>
                  </w:tcBorders>
                  <w:vAlign w:val="center"/>
                </w:tcPr>
                <w:p w14:paraId="03CEAE4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符合性分析</w:t>
                  </w:r>
                </w:p>
              </w:tc>
              <w:tc>
                <w:tcPr>
                  <w:tcW w:w="1414" w:type="pct"/>
                  <w:tcBorders>
                    <w:bottom w:val="single" w:color="000000" w:sz="12" w:space="0"/>
                  </w:tcBorders>
                  <w:vAlign w:val="center"/>
                </w:tcPr>
                <w:p w14:paraId="0C442BD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标准来源</w:t>
                  </w:r>
                </w:p>
              </w:tc>
            </w:tr>
            <w:tr w14:paraId="028F6E15">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trPr>
              <w:tc>
                <w:tcPr>
                  <w:tcW w:w="318" w:type="pct"/>
                  <w:tcBorders>
                    <w:top w:val="single" w:color="000000" w:sz="12" w:space="0"/>
                    <w:tl2br w:val="nil"/>
                    <w:tr2bl w:val="nil"/>
                  </w:tcBorders>
                  <w:vAlign w:val="center"/>
                </w:tcPr>
                <w:p w14:paraId="40E088C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757" w:type="pct"/>
                  <w:tcBorders>
                    <w:top w:val="single" w:color="000000" w:sz="12" w:space="0"/>
                    <w:tl2br w:val="nil"/>
                    <w:tr2bl w:val="nil"/>
                  </w:tcBorders>
                  <w:vAlign w:val="center"/>
                </w:tcPr>
                <w:p w14:paraId="10E0C57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电泳涂料</w:t>
                  </w:r>
                </w:p>
              </w:tc>
              <w:tc>
                <w:tcPr>
                  <w:tcW w:w="987" w:type="pct"/>
                  <w:tcBorders>
                    <w:top w:val="single" w:color="000000" w:sz="12" w:space="0"/>
                    <w:tl2br w:val="nil"/>
                    <w:tr2bl w:val="nil"/>
                  </w:tcBorders>
                  <w:vAlign w:val="center"/>
                </w:tcPr>
                <w:p w14:paraId="0F57484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65.85</w:t>
                  </w:r>
                  <w:r>
                    <w:rPr>
                      <w:rFonts w:hint="eastAsia" w:ascii="Times New Roman" w:hAnsi="Times New Roman" w:eastAsia="宋体" w:cs="Times New Roman"/>
                      <w:color w:val="auto"/>
                      <w:sz w:val="21"/>
                      <w:szCs w:val="21"/>
                      <w:lang w:val="en-US" w:eastAsia="zh-CN"/>
                    </w:rPr>
                    <w:t>g/L</w:t>
                  </w:r>
                </w:p>
              </w:tc>
              <w:tc>
                <w:tcPr>
                  <w:tcW w:w="1035" w:type="pct"/>
                  <w:tcBorders>
                    <w:top w:val="single" w:color="000000" w:sz="12" w:space="0"/>
                    <w:tl2br w:val="nil"/>
                    <w:tr2bl w:val="nil"/>
                  </w:tcBorders>
                  <w:vAlign w:val="center"/>
                </w:tcPr>
                <w:p w14:paraId="7259014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≤200g/L</w:t>
                  </w:r>
                </w:p>
              </w:tc>
              <w:tc>
                <w:tcPr>
                  <w:tcW w:w="486" w:type="pct"/>
                  <w:tcBorders>
                    <w:top w:val="single" w:color="000000" w:sz="12" w:space="0"/>
                    <w:tl2br w:val="nil"/>
                    <w:tr2bl w:val="nil"/>
                  </w:tcBorders>
                  <w:vAlign w:val="center"/>
                </w:tcPr>
                <w:p w14:paraId="2AAAB31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c>
                <w:tcPr>
                  <w:tcW w:w="1414" w:type="pct"/>
                  <w:tcBorders>
                    <w:top w:val="single" w:color="000000" w:sz="12" w:space="0"/>
                    <w:tl2br w:val="nil"/>
                    <w:tr2bl w:val="nil"/>
                  </w:tcBorders>
                  <w:vAlign w:val="center"/>
                </w:tcPr>
                <w:p w14:paraId="1A9FEF7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《低挥发性有机化合物含量涂料产品技术要求》GB/T38597-2020</w:t>
                  </w:r>
                </w:p>
              </w:tc>
            </w:tr>
            <w:tr w14:paraId="426B77F7">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57" w:hRule="atLeast"/>
              </w:trPr>
              <w:tc>
                <w:tcPr>
                  <w:tcW w:w="5000" w:type="pct"/>
                  <w:gridSpan w:val="6"/>
                  <w:tcBorders>
                    <w:tl2br w:val="nil"/>
                    <w:tr2bl w:val="nil"/>
                  </w:tcBorders>
                  <w:vAlign w:val="center"/>
                </w:tcPr>
                <w:p w14:paraId="22A10F1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注：根据《低挥发性有机化合物含量涂料产品技术要求》（GB/T 38597-2020），低挥发性有机化合物含量涂料产品是指施工状态下涂料产品中存在的挥发性有机化合物的质量符合本标准相应产品的挥发性有机化合物含量限量要求的涂料产品；水性涂料不考虑水的稀释比例。因此，本项目使用的电泳涂料（属水性涂料）在进行低VOC含量涂料判定时，取施工状态下（即生产状态下），电泳涂料组分加入电泳槽后槽液中VOCs的含量（需扣除水分）。</w:t>
                  </w:r>
                </w:p>
              </w:tc>
            </w:tr>
          </w:tbl>
          <w:p w14:paraId="392F6E10">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rFonts w:ascii="Times New Roman" w:hAnsi="Times New Roman" w:eastAsia="宋体" w:cs="宋体"/>
                <w:color w:val="auto"/>
                <w:kern w:val="0"/>
                <w:sz w:val="24"/>
                <w:szCs w:val="20"/>
                <w:lang w:val="zh-CN" w:eastAsia="zh-CN" w:bidi="ar-SA"/>
              </w:rPr>
            </w:pPr>
            <w:r>
              <w:rPr>
                <w:rFonts w:ascii="Times New Roman" w:hAnsi="Times New Roman" w:eastAsia="宋体" w:cs="宋体"/>
                <w:color w:val="auto"/>
                <w:kern w:val="0"/>
                <w:sz w:val="24"/>
                <w:szCs w:val="20"/>
                <w:lang w:val="zh-CN" w:eastAsia="zh-CN" w:bidi="ar-SA"/>
              </w:rPr>
              <w:t>项目使用的电泳涂料中的挥发分占比满足《低挥发性有机化合物含量涂料产品技术要求》（GB/T 38597-2020）中的限值要求，本项目使用的电泳涂料属于低VOC含量涂料。</w:t>
            </w:r>
          </w:p>
          <w:p w14:paraId="4C774E49">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rFonts w:ascii="Times New Roman" w:hAnsi="Times New Roman" w:eastAsia="宋体" w:cs="宋体"/>
                <w:color w:val="auto"/>
                <w:kern w:val="0"/>
                <w:sz w:val="24"/>
                <w:szCs w:val="20"/>
                <w:lang w:val="zh-CN" w:eastAsia="zh-CN" w:bidi="ar-SA"/>
              </w:rPr>
            </w:pPr>
            <w:r>
              <w:rPr>
                <w:rFonts w:ascii="Times New Roman" w:hAnsi="Times New Roman" w:eastAsia="宋体" w:cs="宋体"/>
                <w:color w:val="auto"/>
                <w:kern w:val="0"/>
                <w:sz w:val="24"/>
                <w:szCs w:val="20"/>
                <w:lang w:val="zh-CN" w:eastAsia="zh-CN" w:bidi="ar-SA"/>
              </w:rPr>
              <w:t>②涂料中有害物质限值分析</w:t>
            </w:r>
          </w:p>
          <w:p w14:paraId="6BC8E46B">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rFonts w:ascii="Times New Roman" w:hAnsi="Times New Roman" w:eastAsia="宋体" w:cs="宋体"/>
                <w:color w:val="auto"/>
                <w:kern w:val="0"/>
                <w:sz w:val="24"/>
                <w:szCs w:val="20"/>
                <w:lang w:val="zh-CN" w:eastAsia="zh-CN" w:bidi="ar-SA"/>
              </w:rPr>
            </w:pPr>
            <w:r>
              <w:rPr>
                <w:rFonts w:ascii="Times New Roman" w:hAnsi="Times New Roman" w:eastAsia="宋体" w:cs="宋体"/>
                <w:color w:val="auto"/>
                <w:kern w:val="0"/>
                <w:sz w:val="24"/>
                <w:szCs w:val="20"/>
                <w:lang w:val="zh-CN" w:eastAsia="zh-CN" w:bidi="ar-SA"/>
              </w:rPr>
              <w:t>a.与GB 24409-2020符合性分析</w:t>
            </w:r>
          </w:p>
          <w:p w14:paraId="12C9ED15">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rFonts w:ascii="Times New Roman" w:hAnsi="Times New Roman" w:eastAsia="宋体" w:cs="宋体"/>
                <w:color w:val="auto"/>
                <w:kern w:val="0"/>
                <w:sz w:val="24"/>
                <w:szCs w:val="20"/>
                <w:lang w:val="zh-CN" w:eastAsia="zh-CN" w:bidi="ar-SA"/>
              </w:rPr>
            </w:pPr>
            <w:r>
              <w:rPr>
                <w:rFonts w:ascii="Times New Roman" w:hAnsi="Times New Roman" w:eastAsia="宋体" w:cs="宋体"/>
                <w:color w:val="auto"/>
                <w:kern w:val="0"/>
                <w:sz w:val="24"/>
                <w:szCs w:val="20"/>
                <w:lang w:val="zh-CN" w:eastAsia="zh-CN" w:bidi="ar-SA"/>
              </w:rPr>
              <w:t>本项目使用的电泳涂料中的VOC有害物质限值与《车辆涂料中有害物质限量》（GB24409-2020）中的限值要求符合性分析见下表。</w:t>
            </w:r>
          </w:p>
          <w:p w14:paraId="62924565">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rPr>
            </w:pPr>
            <w:r>
              <w:rPr>
                <w:rFonts w:hint="eastAsia" w:ascii="Times New Roman" w:hAnsi="Times New Roman" w:eastAsia="宋体"/>
                <w:color w:val="auto"/>
                <w:highlight w:val="none"/>
              </w:rPr>
              <w:t>项目使用的电泳涂料与GB 24409-2020符合性分析</w:t>
            </w:r>
          </w:p>
          <w:tbl>
            <w:tblPr>
              <w:tblStyle w:val="34"/>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25"/>
              <w:gridCol w:w="2499"/>
              <w:gridCol w:w="1624"/>
              <w:gridCol w:w="1532"/>
              <w:gridCol w:w="1464"/>
            </w:tblGrid>
            <w:tr w14:paraId="6E2CC4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tcBorders>
                    <w:bottom w:val="single" w:color="000000" w:sz="12" w:space="0"/>
                  </w:tcBorders>
                  <w:vAlign w:val="center"/>
                </w:tcPr>
                <w:p w14:paraId="4F85637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物料</w:t>
                  </w:r>
                </w:p>
                <w:p w14:paraId="0E0BD41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种类</w:t>
                  </w:r>
                </w:p>
              </w:tc>
              <w:tc>
                <w:tcPr>
                  <w:tcW w:w="1445" w:type="pct"/>
                  <w:tcBorders>
                    <w:bottom w:val="single" w:color="000000" w:sz="12" w:space="0"/>
                  </w:tcBorders>
                  <w:shd w:val="clear" w:color="auto" w:fill="auto"/>
                  <w:vAlign w:val="center"/>
                </w:tcPr>
                <w:p w14:paraId="1283AD4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成分</w:t>
                  </w:r>
                </w:p>
              </w:tc>
              <w:tc>
                <w:tcPr>
                  <w:tcW w:w="939" w:type="pct"/>
                  <w:tcBorders>
                    <w:bottom w:val="single" w:color="000000" w:sz="12" w:space="0"/>
                  </w:tcBorders>
                  <w:shd w:val="clear" w:color="auto" w:fill="auto"/>
                  <w:vAlign w:val="center"/>
                </w:tcPr>
                <w:p w14:paraId="2D41B3F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本项目含量</w:t>
                  </w:r>
                </w:p>
              </w:tc>
              <w:tc>
                <w:tcPr>
                  <w:tcW w:w="886" w:type="pct"/>
                  <w:tcBorders>
                    <w:bottom w:val="single" w:color="000000" w:sz="12" w:space="0"/>
                  </w:tcBorders>
                  <w:shd w:val="clear" w:color="auto" w:fill="auto"/>
                  <w:vAlign w:val="center"/>
                </w:tcPr>
                <w:p w14:paraId="0BFC9AF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限量值</w:t>
                  </w:r>
                </w:p>
              </w:tc>
              <w:tc>
                <w:tcPr>
                  <w:tcW w:w="846" w:type="pct"/>
                  <w:tcBorders>
                    <w:bottom w:val="single" w:color="000000" w:sz="12" w:space="0"/>
                  </w:tcBorders>
                  <w:vAlign w:val="center"/>
                </w:tcPr>
                <w:p w14:paraId="22AC12C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符合性分析</w:t>
                  </w:r>
                </w:p>
              </w:tc>
            </w:tr>
            <w:tr w14:paraId="511A1B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restart"/>
                  <w:tcBorders>
                    <w:top w:val="single" w:color="000000" w:sz="12" w:space="0"/>
                    <w:tl2br w:val="nil"/>
                    <w:tr2bl w:val="nil"/>
                  </w:tcBorders>
                  <w:vAlign w:val="center"/>
                </w:tcPr>
                <w:p w14:paraId="6EF1FFD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电泳涂料</w:t>
                  </w:r>
                </w:p>
              </w:tc>
              <w:tc>
                <w:tcPr>
                  <w:tcW w:w="1445" w:type="pct"/>
                  <w:tcBorders>
                    <w:top w:val="single" w:color="000000" w:sz="12" w:space="0"/>
                    <w:tl2br w:val="nil"/>
                    <w:tr2bl w:val="nil"/>
                  </w:tcBorders>
                  <w:shd w:val="clear" w:color="auto" w:fill="auto"/>
                  <w:vAlign w:val="center"/>
                </w:tcPr>
                <w:p w14:paraId="598BCC5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电泳底漆中VOC含量/(g/L)</w:t>
                  </w:r>
                </w:p>
              </w:tc>
              <w:tc>
                <w:tcPr>
                  <w:tcW w:w="939" w:type="pct"/>
                  <w:tcBorders>
                    <w:top w:val="single" w:color="000000" w:sz="12" w:space="0"/>
                    <w:tl2br w:val="nil"/>
                    <w:tr2bl w:val="nil"/>
                  </w:tcBorders>
                  <w:shd w:val="clear" w:color="auto" w:fill="auto"/>
                  <w:vAlign w:val="center"/>
                </w:tcPr>
                <w:p w14:paraId="4F8B3F6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65.85</w:t>
                  </w:r>
                </w:p>
              </w:tc>
              <w:tc>
                <w:tcPr>
                  <w:tcW w:w="886" w:type="pct"/>
                  <w:tcBorders>
                    <w:top w:val="single" w:color="000000" w:sz="12" w:space="0"/>
                    <w:tl2br w:val="nil"/>
                    <w:tr2bl w:val="nil"/>
                  </w:tcBorders>
                  <w:shd w:val="clear" w:color="auto" w:fill="auto"/>
                  <w:vAlign w:val="center"/>
                </w:tcPr>
                <w:p w14:paraId="6CE441A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≤250</w:t>
                  </w:r>
                </w:p>
              </w:tc>
              <w:tc>
                <w:tcPr>
                  <w:tcW w:w="846" w:type="pct"/>
                  <w:tcBorders>
                    <w:top w:val="single" w:color="000000" w:sz="12" w:space="0"/>
                    <w:tl2br w:val="nil"/>
                    <w:tr2bl w:val="nil"/>
                  </w:tcBorders>
                  <w:vAlign w:val="center"/>
                </w:tcPr>
                <w:p w14:paraId="15BAB13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color w:val="auto"/>
                      <w:spacing w:val="3"/>
                    </w:rPr>
                    <w:t>符合</w:t>
                  </w:r>
                </w:p>
              </w:tc>
            </w:tr>
            <w:tr w14:paraId="75E617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5D20202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tcBorders>
                    <w:tl2br w:val="nil"/>
                    <w:tr2bl w:val="nil"/>
                  </w:tcBorders>
                  <w:shd w:val="clear" w:color="auto" w:fill="auto"/>
                  <w:vAlign w:val="center"/>
                </w:tcPr>
                <w:p w14:paraId="5B44E8B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苯含量%</w:t>
                  </w:r>
                </w:p>
              </w:tc>
              <w:tc>
                <w:tcPr>
                  <w:tcW w:w="939" w:type="pct"/>
                  <w:tcBorders>
                    <w:tl2br w:val="nil"/>
                    <w:tr2bl w:val="nil"/>
                  </w:tcBorders>
                  <w:shd w:val="clear" w:color="auto" w:fill="auto"/>
                  <w:vAlign w:val="center"/>
                </w:tcPr>
                <w:p w14:paraId="7B9EAFF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86" w:type="pct"/>
                  <w:tcBorders>
                    <w:tl2br w:val="nil"/>
                    <w:tr2bl w:val="nil"/>
                  </w:tcBorders>
                  <w:shd w:val="clear" w:color="auto" w:fill="auto"/>
                  <w:vAlign w:val="center"/>
                </w:tcPr>
                <w:p w14:paraId="36BCB16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46" w:type="pct"/>
                  <w:tcBorders>
                    <w:tl2br w:val="nil"/>
                    <w:tr2bl w:val="nil"/>
                  </w:tcBorders>
                  <w:vAlign w:val="center"/>
                </w:tcPr>
                <w:p w14:paraId="4C5986B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w:t>
                  </w:r>
                </w:p>
              </w:tc>
            </w:tr>
            <w:tr w14:paraId="0E3D56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7CFCD36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tcBorders>
                    <w:tl2br w:val="nil"/>
                    <w:tr2bl w:val="nil"/>
                  </w:tcBorders>
                  <w:shd w:val="clear" w:color="auto" w:fill="auto"/>
                  <w:vAlign w:val="center"/>
                </w:tcPr>
                <w:p w14:paraId="3A65C4F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甲苯、二甲苯（含乙苯）总和含量%</w:t>
                  </w:r>
                </w:p>
              </w:tc>
              <w:tc>
                <w:tcPr>
                  <w:tcW w:w="939" w:type="pct"/>
                  <w:tcBorders>
                    <w:tl2br w:val="nil"/>
                    <w:tr2bl w:val="nil"/>
                  </w:tcBorders>
                  <w:shd w:val="clear" w:color="auto" w:fill="auto"/>
                  <w:vAlign w:val="center"/>
                </w:tcPr>
                <w:p w14:paraId="6F4B798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86" w:type="pct"/>
                  <w:tcBorders>
                    <w:tl2br w:val="nil"/>
                    <w:tr2bl w:val="nil"/>
                  </w:tcBorders>
                  <w:shd w:val="clear" w:color="auto" w:fill="auto"/>
                  <w:vAlign w:val="center"/>
                </w:tcPr>
                <w:p w14:paraId="5929686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46" w:type="pct"/>
                  <w:tcBorders>
                    <w:tl2br w:val="nil"/>
                    <w:tr2bl w:val="nil"/>
                  </w:tcBorders>
                  <w:vAlign w:val="center"/>
                </w:tcPr>
                <w:p w14:paraId="2AF3B7C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w:t>
                  </w:r>
                </w:p>
              </w:tc>
            </w:tr>
            <w:tr w14:paraId="0618A3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4A18DCE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tcBorders>
                    <w:tl2br w:val="nil"/>
                    <w:tr2bl w:val="nil"/>
                  </w:tcBorders>
                  <w:shd w:val="clear" w:color="auto" w:fill="auto"/>
                  <w:vAlign w:val="center"/>
                </w:tcPr>
                <w:p w14:paraId="6CCCA87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苯系物总和含量%（限苯、甲苯、二甲苯（含乙苯））</w:t>
                  </w:r>
                </w:p>
              </w:tc>
              <w:tc>
                <w:tcPr>
                  <w:tcW w:w="939" w:type="pct"/>
                  <w:tcBorders>
                    <w:tl2br w:val="nil"/>
                    <w:tr2bl w:val="nil"/>
                  </w:tcBorders>
                  <w:shd w:val="clear" w:color="auto" w:fill="auto"/>
                  <w:vAlign w:val="center"/>
                </w:tcPr>
                <w:p w14:paraId="5D547F6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86" w:type="pct"/>
                  <w:tcBorders>
                    <w:tl2br w:val="nil"/>
                    <w:tr2bl w:val="nil"/>
                  </w:tcBorders>
                  <w:shd w:val="clear" w:color="auto" w:fill="auto"/>
                  <w:vAlign w:val="center"/>
                </w:tcPr>
                <w:p w14:paraId="37AC8B5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w:t>
                  </w:r>
                </w:p>
              </w:tc>
              <w:tc>
                <w:tcPr>
                  <w:tcW w:w="846" w:type="pct"/>
                  <w:tcBorders>
                    <w:tl2br w:val="nil"/>
                    <w:tr2bl w:val="nil"/>
                  </w:tcBorders>
                  <w:vAlign w:val="center"/>
                </w:tcPr>
                <w:p w14:paraId="119F937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color w:val="auto"/>
                      <w:spacing w:val="3"/>
                    </w:rPr>
                    <w:t>符合</w:t>
                  </w:r>
                </w:p>
              </w:tc>
            </w:tr>
            <w:tr w14:paraId="5B8FDB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18D7200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tcBorders>
                    <w:tl2br w:val="nil"/>
                    <w:tr2bl w:val="nil"/>
                  </w:tcBorders>
                  <w:shd w:val="clear" w:color="auto" w:fill="auto"/>
                  <w:vAlign w:val="center"/>
                </w:tcPr>
                <w:p w14:paraId="6D9F0C8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卤代烃总和含量%（限二氯甲烷、三氯甲烷、四氯</w:t>
                  </w:r>
                </w:p>
                <w:p w14:paraId="31DB0C2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化碳、1,1-二氯乙烷、1,2-二氯乙烷、1,1,1-三氯乙</w:t>
                  </w:r>
                </w:p>
                <w:p w14:paraId="460C86B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烷、1,1,2-三氯乙烷、1,2-二氯丙烷、1,2,3-三氯丙烷、</w:t>
                  </w:r>
                </w:p>
                <w:p w14:paraId="5560747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三氯乙烯、四氯乙烯）</w:t>
                  </w:r>
                </w:p>
              </w:tc>
              <w:tc>
                <w:tcPr>
                  <w:tcW w:w="939" w:type="pct"/>
                  <w:tcBorders>
                    <w:tl2br w:val="nil"/>
                    <w:tr2bl w:val="nil"/>
                  </w:tcBorders>
                  <w:shd w:val="clear" w:color="auto" w:fill="auto"/>
                  <w:vAlign w:val="center"/>
                </w:tcPr>
                <w:p w14:paraId="40C5041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p w14:paraId="7CFBC31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86" w:type="pct"/>
                  <w:tcBorders>
                    <w:tl2br w:val="nil"/>
                    <w:tr2bl w:val="nil"/>
                  </w:tcBorders>
                  <w:shd w:val="clear" w:color="auto" w:fill="auto"/>
                  <w:vAlign w:val="center"/>
                </w:tcPr>
                <w:p w14:paraId="3F9025E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p w14:paraId="6616856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p w14:paraId="3B02F75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846" w:type="pct"/>
                  <w:tcBorders>
                    <w:tl2br w:val="nil"/>
                    <w:tr2bl w:val="nil"/>
                  </w:tcBorders>
                  <w:vAlign w:val="center"/>
                </w:tcPr>
                <w:p w14:paraId="7D15118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w:t>
                  </w:r>
                </w:p>
              </w:tc>
            </w:tr>
            <w:tr w14:paraId="5D46702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00761DE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tcBorders>
                    <w:tl2br w:val="nil"/>
                    <w:tr2bl w:val="nil"/>
                  </w:tcBorders>
                  <w:shd w:val="clear" w:color="auto" w:fill="auto"/>
                  <w:vAlign w:val="center"/>
                </w:tcPr>
                <w:p w14:paraId="29E67C4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乙二醇醚及醚酯总和含量/(mg/kg)</w:t>
                  </w:r>
                </w:p>
                <w:p w14:paraId="633D7BF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（限乙二醇甲醚、乙二醇甲醚醋酸酯、乙二醇乙醚、</w:t>
                  </w:r>
                </w:p>
                <w:p w14:paraId="36FC6D9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乙二醇乙醚醋酸酯、乙二醇二甲醚、乙二醇二乙醚、</w:t>
                  </w:r>
                </w:p>
                <w:p w14:paraId="7AF2C30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二乙二醇二甲醚、三乙二醇二甲醚）</w:t>
                  </w:r>
                </w:p>
              </w:tc>
              <w:tc>
                <w:tcPr>
                  <w:tcW w:w="939" w:type="pct"/>
                  <w:tcBorders>
                    <w:tl2br w:val="nil"/>
                    <w:tr2bl w:val="nil"/>
                  </w:tcBorders>
                  <w:shd w:val="clear" w:color="auto" w:fill="auto"/>
                  <w:vAlign w:val="center"/>
                </w:tcPr>
                <w:p w14:paraId="66C3CDF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p w14:paraId="3F653B0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86" w:type="pct"/>
                  <w:tcBorders>
                    <w:tl2br w:val="nil"/>
                    <w:tr2bl w:val="nil"/>
                  </w:tcBorders>
                  <w:shd w:val="clear" w:color="auto" w:fill="auto"/>
                  <w:vAlign w:val="center"/>
                </w:tcPr>
                <w:p w14:paraId="27969EF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p w14:paraId="1F9F6E3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≤300</w:t>
                  </w:r>
                </w:p>
              </w:tc>
              <w:tc>
                <w:tcPr>
                  <w:tcW w:w="846" w:type="pct"/>
                  <w:tcBorders>
                    <w:tl2br w:val="nil"/>
                    <w:tr2bl w:val="nil"/>
                  </w:tcBorders>
                  <w:vAlign w:val="center"/>
                </w:tcPr>
                <w:p w14:paraId="14DD7FE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color w:val="auto"/>
                      <w:spacing w:val="3"/>
                    </w:rPr>
                    <w:t>符合</w:t>
                  </w:r>
                </w:p>
              </w:tc>
            </w:tr>
            <w:tr w14:paraId="3C9182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22DDC61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vMerge w:val="restart"/>
                  <w:tcBorders>
                    <w:tl2br w:val="nil"/>
                    <w:tr2bl w:val="nil"/>
                  </w:tcBorders>
                  <w:shd w:val="clear" w:color="auto" w:fill="auto"/>
                  <w:vAlign w:val="center"/>
                </w:tcPr>
                <w:p w14:paraId="0F10A82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p w14:paraId="0C262E7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重金属含量</w:t>
                  </w:r>
                </w:p>
                <w:p w14:paraId="36B7C61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(mg/kg)</w:t>
                  </w:r>
                </w:p>
              </w:tc>
              <w:tc>
                <w:tcPr>
                  <w:tcW w:w="939" w:type="pct"/>
                  <w:tcBorders>
                    <w:tl2br w:val="nil"/>
                    <w:tr2bl w:val="nil"/>
                  </w:tcBorders>
                  <w:shd w:val="clear" w:color="auto" w:fill="auto"/>
                  <w:vAlign w:val="center"/>
                </w:tcPr>
                <w:p w14:paraId="1485DE8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铅含量</w:t>
                  </w:r>
                </w:p>
              </w:tc>
              <w:tc>
                <w:tcPr>
                  <w:tcW w:w="886" w:type="pct"/>
                  <w:tcBorders>
                    <w:tl2br w:val="nil"/>
                    <w:tr2bl w:val="nil"/>
                  </w:tcBorders>
                  <w:shd w:val="clear" w:color="auto" w:fill="auto"/>
                  <w:vAlign w:val="center"/>
                </w:tcPr>
                <w:p w14:paraId="7916620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46" w:type="pct"/>
                  <w:tcBorders>
                    <w:tl2br w:val="nil"/>
                    <w:tr2bl w:val="nil"/>
                  </w:tcBorders>
                  <w:shd w:val="clear" w:color="auto" w:fill="auto"/>
                  <w:vAlign w:val="center"/>
                </w:tcPr>
                <w:p w14:paraId="772097C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r>
            <w:tr w14:paraId="48C4AF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3E3DABB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vMerge w:val="continue"/>
                  <w:tcBorders>
                    <w:tl2br w:val="nil"/>
                    <w:tr2bl w:val="nil"/>
                  </w:tcBorders>
                  <w:vAlign w:val="center"/>
                </w:tcPr>
                <w:p w14:paraId="0119618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939" w:type="pct"/>
                  <w:tcBorders>
                    <w:tl2br w:val="nil"/>
                    <w:tr2bl w:val="nil"/>
                  </w:tcBorders>
                  <w:shd w:val="clear" w:color="auto" w:fill="auto"/>
                  <w:vAlign w:val="center"/>
                </w:tcPr>
                <w:p w14:paraId="55ED3D9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镉含量</w:t>
                  </w:r>
                </w:p>
              </w:tc>
              <w:tc>
                <w:tcPr>
                  <w:tcW w:w="886" w:type="pct"/>
                  <w:tcBorders>
                    <w:tl2br w:val="nil"/>
                    <w:tr2bl w:val="nil"/>
                  </w:tcBorders>
                  <w:shd w:val="clear" w:color="auto" w:fill="auto"/>
                  <w:vAlign w:val="center"/>
                </w:tcPr>
                <w:p w14:paraId="0BC4E0C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46" w:type="pct"/>
                  <w:tcBorders>
                    <w:tl2br w:val="nil"/>
                    <w:tr2bl w:val="nil"/>
                  </w:tcBorders>
                  <w:shd w:val="clear" w:color="auto" w:fill="auto"/>
                  <w:vAlign w:val="center"/>
                </w:tcPr>
                <w:p w14:paraId="7DBF5A9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r>
            <w:tr w14:paraId="7A1933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4068643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vMerge w:val="continue"/>
                  <w:tcBorders>
                    <w:tl2br w:val="nil"/>
                    <w:tr2bl w:val="nil"/>
                  </w:tcBorders>
                  <w:vAlign w:val="center"/>
                </w:tcPr>
                <w:p w14:paraId="4B31AFD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939" w:type="pct"/>
                  <w:tcBorders>
                    <w:tl2br w:val="nil"/>
                    <w:tr2bl w:val="nil"/>
                  </w:tcBorders>
                  <w:shd w:val="clear" w:color="auto" w:fill="auto"/>
                  <w:vAlign w:val="center"/>
                </w:tcPr>
                <w:p w14:paraId="51A3319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六价铬含量</w:t>
                  </w:r>
                </w:p>
              </w:tc>
              <w:tc>
                <w:tcPr>
                  <w:tcW w:w="886" w:type="pct"/>
                  <w:tcBorders>
                    <w:tl2br w:val="nil"/>
                    <w:tr2bl w:val="nil"/>
                  </w:tcBorders>
                  <w:shd w:val="clear" w:color="auto" w:fill="auto"/>
                  <w:vAlign w:val="center"/>
                </w:tcPr>
                <w:p w14:paraId="5514D7A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46" w:type="pct"/>
                  <w:tcBorders>
                    <w:tl2br w:val="nil"/>
                    <w:tr2bl w:val="nil"/>
                  </w:tcBorders>
                  <w:shd w:val="clear" w:color="auto" w:fill="auto"/>
                  <w:vAlign w:val="center"/>
                </w:tcPr>
                <w:p w14:paraId="1F75FAB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r>
            <w:tr w14:paraId="22BC9F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882" w:type="pct"/>
                  <w:vMerge w:val="continue"/>
                  <w:tcBorders>
                    <w:tl2br w:val="nil"/>
                    <w:tr2bl w:val="nil"/>
                  </w:tcBorders>
                  <w:vAlign w:val="center"/>
                </w:tcPr>
                <w:p w14:paraId="0D39A0C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1445" w:type="pct"/>
                  <w:vMerge w:val="continue"/>
                  <w:tcBorders>
                    <w:tl2br w:val="nil"/>
                    <w:tr2bl w:val="nil"/>
                  </w:tcBorders>
                  <w:vAlign w:val="center"/>
                </w:tcPr>
                <w:p w14:paraId="5D12A41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939" w:type="pct"/>
                  <w:tcBorders>
                    <w:tl2br w:val="nil"/>
                    <w:tr2bl w:val="nil"/>
                  </w:tcBorders>
                  <w:shd w:val="clear" w:color="auto" w:fill="auto"/>
                  <w:vAlign w:val="center"/>
                </w:tcPr>
                <w:p w14:paraId="429071A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en-US"/>
                    </w:rPr>
                  </w:pPr>
                  <w:r>
                    <w:rPr>
                      <w:rFonts w:hint="eastAsia" w:ascii="Times New Roman" w:hAnsi="Times New Roman" w:eastAsia="宋体" w:cs="Times New Roman"/>
                      <w:color w:val="auto"/>
                      <w:sz w:val="21"/>
                      <w:szCs w:val="21"/>
                      <w:lang w:val="en-US" w:eastAsia="zh-CN"/>
                    </w:rPr>
                    <w:t>汞含量</w:t>
                  </w:r>
                </w:p>
              </w:tc>
              <w:tc>
                <w:tcPr>
                  <w:tcW w:w="886" w:type="pct"/>
                  <w:tcBorders>
                    <w:tl2br w:val="nil"/>
                    <w:tr2bl w:val="nil"/>
                  </w:tcBorders>
                  <w:shd w:val="clear" w:color="auto" w:fill="auto"/>
                  <w:vAlign w:val="center"/>
                </w:tcPr>
                <w:p w14:paraId="57864F0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846" w:type="pct"/>
                  <w:tcBorders>
                    <w:tl2br w:val="nil"/>
                    <w:tr2bl w:val="nil"/>
                  </w:tcBorders>
                  <w:shd w:val="clear" w:color="auto" w:fill="auto"/>
                  <w:vAlign w:val="center"/>
                </w:tcPr>
                <w:p w14:paraId="6AEB861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≤1000</w:t>
                  </w:r>
                </w:p>
              </w:tc>
            </w:tr>
          </w:tbl>
          <w:p w14:paraId="3FC141B1">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rFonts w:hint="eastAsia" w:ascii="Times New Roman" w:hAnsi="Times New Roman" w:eastAsia="宋体" w:cs="宋体"/>
                <w:color w:val="auto"/>
                <w:kern w:val="0"/>
                <w:sz w:val="24"/>
                <w:szCs w:val="20"/>
                <w:lang w:val="zh-CN" w:eastAsia="zh-CN" w:bidi="ar-SA"/>
              </w:rPr>
            </w:pPr>
            <w:r>
              <w:rPr>
                <w:rFonts w:hint="eastAsia" w:ascii="Times New Roman" w:hAnsi="Times New Roman" w:eastAsia="宋体" w:cs="宋体"/>
                <w:color w:val="auto"/>
                <w:kern w:val="0"/>
                <w:sz w:val="24"/>
                <w:szCs w:val="20"/>
                <w:lang w:val="zh-CN" w:eastAsia="zh-CN" w:bidi="ar-SA"/>
              </w:rPr>
              <w:t>根据上表，本项目使用的电泳涂料中VOC有害物质限值能够满足《车辆涂料中有害物质限量》（GB24409-2020）中的限值要求。</w:t>
            </w:r>
          </w:p>
          <w:p w14:paraId="6DD9A4C7">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rFonts w:ascii="Times New Roman" w:hAnsi="Times New Roman" w:eastAsia="宋体" w:cs="宋体"/>
                <w:color w:val="auto"/>
                <w:kern w:val="0"/>
                <w:sz w:val="24"/>
                <w:szCs w:val="20"/>
                <w:lang w:val="zh-CN" w:eastAsia="zh-CN" w:bidi="ar-SA"/>
              </w:rPr>
            </w:pPr>
            <w:r>
              <w:rPr>
                <w:rFonts w:ascii="Times New Roman" w:hAnsi="Times New Roman" w:eastAsia="宋体" w:cs="宋体"/>
                <w:color w:val="auto"/>
                <w:kern w:val="0"/>
                <w:sz w:val="24"/>
                <w:szCs w:val="20"/>
                <w:lang w:val="zh-CN" w:eastAsia="zh-CN" w:bidi="ar-SA"/>
              </w:rPr>
              <w:t>b.与HJ2537-2014符合性分析</w:t>
            </w:r>
          </w:p>
          <w:p w14:paraId="7503734A">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rFonts w:ascii="Times New Roman" w:hAnsi="Times New Roman" w:eastAsia="宋体" w:cs="宋体"/>
                <w:color w:val="auto"/>
                <w:kern w:val="0"/>
                <w:sz w:val="24"/>
                <w:szCs w:val="20"/>
                <w:lang w:val="zh-CN" w:eastAsia="zh-CN" w:bidi="ar-SA"/>
              </w:rPr>
            </w:pPr>
            <w:r>
              <w:rPr>
                <w:rFonts w:ascii="Times New Roman" w:hAnsi="Times New Roman" w:eastAsia="宋体" w:cs="宋体"/>
                <w:color w:val="auto"/>
                <w:kern w:val="0"/>
                <w:sz w:val="24"/>
                <w:szCs w:val="20"/>
                <w:lang w:val="zh-CN" w:eastAsia="zh-CN" w:bidi="ar-SA"/>
              </w:rPr>
              <w:t>本项目使用的电泳涂料中的VOC有害物质限值与《环境标志产品技术要求水性涂料》（HJ2537-2014）中的限值要求符合性分析见下表。</w:t>
            </w:r>
          </w:p>
          <w:p w14:paraId="268BCFC9">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rPr>
            </w:pPr>
            <w:r>
              <w:rPr>
                <w:rFonts w:hint="eastAsia" w:ascii="Times New Roman" w:hAnsi="Times New Roman" w:eastAsia="宋体"/>
                <w:color w:val="auto"/>
                <w:highlight w:val="none"/>
              </w:rPr>
              <w:t>项目使用的电泳涂料与HJ2537-2014符合性分析</w:t>
            </w:r>
          </w:p>
          <w:tbl>
            <w:tblPr>
              <w:tblStyle w:val="84"/>
              <w:tblW w:w="4998"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39"/>
              <w:gridCol w:w="4473"/>
              <w:gridCol w:w="828"/>
              <w:gridCol w:w="899"/>
              <w:gridCol w:w="904"/>
            </w:tblGrid>
            <w:tr w14:paraId="0ADB82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890" w:type="pct"/>
                  <w:tcBorders>
                    <w:tl2br w:val="nil"/>
                    <w:tr2bl w:val="nil"/>
                  </w:tcBorders>
                  <w:vAlign w:val="center"/>
                </w:tcPr>
                <w:p w14:paraId="548B0305">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物料</w:t>
                  </w:r>
                </w:p>
                <w:p w14:paraId="3EA5BB7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种类</w:t>
                  </w:r>
                </w:p>
              </w:tc>
              <w:tc>
                <w:tcPr>
                  <w:tcW w:w="2586" w:type="pct"/>
                  <w:tcBorders>
                    <w:tl2br w:val="nil"/>
                    <w:tr2bl w:val="nil"/>
                  </w:tcBorders>
                  <w:vAlign w:val="center"/>
                </w:tcPr>
                <w:p w14:paraId="70988C5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成分</w:t>
                  </w:r>
                </w:p>
              </w:tc>
              <w:tc>
                <w:tcPr>
                  <w:tcW w:w="479" w:type="pct"/>
                  <w:tcBorders>
                    <w:tl2br w:val="nil"/>
                    <w:tr2bl w:val="nil"/>
                  </w:tcBorders>
                  <w:vAlign w:val="center"/>
                </w:tcPr>
                <w:p w14:paraId="5187533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本项目含量</w:t>
                  </w:r>
                </w:p>
              </w:tc>
              <w:tc>
                <w:tcPr>
                  <w:tcW w:w="520" w:type="pct"/>
                  <w:tcBorders>
                    <w:tl2br w:val="nil"/>
                    <w:tr2bl w:val="nil"/>
                  </w:tcBorders>
                  <w:vAlign w:val="center"/>
                </w:tcPr>
                <w:p w14:paraId="2437C41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限量值</w:t>
                  </w:r>
                </w:p>
              </w:tc>
              <w:tc>
                <w:tcPr>
                  <w:tcW w:w="522" w:type="pct"/>
                  <w:tcBorders>
                    <w:tl2br w:val="nil"/>
                    <w:tr2bl w:val="nil"/>
                  </w:tcBorders>
                  <w:vAlign w:val="center"/>
                </w:tcPr>
                <w:p w14:paraId="5CF508E2">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符合性分析</w:t>
                  </w:r>
                </w:p>
              </w:tc>
            </w:tr>
            <w:tr w14:paraId="285B85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890" w:type="pct"/>
                  <w:vMerge w:val="restart"/>
                  <w:tcBorders>
                    <w:tl2br w:val="nil"/>
                    <w:tr2bl w:val="nil"/>
                  </w:tcBorders>
                  <w:vAlign w:val="center"/>
                </w:tcPr>
                <w:p w14:paraId="23F7707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电泳涂料</w:t>
                  </w:r>
                </w:p>
              </w:tc>
              <w:tc>
                <w:tcPr>
                  <w:tcW w:w="2586" w:type="pct"/>
                  <w:tcBorders>
                    <w:tl2br w:val="nil"/>
                    <w:tr2bl w:val="nil"/>
                  </w:tcBorders>
                  <w:vAlign w:val="center"/>
                </w:tcPr>
                <w:p w14:paraId="3453057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挥发性有机化合物</w:t>
                  </w:r>
                  <w:r>
                    <w:rPr>
                      <w:rFonts w:hint="eastAsia"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VOC</w:t>
                  </w:r>
                  <w:r>
                    <w:rPr>
                      <w:rFonts w:hint="eastAsia" w:cs="Times New Roman"/>
                      <w:color w:val="auto"/>
                      <w:sz w:val="21"/>
                      <w:szCs w:val="21"/>
                      <w:lang w:val="en-US" w:eastAsia="zh-CN"/>
                    </w:rPr>
                    <w:t>)</w:t>
                  </w:r>
                </w:p>
              </w:tc>
              <w:tc>
                <w:tcPr>
                  <w:tcW w:w="479" w:type="pct"/>
                  <w:tcBorders>
                    <w:tl2br w:val="nil"/>
                    <w:tr2bl w:val="nil"/>
                  </w:tcBorders>
                  <w:vAlign w:val="center"/>
                </w:tcPr>
                <w:p w14:paraId="70F54D5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65.85</w:t>
                  </w:r>
                </w:p>
              </w:tc>
              <w:tc>
                <w:tcPr>
                  <w:tcW w:w="520" w:type="pct"/>
                  <w:tcBorders>
                    <w:tl2br w:val="nil"/>
                    <w:tr2bl w:val="nil"/>
                  </w:tcBorders>
                  <w:vAlign w:val="center"/>
                </w:tcPr>
                <w:p w14:paraId="0FD8715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≤75g/L</w:t>
                  </w:r>
                </w:p>
              </w:tc>
              <w:tc>
                <w:tcPr>
                  <w:tcW w:w="522" w:type="pct"/>
                  <w:tcBorders>
                    <w:tl2br w:val="nil"/>
                    <w:tr2bl w:val="nil"/>
                  </w:tcBorders>
                  <w:vAlign w:val="center"/>
                </w:tcPr>
                <w:p w14:paraId="23B676C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317CCE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890" w:type="pct"/>
                  <w:vMerge w:val="continue"/>
                  <w:tcBorders>
                    <w:tl2br w:val="nil"/>
                    <w:tr2bl w:val="nil"/>
                  </w:tcBorders>
                  <w:vAlign w:val="center"/>
                </w:tcPr>
                <w:p w14:paraId="5B980C8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2586" w:type="pct"/>
                  <w:tcBorders>
                    <w:tl2br w:val="nil"/>
                    <w:tr2bl w:val="nil"/>
                  </w:tcBorders>
                  <w:vAlign w:val="center"/>
                </w:tcPr>
                <w:p w14:paraId="7C4B0A5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游离甲醛，mg/kg</w:t>
                  </w:r>
                </w:p>
              </w:tc>
              <w:tc>
                <w:tcPr>
                  <w:tcW w:w="479" w:type="pct"/>
                  <w:tcBorders>
                    <w:tl2br w:val="nil"/>
                    <w:tr2bl w:val="nil"/>
                  </w:tcBorders>
                  <w:vAlign w:val="center"/>
                </w:tcPr>
                <w:p w14:paraId="73B5247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20" w:type="pct"/>
                  <w:tcBorders>
                    <w:tl2br w:val="nil"/>
                    <w:tr2bl w:val="nil"/>
                  </w:tcBorders>
                  <w:vAlign w:val="center"/>
                </w:tcPr>
                <w:p w14:paraId="095967B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c>
                <w:tcPr>
                  <w:tcW w:w="522" w:type="pct"/>
                  <w:tcBorders>
                    <w:tl2br w:val="nil"/>
                    <w:tr2bl w:val="nil"/>
                  </w:tcBorders>
                  <w:vAlign w:val="center"/>
                </w:tcPr>
                <w:p w14:paraId="01266AD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3AD569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21" w:hRule="atLeast"/>
              </w:trPr>
              <w:tc>
                <w:tcPr>
                  <w:tcW w:w="890" w:type="pct"/>
                  <w:vMerge w:val="continue"/>
                  <w:tcBorders>
                    <w:tl2br w:val="nil"/>
                    <w:tr2bl w:val="nil"/>
                  </w:tcBorders>
                  <w:vAlign w:val="center"/>
                </w:tcPr>
                <w:p w14:paraId="631D1B57">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2586" w:type="pct"/>
                  <w:tcBorders>
                    <w:tl2br w:val="nil"/>
                    <w:tr2bl w:val="nil"/>
                  </w:tcBorders>
                  <w:vAlign w:val="center"/>
                </w:tcPr>
                <w:p w14:paraId="54AEDE5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乙二醇醚及其酯类的总量（乙二醇甲醚、乙</w:t>
                  </w:r>
                </w:p>
                <w:p w14:paraId="77FBE4A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二醇甲醚醋酸酯、乙二醇乙醚、乙二醇乙醚</w:t>
                  </w:r>
                </w:p>
                <w:p w14:paraId="02CAA31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醋酸酯、二乙二醇丁醚醋酸酯），mg/kg</w:t>
                  </w:r>
                </w:p>
              </w:tc>
              <w:tc>
                <w:tcPr>
                  <w:tcW w:w="479" w:type="pct"/>
                  <w:tcBorders>
                    <w:tl2br w:val="nil"/>
                    <w:tr2bl w:val="nil"/>
                  </w:tcBorders>
                  <w:vAlign w:val="center"/>
                </w:tcPr>
                <w:p w14:paraId="77EBB75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20" w:type="pct"/>
                  <w:tcBorders>
                    <w:tl2br w:val="nil"/>
                    <w:tr2bl w:val="nil"/>
                  </w:tcBorders>
                  <w:vAlign w:val="center"/>
                </w:tcPr>
                <w:p w14:paraId="359FB11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522" w:type="pct"/>
                  <w:tcBorders>
                    <w:tl2br w:val="nil"/>
                    <w:tr2bl w:val="nil"/>
                  </w:tcBorders>
                  <w:vAlign w:val="center"/>
                </w:tcPr>
                <w:p w14:paraId="388E926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2BB5C6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4" w:hRule="atLeast"/>
              </w:trPr>
              <w:tc>
                <w:tcPr>
                  <w:tcW w:w="890" w:type="pct"/>
                  <w:vMerge w:val="continue"/>
                  <w:tcBorders>
                    <w:tl2br w:val="nil"/>
                    <w:tr2bl w:val="nil"/>
                  </w:tcBorders>
                  <w:vAlign w:val="center"/>
                </w:tcPr>
                <w:p w14:paraId="4BF404D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2586" w:type="pct"/>
                  <w:tcBorders>
                    <w:tl2br w:val="nil"/>
                    <w:tr2bl w:val="nil"/>
                  </w:tcBorders>
                  <w:vAlign w:val="center"/>
                </w:tcPr>
                <w:p w14:paraId="2D96BB8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苯、甲苯、二甲苯、乙苯的总量，mg/kg</w:t>
                  </w:r>
                </w:p>
              </w:tc>
              <w:tc>
                <w:tcPr>
                  <w:tcW w:w="479" w:type="pct"/>
                  <w:tcBorders>
                    <w:tl2br w:val="nil"/>
                    <w:tr2bl w:val="nil"/>
                  </w:tcBorders>
                  <w:vAlign w:val="center"/>
                </w:tcPr>
                <w:p w14:paraId="247D043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20" w:type="pct"/>
                  <w:tcBorders>
                    <w:tl2br w:val="nil"/>
                    <w:tr2bl w:val="nil"/>
                  </w:tcBorders>
                  <w:vAlign w:val="center"/>
                </w:tcPr>
                <w:p w14:paraId="4D9AB55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≤100</w:t>
                  </w:r>
                </w:p>
              </w:tc>
              <w:tc>
                <w:tcPr>
                  <w:tcW w:w="522" w:type="pct"/>
                  <w:tcBorders>
                    <w:tl2br w:val="nil"/>
                    <w:tr2bl w:val="nil"/>
                  </w:tcBorders>
                  <w:vAlign w:val="center"/>
                </w:tcPr>
                <w:p w14:paraId="46418B1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2E6A79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890" w:type="pct"/>
                  <w:vMerge w:val="continue"/>
                  <w:tcBorders>
                    <w:tl2br w:val="nil"/>
                    <w:tr2bl w:val="nil"/>
                  </w:tcBorders>
                  <w:vAlign w:val="center"/>
                </w:tcPr>
                <w:p w14:paraId="6AB457CD">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2586" w:type="pct"/>
                  <w:tcBorders>
                    <w:tl2br w:val="nil"/>
                    <w:tr2bl w:val="nil"/>
                  </w:tcBorders>
                  <w:vAlign w:val="center"/>
                </w:tcPr>
                <w:p w14:paraId="3C71EE9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卤代烃（以二氯甲烷计），mg/kg</w:t>
                  </w:r>
                </w:p>
              </w:tc>
              <w:tc>
                <w:tcPr>
                  <w:tcW w:w="479" w:type="pct"/>
                  <w:tcBorders>
                    <w:tl2br w:val="nil"/>
                    <w:tr2bl w:val="nil"/>
                  </w:tcBorders>
                  <w:vAlign w:val="center"/>
                </w:tcPr>
                <w:p w14:paraId="20E1B14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20" w:type="pct"/>
                  <w:tcBorders>
                    <w:tl2br w:val="nil"/>
                    <w:tr2bl w:val="nil"/>
                  </w:tcBorders>
                  <w:vAlign w:val="center"/>
                </w:tcPr>
                <w:p w14:paraId="5D507F3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≤500</w:t>
                  </w:r>
                </w:p>
              </w:tc>
              <w:tc>
                <w:tcPr>
                  <w:tcW w:w="522" w:type="pct"/>
                  <w:tcBorders>
                    <w:tl2br w:val="nil"/>
                    <w:tr2bl w:val="nil"/>
                  </w:tcBorders>
                  <w:vAlign w:val="center"/>
                </w:tcPr>
                <w:p w14:paraId="3FF6E82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41B75E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890" w:type="pct"/>
                  <w:vMerge w:val="continue"/>
                  <w:tcBorders>
                    <w:tl2br w:val="nil"/>
                    <w:tr2bl w:val="nil"/>
                  </w:tcBorders>
                  <w:vAlign w:val="center"/>
                </w:tcPr>
                <w:p w14:paraId="15F59B0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2586" w:type="pct"/>
                  <w:tcBorders>
                    <w:tl2br w:val="nil"/>
                    <w:tr2bl w:val="nil"/>
                  </w:tcBorders>
                  <w:vAlign w:val="center"/>
                </w:tcPr>
                <w:p w14:paraId="6DF8DB38">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可溶性铅，mg/kg</w:t>
                  </w:r>
                </w:p>
              </w:tc>
              <w:tc>
                <w:tcPr>
                  <w:tcW w:w="479" w:type="pct"/>
                  <w:tcBorders>
                    <w:tl2br w:val="nil"/>
                    <w:tr2bl w:val="nil"/>
                  </w:tcBorders>
                  <w:vAlign w:val="center"/>
                </w:tcPr>
                <w:p w14:paraId="0BE0B9E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20" w:type="pct"/>
                  <w:tcBorders>
                    <w:tl2br w:val="nil"/>
                    <w:tr2bl w:val="nil"/>
                  </w:tcBorders>
                  <w:vAlign w:val="center"/>
                </w:tcPr>
                <w:p w14:paraId="3AE31B4F">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≤90</w:t>
                  </w:r>
                </w:p>
              </w:tc>
              <w:tc>
                <w:tcPr>
                  <w:tcW w:w="522" w:type="pct"/>
                  <w:tcBorders>
                    <w:tl2br w:val="nil"/>
                    <w:tr2bl w:val="nil"/>
                  </w:tcBorders>
                  <w:vAlign w:val="center"/>
                </w:tcPr>
                <w:p w14:paraId="5F72BBD4">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041F8F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890" w:type="pct"/>
                  <w:vMerge w:val="continue"/>
                  <w:tcBorders>
                    <w:tl2br w:val="nil"/>
                    <w:tr2bl w:val="nil"/>
                  </w:tcBorders>
                  <w:vAlign w:val="center"/>
                </w:tcPr>
                <w:p w14:paraId="122AF08C">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2586" w:type="pct"/>
                  <w:tcBorders>
                    <w:tl2br w:val="nil"/>
                    <w:tr2bl w:val="nil"/>
                  </w:tcBorders>
                  <w:vAlign w:val="center"/>
                </w:tcPr>
                <w:p w14:paraId="757EAB7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可溶性镉，mg/kg</w:t>
                  </w:r>
                </w:p>
              </w:tc>
              <w:tc>
                <w:tcPr>
                  <w:tcW w:w="479" w:type="pct"/>
                  <w:tcBorders>
                    <w:tl2br w:val="nil"/>
                    <w:tr2bl w:val="nil"/>
                  </w:tcBorders>
                  <w:vAlign w:val="center"/>
                </w:tcPr>
                <w:p w14:paraId="6E9662C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20" w:type="pct"/>
                  <w:tcBorders>
                    <w:tl2br w:val="nil"/>
                    <w:tr2bl w:val="nil"/>
                  </w:tcBorders>
                  <w:vAlign w:val="center"/>
                </w:tcPr>
                <w:p w14:paraId="121DEDE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≤75</w:t>
                  </w:r>
                </w:p>
              </w:tc>
              <w:tc>
                <w:tcPr>
                  <w:tcW w:w="522" w:type="pct"/>
                  <w:tcBorders>
                    <w:tl2br w:val="nil"/>
                    <w:tr2bl w:val="nil"/>
                  </w:tcBorders>
                  <w:vAlign w:val="center"/>
                </w:tcPr>
                <w:p w14:paraId="527FA22A">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1B4516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5" w:hRule="atLeast"/>
              </w:trPr>
              <w:tc>
                <w:tcPr>
                  <w:tcW w:w="890" w:type="pct"/>
                  <w:vMerge w:val="continue"/>
                  <w:tcBorders>
                    <w:tl2br w:val="nil"/>
                    <w:tr2bl w:val="nil"/>
                  </w:tcBorders>
                  <w:vAlign w:val="center"/>
                </w:tcPr>
                <w:p w14:paraId="1305A6F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2586" w:type="pct"/>
                  <w:tcBorders>
                    <w:tl2br w:val="nil"/>
                    <w:tr2bl w:val="nil"/>
                  </w:tcBorders>
                  <w:vAlign w:val="center"/>
                </w:tcPr>
                <w:p w14:paraId="7E7B02C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可溶性铬，mg/kg</w:t>
                  </w:r>
                </w:p>
              </w:tc>
              <w:tc>
                <w:tcPr>
                  <w:tcW w:w="479" w:type="pct"/>
                  <w:tcBorders>
                    <w:tl2br w:val="nil"/>
                    <w:tr2bl w:val="nil"/>
                  </w:tcBorders>
                  <w:vAlign w:val="center"/>
                </w:tcPr>
                <w:p w14:paraId="2A6655AE">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20" w:type="pct"/>
                  <w:tcBorders>
                    <w:tl2br w:val="nil"/>
                    <w:tr2bl w:val="nil"/>
                  </w:tcBorders>
                  <w:vAlign w:val="center"/>
                </w:tcPr>
                <w:p w14:paraId="51929F73">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522" w:type="pct"/>
                  <w:tcBorders>
                    <w:tl2br w:val="nil"/>
                    <w:tr2bl w:val="nil"/>
                  </w:tcBorders>
                  <w:vAlign w:val="center"/>
                </w:tcPr>
                <w:p w14:paraId="0D7B0209">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r w14:paraId="3F2D3D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8" w:hRule="atLeast"/>
              </w:trPr>
              <w:tc>
                <w:tcPr>
                  <w:tcW w:w="890" w:type="pct"/>
                  <w:vMerge w:val="continue"/>
                  <w:tcBorders>
                    <w:tl2br w:val="nil"/>
                    <w:tr2bl w:val="nil"/>
                  </w:tcBorders>
                  <w:vAlign w:val="center"/>
                </w:tcPr>
                <w:p w14:paraId="6E23C50B">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p>
              </w:tc>
              <w:tc>
                <w:tcPr>
                  <w:tcW w:w="2586" w:type="pct"/>
                  <w:tcBorders>
                    <w:tl2br w:val="nil"/>
                    <w:tr2bl w:val="nil"/>
                  </w:tcBorders>
                  <w:vAlign w:val="center"/>
                </w:tcPr>
                <w:p w14:paraId="1732E1B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可溶性汞，mg/kg</w:t>
                  </w:r>
                </w:p>
              </w:tc>
              <w:tc>
                <w:tcPr>
                  <w:tcW w:w="479" w:type="pct"/>
                  <w:tcBorders>
                    <w:tl2br w:val="nil"/>
                    <w:tr2bl w:val="nil"/>
                  </w:tcBorders>
                  <w:vAlign w:val="center"/>
                </w:tcPr>
                <w:p w14:paraId="24312FB6">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p>
              </w:tc>
              <w:tc>
                <w:tcPr>
                  <w:tcW w:w="520" w:type="pct"/>
                  <w:tcBorders>
                    <w:tl2br w:val="nil"/>
                    <w:tr2bl w:val="nil"/>
                  </w:tcBorders>
                  <w:vAlign w:val="center"/>
                </w:tcPr>
                <w:p w14:paraId="45BEA400">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≤60</w:t>
                  </w:r>
                </w:p>
              </w:tc>
              <w:tc>
                <w:tcPr>
                  <w:tcW w:w="522" w:type="pct"/>
                  <w:tcBorders>
                    <w:tl2br w:val="nil"/>
                    <w:tr2bl w:val="nil"/>
                  </w:tcBorders>
                  <w:vAlign w:val="center"/>
                </w:tcPr>
                <w:p w14:paraId="65195161">
                  <w:pPr>
                    <w:pStyle w:val="46"/>
                    <w:keepNext w:val="0"/>
                    <w:keepLines w:val="0"/>
                    <w:pageBreakBefore w:val="0"/>
                    <w:widowControl w:val="0"/>
                    <w:suppressLineNumbers w:val="0"/>
                    <w:tabs>
                      <w:tab w:val="left" w:pos="0"/>
                    </w:tabs>
                    <w:kinsoku/>
                    <w:wordWrap/>
                    <w:overflowPunct/>
                    <w:topLinePunct w:val="0"/>
                    <w:autoSpaceDE/>
                    <w:autoSpaceDN/>
                    <w:bidi w:val="0"/>
                    <w:adjustRightInd/>
                    <w:snapToGrid w:val="0"/>
                    <w:spacing w:before="0" w:beforeAutospacing="0" w:after="0" w:afterAutospacing="0" w:line="240" w:lineRule="auto"/>
                    <w:ind w:right="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符合</w:t>
                  </w:r>
                </w:p>
              </w:tc>
            </w:tr>
          </w:tbl>
          <w:p w14:paraId="196B716A">
            <w:pPr>
              <w:pStyle w:val="113"/>
              <w:keepNext w:val="0"/>
              <w:keepLines w:val="0"/>
              <w:pageBreakBefore w:val="0"/>
              <w:widowControl w:val="0"/>
              <w:kinsoku/>
              <w:wordWrap/>
              <w:overflowPunct/>
              <w:topLinePunct w:val="0"/>
              <w:bidi w:val="0"/>
              <w:adjustRightInd/>
              <w:snapToGrid/>
              <w:spacing w:line="360" w:lineRule="auto"/>
              <w:ind w:left="0" w:right="0" w:firstLine="480" w:firstLineChars="200"/>
              <w:textAlignment w:val="auto"/>
              <w:rPr>
                <w:color w:val="auto"/>
                <w:sz w:val="24"/>
                <w:szCs w:val="24"/>
              </w:rPr>
            </w:pPr>
            <w:r>
              <w:rPr>
                <w:color w:val="auto"/>
                <w:sz w:val="24"/>
                <w:szCs w:val="24"/>
              </w:rPr>
              <w:t>根据上表，本项目使用的电泳涂料中有害物质</w:t>
            </w:r>
            <w:r>
              <w:rPr>
                <w:rFonts w:hint="eastAsia"/>
                <w:color w:val="auto"/>
                <w:sz w:val="24"/>
                <w:szCs w:val="24"/>
                <w:lang w:val="en-US" w:eastAsia="zh-CN"/>
              </w:rPr>
              <w:t>含量</w:t>
            </w:r>
            <w:r>
              <w:rPr>
                <w:color w:val="auto"/>
                <w:sz w:val="24"/>
                <w:szCs w:val="24"/>
              </w:rPr>
              <w:t>能够满足《环境标志产品技术要求水性涂料》（</w:t>
            </w:r>
            <w:r>
              <w:rPr>
                <w:rFonts w:ascii="Times New Roman" w:hAnsi="Times New Roman" w:eastAsia="Times New Roman" w:cs="Times New Roman"/>
                <w:color w:val="auto"/>
                <w:sz w:val="24"/>
                <w:szCs w:val="24"/>
              </w:rPr>
              <w:t>HJ2537-</w:t>
            </w:r>
            <w:r>
              <w:rPr>
                <w:rFonts w:ascii="Times New Roman" w:hAnsi="Times New Roman" w:eastAsia="Times New Roman" w:cs="Times New Roman"/>
                <w:color w:val="auto"/>
                <w:spacing w:val="-1"/>
                <w:sz w:val="24"/>
                <w:szCs w:val="24"/>
              </w:rPr>
              <w:t>2014</w:t>
            </w:r>
            <w:r>
              <w:rPr>
                <w:color w:val="auto"/>
                <w:spacing w:val="-1"/>
                <w:sz w:val="24"/>
                <w:szCs w:val="24"/>
              </w:rPr>
              <w:t>）中的限值要求。</w:t>
            </w:r>
          </w:p>
          <w:p w14:paraId="028B667D">
            <w:pPr>
              <w:pStyle w:val="44"/>
              <w:keepNext w:val="0"/>
              <w:keepLines w:val="0"/>
              <w:pageBreakBefore w:val="0"/>
              <w:widowControl w:val="0"/>
              <w:kinsoku/>
              <w:wordWrap/>
              <w:overflowPunct/>
              <w:topLinePunct w:val="0"/>
              <w:bidi w:val="0"/>
              <w:adjustRightInd/>
              <w:snapToGrid/>
              <w:spacing w:line="360" w:lineRule="auto"/>
              <w:ind w:left="0" w:right="0" w:firstLine="480" w:firstLineChars="200"/>
              <w:textAlignment w:val="auto"/>
              <w:rPr>
                <w:color w:val="auto"/>
                <w:highlight w:val="none"/>
              </w:rPr>
            </w:pPr>
            <w:r>
              <w:rPr>
                <w:rFonts w:hint="eastAsia"/>
                <w:color w:val="auto"/>
                <w:highlight w:val="none"/>
              </w:rPr>
              <w:t>（</w:t>
            </w:r>
            <w:r>
              <w:rPr>
                <w:rFonts w:hint="eastAsia"/>
                <w:color w:val="auto"/>
                <w:highlight w:val="none"/>
                <w:lang w:val="en-US" w:eastAsia="zh-CN"/>
              </w:rPr>
              <w:t>4</w:t>
            </w:r>
            <w:r>
              <w:rPr>
                <w:rFonts w:hint="eastAsia"/>
                <w:color w:val="auto"/>
                <w:highlight w:val="none"/>
              </w:rPr>
              <w:t>）主要能耗</w:t>
            </w:r>
          </w:p>
          <w:p w14:paraId="577AED07">
            <w:pPr>
              <w:pStyle w:val="44"/>
              <w:keepNext w:val="0"/>
              <w:keepLines w:val="0"/>
              <w:pageBreakBefore w:val="0"/>
              <w:widowControl w:val="0"/>
              <w:kinsoku/>
              <w:wordWrap/>
              <w:overflowPunct/>
              <w:topLinePunct w:val="0"/>
              <w:bidi w:val="0"/>
              <w:adjustRightInd/>
              <w:snapToGrid/>
              <w:spacing w:line="360" w:lineRule="auto"/>
              <w:ind w:left="0" w:right="0" w:firstLine="480" w:firstLineChars="200"/>
              <w:textAlignment w:val="auto"/>
              <w:rPr>
                <w:rFonts w:hint="eastAsia"/>
                <w:color w:val="auto"/>
                <w:highlight w:val="none"/>
              </w:rPr>
            </w:pPr>
            <w:r>
              <w:rPr>
                <w:rFonts w:hint="eastAsia"/>
                <w:color w:val="auto"/>
                <w:highlight w:val="none"/>
              </w:rPr>
              <w:t>项目主要能源消耗情况见下表。</w:t>
            </w:r>
          </w:p>
          <w:p w14:paraId="739E23E1">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shd w:val="clear"/>
              </w:rPr>
            </w:pPr>
            <w:r>
              <w:rPr>
                <w:rFonts w:hint="eastAsia" w:ascii="Times New Roman" w:hAnsi="Times New Roman" w:eastAsia="宋体"/>
                <w:color w:val="auto"/>
                <w:highlight w:val="none"/>
              </w:rPr>
              <w:t>项目主</w:t>
            </w:r>
            <w:r>
              <w:rPr>
                <w:rFonts w:hint="eastAsia" w:ascii="Times New Roman" w:hAnsi="Times New Roman" w:eastAsia="宋体"/>
                <w:color w:val="auto"/>
                <w:highlight w:val="none"/>
                <w:shd w:val="clear"/>
              </w:rPr>
              <w:t>要能耗一览表</w:t>
            </w:r>
          </w:p>
          <w:tbl>
            <w:tblPr>
              <w:tblStyle w:val="33"/>
              <w:tblW w:w="499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499"/>
              <w:gridCol w:w="2040"/>
              <w:gridCol w:w="2283"/>
              <w:gridCol w:w="2822"/>
            </w:tblGrid>
            <w:tr w14:paraId="3077AD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867" w:type="pct"/>
                  <w:vMerge w:val="restart"/>
                  <w:tcBorders>
                    <w:bottom w:val="single" w:color="000000" w:sz="12" w:space="0"/>
                  </w:tcBorders>
                  <w:shd w:val="clear" w:color="auto" w:fill="auto"/>
                  <w:vAlign w:val="center"/>
                </w:tcPr>
                <w:p w14:paraId="006F105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序号</w:t>
                  </w:r>
                </w:p>
              </w:tc>
              <w:tc>
                <w:tcPr>
                  <w:tcW w:w="1180" w:type="pct"/>
                  <w:vMerge w:val="restart"/>
                  <w:tcBorders>
                    <w:bottom w:val="single" w:color="000000" w:sz="12" w:space="0"/>
                  </w:tcBorders>
                  <w:shd w:val="clear" w:color="auto" w:fill="auto"/>
                  <w:vAlign w:val="center"/>
                </w:tcPr>
                <w:p w14:paraId="5E4A757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名称</w:t>
                  </w:r>
                </w:p>
              </w:tc>
              <w:tc>
                <w:tcPr>
                  <w:tcW w:w="1320" w:type="pct"/>
                  <w:vMerge w:val="restart"/>
                  <w:tcBorders>
                    <w:bottom w:val="single" w:color="000000" w:sz="12" w:space="0"/>
                  </w:tcBorders>
                  <w:shd w:val="clear" w:color="auto" w:fill="auto"/>
                  <w:vAlign w:val="center"/>
                </w:tcPr>
                <w:p w14:paraId="07C2DD1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单位</w:t>
                  </w:r>
                </w:p>
              </w:tc>
              <w:tc>
                <w:tcPr>
                  <w:tcW w:w="1632" w:type="pct"/>
                  <w:vMerge w:val="restart"/>
                  <w:tcBorders>
                    <w:bottom w:val="single" w:color="000000" w:sz="12" w:space="0"/>
                  </w:tcBorders>
                  <w:shd w:val="clear" w:color="auto" w:fill="auto"/>
                  <w:vAlign w:val="center"/>
                </w:tcPr>
                <w:p w14:paraId="5471CAD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年用量</w:t>
                  </w:r>
                </w:p>
              </w:tc>
            </w:tr>
            <w:tr w14:paraId="369651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tblHeader/>
                <w:jc w:val="center"/>
              </w:trPr>
              <w:tc>
                <w:tcPr>
                  <w:tcW w:w="867" w:type="pct"/>
                  <w:vMerge w:val="continue"/>
                  <w:tcBorders>
                    <w:top w:val="single" w:color="000000" w:sz="12" w:space="0"/>
                    <w:bottom w:val="single" w:color="000000" w:sz="12" w:space="0"/>
                    <w:tl2br w:val="nil"/>
                    <w:tr2bl w:val="nil"/>
                  </w:tcBorders>
                  <w:shd w:val="clear" w:color="auto" w:fill="auto"/>
                  <w:vAlign w:val="center"/>
                </w:tcPr>
                <w:p w14:paraId="08B6D0D5">
                  <w:pPr>
                    <w:pStyle w:val="31"/>
                    <w:widowControl w:val="0"/>
                    <w:spacing w:before="0" w:beforeAutospacing="0" w:after="0" w:afterAutospacing="0" w:line="240" w:lineRule="auto"/>
                    <w:jc w:val="center"/>
                    <w:rPr>
                      <w:rFonts w:ascii="Times New Roman" w:hAnsi="Times New Roman"/>
                      <w:color w:val="auto"/>
                      <w:sz w:val="21"/>
                      <w:szCs w:val="21"/>
                      <w:highlight w:val="none"/>
                    </w:rPr>
                  </w:pPr>
                </w:p>
              </w:tc>
              <w:tc>
                <w:tcPr>
                  <w:tcW w:w="1180" w:type="pct"/>
                  <w:vMerge w:val="continue"/>
                  <w:tcBorders>
                    <w:top w:val="single" w:color="000000" w:sz="12" w:space="0"/>
                    <w:bottom w:val="single" w:color="000000" w:sz="12" w:space="0"/>
                    <w:tl2br w:val="nil"/>
                    <w:tr2bl w:val="nil"/>
                  </w:tcBorders>
                  <w:shd w:val="clear" w:color="auto" w:fill="auto"/>
                  <w:vAlign w:val="center"/>
                </w:tcPr>
                <w:p w14:paraId="11C1A657">
                  <w:pPr>
                    <w:pStyle w:val="31"/>
                    <w:widowControl w:val="0"/>
                    <w:spacing w:before="0" w:beforeAutospacing="0" w:after="0" w:afterAutospacing="0" w:line="240" w:lineRule="auto"/>
                    <w:jc w:val="center"/>
                    <w:rPr>
                      <w:rFonts w:ascii="Times New Roman" w:hAnsi="Times New Roman"/>
                      <w:color w:val="auto"/>
                      <w:sz w:val="21"/>
                      <w:szCs w:val="21"/>
                      <w:highlight w:val="none"/>
                    </w:rPr>
                  </w:pPr>
                </w:p>
              </w:tc>
              <w:tc>
                <w:tcPr>
                  <w:tcW w:w="1320" w:type="pct"/>
                  <w:vMerge w:val="continue"/>
                  <w:tcBorders>
                    <w:top w:val="single" w:color="000000" w:sz="12" w:space="0"/>
                    <w:bottom w:val="single" w:color="000000" w:sz="12" w:space="0"/>
                    <w:tl2br w:val="nil"/>
                    <w:tr2bl w:val="nil"/>
                  </w:tcBorders>
                  <w:shd w:val="clear" w:color="auto" w:fill="auto"/>
                  <w:vAlign w:val="center"/>
                </w:tcPr>
                <w:p w14:paraId="17C461DB">
                  <w:pPr>
                    <w:pStyle w:val="31"/>
                    <w:widowControl w:val="0"/>
                    <w:spacing w:before="0" w:beforeAutospacing="0" w:after="0" w:afterAutospacing="0" w:line="240" w:lineRule="auto"/>
                    <w:jc w:val="center"/>
                    <w:rPr>
                      <w:rFonts w:ascii="Times New Roman" w:hAnsi="Times New Roman"/>
                      <w:color w:val="auto"/>
                      <w:sz w:val="21"/>
                      <w:szCs w:val="21"/>
                      <w:highlight w:val="none"/>
                    </w:rPr>
                  </w:pPr>
                </w:p>
              </w:tc>
              <w:tc>
                <w:tcPr>
                  <w:tcW w:w="1632" w:type="pct"/>
                  <w:vMerge w:val="continue"/>
                  <w:tcBorders>
                    <w:top w:val="single" w:color="000000" w:sz="12" w:space="0"/>
                    <w:bottom w:val="single" w:color="000000" w:sz="12" w:space="0"/>
                    <w:tl2br w:val="nil"/>
                    <w:tr2bl w:val="nil"/>
                  </w:tcBorders>
                  <w:shd w:val="clear" w:color="auto" w:fill="auto"/>
                  <w:vAlign w:val="center"/>
                </w:tcPr>
                <w:p w14:paraId="4BBCA946">
                  <w:pPr>
                    <w:pStyle w:val="31"/>
                    <w:widowControl w:val="0"/>
                    <w:spacing w:before="0" w:beforeAutospacing="0" w:after="0" w:afterAutospacing="0" w:line="240" w:lineRule="auto"/>
                    <w:jc w:val="center"/>
                    <w:rPr>
                      <w:rFonts w:ascii="Times New Roman" w:hAnsi="Times New Roman"/>
                      <w:color w:val="auto"/>
                      <w:sz w:val="21"/>
                      <w:szCs w:val="21"/>
                      <w:highlight w:val="none"/>
                    </w:rPr>
                  </w:pPr>
                </w:p>
              </w:tc>
            </w:tr>
            <w:tr w14:paraId="02C6A7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exact"/>
                <w:jc w:val="center"/>
              </w:trPr>
              <w:tc>
                <w:tcPr>
                  <w:tcW w:w="867" w:type="pct"/>
                  <w:tcBorders>
                    <w:top w:val="single" w:color="000000" w:sz="12" w:space="0"/>
                    <w:tl2br w:val="nil"/>
                    <w:tr2bl w:val="nil"/>
                  </w:tcBorders>
                  <w:shd w:val="clear" w:color="auto" w:fill="auto"/>
                  <w:vAlign w:val="center"/>
                </w:tcPr>
                <w:p w14:paraId="5D9A0804">
                  <w:pPr>
                    <w:pStyle w:val="31"/>
                    <w:widowControl w:val="0"/>
                    <w:spacing w:before="0" w:beforeAutospacing="0" w:after="0" w:afterAutospacing="0"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1</w:t>
                  </w:r>
                </w:p>
              </w:tc>
              <w:tc>
                <w:tcPr>
                  <w:tcW w:w="1180" w:type="pct"/>
                  <w:tcBorders>
                    <w:top w:val="single" w:color="000000" w:sz="12" w:space="0"/>
                    <w:tl2br w:val="nil"/>
                    <w:tr2bl w:val="nil"/>
                  </w:tcBorders>
                  <w:shd w:val="clear" w:color="auto" w:fill="auto"/>
                  <w:vAlign w:val="center"/>
                </w:tcPr>
                <w:p w14:paraId="728BD505">
                  <w:pPr>
                    <w:pStyle w:val="31"/>
                    <w:widowControl w:val="0"/>
                    <w:spacing w:before="0" w:beforeAutospacing="0" w:after="0" w:afterAutospacing="0"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shd w:val="clear"/>
                    </w:rPr>
                    <w:t>新鲜水</w:t>
                  </w:r>
                </w:p>
              </w:tc>
              <w:tc>
                <w:tcPr>
                  <w:tcW w:w="1320" w:type="pct"/>
                  <w:tcBorders>
                    <w:top w:val="single" w:color="000000" w:sz="12" w:space="0"/>
                    <w:tl2br w:val="nil"/>
                    <w:tr2bl w:val="nil"/>
                  </w:tcBorders>
                  <w:shd w:val="clear" w:color="auto" w:fill="auto"/>
                  <w:vAlign w:val="center"/>
                </w:tcPr>
                <w:p w14:paraId="471722BD">
                  <w:pPr>
                    <w:pStyle w:val="31"/>
                    <w:widowControl w:val="0"/>
                    <w:spacing w:before="0" w:beforeAutospacing="0" w:after="0" w:afterAutospacing="0"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t/a</w:t>
                  </w:r>
                </w:p>
              </w:tc>
              <w:tc>
                <w:tcPr>
                  <w:tcW w:w="1632" w:type="pct"/>
                  <w:tcBorders>
                    <w:top w:val="single" w:color="000000" w:sz="12" w:space="0"/>
                    <w:tl2br w:val="nil"/>
                    <w:tr2bl w:val="nil"/>
                  </w:tcBorders>
                  <w:shd w:val="clear" w:color="auto" w:fill="auto"/>
                  <w:vAlign w:val="center"/>
                </w:tcPr>
                <w:p w14:paraId="105D236E">
                  <w:pPr>
                    <w:widowControl/>
                    <w:spacing w:line="240" w:lineRule="auto"/>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1168.5</w:t>
                  </w:r>
                </w:p>
              </w:tc>
            </w:tr>
            <w:tr w14:paraId="17CF4F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exact"/>
                <w:jc w:val="center"/>
              </w:trPr>
              <w:tc>
                <w:tcPr>
                  <w:tcW w:w="867" w:type="pct"/>
                  <w:tcBorders>
                    <w:tl2br w:val="nil"/>
                    <w:tr2bl w:val="nil"/>
                  </w:tcBorders>
                  <w:shd w:val="clear" w:color="auto" w:fill="auto"/>
                  <w:vAlign w:val="center"/>
                </w:tcPr>
                <w:p w14:paraId="7118D7CA">
                  <w:pPr>
                    <w:pStyle w:val="31"/>
                    <w:widowControl w:val="0"/>
                    <w:spacing w:before="0" w:beforeAutospacing="0" w:after="0" w:afterAutospacing="0"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2</w:t>
                  </w:r>
                </w:p>
              </w:tc>
              <w:tc>
                <w:tcPr>
                  <w:tcW w:w="1180" w:type="pct"/>
                  <w:tcBorders>
                    <w:tl2br w:val="nil"/>
                    <w:tr2bl w:val="nil"/>
                  </w:tcBorders>
                  <w:shd w:val="clear" w:color="auto" w:fill="auto"/>
                  <w:vAlign w:val="center"/>
                </w:tcPr>
                <w:p w14:paraId="3791B160">
                  <w:pPr>
                    <w:pStyle w:val="31"/>
                    <w:widowControl w:val="0"/>
                    <w:spacing w:before="0" w:beforeAutospacing="0" w:after="0" w:afterAutospacing="0"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电</w:t>
                  </w:r>
                </w:p>
              </w:tc>
              <w:tc>
                <w:tcPr>
                  <w:tcW w:w="1320" w:type="pct"/>
                  <w:tcBorders>
                    <w:tl2br w:val="nil"/>
                    <w:tr2bl w:val="nil"/>
                  </w:tcBorders>
                  <w:shd w:val="clear" w:color="auto" w:fill="auto"/>
                  <w:vAlign w:val="center"/>
                </w:tcPr>
                <w:p w14:paraId="796E9C51">
                  <w:pPr>
                    <w:pStyle w:val="31"/>
                    <w:widowControl w:val="0"/>
                    <w:spacing w:before="0" w:beforeAutospacing="0" w:after="0" w:afterAutospacing="0" w:line="240" w:lineRule="auto"/>
                    <w:jc w:val="center"/>
                    <w:rPr>
                      <w:rFonts w:ascii="Times New Roman" w:hAnsi="Times New Roman"/>
                      <w:color w:val="auto"/>
                      <w:sz w:val="21"/>
                      <w:szCs w:val="21"/>
                      <w:highlight w:val="none"/>
                    </w:rPr>
                  </w:pPr>
                  <w:r>
                    <w:rPr>
                      <w:rFonts w:ascii="Times New Roman" w:hAnsi="Times New Roman"/>
                      <w:color w:val="auto"/>
                      <w:sz w:val="21"/>
                      <w:szCs w:val="21"/>
                      <w:highlight w:val="none"/>
                    </w:rPr>
                    <w:t>万kwh/a</w:t>
                  </w:r>
                </w:p>
              </w:tc>
              <w:tc>
                <w:tcPr>
                  <w:tcW w:w="1632" w:type="pct"/>
                  <w:tcBorders>
                    <w:tl2br w:val="nil"/>
                    <w:tr2bl w:val="nil"/>
                  </w:tcBorders>
                  <w:shd w:val="clear" w:color="auto" w:fill="auto"/>
                  <w:vAlign w:val="center"/>
                </w:tcPr>
                <w:p w14:paraId="3B1D0B52">
                  <w:pPr>
                    <w:widowControl/>
                    <w:spacing w:line="240" w:lineRule="auto"/>
                    <w:jc w:val="center"/>
                    <w:textAlignment w:val="center"/>
                    <w:rPr>
                      <w:rFonts w:hint="default" w:eastAsia="宋体"/>
                      <w:color w:val="auto"/>
                      <w:szCs w:val="21"/>
                      <w:highlight w:val="none"/>
                      <w:lang w:val="en-US" w:eastAsia="zh-CN"/>
                    </w:rPr>
                  </w:pPr>
                  <w:r>
                    <w:rPr>
                      <w:rFonts w:hint="eastAsia" w:ascii="Times New Roman" w:hAnsi="Times New Roman" w:eastAsia="宋体" w:cs="Times New Roman"/>
                      <w:color w:val="auto"/>
                      <w:spacing w:val="2"/>
                      <w:sz w:val="21"/>
                      <w:szCs w:val="21"/>
                      <w:highlight w:val="none"/>
                      <w:lang w:val="en-US" w:eastAsia="zh-CN"/>
                    </w:rPr>
                    <w:t>2</w:t>
                  </w:r>
                  <w:r>
                    <w:rPr>
                      <w:rFonts w:hint="eastAsia" w:cs="Times New Roman"/>
                      <w:color w:val="auto"/>
                      <w:spacing w:val="2"/>
                      <w:sz w:val="21"/>
                      <w:szCs w:val="21"/>
                      <w:highlight w:val="none"/>
                      <w:lang w:val="en-US" w:eastAsia="zh-CN"/>
                    </w:rPr>
                    <w:t>00</w:t>
                  </w:r>
                </w:p>
              </w:tc>
            </w:tr>
            <w:tr w14:paraId="388878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exact"/>
                <w:jc w:val="center"/>
              </w:trPr>
              <w:tc>
                <w:tcPr>
                  <w:tcW w:w="867" w:type="pct"/>
                  <w:tcBorders>
                    <w:tl2br w:val="nil"/>
                    <w:tr2bl w:val="nil"/>
                  </w:tcBorders>
                  <w:shd w:val="clear" w:color="auto" w:fill="auto"/>
                  <w:vAlign w:val="center"/>
                </w:tcPr>
                <w:p w14:paraId="0478AEE7">
                  <w:pPr>
                    <w:pStyle w:val="31"/>
                    <w:widowControl w:val="0"/>
                    <w:spacing w:before="0" w:beforeAutospacing="0" w:after="0" w:afterAutospacing="0" w:line="240" w:lineRule="auto"/>
                    <w:jc w:val="center"/>
                    <w:rPr>
                      <w:rFonts w:hint="eastAsia"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3</w:t>
                  </w:r>
                </w:p>
              </w:tc>
              <w:tc>
                <w:tcPr>
                  <w:tcW w:w="1180" w:type="pct"/>
                  <w:tcBorders>
                    <w:tl2br w:val="nil"/>
                    <w:tr2bl w:val="nil"/>
                  </w:tcBorders>
                  <w:shd w:val="clear" w:color="auto" w:fill="auto"/>
                  <w:vAlign w:val="center"/>
                </w:tcPr>
                <w:p w14:paraId="15037024">
                  <w:pPr>
                    <w:pStyle w:val="31"/>
                    <w:widowControl w:val="0"/>
                    <w:spacing w:before="0" w:beforeAutospacing="0" w:after="0" w:afterAutospacing="0" w:line="240" w:lineRule="auto"/>
                    <w:jc w:val="center"/>
                    <w:rPr>
                      <w:rFonts w:hint="eastAsia"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天然气</w:t>
                  </w:r>
                </w:p>
              </w:tc>
              <w:tc>
                <w:tcPr>
                  <w:tcW w:w="1320" w:type="pct"/>
                  <w:tcBorders>
                    <w:tl2br w:val="nil"/>
                    <w:tr2bl w:val="nil"/>
                  </w:tcBorders>
                  <w:shd w:val="clear" w:color="auto" w:fill="auto"/>
                  <w:vAlign w:val="center"/>
                </w:tcPr>
                <w:p w14:paraId="1ACF37BA">
                  <w:pPr>
                    <w:pStyle w:val="31"/>
                    <w:widowControl w:val="0"/>
                    <w:spacing w:before="0" w:beforeAutospacing="0" w:after="0" w:afterAutospacing="0" w:line="240" w:lineRule="auto"/>
                    <w:jc w:val="center"/>
                    <w:rPr>
                      <w:rFonts w:hint="default" w:ascii="Times New Roman" w:hAnsi="Times New Roman" w:eastAsia="宋体"/>
                      <w:color w:val="auto"/>
                      <w:sz w:val="21"/>
                      <w:szCs w:val="21"/>
                      <w:highlight w:val="none"/>
                      <w:vertAlign w:val="baseline"/>
                      <w:lang w:val="en-US" w:eastAsia="zh-CN"/>
                    </w:rPr>
                  </w:pPr>
                  <w:r>
                    <w:rPr>
                      <w:rFonts w:hint="eastAsia"/>
                      <w:color w:val="auto"/>
                      <w:sz w:val="21"/>
                      <w:szCs w:val="21"/>
                      <w:highlight w:val="none"/>
                      <w:lang w:val="en-US" w:eastAsia="zh-CN"/>
                    </w:rPr>
                    <w:t>万m</w:t>
                  </w:r>
                  <w:r>
                    <w:rPr>
                      <w:rFonts w:hint="eastAsia"/>
                      <w:color w:val="auto"/>
                      <w:sz w:val="21"/>
                      <w:szCs w:val="21"/>
                      <w:highlight w:val="none"/>
                      <w:vertAlign w:val="superscript"/>
                      <w:lang w:val="en-US" w:eastAsia="zh-CN"/>
                    </w:rPr>
                    <w:t>3</w:t>
                  </w:r>
                  <w:r>
                    <w:rPr>
                      <w:rFonts w:hint="eastAsia"/>
                      <w:color w:val="auto"/>
                      <w:sz w:val="21"/>
                      <w:szCs w:val="21"/>
                      <w:highlight w:val="none"/>
                      <w:vertAlign w:val="baseline"/>
                      <w:lang w:val="en-US" w:eastAsia="zh-CN"/>
                    </w:rPr>
                    <w:t>/a</w:t>
                  </w:r>
                </w:p>
              </w:tc>
              <w:tc>
                <w:tcPr>
                  <w:tcW w:w="1632" w:type="pct"/>
                  <w:tcBorders>
                    <w:tl2br w:val="nil"/>
                    <w:tr2bl w:val="nil"/>
                  </w:tcBorders>
                  <w:shd w:val="clear" w:color="auto" w:fill="auto"/>
                  <w:vAlign w:val="center"/>
                </w:tcPr>
                <w:p w14:paraId="100C8C8E">
                  <w:pPr>
                    <w:widowControl/>
                    <w:spacing w:line="240" w:lineRule="auto"/>
                    <w:jc w:val="center"/>
                    <w:textAlignment w:val="center"/>
                    <w:rPr>
                      <w:rFonts w:hint="default" w:ascii="Times New Roman" w:hAnsi="Times New Roman" w:eastAsia="宋体" w:cs="Times New Roman"/>
                      <w:color w:val="auto"/>
                      <w:spacing w:val="2"/>
                      <w:sz w:val="21"/>
                      <w:szCs w:val="21"/>
                      <w:highlight w:val="none"/>
                      <w:lang w:val="en-US" w:eastAsia="zh-CN"/>
                    </w:rPr>
                  </w:pPr>
                  <w:r>
                    <w:rPr>
                      <w:rFonts w:hint="eastAsia" w:cs="Times New Roman"/>
                      <w:color w:val="auto"/>
                      <w:spacing w:val="2"/>
                      <w:sz w:val="21"/>
                      <w:szCs w:val="21"/>
                      <w:highlight w:val="none"/>
                      <w:lang w:val="en-US" w:eastAsia="zh-CN"/>
                    </w:rPr>
                    <w:t>1</w:t>
                  </w:r>
                </w:p>
              </w:tc>
            </w:tr>
          </w:tbl>
          <w:p w14:paraId="3F4F670E">
            <w:pPr>
              <w:pStyle w:val="3"/>
              <w:bidi w:val="0"/>
              <w:ind w:left="0" w:leftChars="0" w:firstLine="0" w:firstLineChars="0"/>
              <w:rPr>
                <w:rFonts w:hint="eastAsia"/>
                <w:color w:val="auto"/>
                <w:highlight w:val="none"/>
              </w:rPr>
            </w:pPr>
            <w:r>
              <w:rPr>
                <w:rFonts w:hint="eastAsia"/>
                <w:color w:val="auto"/>
                <w:highlight w:val="none"/>
                <w:lang w:val="en-US" w:eastAsia="zh-CN"/>
              </w:rPr>
              <w:t>水平衡及物料平衡</w:t>
            </w:r>
          </w:p>
          <w:p w14:paraId="29F9A320">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水平衡</w:t>
            </w:r>
          </w:p>
          <w:p w14:paraId="3774E11C">
            <w:pPr>
              <w:pStyle w:val="44"/>
              <w:keepNext w:val="0"/>
              <w:keepLines w:val="0"/>
              <w:pageBreakBefore w:val="0"/>
              <w:widowControl w:val="0"/>
              <w:numPr>
                <w:ilvl w:val="0"/>
                <w:numId w:val="0"/>
              </w:numPr>
              <w:shd w:val="clear"/>
              <w:kinsoku/>
              <w:wordWrap/>
              <w:overflowPunct/>
              <w:topLinePunct w:val="0"/>
              <w:autoSpaceDE w:val="0"/>
              <w:autoSpaceDN w:val="0"/>
              <w:bidi w:val="0"/>
              <w:adjustRightInd/>
              <w:snapToGrid/>
              <w:ind w:firstLine="480" w:firstLineChars="200"/>
              <w:textAlignment w:val="auto"/>
              <w:rPr>
                <w:color w:val="auto"/>
                <w:highlight w:val="none"/>
              </w:rPr>
            </w:pPr>
            <w:r>
              <w:rPr>
                <w:rFonts w:ascii="Times New Roman" w:hAnsi="Times New Roman" w:eastAsia="宋体" w:cs="宋体"/>
                <w:color w:val="auto"/>
                <w:kern w:val="0"/>
                <w:sz w:val="24"/>
                <w:szCs w:val="20"/>
                <w:lang w:val="zh-CN" w:eastAsia="zh-CN" w:bidi="ar-SA"/>
              </w:rPr>
              <w:t>（1）</w:t>
            </w:r>
            <w:r>
              <w:rPr>
                <w:rFonts w:hint="eastAsia"/>
                <w:color w:val="auto"/>
                <w:highlight w:val="none"/>
              </w:rPr>
              <w:t>生产用水</w:t>
            </w:r>
          </w:p>
          <w:p w14:paraId="089235F4">
            <w:pPr>
              <w:pStyle w:val="44"/>
              <w:keepNext w:val="0"/>
              <w:keepLines w:val="0"/>
              <w:pageBreakBefore w:val="0"/>
              <w:widowControl w:val="0"/>
              <w:kinsoku/>
              <w:wordWrap/>
              <w:overflowPunct/>
              <w:topLinePunct w:val="0"/>
              <w:autoSpaceDE w:val="0"/>
              <w:autoSpaceDN w:val="0"/>
              <w:bidi w:val="0"/>
              <w:adjustRightInd/>
              <w:snapToGrid/>
              <w:ind w:firstLine="480"/>
              <w:textAlignment w:val="auto"/>
              <w:rPr>
                <w:color w:val="auto"/>
                <w:highlight w:val="none"/>
              </w:rPr>
            </w:pPr>
            <w:r>
              <w:rPr>
                <w:color w:val="auto"/>
                <w:highlight w:val="none"/>
              </w:rPr>
              <w:t>项目</w:t>
            </w:r>
            <w:r>
              <w:rPr>
                <w:rFonts w:hint="eastAsia"/>
                <w:color w:val="auto"/>
                <w:highlight w:val="none"/>
              </w:rPr>
              <w:t>生产用水</w:t>
            </w:r>
            <w:r>
              <w:rPr>
                <w:rFonts w:hint="eastAsia"/>
                <w:color w:val="auto"/>
                <w:highlight w:val="none"/>
                <w:lang w:val="en-US" w:eastAsia="zh-CN"/>
              </w:rPr>
              <w:t>主要</w:t>
            </w:r>
            <w:r>
              <w:rPr>
                <w:rFonts w:hint="eastAsia"/>
                <w:color w:val="auto"/>
                <w:highlight w:val="none"/>
              </w:rPr>
              <w:t>为</w:t>
            </w:r>
            <w:r>
              <w:rPr>
                <w:rFonts w:hint="eastAsia"/>
                <w:color w:val="auto"/>
                <w:highlight w:val="none"/>
                <w:lang w:val="en-US" w:eastAsia="zh-CN"/>
              </w:rPr>
              <w:t>纯</w:t>
            </w:r>
            <w:r>
              <w:rPr>
                <w:rFonts w:hint="eastAsia"/>
                <w:color w:val="auto"/>
                <w:highlight w:val="none"/>
              </w:rPr>
              <w:t>水洗废水、脱脂废水、脱脂后水洗废水、硅烷后水洗废水、纯水制备尾水。</w:t>
            </w:r>
          </w:p>
          <w:p w14:paraId="0E0FCDD8">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eastAsia="宋体"/>
                <w:color w:val="auto"/>
                <w:highlight w:val="none"/>
                <w:lang w:eastAsia="zh-CN"/>
              </w:rPr>
            </w:pPr>
            <w:r>
              <w:rPr>
                <w:rFonts w:hint="eastAsia"/>
                <w:color w:val="auto"/>
                <w:highlight w:val="none"/>
              </w:rPr>
              <w:t>①脱脂废水W</w:t>
            </w:r>
            <w:r>
              <w:rPr>
                <w:rFonts w:hint="eastAsia"/>
                <w:color w:val="auto"/>
                <w:highlight w:val="none"/>
                <w:lang w:val="en-US" w:eastAsia="zh-CN"/>
              </w:rPr>
              <w:t>1</w:t>
            </w:r>
          </w:p>
          <w:p w14:paraId="7CB10BE7">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rPr>
              <w:t>项目脱脂槽液循环使用，定期更换（约6个月更换一次（33.9m</w:t>
            </w:r>
            <w:r>
              <w:rPr>
                <w:rFonts w:hint="eastAsia"/>
                <w:color w:val="auto"/>
                <w:highlight w:val="none"/>
                <w:vertAlign w:val="superscript"/>
              </w:rPr>
              <w:t>3</w:t>
            </w:r>
            <w:r>
              <w:rPr>
                <w:rFonts w:hint="eastAsia"/>
                <w:color w:val="auto"/>
                <w:highlight w:val="none"/>
              </w:rPr>
              <w:t>/次）），产生脱脂废水W</w:t>
            </w:r>
            <w:r>
              <w:rPr>
                <w:rFonts w:hint="eastAsia"/>
                <w:color w:val="auto"/>
                <w:highlight w:val="none"/>
                <w:lang w:val="en-US" w:eastAsia="zh-CN"/>
              </w:rPr>
              <w:t>1</w:t>
            </w:r>
            <w:r>
              <w:rPr>
                <w:rFonts w:hint="eastAsia"/>
                <w:color w:val="auto"/>
                <w:highlight w:val="none"/>
              </w:rPr>
              <w:t>，产生量为57m</w:t>
            </w:r>
            <w:r>
              <w:rPr>
                <w:rFonts w:hint="eastAsia"/>
                <w:color w:val="auto"/>
                <w:highlight w:val="none"/>
                <w:vertAlign w:val="superscript"/>
              </w:rPr>
              <w:t>3</w:t>
            </w:r>
            <w:r>
              <w:rPr>
                <w:rFonts w:hint="eastAsia"/>
                <w:color w:val="auto"/>
                <w:highlight w:val="none"/>
              </w:rPr>
              <w:t>/a。主要污染物为pH、CODcr、BOD</w:t>
            </w:r>
            <w:r>
              <w:rPr>
                <w:rFonts w:hint="eastAsia"/>
                <w:color w:val="auto"/>
                <w:highlight w:val="none"/>
                <w:vertAlign w:val="subscript"/>
              </w:rPr>
              <w:t>5</w:t>
            </w:r>
            <w:r>
              <w:rPr>
                <w:rFonts w:hint="eastAsia"/>
                <w:color w:val="auto"/>
                <w:highlight w:val="none"/>
              </w:rPr>
              <w:t>、SS、石油类、LAS。</w:t>
            </w:r>
          </w:p>
          <w:p w14:paraId="1ECB9415">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eastAsia="宋体"/>
                <w:color w:val="auto"/>
                <w:highlight w:val="none"/>
                <w:lang w:eastAsia="zh-CN"/>
              </w:rPr>
            </w:pPr>
            <w:r>
              <w:rPr>
                <w:rFonts w:hint="eastAsia"/>
                <w:color w:val="auto"/>
                <w:highlight w:val="none"/>
              </w:rPr>
              <w:t>②脱脂后水洗废水W</w:t>
            </w:r>
            <w:r>
              <w:rPr>
                <w:rFonts w:hint="eastAsia"/>
                <w:color w:val="auto"/>
                <w:highlight w:val="none"/>
                <w:lang w:val="en-US" w:eastAsia="zh-CN"/>
              </w:rPr>
              <w:t>2</w:t>
            </w:r>
            <w:r>
              <w:rPr>
                <w:rFonts w:hint="eastAsia"/>
                <w:color w:val="auto"/>
                <w:highlight w:val="none"/>
              </w:rPr>
              <w:t>、W</w:t>
            </w:r>
            <w:r>
              <w:rPr>
                <w:rFonts w:hint="eastAsia"/>
                <w:color w:val="auto"/>
                <w:highlight w:val="none"/>
                <w:lang w:val="en-US" w:eastAsia="zh-CN"/>
              </w:rPr>
              <w:t>3</w:t>
            </w:r>
          </w:p>
          <w:p w14:paraId="26243C85">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rPr>
              <w:t>项目脱脂后需要进行水洗，包括2道水洗，每个水洗槽每周需要排水一次（2m</w:t>
            </w:r>
            <w:r>
              <w:rPr>
                <w:rFonts w:hint="eastAsia"/>
                <w:color w:val="auto"/>
                <w:highlight w:val="none"/>
                <w:vertAlign w:val="superscript"/>
              </w:rPr>
              <w:t>3</w:t>
            </w:r>
            <w:r>
              <w:rPr>
                <w:rFonts w:hint="eastAsia"/>
                <w:color w:val="auto"/>
                <w:highlight w:val="none"/>
              </w:rPr>
              <w:t>/次）。经核算，脱脂后水洗废水产生量为171m</w:t>
            </w:r>
            <w:r>
              <w:rPr>
                <w:rFonts w:hint="eastAsia"/>
                <w:color w:val="auto"/>
                <w:highlight w:val="none"/>
                <w:vertAlign w:val="superscript"/>
              </w:rPr>
              <w:t>3</w:t>
            </w:r>
            <w:r>
              <w:rPr>
                <w:rFonts w:hint="eastAsia"/>
                <w:color w:val="auto"/>
                <w:highlight w:val="none"/>
              </w:rPr>
              <w:t>/a。主要污染物为pH、CODcr、BOD</w:t>
            </w:r>
            <w:r>
              <w:rPr>
                <w:rFonts w:hint="eastAsia"/>
                <w:color w:val="auto"/>
                <w:highlight w:val="none"/>
                <w:vertAlign w:val="subscript"/>
              </w:rPr>
              <w:t>5</w:t>
            </w:r>
            <w:r>
              <w:rPr>
                <w:rFonts w:hint="eastAsia"/>
                <w:color w:val="auto"/>
                <w:highlight w:val="none"/>
              </w:rPr>
              <w:t>、SS、石油类、LAS。</w:t>
            </w:r>
          </w:p>
          <w:p w14:paraId="386BF70B">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eastAsia="宋体"/>
                <w:color w:val="auto"/>
                <w:highlight w:val="none"/>
                <w:lang w:eastAsia="zh-CN"/>
              </w:rPr>
            </w:pPr>
            <w:r>
              <w:rPr>
                <w:rFonts w:hint="eastAsia"/>
                <w:color w:val="auto"/>
                <w:highlight w:val="none"/>
              </w:rPr>
              <w:t>③硅烷后水洗废水W</w:t>
            </w:r>
            <w:r>
              <w:rPr>
                <w:rFonts w:hint="eastAsia"/>
                <w:color w:val="auto"/>
                <w:highlight w:val="none"/>
                <w:lang w:val="en-US" w:eastAsia="zh-CN"/>
              </w:rPr>
              <w:t>4</w:t>
            </w:r>
            <w:r>
              <w:rPr>
                <w:rFonts w:hint="eastAsia"/>
                <w:color w:val="auto"/>
                <w:highlight w:val="none"/>
              </w:rPr>
              <w:t>、W</w:t>
            </w:r>
            <w:r>
              <w:rPr>
                <w:rFonts w:hint="eastAsia"/>
                <w:color w:val="auto"/>
                <w:highlight w:val="none"/>
                <w:lang w:val="en-US" w:eastAsia="zh-CN"/>
              </w:rPr>
              <w:t>5</w:t>
            </w:r>
          </w:p>
          <w:p w14:paraId="716A57A3">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rPr>
              <w:t>项目硅烷后需要进行水洗，包括1道水洗，1道纯水洗，每个水洗槽每周需要排水一次（2m</w:t>
            </w:r>
            <w:r>
              <w:rPr>
                <w:rFonts w:hint="eastAsia"/>
                <w:color w:val="auto"/>
                <w:highlight w:val="none"/>
                <w:vertAlign w:val="superscript"/>
              </w:rPr>
              <w:t>3</w:t>
            </w:r>
            <w:r>
              <w:rPr>
                <w:rFonts w:hint="eastAsia"/>
                <w:color w:val="auto"/>
                <w:highlight w:val="none"/>
              </w:rPr>
              <w:t>/次）。经核算，硅烷后水洗废水产生量为171m</w:t>
            </w:r>
            <w:r>
              <w:rPr>
                <w:rFonts w:hint="eastAsia"/>
                <w:color w:val="auto"/>
                <w:highlight w:val="none"/>
                <w:vertAlign w:val="superscript"/>
              </w:rPr>
              <w:t>3</w:t>
            </w:r>
            <w:r>
              <w:rPr>
                <w:rFonts w:hint="eastAsia"/>
                <w:color w:val="auto"/>
                <w:highlight w:val="none"/>
              </w:rPr>
              <w:t>/a。主要污染物为pH、CODcr、BOD</w:t>
            </w:r>
            <w:r>
              <w:rPr>
                <w:rFonts w:hint="eastAsia"/>
                <w:color w:val="auto"/>
                <w:highlight w:val="none"/>
                <w:vertAlign w:val="subscript"/>
              </w:rPr>
              <w:t>5</w:t>
            </w:r>
            <w:r>
              <w:rPr>
                <w:rFonts w:hint="eastAsia"/>
                <w:color w:val="auto"/>
                <w:highlight w:val="none"/>
              </w:rPr>
              <w:t>、NH</w:t>
            </w:r>
            <w:r>
              <w:rPr>
                <w:rFonts w:hint="eastAsia"/>
                <w:color w:val="auto"/>
                <w:highlight w:val="none"/>
                <w:vertAlign w:val="subscript"/>
              </w:rPr>
              <w:t>3</w:t>
            </w:r>
            <w:r>
              <w:rPr>
                <w:rFonts w:hint="eastAsia"/>
                <w:color w:val="auto"/>
                <w:highlight w:val="none"/>
              </w:rPr>
              <w:t>-N、SS、TN。</w:t>
            </w:r>
          </w:p>
          <w:p w14:paraId="4D308245">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eastAsia="宋体"/>
                <w:color w:val="auto"/>
                <w:highlight w:val="none"/>
                <w:lang w:eastAsia="zh-CN"/>
              </w:rPr>
            </w:pPr>
            <w:r>
              <w:rPr>
                <w:rFonts w:hint="eastAsia"/>
                <w:color w:val="auto"/>
                <w:highlight w:val="none"/>
              </w:rPr>
              <w:t>④</w:t>
            </w:r>
            <w:r>
              <w:rPr>
                <w:rFonts w:hint="eastAsia"/>
                <w:color w:val="auto"/>
                <w:highlight w:val="none"/>
                <w:lang w:val="en-US" w:eastAsia="zh-CN"/>
              </w:rPr>
              <w:t>纯水洗2</w:t>
            </w:r>
            <w:r>
              <w:rPr>
                <w:rFonts w:hint="eastAsia"/>
                <w:color w:val="auto"/>
                <w:highlight w:val="none"/>
              </w:rPr>
              <w:t>废水W</w:t>
            </w:r>
            <w:r>
              <w:rPr>
                <w:rFonts w:hint="eastAsia"/>
                <w:color w:val="auto"/>
                <w:highlight w:val="none"/>
                <w:lang w:val="en-US" w:eastAsia="zh-CN"/>
              </w:rPr>
              <w:t>6</w:t>
            </w:r>
          </w:p>
          <w:p w14:paraId="06A17B32">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rPr>
              <w:t>项目水洗槽清洗水循环使用，定期更换（约1周更换一次（2.565m</w:t>
            </w:r>
            <w:r>
              <w:rPr>
                <w:rFonts w:hint="eastAsia"/>
                <w:color w:val="auto"/>
                <w:highlight w:val="none"/>
                <w:vertAlign w:val="superscript"/>
              </w:rPr>
              <w:t>3</w:t>
            </w:r>
            <w:r>
              <w:rPr>
                <w:rFonts w:hint="eastAsia"/>
                <w:color w:val="auto"/>
                <w:highlight w:val="none"/>
              </w:rPr>
              <w:t>/次）），产生</w:t>
            </w:r>
            <w:r>
              <w:rPr>
                <w:rFonts w:hint="eastAsia"/>
                <w:color w:val="auto"/>
                <w:highlight w:val="none"/>
                <w:lang w:val="en-US" w:eastAsia="zh-CN"/>
              </w:rPr>
              <w:t>纯</w:t>
            </w:r>
            <w:r>
              <w:rPr>
                <w:rFonts w:hint="eastAsia"/>
                <w:color w:val="auto"/>
                <w:highlight w:val="none"/>
              </w:rPr>
              <w:t xml:space="preserve">水洗废水W </w:t>
            </w:r>
            <w:r>
              <w:rPr>
                <w:rFonts w:hint="eastAsia"/>
                <w:color w:val="auto"/>
                <w:highlight w:val="none"/>
                <w:lang w:val="en-US" w:eastAsia="zh-CN"/>
              </w:rPr>
              <w:t>6</w:t>
            </w:r>
            <w:r>
              <w:rPr>
                <w:rFonts w:hint="eastAsia"/>
                <w:color w:val="auto"/>
                <w:highlight w:val="none"/>
              </w:rPr>
              <w:t>，产生量为111m</w:t>
            </w:r>
            <w:r>
              <w:rPr>
                <w:rFonts w:hint="eastAsia"/>
                <w:color w:val="auto"/>
                <w:highlight w:val="none"/>
                <w:vertAlign w:val="superscript"/>
              </w:rPr>
              <w:t>3</w:t>
            </w:r>
            <w:r>
              <w:rPr>
                <w:rFonts w:hint="eastAsia"/>
                <w:color w:val="auto"/>
                <w:highlight w:val="none"/>
              </w:rPr>
              <w:t>/a。主要污染物为pH、CODcr、BOD</w:t>
            </w:r>
            <w:r>
              <w:rPr>
                <w:rFonts w:hint="eastAsia"/>
                <w:color w:val="auto"/>
                <w:highlight w:val="none"/>
                <w:vertAlign w:val="subscript"/>
              </w:rPr>
              <w:t>5</w:t>
            </w:r>
            <w:r>
              <w:rPr>
                <w:rFonts w:hint="eastAsia"/>
                <w:color w:val="auto"/>
                <w:highlight w:val="none"/>
              </w:rPr>
              <w:t>、SS、石油类。</w:t>
            </w:r>
          </w:p>
          <w:p w14:paraId="3DB8783E">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rPr>
              <w:t>⑤纯水制备尾水W7</w:t>
            </w:r>
          </w:p>
          <w:p w14:paraId="19D8B565">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rPr>
              <w:t>本项目纯水制备过程会有纯水制备尾水产生。根据项目设计方案，项目纯水用量为30m</w:t>
            </w:r>
            <w:r>
              <w:rPr>
                <w:rFonts w:hint="eastAsia"/>
                <w:color w:val="auto"/>
                <w:highlight w:val="none"/>
                <w:vertAlign w:val="superscript"/>
              </w:rPr>
              <w:t>3</w:t>
            </w:r>
            <w:r>
              <w:rPr>
                <w:rFonts w:hint="eastAsia"/>
                <w:color w:val="auto"/>
                <w:highlight w:val="none"/>
              </w:rPr>
              <w:t>/a，纯水制备率约40%，则纯水制备尾水的产生量为18m</w:t>
            </w:r>
            <w:r>
              <w:rPr>
                <w:rFonts w:hint="eastAsia"/>
                <w:color w:val="auto"/>
                <w:highlight w:val="none"/>
                <w:vertAlign w:val="superscript"/>
              </w:rPr>
              <w:t>3</w:t>
            </w:r>
            <w:r>
              <w:rPr>
                <w:rFonts w:hint="eastAsia"/>
                <w:color w:val="auto"/>
                <w:highlight w:val="none"/>
              </w:rPr>
              <w:t>/a，主要污染物为pH、CODcr、SS。纯水制备尾水回用于硅烷后水洗3工序。</w:t>
            </w:r>
          </w:p>
          <w:p w14:paraId="1D044FE4">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eastAsia="宋体"/>
                <w:color w:val="auto"/>
                <w:highlight w:val="none"/>
                <w:lang w:val="en-US" w:eastAsia="zh-CN"/>
              </w:rPr>
            </w:pPr>
            <w:r>
              <w:rPr>
                <w:rFonts w:hint="eastAsia"/>
                <w:color w:val="auto"/>
                <w:highlight w:val="none"/>
              </w:rPr>
              <w:t>⑥喷淋塔补充用水</w:t>
            </w:r>
          </w:p>
          <w:p w14:paraId="2D472230">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rPr>
              <w:t>本项目废气处理设施配套设置1套喷淋塔，喷淋塔储水量约为</w:t>
            </w:r>
            <w:r>
              <w:rPr>
                <w:rFonts w:hint="eastAsia"/>
                <w:color w:val="auto"/>
                <w:highlight w:val="none"/>
                <w:lang w:val="en-US" w:eastAsia="zh-CN"/>
              </w:rPr>
              <w:t>0.5t</w:t>
            </w:r>
            <w:r>
              <w:rPr>
                <w:rFonts w:hint="eastAsia"/>
                <w:color w:val="auto"/>
                <w:highlight w:val="none"/>
              </w:rPr>
              <w:t>，根据经验估算，预计每天补充用水量按储水量的10%计，则项目喷淋塔补充新鲜水量为</w:t>
            </w:r>
            <w:r>
              <w:rPr>
                <w:rFonts w:hint="eastAsia"/>
                <w:color w:val="auto"/>
                <w:highlight w:val="none"/>
                <w:lang w:val="en-US" w:eastAsia="zh-CN"/>
              </w:rPr>
              <w:t>0.05</w:t>
            </w:r>
            <w:r>
              <w:rPr>
                <w:rFonts w:hint="eastAsia"/>
                <w:color w:val="auto"/>
                <w:highlight w:val="none"/>
              </w:rPr>
              <w:t>t/d(</w:t>
            </w:r>
            <w:r>
              <w:rPr>
                <w:rFonts w:hint="eastAsia"/>
                <w:color w:val="auto"/>
                <w:highlight w:val="none"/>
                <w:lang w:val="en-US" w:eastAsia="zh-CN"/>
              </w:rPr>
              <w:t>15</w:t>
            </w:r>
            <w:r>
              <w:rPr>
                <w:rFonts w:hint="eastAsia"/>
                <w:color w:val="auto"/>
                <w:highlight w:val="none"/>
              </w:rPr>
              <w:t>t/a)。喷淋塔喷淋水定期排入废水处理设施处理后循环使用不外排。</w:t>
            </w:r>
          </w:p>
          <w:p w14:paraId="0989D87F">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eastAsia"/>
                <w:color w:val="auto"/>
                <w:highlight w:val="none"/>
              </w:rPr>
              <w:t>生活用水</w:t>
            </w:r>
          </w:p>
          <w:p w14:paraId="2F1889D0">
            <w:pPr>
              <w:pStyle w:val="44"/>
              <w:keepNext w:val="0"/>
              <w:keepLines w:val="0"/>
              <w:pageBreakBefore w:val="0"/>
              <w:widowControl w:val="0"/>
              <w:kinsoku/>
              <w:wordWrap/>
              <w:overflowPunct/>
              <w:topLinePunct w:val="0"/>
              <w:autoSpaceDE w:val="0"/>
              <w:autoSpaceDN w:val="0"/>
              <w:bidi w:val="0"/>
              <w:adjustRightInd/>
              <w:snapToGrid/>
              <w:ind w:firstLine="480"/>
              <w:textAlignment w:val="auto"/>
              <w:rPr>
                <w:color w:val="auto"/>
                <w:highlight w:val="none"/>
              </w:rPr>
            </w:pPr>
            <w:r>
              <w:rPr>
                <w:rFonts w:hint="eastAsia"/>
                <w:color w:val="auto"/>
                <w:highlight w:val="none"/>
              </w:rPr>
              <w:t>职工生活用水由工业园区市政给水管网直接供给，</w:t>
            </w:r>
            <w:r>
              <w:rPr>
                <w:color w:val="auto"/>
                <w:highlight w:val="none"/>
              </w:rPr>
              <w:t>根据《</w:t>
            </w:r>
            <w:r>
              <w:rPr>
                <w:rFonts w:hint="eastAsia"/>
                <w:color w:val="auto"/>
                <w:highlight w:val="none"/>
              </w:rPr>
              <w:t>建筑给水排水设计标准</w:t>
            </w:r>
            <w:r>
              <w:rPr>
                <w:color w:val="auto"/>
                <w:highlight w:val="none"/>
              </w:rPr>
              <w:t>》</w:t>
            </w:r>
            <w:r>
              <w:rPr>
                <w:rFonts w:hint="eastAsia"/>
                <w:color w:val="auto"/>
                <w:highlight w:val="none"/>
                <w:lang w:eastAsia="zh-CN"/>
              </w:rPr>
              <w:t>(</w:t>
            </w:r>
            <w:r>
              <w:rPr>
                <w:rFonts w:hint="eastAsia"/>
                <w:color w:val="auto"/>
                <w:highlight w:val="none"/>
              </w:rPr>
              <w:t>GB50015</w:t>
            </w:r>
            <w:r>
              <w:rPr>
                <w:color w:val="auto"/>
                <w:highlight w:val="none"/>
              </w:rPr>
              <w:t>-</w:t>
            </w:r>
            <w:r>
              <w:rPr>
                <w:rFonts w:hint="eastAsia"/>
                <w:color w:val="auto"/>
                <w:highlight w:val="none"/>
              </w:rPr>
              <w:t>2019</w:t>
            </w:r>
            <w:r>
              <w:rPr>
                <w:rFonts w:hint="eastAsia"/>
                <w:color w:val="auto"/>
                <w:highlight w:val="none"/>
                <w:lang w:eastAsia="zh-CN"/>
              </w:rPr>
              <w:t>)</w:t>
            </w:r>
            <w:r>
              <w:rPr>
                <w:color w:val="auto"/>
                <w:highlight w:val="none"/>
              </w:rPr>
              <w:t>，</w:t>
            </w:r>
            <w:r>
              <w:rPr>
                <w:rFonts w:hint="eastAsia"/>
                <w:color w:val="auto"/>
                <w:highlight w:val="none"/>
              </w:rPr>
              <w:t>不住厂职工生活用水量按照50L/d</w:t>
            </w:r>
            <w:r>
              <w:rPr>
                <w:rFonts w:hint="eastAsia"/>
                <w:color w:val="auto"/>
                <w:highlight w:val="none"/>
                <w:lang w:val="en-US" w:eastAsia="zh-CN"/>
              </w:rPr>
              <w:t>·</w:t>
            </w:r>
            <w:r>
              <w:rPr>
                <w:rFonts w:hint="eastAsia"/>
                <w:color w:val="auto"/>
                <w:highlight w:val="none"/>
              </w:rPr>
              <w:t>人计，</w:t>
            </w:r>
            <w:r>
              <w:rPr>
                <w:color w:val="auto"/>
                <w:highlight w:val="none"/>
              </w:rPr>
              <w:t>年工作3</w:t>
            </w:r>
            <w:r>
              <w:rPr>
                <w:rFonts w:hint="eastAsia"/>
                <w:color w:val="auto"/>
                <w:highlight w:val="none"/>
                <w:lang w:val="en-US" w:eastAsia="zh-CN"/>
              </w:rPr>
              <w:t>0</w:t>
            </w:r>
            <w:r>
              <w:rPr>
                <w:color w:val="auto"/>
                <w:highlight w:val="none"/>
              </w:rPr>
              <w:t>0天</w:t>
            </w:r>
            <w:r>
              <w:rPr>
                <w:rFonts w:hint="eastAsia"/>
                <w:color w:val="auto"/>
                <w:highlight w:val="none"/>
              </w:rPr>
              <w:t>，本项目职工定员</w:t>
            </w:r>
            <w:r>
              <w:rPr>
                <w:rFonts w:hint="eastAsia"/>
                <w:color w:val="auto"/>
                <w:highlight w:val="none"/>
                <w:lang w:val="en-US" w:eastAsia="zh-CN"/>
              </w:rPr>
              <w:t>30</w:t>
            </w:r>
            <w:r>
              <w:rPr>
                <w:rFonts w:hint="eastAsia"/>
                <w:color w:val="auto"/>
                <w:highlight w:val="none"/>
              </w:rPr>
              <w:t>人（均不住厂），则生活用水量为</w:t>
            </w:r>
            <w:r>
              <w:rPr>
                <w:rFonts w:hint="eastAsia"/>
                <w:color w:val="auto"/>
                <w:highlight w:val="none"/>
                <w:lang w:val="en-US" w:eastAsia="zh-CN"/>
              </w:rPr>
              <w:t>1.5</w:t>
            </w:r>
            <w:r>
              <w:rPr>
                <w:rFonts w:hint="eastAsia"/>
                <w:color w:val="auto"/>
                <w:highlight w:val="none"/>
              </w:rPr>
              <w:t>t/d（</w:t>
            </w:r>
            <w:r>
              <w:rPr>
                <w:rFonts w:hint="eastAsia"/>
                <w:color w:val="auto"/>
                <w:highlight w:val="none"/>
                <w:lang w:val="en-US" w:eastAsia="zh-CN"/>
              </w:rPr>
              <w:t>450</w:t>
            </w:r>
            <w:r>
              <w:rPr>
                <w:rFonts w:hint="eastAsia"/>
                <w:color w:val="auto"/>
                <w:highlight w:val="none"/>
              </w:rPr>
              <w:t>t/a），产污系数按0.8计，则生活污水产生量约为</w:t>
            </w:r>
            <w:r>
              <w:rPr>
                <w:rFonts w:hint="eastAsia"/>
                <w:color w:val="auto"/>
                <w:highlight w:val="none"/>
                <w:lang w:val="en-US" w:eastAsia="zh-CN"/>
              </w:rPr>
              <w:t>1.2</w:t>
            </w:r>
            <w:r>
              <w:rPr>
                <w:rFonts w:hint="eastAsia"/>
                <w:color w:val="auto"/>
                <w:highlight w:val="none"/>
              </w:rPr>
              <w:t>t/d（</w:t>
            </w:r>
            <w:r>
              <w:rPr>
                <w:rFonts w:hint="eastAsia"/>
                <w:color w:val="auto"/>
                <w:highlight w:val="none"/>
                <w:lang w:val="en-US" w:eastAsia="zh-CN"/>
              </w:rPr>
              <w:t>360</w:t>
            </w:r>
            <w:r>
              <w:rPr>
                <w:rFonts w:hint="eastAsia"/>
                <w:color w:val="auto"/>
                <w:highlight w:val="none"/>
              </w:rPr>
              <w:t>t/a）。</w:t>
            </w:r>
          </w:p>
          <w:p w14:paraId="5D57936F">
            <w:pPr>
              <w:pStyle w:val="44"/>
              <w:keepNext w:val="0"/>
              <w:keepLines w:val="0"/>
              <w:pageBreakBefore w:val="0"/>
              <w:widowControl w:val="0"/>
              <w:kinsoku/>
              <w:wordWrap/>
              <w:overflowPunct/>
              <w:topLinePunct w:val="0"/>
              <w:autoSpaceDE w:val="0"/>
              <w:autoSpaceDN w:val="0"/>
              <w:bidi w:val="0"/>
              <w:adjustRightInd/>
              <w:snapToGrid/>
              <w:ind w:firstLine="480"/>
              <w:textAlignment w:val="auto"/>
              <w:rPr>
                <w:color w:val="auto"/>
                <w:highlight w:val="none"/>
              </w:rPr>
            </w:pPr>
            <w:r>
              <w:rPr>
                <w:rFonts w:hint="eastAsia"/>
                <w:color w:val="auto"/>
                <w:highlight w:val="none"/>
              </w:rPr>
              <w:t>（3）项目排水</w:t>
            </w:r>
          </w:p>
          <w:p w14:paraId="297BD97C">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rPr>
            </w:pPr>
            <w:r>
              <w:rPr>
                <w:color w:val="auto"/>
                <w:highlight w:val="none"/>
              </w:rPr>
              <w:t>本项目所在厂区雨污分流，已建立完善的雨、污水管道。厂区雨水经雨水管道纳入市政雨水管网。本项目水洗废水、脱脂废水、脱脂后水洗废水、硅烷后水洗废水经收集后进入废水处理设施净化处理后，出水进入厂区污水管道，再纳入</w:t>
            </w:r>
            <w:r>
              <w:rPr>
                <w:rFonts w:hint="eastAsia"/>
                <w:color w:val="auto"/>
                <w:highlight w:val="none"/>
                <w:lang w:val="en-US" w:eastAsia="zh-CN"/>
              </w:rPr>
              <w:t>厂</w:t>
            </w:r>
            <w:r>
              <w:rPr>
                <w:color w:val="auto"/>
                <w:highlight w:val="none"/>
              </w:rPr>
              <w:t>区污水管网；生活污水单独进入厂区污水管道，再纳入</w:t>
            </w:r>
            <w:r>
              <w:rPr>
                <w:rFonts w:hint="eastAsia"/>
                <w:color w:val="auto"/>
                <w:highlight w:val="none"/>
                <w:lang w:val="en-US" w:eastAsia="zh-CN"/>
              </w:rPr>
              <w:t>厂</w:t>
            </w:r>
            <w:r>
              <w:rPr>
                <w:color w:val="auto"/>
                <w:highlight w:val="none"/>
              </w:rPr>
              <w:t>区污水管网；项目废水最终全部纳入</w:t>
            </w:r>
            <w:r>
              <w:rPr>
                <w:rFonts w:hint="eastAsia"/>
                <w:color w:val="auto"/>
                <w:highlight w:val="none"/>
                <w:lang w:eastAsia="zh-CN"/>
              </w:rPr>
              <w:t>福清市第二污水处理厂</w:t>
            </w:r>
            <w:r>
              <w:rPr>
                <w:color w:val="auto"/>
                <w:highlight w:val="none"/>
              </w:rPr>
              <w:t>集中处理。</w:t>
            </w:r>
            <w:r>
              <w:rPr>
                <w:color w:val="auto"/>
                <w:spacing w:val="-2"/>
                <w:sz w:val="24"/>
                <w:szCs w:val="24"/>
              </w:rPr>
              <w:t>项目排水情况见下表</w:t>
            </w:r>
            <w:r>
              <w:rPr>
                <w:rFonts w:hint="eastAsia"/>
                <w:color w:val="auto"/>
                <w:spacing w:val="-2"/>
                <w:sz w:val="24"/>
                <w:szCs w:val="24"/>
                <w:lang w:val="en-US" w:eastAsia="zh-CN"/>
              </w:rPr>
              <w:t>2.6-1</w:t>
            </w:r>
            <w:r>
              <w:rPr>
                <w:color w:val="auto"/>
                <w:spacing w:val="-2"/>
                <w:sz w:val="24"/>
                <w:szCs w:val="24"/>
              </w:rPr>
              <w:t>。</w:t>
            </w:r>
            <w:r>
              <w:rPr>
                <w:rFonts w:hint="eastAsia"/>
                <w:color w:val="auto"/>
                <w:highlight w:val="none"/>
              </w:rPr>
              <w:t>具体情况见</w:t>
            </w:r>
            <w:r>
              <w:rPr>
                <w:color w:val="auto"/>
                <w:highlight w:val="none"/>
              </w:rPr>
              <w:t>平衡图见</w:t>
            </w:r>
            <w:r>
              <w:rPr>
                <w:rFonts w:hint="eastAsia"/>
                <w:color w:val="auto"/>
                <w:highlight w:val="none"/>
              </w:rPr>
              <w:fldChar w:fldCharType="begin"/>
            </w:r>
            <w:r>
              <w:rPr>
                <w:rFonts w:hint="eastAsia"/>
                <w:color w:val="auto"/>
                <w:highlight w:val="none"/>
              </w:rPr>
              <w:instrText xml:space="preserve"> REF _Ref27012 \n \h </w:instrText>
            </w:r>
            <w:r>
              <w:rPr>
                <w:rFonts w:hint="eastAsia"/>
                <w:color w:val="auto"/>
                <w:highlight w:val="none"/>
              </w:rPr>
              <w:fldChar w:fldCharType="separate"/>
            </w:r>
            <w:r>
              <w:rPr>
                <w:rFonts w:hint="eastAsia"/>
                <w:color w:val="auto"/>
                <w:highlight w:val="none"/>
              </w:rPr>
              <w:fldChar w:fldCharType="begin"/>
            </w:r>
            <w:r>
              <w:rPr>
                <w:rFonts w:hint="eastAsia"/>
                <w:color w:val="auto"/>
                <w:highlight w:val="none"/>
              </w:rPr>
              <w:instrText xml:space="preserve"> REF _Ref22741 \n \h </w:instrText>
            </w:r>
            <w:r>
              <w:rPr>
                <w:rFonts w:hint="eastAsia"/>
                <w:color w:val="auto"/>
                <w:highlight w:val="none"/>
              </w:rPr>
              <w:fldChar w:fldCharType="separate"/>
            </w:r>
            <w:r>
              <w:rPr>
                <w:rFonts w:hint="eastAsia"/>
                <w:color w:val="auto"/>
                <w:highlight w:val="none"/>
              </w:rPr>
              <w:t>图</w:t>
            </w:r>
            <w:r>
              <w:rPr>
                <w:rFonts w:hint="eastAsia"/>
                <w:color w:val="auto"/>
                <w:highlight w:val="none"/>
                <w:lang w:val="en-US" w:eastAsia="zh-CN"/>
              </w:rPr>
              <w:t>2.6-</w:t>
            </w:r>
            <w:r>
              <w:rPr>
                <w:rFonts w:hint="eastAsia"/>
                <w:color w:val="auto"/>
                <w:highlight w:val="none"/>
              </w:rPr>
              <w:t>1</w:t>
            </w:r>
            <w:r>
              <w:rPr>
                <w:rFonts w:hint="eastAsia"/>
                <w:color w:val="auto"/>
                <w:highlight w:val="none"/>
              </w:rPr>
              <w:fldChar w:fldCharType="end"/>
            </w:r>
            <w:r>
              <w:rPr>
                <w:color w:val="auto"/>
                <w:highlight w:val="none"/>
              </w:rPr>
              <w:t>。</w:t>
            </w:r>
            <w:r>
              <w:rPr>
                <w:rFonts w:hint="eastAsia"/>
                <w:color w:val="auto"/>
                <w:highlight w:val="none"/>
              </w:rPr>
              <w:fldChar w:fldCharType="end"/>
            </w:r>
          </w:p>
          <w:p w14:paraId="76FE2528">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rPr>
            </w:pPr>
            <w:r>
              <w:rPr>
                <w:rFonts w:hint="eastAsia" w:ascii="Times New Roman" w:hAnsi="Times New Roman" w:eastAsia="宋体"/>
                <w:color w:val="auto"/>
                <w:highlight w:val="none"/>
              </w:rPr>
              <w:t>项目用水、排水情况表</w:t>
            </w:r>
          </w:p>
          <w:tbl>
            <w:tblPr>
              <w:tblStyle w:val="8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648"/>
              <w:gridCol w:w="1125"/>
              <w:gridCol w:w="889"/>
              <w:gridCol w:w="1535"/>
              <w:gridCol w:w="1129"/>
              <w:gridCol w:w="1131"/>
              <w:gridCol w:w="1186"/>
            </w:tblGrid>
            <w:tr w14:paraId="74ED45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6" w:hRule="atLeast"/>
                <w:jc w:val="center"/>
              </w:trPr>
              <w:tc>
                <w:tcPr>
                  <w:tcW w:w="954" w:type="pct"/>
                  <w:vMerge w:val="restart"/>
                  <w:vAlign w:val="center"/>
                </w:tcPr>
                <w:p w14:paraId="065FFEDE">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6"/>
                      <w:sz w:val="21"/>
                    </w:rPr>
                    <w:t>用水单元</w:t>
                  </w:r>
                </w:p>
              </w:tc>
              <w:tc>
                <w:tcPr>
                  <w:tcW w:w="2053" w:type="pct"/>
                  <w:gridSpan w:val="3"/>
                  <w:vAlign w:val="center"/>
                </w:tcPr>
                <w:p w14:paraId="5C127A22">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4"/>
                      <w:sz w:val="21"/>
                    </w:rPr>
                    <w:t>用水量（</w:t>
                  </w:r>
                  <w:r>
                    <w:rPr>
                      <w:rFonts w:ascii="Times New Roman" w:hAnsi="Times New Roman" w:eastAsia="宋体" w:cs="Times New Roman"/>
                      <w:b/>
                      <w:bCs/>
                      <w:color w:val="auto"/>
                      <w:spacing w:val="4"/>
                      <w:sz w:val="21"/>
                    </w:rPr>
                    <w:t>m</w:t>
                  </w:r>
                  <w:r>
                    <w:rPr>
                      <w:rFonts w:ascii="Times New Roman" w:hAnsi="Times New Roman" w:eastAsia="宋体" w:cs="Times New Roman"/>
                      <w:b/>
                      <w:bCs/>
                      <w:color w:val="auto"/>
                      <w:spacing w:val="4"/>
                      <w:position w:val="6"/>
                      <w:sz w:val="21"/>
                      <w:szCs w:val="13"/>
                    </w:rPr>
                    <w:t>3</w:t>
                  </w:r>
                  <w:r>
                    <w:rPr>
                      <w:rFonts w:ascii="Times New Roman" w:hAnsi="Times New Roman" w:eastAsia="宋体" w:cs="Times New Roman"/>
                      <w:b/>
                      <w:bCs/>
                      <w:color w:val="auto"/>
                      <w:spacing w:val="4"/>
                      <w:sz w:val="21"/>
                    </w:rPr>
                    <w:t>/d</w:t>
                  </w:r>
                  <w:r>
                    <w:rPr>
                      <w:rFonts w:ascii="Times New Roman" w:hAnsi="Times New Roman" w:eastAsia="宋体"/>
                      <w:b/>
                      <w:bCs/>
                      <w:color w:val="auto"/>
                      <w:spacing w:val="4"/>
                      <w:sz w:val="21"/>
                    </w:rPr>
                    <w:t>）</w:t>
                  </w:r>
                </w:p>
              </w:tc>
              <w:tc>
                <w:tcPr>
                  <w:tcW w:w="1991" w:type="pct"/>
                  <w:gridSpan w:val="3"/>
                  <w:vAlign w:val="center"/>
                </w:tcPr>
                <w:p w14:paraId="621E356B">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4"/>
                      <w:sz w:val="21"/>
                    </w:rPr>
                    <w:t>排放量（</w:t>
                  </w:r>
                  <w:r>
                    <w:rPr>
                      <w:rFonts w:ascii="Times New Roman" w:hAnsi="Times New Roman" w:eastAsia="宋体" w:cs="Times New Roman"/>
                      <w:b/>
                      <w:bCs/>
                      <w:color w:val="auto"/>
                      <w:spacing w:val="4"/>
                      <w:sz w:val="21"/>
                    </w:rPr>
                    <w:t>m</w:t>
                  </w:r>
                  <w:r>
                    <w:rPr>
                      <w:rFonts w:ascii="Times New Roman" w:hAnsi="Times New Roman" w:eastAsia="宋体" w:cs="Times New Roman"/>
                      <w:b/>
                      <w:bCs/>
                      <w:color w:val="auto"/>
                      <w:spacing w:val="4"/>
                      <w:position w:val="6"/>
                      <w:sz w:val="21"/>
                      <w:szCs w:val="13"/>
                    </w:rPr>
                    <w:t>3</w:t>
                  </w:r>
                  <w:r>
                    <w:rPr>
                      <w:rFonts w:ascii="Times New Roman" w:hAnsi="Times New Roman" w:eastAsia="宋体" w:cs="Times New Roman"/>
                      <w:b/>
                      <w:bCs/>
                      <w:color w:val="auto"/>
                      <w:spacing w:val="4"/>
                      <w:sz w:val="21"/>
                    </w:rPr>
                    <w:t>/d</w:t>
                  </w:r>
                  <w:r>
                    <w:rPr>
                      <w:rFonts w:ascii="Times New Roman" w:hAnsi="Times New Roman" w:eastAsia="宋体"/>
                      <w:b/>
                      <w:bCs/>
                      <w:color w:val="auto"/>
                      <w:spacing w:val="4"/>
                      <w:sz w:val="21"/>
                    </w:rPr>
                    <w:t>）</w:t>
                  </w:r>
                </w:p>
              </w:tc>
            </w:tr>
            <w:tr w14:paraId="46142C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0" w:hRule="atLeast"/>
                <w:jc w:val="center"/>
              </w:trPr>
              <w:tc>
                <w:tcPr>
                  <w:tcW w:w="954" w:type="pct"/>
                  <w:vMerge w:val="continue"/>
                  <w:tcBorders>
                    <w:bottom w:val="single" w:color="000000" w:sz="12" w:space="0"/>
                  </w:tcBorders>
                  <w:vAlign w:val="center"/>
                </w:tcPr>
                <w:p w14:paraId="1CA45ED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p>
              </w:tc>
              <w:tc>
                <w:tcPr>
                  <w:tcW w:w="651" w:type="pct"/>
                  <w:tcBorders>
                    <w:bottom w:val="single" w:color="000000" w:sz="12" w:space="0"/>
                  </w:tcBorders>
                  <w:vAlign w:val="center"/>
                </w:tcPr>
                <w:p w14:paraId="3E8DA449">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5"/>
                      <w:sz w:val="21"/>
                    </w:rPr>
                    <w:t>新鲜水</w:t>
                  </w:r>
                </w:p>
              </w:tc>
              <w:tc>
                <w:tcPr>
                  <w:tcW w:w="514" w:type="pct"/>
                  <w:tcBorders>
                    <w:bottom w:val="single" w:color="000000" w:sz="12" w:space="0"/>
                  </w:tcBorders>
                  <w:vAlign w:val="center"/>
                </w:tcPr>
                <w:p w14:paraId="720D5D9A">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2"/>
                      <w:sz w:val="21"/>
                    </w:rPr>
                    <w:t>纯水</w:t>
                  </w:r>
                </w:p>
              </w:tc>
              <w:tc>
                <w:tcPr>
                  <w:tcW w:w="887" w:type="pct"/>
                  <w:tcBorders>
                    <w:bottom w:val="single" w:color="000000" w:sz="12" w:space="0"/>
                  </w:tcBorders>
                  <w:vAlign w:val="center"/>
                </w:tcPr>
                <w:p w14:paraId="345FAA07">
                  <w:pPr>
                    <w:pStyle w:val="113"/>
                    <w:keepNext w:val="0"/>
                    <w:keepLines w:val="0"/>
                    <w:pageBreakBefore w:val="0"/>
                    <w:widowControl w:val="0"/>
                    <w:kinsoku/>
                    <w:wordWrap/>
                    <w:overflowPunct/>
                    <w:topLinePunct w:val="0"/>
                    <w:autoSpaceDE/>
                    <w:autoSpaceDN/>
                    <w:bidi w:val="0"/>
                    <w:adjustRightInd/>
                    <w:snapToGrid/>
                    <w:spacing w:line="240" w:lineRule="auto"/>
                    <w:ind w:left="0" w:right="117" w:hanging="206"/>
                    <w:jc w:val="right"/>
                    <w:textAlignment w:val="auto"/>
                    <w:rPr>
                      <w:rFonts w:ascii="Times New Roman" w:hAnsi="Times New Roman" w:eastAsia="宋体"/>
                      <w:color w:val="auto"/>
                      <w:sz w:val="21"/>
                    </w:rPr>
                  </w:pPr>
                  <w:r>
                    <w:rPr>
                      <w:rFonts w:ascii="Times New Roman" w:hAnsi="Times New Roman" w:eastAsia="宋体"/>
                      <w:b/>
                      <w:bCs/>
                      <w:color w:val="auto"/>
                      <w:spacing w:val="5"/>
                      <w:sz w:val="21"/>
                    </w:rPr>
                    <w:t>纯水制备</w:t>
                  </w:r>
                  <w:r>
                    <w:rPr>
                      <w:rFonts w:ascii="Times New Roman" w:hAnsi="Times New Roman" w:eastAsia="宋体"/>
                      <w:b/>
                      <w:bCs/>
                      <w:color w:val="auto"/>
                      <w:spacing w:val="3"/>
                      <w:sz w:val="21"/>
                    </w:rPr>
                    <w:t>尾水</w:t>
                  </w:r>
                </w:p>
              </w:tc>
              <w:tc>
                <w:tcPr>
                  <w:tcW w:w="653" w:type="pct"/>
                  <w:tcBorders>
                    <w:bottom w:val="single" w:color="000000" w:sz="12" w:space="0"/>
                  </w:tcBorders>
                  <w:vAlign w:val="center"/>
                </w:tcPr>
                <w:p w14:paraId="66D4E60B">
                  <w:pPr>
                    <w:pStyle w:val="113"/>
                    <w:keepNext w:val="0"/>
                    <w:keepLines w:val="0"/>
                    <w:pageBreakBefore w:val="0"/>
                    <w:widowControl w:val="0"/>
                    <w:kinsoku/>
                    <w:wordWrap/>
                    <w:overflowPunct/>
                    <w:topLinePunct w:val="0"/>
                    <w:autoSpaceDE/>
                    <w:autoSpaceDN/>
                    <w:bidi w:val="0"/>
                    <w:adjustRightInd/>
                    <w:snapToGrid/>
                    <w:spacing w:line="240" w:lineRule="auto"/>
                    <w:ind w:left="0" w:right="155" w:hanging="207"/>
                    <w:jc w:val="right"/>
                    <w:textAlignment w:val="auto"/>
                    <w:rPr>
                      <w:rFonts w:ascii="Times New Roman" w:hAnsi="Times New Roman" w:eastAsia="宋体"/>
                      <w:color w:val="auto"/>
                      <w:sz w:val="21"/>
                    </w:rPr>
                  </w:pPr>
                  <w:r>
                    <w:rPr>
                      <w:rFonts w:ascii="Times New Roman" w:hAnsi="Times New Roman" w:eastAsia="宋体"/>
                      <w:b/>
                      <w:bCs/>
                      <w:color w:val="auto"/>
                      <w:spacing w:val="5"/>
                      <w:sz w:val="21"/>
                    </w:rPr>
                    <w:t>纳管排</w:t>
                  </w:r>
                  <w:r>
                    <w:rPr>
                      <w:rFonts w:ascii="Times New Roman" w:hAnsi="Times New Roman" w:eastAsia="宋体"/>
                      <w:b/>
                      <w:bCs/>
                      <w:color w:val="auto"/>
                      <w:spacing w:val="-2"/>
                      <w:sz w:val="21"/>
                    </w:rPr>
                    <w:t>放</w:t>
                  </w:r>
                </w:p>
              </w:tc>
              <w:tc>
                <w:tcPr>
                  <w:tcW w:w="654" w:type="pct"/>
                  <w:tcBorders>
                    <w:bottom w:val="single" w:color="000000" w:sz="12" w:space="0"/>
                  </w:tcBorders>
                  <w:vAlign w:val="center"/>
                </w:tcPr>
                <w:p w14:paraId="6A9CE7B5">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7"/>
                      <w:sz w:val="21"/>
                    </w:rPr>
                    <w:t>回用</w:t>
                  </w:r>
                </w:p>
              </w:tc>
              <w:tc>
                <w:tcPr>
                  <w:tcW w:w="684" w:type="pct"/>
                  <w:tcBorders>
                    <w:bottom w:val="single" w:color="000000" w:sz="12" w:space="0"/>
                  </w:tcBorders>
                  <w:vAlign w:val="center"/>
                </w:tcPr>
                <w:p w14:paraId="0355CFA4">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3"/>
                      <w:sz w:val="21"/>
                    </w:rPr>
                    <w:t>损耗</w:t>
                  </w:r>
                </w:p>
              </w:tc>
            </w:tr>
            <w:tr w14:paraId="24182F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954" w:type="pct"/>
                  <w:tcBorders>
                    <w:top w:val="single" w:color="000000" w:sz="12" w:space="0"/>
                    <w:tl2br w:val="nil"/>
                    <w:tr2bl w:val="nil"/>
                  </w:tcBorders>
                  <w:vAlign w:val="center"/>
                </w:tcPr>
                <w:p w14:paraId="138906D3">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color w:val="auto"/>
                      <w:spacing w:val="-2"/>
                      <w:sz w:val="21"/>
                    </w:rPr>
                    <w:t>电泳线</w:t>
                  </w:r>
                </w:p>
              </w:tc>
              <w:tc>
                <w:tcPr>
                  <w:tcW w:w="651" w:type="pct"/>
                  <w:tcBorders>
                    <w:top w:val="single" w:color="000000" w:sz="12" w:space="0"/>
                    <w:tl2br w:val="nil"/>
                    <w:tr2bl w:val="nil"/>
                  </w:tcBorders>
                  <w:vAlign w:val="center"/>
                </w:tcPr>
                <w:p w14:paraId="51D2E57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1"/>
                      <w:position w:val="2"/>
                      <w:sz w:val="21"/>
                      <w:szCs w:val="20"/>
                    </w:rPr>
                    <w:t>1.795</w:t>
                  </w:r>
                </w:p>
              </w:tc>
              <w:tc>
                <w:tcPr>
                  <w:tcW w:w="514" w:type="pct"/>
                  <w:tcBorders>
                    <w:top w:val="single" w:color="000000" w:sz="12" w:space="0"/>
                    <w:tl2br w:val="nil"/>
                    <w:tr2bl w:val="nil"/>
                  </w:tcBorders>
                  <w:vAlign w:val="center"/>
                </w:tcPr>
                <w:p w14:paraId="0F54ED6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position w:val="2"/>
                      <w:sz w:val="21"/>
                      <w:szCs w:val="20"/>
                    </w:rPr>
                    <w:t>0.04</w:t>
                  </w:r>
                </w:p>
              </w:tc>
              <w:tc>
                <w:tcPr>
                  <w:tcW w:w="887" w:type="pct"/>
                  <w:tcBorders>
                    <w:top w:val="single" w:color="000000" w:sz="12" w:space="0"/>
                    <w:tl2br w:val="nil"/>
                    <w:tr2bl w:val="nil"/>
                  </w:tcBorders>
                  <w:vAlign w:val="center"/>
                </w:tcPr>
                <w:p w14:paraId="4C26F7B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position w:val="2"/>
                      <w:sz w:val="21"/>
                      <w:szCs w:val="20"/>
                    </w:rPr>
                    <w:t>0.06</w:t>
                  </w:r>
                </w:p>
              </w:tc>
              <w:tc>
                <w:tcPr>
                  <w:tcW w:w="653" w:type="pct"/>
                  <w:tcBorders>
                    <w:top w:val="single" w:color="000000" w:sz="12" w:space="0"/>
                    <w:tl2br w:val="nil"/>
                    <w:tr2bl w:val="nil"/>
                  </w:tcBorders>
                  <w:vAlign w:val="center"/>
                </w:tcPr>
                <w:p w14:paraId="5A8252E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4"/>
                      <w:position w:val="2"/>
                      <w:sz w:val="21"/>
                      <w:szCs w:val="20"/>
                    </w:rPr>
                    <w:t>1.7</w:t>
                  </w:r>
                </w:p>
              </w:tc>
              <w:tc>
                <w:tcPr>
                  <w:tcW w:w="654" w:type="pct"/>
                  <w:tcBorders>
                    <w:top w:val="single" w:color="000000" w:sz="12" w:space="0"/>
                    <w:tl2br w:val="nil"/>
                    <w:tr2bl w:val="nil"/>
                  </w:tcBorders>
                  <w:vAlign w:val="center"/>
                </w:tcPr>
                <w:p w14:paraId="4B6F676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position w:val="1"/>
                      <w:sz w:val="21"/>
                      <w:szCs w:val="20"/>
                    </w:rPr>
                    <w:t>0</w:t>
                  </w:r>
                </w:p>
              </w:tc>
              <w:tc>
                <w:tcPr>
                  <w:tcW w:w="684" w:type="pct"/>
                  <w:tcBorders>
                    <w:top w:val="single" w:color="000000" w:sz="12" w:space="0"/>
                    <w:tl2br w:val="nil"/>
                    <w:tr2bl w:val="nil"/>
                  </w:tcBorders>
                  <w:vAlign w:val="center"/>
                </w:tcPr>
                <w:p w14:paraId="03CD11F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position w:val="2"/>
                      <w:sz w:val="21"/>
                      <w:szCs w:val="20"/>
                    </w:rPr>
                    <w:t>0.195</w:t>
                  </w:r>
                </w:p>
              </w:tc>
            </w:tr>
            <w:tr w14:paraId="49D838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954" w:type="pct"/>
                  <w:tcBorders>
                    <w:tl2br w:val="nil"/>
                    <w:tr2bl w:val="nil"/>
                  </w:tcBorders>
                  <w:vAlign w:val="center"/>
                </w:tcPr>
                <w:p w14:paraId="038D8AD6">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color w:val="auto"/>
                      <w:spacing w:val="6"/>
                      <w:sz w:val="21"/>
                    </w:rPr>
                    <w:t>纯水制备</w:t>
                  </w:r>
                </w:p>
              </w:tc>
              <w:tc>
                <w:tcPr>
                  <w:tcW w:w="651" w:type="pct"/>
                  <w:tcBorders>
                    <w:tl2br w:val="nil"/>
                    <w:tr2bl w:val="nil"/>
                  </w:tcBorders>
                  <w:vAlign w:val="center"/>
                </w:tcPr>
                <w:p w14:paraId="7618CE2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1"/>
                      <w:position w:val="1"/>
                      <w:sz w:val="21"/>
                      <w:szCs w:val="20"/>
                    </w:rPr>
                    <w:t>0.1</w:t>
                  </w:r>
                </w:p>
              </w:tc>
              <w:tc>
                <w:tcPr>
                  <w:tcW w:w="514" w:type="pct"/>
                  <w:tcBorders>
                    <w:tl2br w:val="nil"/>
                    <w:tr2bl w:val="nil"/>
                  </w:tcBorders>
                  <w:vAlign w:val="center"/>
                </w:tcPr>
                <w:p w14:paraId="3D4D5B5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position w:val="1"/>
                      <w:sz w:val="21"/>
                      <w:szCs w:val="20"/>
                    </w:rPr>
                    <w:t>0</w:t>
                  </w:r>
                </w:p>
              </w:tc>
              <w:tc>
                <w:tcPr>
                  <w:tcW w:w="887" w:type="pct"/>
                  <w:tcBorders>
                    <w:tl2br w:val="nil"/>
                    <w:tr2bl w:val="nil"/>
                  </w:tcBorders>
                  <w:vAlign w:val="center"/>
                </w:tcPr>
                <w:p w14:paraId="04592BF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position w:val="1"/>
                      <w:sz w:val="21"/>
                      <w:szCs w:val="20"/>
                    </w:rPr>
                    <w:t>0</w:t>
                  </w:r>
                </w:p>
              </w:tc>
              <w:tc>
                <w:tcPr>
                  <w:tcW w:w="653" w:type="pct"/>
                  <w:tcBorders>
                    <w:tl2br w:val="nil"/>
                    <w:tr2bl w:val="nil"/>
                  </w:tcBorders>
                  <w:vAlign w:val="center"/>
                </w:tcPr>
                <w:p w14:paraId="33E47DC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position w:val="1"/>
                      <w:sz w:val="21"/>
                      <w:szCs w:val="20"/>
                    </w:rPr>
                    <w:t>0</w:t>
                  </w:r>
                </w:p>
              </w:tc>
              <w:tc>
                <w:tcPr>
                  <w:tcW w:w="654" w:type="pct"/>
                  <w:tcBorders>
                    <w:tl2br w:val="nil"/>
                    <w:tr2bl w:val="nil"/>
                  </w:tcBorders>
                  <w:vAlign w:val="center"/>
                </w:tcPr>
                <w:p w14:paraId="16C1279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position w:val="1"/>
                      <w:sz w:val="21"/>
                      <w:szCs w:val="20"/>
                    </w:rPr>
                    <w:t>0.06</w:t>
                  </w:r>
                </w:p>
              </w:tc>
              <w:tc>
                <w:tcPr>
                  <w:tcW w:w="684" w:type="pct"/>
                  <w:tcBorders>
                    <w:tl2br w:val="nil"/>
                    <w:tr2bl w:val="nil"/>
                  </w:tcBorders>
                  <w:vAlign w:val="center"/>
                </w:tcPr>
                <w:p w14:paraId="7F83BC1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position w:val="1"/>
                      <w:sz w:val="21"/>
                      <w:szCs w:val="20"/>
                    </w:rPr>
                    <w:t>0</w:t>
                  </w:r>
                </w:p>
              </w:tc>
            </w:tr>
            <w:tr w14:paraId="0E4508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7" w:hRule="atLeast"/>
                <w:jc w:val="center"/>
              </w:trPr>
              <w:tc>
                <w:tcPr>
                  <w:tcW w:w="954" w:type="pct"/>
                  <w:tcBorders>
                    <w:tl2br w:val="nil"/>
                    <w:tr2bl w:val="nil"/>
                  </w:tcBorders>
                  <w:vAlign w:val="center"/>
                </w:tcPr>
                <w:p w14:paraId="455607C7">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pacing w:val="6"/>
                      <w:sz w:val="21"/>
                    </w:rPr>
                  </w:pPr>
                  <w:r>
                    <w:rPr>
                      <w:rFonts w:hint="eastAsia" w:ascii="Times New Roman" w:hAnsi="Times New Roman" w:eastAsia="宋体"/>
                      <w:color w:val="auto"/>
                      <w:spacing w:val="6"/>
                      <w:sz w:val="21"/>
                    </w:rPr>
                    <w:t>喷淋塔补充用水</w:t>
                  </w:r>
                </w:p>
              </w:tc>
              <w:tc>
                <w:tcPr>
                  <w:tcW w:w="651" w:type="pct"/>
                  <w:tcBorders>
                    <w:tl2br w:val="nil"/>
                    <w:tr2bl w:val="nil"/>
                  </w:tcBorders>
                  <w:vAlign w:val="center"/>
                </w:tcPr>
                <w:p w14:paraId="34A9F53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1"/>
                      <w:position w:val="1"/>
                      <w:sz w:val="21"/>
                      <w:szCs w:val="20"/>
                      <w:lang w:val="en-US" w:eastAsia="zh-CN"/>
                    </w:rPr>
                  </w:pPr>
                  <w:r>
                    <w:rPr>
                      <w:rFonts w:hint="eastAsia" w:cs="Times New Roman"/>
                      <w:color w:val="auto"/>
                      <w:spacing w:val="1"/>
                      <w:position w:val="1"/>
                      <w:sz w:val="21"/>
                      <w:szCs w:val="20"/>
                      <w:lang w:val="en-US" w:eastAsia="zh-CN"/>
                    </w:rPr>
                    <w:t>0.5</w:t>
                  </w:r>
                </w:p>
              </w:tc>
              <w:tc>
                <w:tcPr>
                  <w:tcW w:w="514" w:type="pct"/>
                  <w:tcBorders>
                    <w:tl2br w:val="nil"/>
                    <w:tr2bl w:val="nil"/>
                  </w:tcBorders>
                  <w:vAlign w:val="center"/>
                </w:tcPr>
                <w:p w14:paraId="21A1225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position w:val="1"/>
                      <w:sz w:val="21"/>
                      <w:szCs w:val="20"/>
                      <w:lang w:val="en-US" w:eastAsia="zh-CN"/>
                    </w:rPr>
                  </w:pPr>
                  <w:r>
                    <w:rPr>
                      <w:rFonts w:hint="eastAsia" w:cs="Times New Roman"/>
                      <w:color w:val="auto"/>
                      <w:position w:val="1"/>
                      <w:sz w:val="21"/>
                      <w:szCs w:val="20"/>
                      <w:lang w:val="en-US" w:eastAsia="zh-CN"/>
                    </w:rPr>
                    <w:t>0</w:t>
                  </w:r>
                </w:p>
              </w:tc>
              <w:tc>
                <w:tcPr>
                  <w:tcW w:w="887" w:type="pct"/>
                  <w:tcBorders>
                    <w:tl2br w:val="nil"/>
                    <w:tr2bl w:val="nil"/>
                  </w:tcBorders>
                  <w:vAlign w:val="center"/>
                </w:tcPr>
                <w:p w14:paraId="0AAB628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position w:val="1"/>
                      <w:sz w:val="21"/>
                      <w:szCs w:val="20"/>
                      <w:lang w:val="en-US" w:eastAsia="zh-CN"/>
                    </w:rPr>
                  </w:pPr>
                  <w:r>
                    <w:rPr>
                      <w:rFonts w:hint="eastAsia" w:cs="Times New Roman"/>
                      <w:color w:val="auto"/>
                      <w:position w:val="1"/>
                      <w:sz w:val="21"/>
                      <w:szCs w:val="20"/>
                      <w:lang w:val="en-US" w:eastAsia="zh-CN"/>
                    </w:rPr>
                    <w:t>0</w:t>
                  </w:r>
                </w:p>
              </w:tc>
              <w:tc>
                <w:tcPr>
                  <w:tcW w:w="653" w:type="pct"/>
                  <w:tcBorders>
                    <w:tl2br w:val="nil"/>
                    <w:tr2bl w:val="nil"/>
                  </w:tcBorders>
                  <w:vAlign w:val="center"/>
                </w:tcPr>
                <w:p w14:paraId="402B33C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Times New Roman"/>
                      <w:color w:val="auto"/>
                      <w:position w:val="1"/>
                      <w:sz w:val="21"/>
                      <w:szCs w:val="20"/>
                      <w:lang w:val="en-US" w:eastAsia="zh-CN"/>
                    </w:rPr>
                  </w:pPr>
                  <w:r>
                    <w:rPr>
                      <w:rFonts w:hint="eastAsia" w:cs="Times New Roman"/>
                      <w:color w:val="auto"/>
                      <w:position w:val="1"/>
                      <w:sz w:val="21"/>
                      <w:szCs w:val="20"/>
                      <w:lang w:val="en-US" w:eastAsia="zh-CN"/>
                    </w:rPr>
                    <w:t>0</w:t>
                  </w:r>
                </w:p>
              </w:tc>
              <w:tc>
                <w:tcPr>
                  <w:tcW w:w="654" w:type="pct"/>
                  <w:tcBorders>
                    <w:tl2br w:val="nil"/>
                    <w:tr2bl w:val="nil"/>
                  </w:tcBorders>
                  <w:vAlign w:val="center"/>
                </w:tcPr>
                <w:p w14:paraId="0A7BC65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2"/>
                      <w:position w:val="1"/>
                      <w:sz w:val="21"/>
                      <w:szCs w:val="20"/>
                      <w:lang w:val="en-US" w:eastAsia="zh-CN"/>
                    </w:rPr>
                  </w:pPr>
                  <w:r>
                    <w:rPr>
                      <w:rFonts w:hint="eastAsia" w:cs="Times New Roman"/>
                      <w:color w:val="auto"/>
                      <w:spacing w:val="2"/>
                      <w:position w:val="1"/>
                      <w:sz w:val="21"/>
                      <w:szCs w:val="20"/>
                      <w:lang w:val="en-US" w:eastAsia="zh-CN"/>
                    </w:rPr>
                    <w:t>0.5</w:t>
                  </w:r>
                </w:p>
              </w:tc>
              <w:tc>
                <w:tcPr>
                  <w:tcW w:w="684" w:type="pct"/>
                  <w:tcBorders>
                    <w:tl2br w:val="nil"/>
                    <w:tr2bl w:val="nil"/>
                  </w:tcBorders>
                  <w:vAlign w:val="center"/>
                </w:tcPr>
                <w:p w14:paraId="17DB393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position w:val="1"/>
                      <w:sz w:val="21"/>
                      <w:szCs w:val="20"/>
                      <w:lang w:val="en-US" w:eastAsia="zh-CN"/>
                    </w:rPr>
                  </w:pPr>
                  <w:r>
                    <w:rPr>
                      <w:rFonts w:hint="eastAsia" w:cs="Times New Roman"/>
                      <w:color w:val="auto"/>
                      <w:position w:val="1"/>
                      <w:sz w:val="21"/>
                      <w:szCs w:val="20"/>
                      <w:lang w:val="en-US" w:eastAsia="zh-CN"/>
                    </w:rPr>
                    <w:t>0.05</w:t>
                  </w:r>
                </w:p>
              </w:tc>
            </w:tr>
            <w:tr w14:paraId="58FC7B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7" w:hRule="atLeast"/>
                <w:jc w:val="center"/>
              </w:trPr>
              <w:tc>
                <w:tcPr>
                  <w:tcW w:w="954" w:type="pct"/>
                  <w:tcBorders>
                    <w:tl2br w:val="nil"/>
                    <w:tr2bl w:val="nil"/>
                  </w:tcBorders>
                  <w:vAlign w:val="center"/>
                </w:tcPr>
                <w:p w14:paraId="2626A04D">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color w:val="auto"/>
                      <w:spacing w:val="6"/>
                      <w:sz w:val="21"/>
                    </w:rPr>
                    <w:t>员工生活办公</w:t>
                  </w:r>
                </w:p>
              </w:tc>
              <w:tc>
                <w:tcPr>
                  <w:tcW w:w="651" w:type="pct"/>
                  <w:tcBorders>
                    <w:tl2br w:val="nil"/>
                    <w:tr2bl w:val="nil"/>
                  </w:tcBorders>
                  <w:vAlign w:val="center"/>
                </w:tcPr>
                <w:p w14:paraId="4B67A7E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ascii="Times New Roman" w:hAnsi="Times New Roman" w:eastAsia="宋体" w:cs="Times New Roman"/>
                      <w:color w:val="auto"/>
                      <w:spacing w:val="2"/>
                      <w:position w:val="1"/>
                      <w:sz w:val="21"/>
                      <w:szCs w:val="20"/>
                      <w:lang w:val="en-US" w:eastAsia="zh-CN"/>
                    </w:rPr>
                    <w:t>1.5</w:t>
                  </w:r>
                </w:p>
              </w:tc>
              <w:tc>
                <w:tcPr>
                  <w:tcW w:w="514" w:type="pct"/>
                  <w:tcBorders>
                    <w:tl2br w:val="nil"/>
                    <w:tr2bl w:val="nil"/>
                  </w:tcBorders>
                  <w:vAlign w:val="center"/>
                </w:tcPr>
                <w:p w14:paraId="0939BE8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position w:val="1"/>
                      <w:sz w:val="21"/>
                      <w:szCs w:val="20"/>
                    </w:rPr>
                    <w:t>0</w:t>
                  </w:r>
                </w:p>
              </w:tc>
              <w:tc>
                <w:tcPr>
                  <w:tcW w:w="887" w:type="pct"/>
                  <w:tcBorders>
                    <w:tl2br w:val="nil"/>
                    <w:tr2bl w:val="nil"/>
                  </w:tcBorders>
                  <w:vAlign w:val="center"/>
                </w:tcPr>
                <w:p w14:paraId="347211F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position w:val="1"/>
                      <w:sz w:val="21"/>
                      <w:szCs w:val="20"/>
                    </w:rPr>
                    <w:t>0</w:t>
                  </w:r>
                </w:p>
              </w:tc>
              <w:tc>
                <w:tcPr>
                  <w:tcW w:w="653" w:type="pct"/>
                  <w:tcBorders>
                    <w:tl2br w:val="nil"/>
                    <w:tr2bl w:val="nil"/>
                  </w:tcBorders>
                  <w:vAlign w:val="center"/>
                </w:tcPr>
                <w:p w14:paraId="75CAD77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ascii="Times New Roman" w:hAnsi="Times New Roman" w:eastAsia="宋体" w:cs="Times New Roman"/>
                      <w:color w:val="auto"/>
                      <w:spacing w:val="-2"/>
                      <w:position w:val="1"/>
                      <w:sz w:val="21"/>
                      <w:szCs w:val="20"/>
                      <w:lang w:val="en-US" w:eastAsia="zh-CN"/>
                    </w:rPr>
                    <w:t>1.2</w:t>
                  </w:r>
                </w:p>
              </w:tc>
              <w:tc>
                <w:tcPr>
                  <w:tcW w:w="654" w:type="pct"/>
                  <w:tcBorders>
                    <w:tl2br w:val="nil"/>
                    <w:tr2bl w:val="nil"/>
                  </w:tcBorders>
                  <w:vAlign w:val="center"/>
                </w:tcPr>
                <w:p w14:paraId="34C8220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position w:val="1"/>
                      <w:sz w:val="21"/>
                      <w:szCs w:val="20"/>
                    </w:rPr>
                    <w:t>0</w:t>
                  </w:r>
                </w:p>
              </w:tc>
              <w:tc>
                <w:tcPr>
                  <w:tcW w:w="684" w:type="pct"/>
                  <w:tcBorders>
                    <w:tl2br w:val="nil"/>
                    <w:tr2bl w:val="nil"/>
                  </w:tcBorders>
                  <w:vAlign w:val="center"/>
                </w:tcPr>
                <w:p w14:paraId="4984E7E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ascii="Times New Roman" w:hAnsi="Times New Roman" w:eastAsia="宋体" w:cs="Times New Roman"/>
                      <w:color w:val="auto"/>
                      <w:spacing w:val="2"/>
                      <w:position w:val="1"/>
                      <w:sz w:val="21"/>
                      <w:szCs w:val="20"/>
                      <w:lang w:val="en-US" w:eastAsia="zh-CN"/>
                    </w:rPr>
                    <w:t>0.3</w:t>
                  </w:r>
                </w:p>
              </w:tc>
            </w:tr>
            <w:tr w14:paraId="79AD47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97" w:hRule="atLeast"/>
                <w:jc w:val="center"/>
              </w:trPr>
              <w:tc>
                <w:tcPr>
                  <w:tcW w:w="954" w:type="pct"/>
                  <w:tcBorders>
                    <w:tl2br w:val="nil"/>
                    <w:tr2bl w:val="nil"/>
                  </w:tcBorders>
                  <w:vAlign w:val="center"/>
                </w:tcPr>
                <w:p w14:paraId="0397C37B">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color w:val="auto"/>
                      <w:spacing w:val="4"/>
                      <w:sz w:val="21"/>
                    </w:rPr>
                    <w:t>合计</w:t>
                  </w:r>
                </w:p>
              </w:tc>
              <w:tc>
                <w:tcPr>
                  <w:tcW w:w="651" w:type="pct"/>
                  <w:tcBorders>
                    <w:tl2br w:val="nil"/>
                    <w:tr2bl w:val="nil"/>
                  </w:tcBorders>
                  <w:vAlign w:val="center"/>
                </w:tcPr>
                <w:p w14:paraId="0FA32BE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ascii="Times New Roman" w:hAnsi="Times New Roman" w:eastAsia="宋体" w:cs="Times New Roman"/>
                      <w:color w:val="auto"/>
                      <w:spacing w:val="4"/>
                      <w:position w:val="2"/>
                      <w:sz w:val="21"/>
                      <w:szCs w:val="20"/>
                      <w:lang w:val="en-US" w:eastAsia="zh-CN"/>
                    </w:rPr>
                    <w:t>3.395</w:t>
                  </w:r>
                </w:p>
              </w:tc>
              <w:tc>
                <w:tcPr>
                  <w:tcW w:w="514" w:type="pct"/>
                  <w:tcBorders>
                    <w:tl2br w:val="nil"/>
                    <w:tr2bl w:val="nil"/>
                  </w:tcBorders>
                  <w:vAlign w:val="center"/>
                </w:tcPr>
                <w:p w14:paraId="3E165E4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position w:val="2"/>
                      <w:sz w:val="21"/>
                      <w:szCs w:val="20"/>
                    </w:rPr>
                    <w:t>0.04</w:t>
                  </w:r>
                </w:p>
              </w:tc>
              <w:tc>
                <w:tcPr>
                  <w:tcW w:w="887" w:type="pct"/>
                  <w:tcBorders>
                    <w:tl2br w:val="nil"/>
                    <w:tr2bl w:val="nil"/>
                  </w:tcBorders>
                  <w:vAlign w:val="center"/>
                </w:tcPr>
                <w:p w14:paraId="7D9DB03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position w:val="2"/>
                      <w:sz w:val="21"/>
                      <w:szCs w:val="20"/>
                    </w:rPr>
                    <w:t>0.06</w:t>
                  </w:r>
                </w:p>
              </w:tc>
              <w:tc>
                <w:tcPr>
                  <w:tcW w:w="653" w:type="pct"/>
                  <w:tcBorders>
                    <w:tl2br w:val="nil"/>
                    <w:tr2bl w:val="nil"/>
                  </w:tcBorders>
                  <w:vAlign w:val="center"/>
                </w:tcPr>
                <w:p w14:paraId="12196E1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ascii="Times New Roman" w:hAnsi="Times New Roman" w:eastAsia="宋体" w:cs="Times New Roman"/>
                      <w:color w:val="auto"/>
                      <w:spacing w:val="2"/>
                      <w:position w:val="2"/>
                      <w:sz w:val="21"/>
                      <w:szCs w:val="20"/>
                      <w:lang w:val="en-US" w:eastAsia="zh-CN"/>
                    </w:rPr>
                    <w:t>2.9</w:t>
                  </w:r>
                </w:p>
              </w:tc>
              <w:tc>
                <w:tcPr>
                  <w:tcW w:w="654" w:type="pct"/>
                  <w:tcBorders>
                    <w:tl2br w:val="nil"/>
                    <w:tr2bl w:val="nil"/>
                  </w:tcBorders>
                  <w:vAlign w:val="center"/>
                </w:tcPr>
                <w:p w14:paraId="307014A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position w:val="2"/>
                      <w:sz w:val="21"/>
                      <w:szCs w:val="20"/>
                    </w:rPr>
                    <w:t>0.06</w:t>
                  </w:r>
                </w:p>
              </w:tc>
              <w:tc>
                <w:tcPr>
                  <w:tcW w:w="684" w:type="pct"/>
                  <w:tcBorders>
                    <w:tl2br w:val="nil"/>
                    <w:tr2bl w:val="nil"/>
                  </w:tcBorders>
                  <w:vAlign w:val="center"/>
                </w:tcPr>
                <w:p w14:paraId="10FF1F4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ascii="Times New Roman" w:hAnsi="Times New Roman" w:eastAsia="宋体" w:cs="Times New Roman"/>
                      <w:color w:val="auto"/>
                      <w:spacing w:val="2"/>
                      <w:position w:val="2"/>
                      <w:sz w:val="21"/>
                      <w:szCs w:val="20"/>
                      <w:lang w:val="en-US" w:eastAsia="zh-CN"/>
                    </w:rPr>
                    <w:t>0.495</w:t>
                  </w:r>
                </w:p>
              </w:tc>
            </w:tr>
            <w:tr w14:paraId="6D7FA6B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4" w:hRule="atLeast"/>
                <w:jc w:val="center"/>
              </w:trPr>
              <w:tc>
                <w:tcPr>
                  <w:tcW w:w="5000" w:type="pct"/>
                  <w:gridSpan w:val="7"/>
                  <w:tcBorders>
                    <w:tl2br w:val="nil"/>
                    <w:tr2bl w:val="nil"/>
                  </w:tcBorders>
                  <w:vAlign w:val="center"/>
                </w:tcPr>
                <w:p w14:paraId="7C0363B3">
                  <w:pPr>
                    <w:pStyle w:val="113"/>
                    <w:spacing w:before="4" w:line="273" w:lineRule="exact"/>
                    <w:ind w:left="65"/>
                    <w:rPr>
                      <w:rFonts w:ascii="Times New Roman" w:hAnsi="Times New Roman" w:eastAsia="宋体"/>
                      <w:color w:val="auto"/>
                      <w:sz w:val="21"/>
                    </w:rPr>
                  </w:pPr>
                  <w:r>
                    <w:rPr>
                      <w:rFonts w:ascii="Times New Roman" w:hAnsi="Times New Roman" w:eastAsia="宋体"/>
                      <w:color w:val="auto"/>
                      <w:spacing w:val="11"/>
                      <w:position w:val="1"/>
                      <w:sz w:val="21"/>
                    </w:rPr>
                    <w:t>注：①纯水制备率取</w:t>
                  </w:r>
                  <w:r>
                    <w:rPr>
                      <w:rFonts w:ascii="Times New Roman" w:hAnsi="Times New Roman" w:eastAsia="宋体" w:cs="Times New Roman"/>
                      <w:color w:val="auto"/>
                      <w:spacing w:val="11"/>
                      <w:position w:val="1"/>
                      <w:sz w:val="21"/>
                    </w:rPr>
                    <w:t>40%</w:t>
                  </w:r>
                  <w:r>
                    <w:rPr>
                      <w:rFonts w:ascii="Times New Roman" w:hAnsi="Times New Roman" w:eastAsia="宋体"/>
                      <w:color w:val="auto"/>
                      <w:spacing w:val="11"/>
                      <w:position w:val="1"/>
                      <w:sz w:val="21"/>
                    </w:rPr>
                    <w:t>。</w:t>
                  </w:r>
                </w:p>
                <w:p w14:paraId="24601A77">
                  <w:pPr>
                    <w:pStyle w:val="113"/>
                    <w:spacing w:line="266" w:lineRule="exact"/>
                    <w:ind w:left="483"/>
                    <w:rPr>
                      <w:rFonts w:ascii="Times New Roman" w:hAnsi="Times New Roman" w:eastAsia="宋体"/>
                      <w:color w:val="auto"/>
                      <w:sz w:val="21"/>
                    </w:rPr>
                  </w:pPr>
                  <w:r>
                    <w:rPr>
                      <w:rFonts w:ascii="Times New Roman" w:hAnsi="Times New Roman" w:eastAsia="宋体"/>
                      <w:color w:val="auto"/>
                      <w:spacing w:val="11"/>
                      <w:position w:val="1"/>
                      <w:sz w:val="21"/>
                    </w:rPr>
                    <w:t>②本项目生活用水产污系数取</w:t>
                  </w:r>
                  <w:r>
                    <w:rPr>
                      <w:rFonts w:ascii="Times New Roman" w:hAnsi="Times New Roman" w:eastAsia="宋体" w:cs="Times New Roman"/>
                      <w:color w:val="auto"/>
                      <w:spacing w:val="11"/>
                      <w:position w:val="1"/>
                      <w:sz w:val="21"/>
                    </w:rPr>
                    <w:t>0.8</w:t>
                  </w:r>
                  <w:r>
                    <w:rPr>
                      <w:rFonts w:ascii="Times New Roman" w:hAnsi="Times New Roman" w:eastAsia="宋体"/>
                      <w:color w:val="auto"/>
                      <w:spacing w:val="11"/>
                      <w:position w:val="1"/>
                      <w:sz w:val="21"/>
                    </w:rPr>
                    <w:t>。</w:t>
                  </w:r>
                </w:p>
              </w:tc>
            </w:tr>
          </w:tbl>
          <w:p w14:paraId="6B5D7626">
            <w:pPr>
              <w:rPr>
                <w:rFonts w:hint="eastAsia"/>
                <w:color w:val="auto"/>
              </w:rPr>
            </w:pPr>
          </w:p>
          <w:p w14:paraId="5FA4851F">
            <w:pPr>
              <w:pStyle w:val="44"/>
              <w:ind w:left="0" w:leftChars="0" w:firstLine="0" w:firstLineChars="0"/>
              <w:rPr>
                <w:rFonts w:hint="eastAsia"/>
                <w:color w:val="auto"/>
                <w:highlight w:val="none"/>
              </w:rPr>
            </w:pPr>
            <w:r>
              <w:rPr>
                <w:color w:val="auto"/>
              </w:rPr>
              <w:drawing>
                <wp:anchor distT="0" distB="0" distL="114300" distR="114300" simplePos="0" relativeHeight="251664384" behindDoc="0" locked="0" layoutInCell="1" allowOverlap="1">
                  <wp:simplePos x="0" y="0"/>
                  <wp:positionH relativeFrom="column">
                    <wp:posOffset>289560</wp:posOffset>
                  </wp:positionH>
                  <wp:positionV relativeFrom="paragraph">
                    <wp:posOffset>1583055</wp:posOffset>
                  </wp:positionV>
                  <wp:extent cx="85725" cy="169545"/>
                  <wp:effectExtent l="0" t="0" r="9525" b="1905"/>
                  <wp:wrapNone/>
                  <wp:docPr id="2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9"/>
                          <pic:cNvPicPr>
                            <a:picLocks noChangeAspect="1"/>
                          </pic:cNvPicPr>
                        </pic:nvPicPr>
                        <pic:blipFill>
                          <a:blip r:embed="rId22"/>
                          <a:srcRect l="32549" t="-3030"/>
                          <a:stretch>
                            <a:fillRect/>
                          </a:stretch>
                        </pic:blipFill>
                        <pic:spPr>
                          <a:xfrm flipH="1">
                            <a:off x="0" y="0"/>
                            <a:ext cx="85725" cy="169545"/>
                          </a:xfrm>
                          <a:prstGeom prst="rect">
                            <a:avLst/>
                          </a:prstGeom>
                          <a:noFill/>
                          <a:ln>
                            <a:noFill/>
                          </a:ln>
                        </pic:spPr>
                      </pic:pic>
                    </a:graphicData>
                  </a:graphic>
                </wp:anchor>
              </w:drawing>
            </w:r>
            <w:r>
              <w:rPr>
                <w:color w:val="auto"/>
              </w:rPr>
              <w:drawing>
                <wp:inline distT="0" distB="0" distL="114300" distR="114300">
                  <wp:extent cx="5490210" cy="4681220"/>
                  <wp:effectExtent l="0" t="0" r="15240" b="5080"/>
                  <wp:docPr id="2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18"/>
                          <pic:cNvPicPr>
                            <a:picLocks noChangeAspect="1"/>
                          </pic:cNvPicPr>
                        </pic:nvPicPr>
                        <pic:blipFill>
                          <a:blip r:embed="rId23"/>
                          <a:stretch>
                            <a:fillRect/>
                          </a:stretch>
                        </pic:blipFill>
                        <pic:spPr>
                          <a:xfrm>
                            <a:off x="0" y="0"/>
                            <a:ext cx="5490210" cy="4681220"/>
                          </a:xfrm>
                          <a:prstGeom prst="rect">
                            <a:avLst/>
                          </a:prstGeom>
                          <a:noFill/>
                          <a:ln>
                            <a:noFill/>
                          </a:ln>
                        </pic:spPr>
                      </pic:pic>
                    </a:graphicData>
                  </a:graphic>
                </wp:inline>
              </w:drawing>
            </w:r>
          </w:p>
          <w:p w14:paraId="2968373C">
            <w:pPr>
              <w:pStyle w:val="47"/>
              <w:keepNext w:val="0"/>
              <w:keepLines w:val="0"/>
              <w:pageBreakBefore w:val="0"/>
              <w:widowControl w:val="0"/>
              <w:shd w:val="clear"/>
              <w:kinsoku/>
              <w:wordWrap/>
              <w:overflowPunct/>
              <w:topLinePunct w:val="0"/>
              <w:autoSpaceDE/>
              <w:autoSpaceDN/>
              <w:bidi w:val="0"/>
              <w:adjustRightInd/>
              <w:snapToGrid/>
              <w:spacing w:line="240" w:lineRule="auto"/>
              <w:ind w:left="1582" w:hanging="1582"/>
              <w:textAlignment w:val="auto"/>
              <w:rPr>
                <w:rFonts w:hint="eastAsia"/>
                <w:color w:val="auto"/>
                <w:highlight w:val="none"/>
                <w:lang w:val="en-US" w:eastAsia="zh-CN"/>
              </w:rPr>
            </w:pPr>
            <w:r>
              <w:rPr>
                <w:rFonts w:hint="eastAsia"/>
                <w:color w:val="auto"/>
                <w:highlight w:val="none"/>
                <w:lang w:val="en-US" w:eastAsia="zh-CN"/>
              </w:rPr>
              <w:t>项目水平衡  单位：m</w:t>
            </w:r>
            <w:r>
              <w:rPr>
                <w:rFonts w:hint="eastAsia"/>
                <w:color w:val="auto"/>
                <w:highlight w:val="none"/>
                <w:vertAlign w:val="superscript"/>
                <w:lang w:val="en-US" w:eastAsia="zh-CN"/>
              </w:rPr>
              <w:t>3</w:t>
            </w:r>
            <w:r>
              <w:rPr>
                <w:rFonts w:hint="eastAsia"/>
                <w:color w:val="auto"/>
                <w:highlight w:val="none"/>
                <w:lang w:val="en-US" w:eastAsia="zh-CN"/>
              </w:rPr>
              <w:t xml:space="preserve"> /d</w:t>
            </w:r>
          </w:p>
          <w:p w14:paraId="5C1AC8B5">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VOCs物料平衡</w:t>
            </w:r>
          </w:p>
          <w:p w14:paraId="790E0C88">
            <w:pPr>
              <w:pStyle w:val="45"/>
              <w:rPr>
                <w:rFonts w:hint="eastAsia"/>
                <w:color w:val="auto"/>
                <w:highlight w:val="none"/>
                <w:lang w:val="en-US" w:eastAsia="zh-CN"/>
              </w:rPr>
            </w:pPr>
            <w:r>
              <w:rPr>
                <w:rFonts w:hint="eastAsia"/>
                <w:color w:val="auto"/>
                <w:highlight w:val="none"/>
                <w:lang w:val="en-US" w:eastAsia="zh-CN"/>
              </w:rPr>
              <w:t>本项目配套设有1条电泳线，使用的电泳涂料为水性涂料，根据其MSDS资料，成分主要包括固份、水分、挥发分。具体见下表。</w:t>
            </w:r>
          </w:p>
          <w:p w14:paraId="1B59953A">
            <w:pPr>
              <w:pStyle w:val="42"/>
              <w:keepNext/>
              <w:keepLines/>
              <w:pageBreakBefore w:val="0"/>
              <w:widowControl w:val="0"/>
              <w:kinsoku/>
              <w:wordWrap/>
              <w:overflowPunct/>
              <w:topLinePunct w:val="0"/>
              <w:autoSpaceDE/>
              <w:autoSpaceDN/>
              <w:bidi w:val="0"/>
              <w:adjustRightInd/>
              <w:snapToGrid/>
              <w:spacing w:before="0" w:after="0"/>
              <w:ind w:left="630" w:leftChars="0" w:firstLineChars="0"/>
              <w:textAlignment w:val="auto"/>
              <w:rPr>
                <w:rFonts w:hint="eastAsia"/>
                <w:color w:val="auto"/>
                <w:highlight w:val="none"/>
                <w:lang w:val="en-US" w:eastAsia="zh-CN"/>
              </w:rPr>
            </w:pPr>
            <w:r>
              <w:rPr>
                <w:rFonts w:hint="eastAsia" w:ascii="Times New Roman" w:hAnsi="Times New Roman" w:eastAsia="宋体" w:cs="Times New Roman"/>
                <w:color w:val="auto"/>
                <w:highlight w:val="none"/>
                <w:lang w:val="en-US" w:eastAsia="zh-CN"/>
              </w:rPr>
              <w:t>电泳涂料成分分析（单位：t/a）</w:t>
            </w:r>
          </w:p>
          <w:tbl>
            <w:tblPr>
              <w:tblStyle w:val="84"/>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17"/>
              <w:gridCol w:w="1300"/>
              <w:gridCol w:w="1703"/>
              <w:gridCol w:w="1914"/>
              <w:gridCol w:w="1909"/>
            </w:tblGrid>
            <w:tr w14:paraId="7335BF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jc w:val="center"/>
              </w:trPr>
              <w:tc>
                <w:tcPr>
                  <w:tcW w:w="1051" w:type="pct"/>
                  <w:vMerge w:val="restart"/>
                  <w:vAlign w:val="center"/>
                </w:tcPr>
                <w:p w14:paraId="4FF7EFFC">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种类</w:t>
                  </w:r>
                </w:p>
              </w:tc>
              <w:tc>
                <w:tcPr>
                  <w:tcW w:w="752" w:type="pct"/>
                  <w:vMerge w:val="restart"/>
                  <w:vAlign w:val="center"/>
                </w:tcPr>
                <w:p w14:paraId="08C5FD7B">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年用量</w:t>
                  </w:r>
                </w:p>
              </w:tc>
              <w:tc>
                <w:tcPr>
                  <w:tcW w:w="3196" w:type="pct"/>
                  <w:gridSpan w:val="3"/>
                  <w:vAlign w:val="center"/>
                </w:tcPr>
                <w:p w14:paraId="61CF6BAF">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其中</w:t>
                  </w:r>
                </w:p>
              </w:tc>
            </w:tr>
            <w:tr w14:paraId="150FAE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jc w:val="center"/>
              </w:trPr>
              <w:tc>
                <w:tcPr>
                  <w:tcW w:w="1051" w:type="pct"/>
                  <w:vMerge w:val="continue"/>
                  <w:tcBorders>
                    <w:bottom w:val="single" w:color="000000" w:sz="12" w:space="0"/>
                  </w:tcBorders>
                  <w:vAlign w:val="center"/>
                </w:tcPr>
                <w:p w14:paraId="61FA21A3">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p>
              </w:tc>
              <w:tc>
                <w:tcPr>
                  <w:tcW w:w="752" w:type="pct"/>
                  <w:vMerge w:val="continue"/>
                  <w:tcBorders>
                    <w:bottom w:val="single" w:color="000000" w:sz="12" w:space="0"/>
                  </w:tcBorders>
                  <w:vAlign w:val="center"/>
                </w:tcPr>
                <w:p w14:paraId="6A857F36">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p>
              </w:tc>
              <w:tc>
                <w:tcPr>
                  <w:tcW w:w="985" w:type="pct"/>
                  <w:tcBorders>
                    <w:bottom w:val="single" w:color="000000" w:sz="12" w:space="0"/>
                  </w:tcBorders>
                  <w:vAlign w:val="center"/>
                </w:tcPr>
                <w:p w14:paraId="3B83CA9F">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固份</w:t>
                  </w:r>
                </w:p>
              </w:tc>
              <w:tc>
                <w:tcPr>
                  <w:tcW w:w="1107" w:type="pct"/>
                  <w:tcBorders>
                    <w:bottom w:val="single" w:color="000000" w:sz="12" w:space="0"/>
                  </w:tcBorders>
                  <w:vAlign w:val="center"/>
                </w:tcPr>
                <w:p w14:paraId="4BE1E47F">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水分</w:t>
                  </w:r>
                </w:p>
              </w:tc>
              <w:tc>
                <w:tcPr>
                  <w:tcW w:w="1103" w:type="pct"/>
                  <w:tcBorders>
                    <w:bottom w:val="single" w:color="000000" w:sz="12" w:space="0"/>
                  </w:tcBorders>
                  <w:vAlign w:val="center"/>
                </w:tcPr>
                <w:p w14:paraId="03B2127A">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挥发份</w:t>
                  </w:r>
                </w:p>
              </w:tc>
            </w:tr>
            <w:tr w14:paraId="3F3255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jc w:val="center"/>
              </w:trPr>
              <w:tc>
                <w:tcPr>
                  <w:tcW w:w="1051" w:type="pct"/>
                  <w:tcBorders>
                    <w:top w:val="single" w:color="000000" w:sz="12" w:space="0"/>
                    <w:tl2br w:val="nil"/>
                    <w:tr2bl w:val="nil"/>
                  </w:tcBorders>
                  <w:vAlign w:val="center"/>
                </w:tcPr>
                <w:p w14:paraId="4F3A6A4F">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乳液</w:t>
                  </w:r>
                </w:p>
              </w:tc>
              <w:tc>
                <w:tcPr>
                  <w:tcW w:w="752" w:type="pct"/>
                  <w:tcBorders>
                    <w:top w:val="single" w:color="000000" w:sz="12" w:space="0"/>
                    <w:tl2br w:val="nil"/>
                    <w:tr2bl w:val="nil"/>
                  </w:tcBorders>
                  <w:vAlign w:val="center"/>
                </w:tcPr>
                <w:p w14:paraId="166B8DE3">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13.5</w:t>
                  </w:r>
                </w:p>
              </w:tc>
              <w:tc>
                <w:tcPr>
                  <w:tcW w:w="985" w:type="pct"/>
                  <w:tcBorders>
                    <w:top w:val="single" w:color="000000" w:sz="12" w:space="0"/>
                    <w:tl2br w:val="nil"/>
                    <w:tr2bl w:val="nil"/>
                  </w:tcBorders>
                  <w:vAlign w:val="center"/>
                </w:tcPr>
                <w:p w14:paraId="520887F2">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6.75</w:t>
                  </w:r>
                </w:p>
              </w:tc>
              <w:tc>
                <w:tcPr>
                  <w:tcW w:w="1107" w:type="pct"/>
                  <w:tcBorders>
                    <w:top w:val="single" w:color="000000" w:sz="12" w:space="0"/>
                    <w:tl2br w:val="nil"/>
                    <w:tr2bl w:val="nil"/>
                  </w:tcBorders>
                  <w:vAlign w:val="center"/>
                </w:tcPr>
                <w:p w14:paraId="0A698E2A">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6.129</w:t>
                  </w:r>
                </w:p>
              </w:tc>
              <w:tc>
                <w:tcPr>
                  <w:tcW w:w="1103" w:type="pct"/>
                  <w:tcBorders>
                    <w:top w:val="single" w:color="000000" w:sz="12" w:space="0"/>
                    <w:tl2br w:val="nil"/>
                    <w:tr2bl w:val="nil"/>
                  </w:tcBorders>
                  <w:vAlign w:val="center"/>
                </w:tcPr>
                <w:p w14:paraId="518F3BB5">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0.621</w:t>
                  </w:r>
                </w:p>
              </w:tc>
            </w:tr>
            <w:tr w14:paraId="6BFC81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jc w:val="center"/>
              </w:trPr>
              <w:tc>
                <w:tcPr>
                  <w:tcW w:w="1051" w:type="pct"/>
                  <w:tcBorders>
                    <w:tl2br w:val="nil"/>
                    <w:tr2bl w:val="nil"/>
                  </w:tcBorders>
                  <w:vAlign w:val="center"/>
                </w:tcPr>
                <w:p w14:paraId="541A3C2F">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黑浆</w:t>
                  </w:r>
                </w:p>
              </w:tc>
              <w:tc>
                <w:tcPr>
                  <w:tcW w:w="752" w:type="pct"/>
                  <w:tcBorders>
                    <w:tl2br w:val="nil"/>
                    <w:tr2bl w:val="nil"/>
                  </w:tcBorders>
                  <w:vAlign w:val="center"/>
                </w:tcPr>
                <w:p w14:paraId="266CA656">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2.1</w:t>
                  </w:r>
                </w:p>
              </w:tc>
              <w:tc>
                <w:tcPr>
                  <w:tcW w:w="985" w:type="pct"/>
                  <w:tcBorders>
                    <w:tl2br w:val="nil"/>
                    <w:tr2bl w:val="nil"/>
                  </w:tcBorders>
                  <w:vAlign w:val="center"/>
                </w:tcPr>
                <w:p w14:paraId="0DA0C03C">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1.113</w:t>
                  </w:r>
                </w:p>
              </w:tc>
              <w:tc>
                <w:tcPr>
                  <w:tcW w:w="1107" w:type="pct"/>
                  <w:tcBorders>
                    <w:tl2br w:val="nil"/>
                    <w:tr2bl w:val="nil"/>
                  </w:tcBorders>
                  <w:vAlign w:val="center"/>
                </w:tcPr>
                <w:p w14:paraId="41214BFA">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0.798</w:t>
                  </w:r>
                </w:p>
              </w:tc>
              <w:tc>
                <w:tcPr>
                  <w:tcW w:w="1103" w:type="pct"/>
                  <w:tcBorders>
                    <w:tl2br w:val="nil"/>
                    <w:tr2bl w:val="nil"/>
                  </w:tcBorders>
                  <w:vAlign w:val="center"/>
                </w:tcPr>
                <w:p w14:paraId="03B4EDDD">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0.189</w:t>
                  </w:r>
                </w:p>
              </w:tc>
            </w:tr>
            <w:tr w14:paraId="30FA49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jc w:val="center"/>
              </w:trPr>
              <w:tc>
                <w:tcPr>
                  <w:tcW w:w="1051" w:type="pct"/>
                  <w:tcBorders>
                    <w:tl2br w:val="nil"/>
                    <w:tr2bl w:val="nil"/>
                  </w:tcBorders>
                  <w:vAlign w:val="center"/>
                </w:tcPr>
                <w:p w14:paraId="507AF7AF">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助剂</w:t>
                  </w:r>
                </w:p>
              </w:tc>
              <w:tc>
                <w:tcPr>
                  <w:tcW w:w="752" w:type="pct"/>
                  <w:tcBorders>
                    <w:tl2br w:val="nil"/>
                    <w:tr2bl w:val="nil"/>
                  </w:tcBorders>
                  <w:vAlign w:val="center"/>
                </w:tcPr>
                <w:p w14:paraId="2F3530AA">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0.18</w:t>
                  </w:r>
                </w:p>
              </w:tc>
              <w:tc>
                <w:tcPr>
                  <w:tcW w:w="985" w:type="pct"/>
                  <w:tcBorders>
                    <w:tl2br w:val="nil"/>
                    <w:tr2bl w:val="nil"/>
                  </w:tcBorders>
                  <w:vAlign w:val="center"/>
                </w:tcPr>
                <w:p w14:paraId="54A9F2EE">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w:t>
                  </w:r>
                </w:p>
              </w:tc>
              <w:tc>
                <w:tcPr>
                  <w:tcW w:w="1107" w:type="pct"/>
                  <w:tcBorders>
                    <w:tl2br w:val="nil"/>
                    <w:tr2bl w:val="nil"/>
                  </w:tcBorders>
                  <w:vAlign w:val="center"/>
                </w:tcPr>
                <w:p w14:paraId="5B653367">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0.0846</w:t>
                  </w:r>
                </w:p>
              </w:tc>
              <w:tc>
                <w:tcPr>
                  <w:tcW w:w="1103" w:type="pct"/>
                  <w:tcBorders>
                    <w:tl2br w:val="nil"/>
                    <w:tr2bl w:val="nil"/>
                  </w:tcBorders>
                  <w:vAlign w:val="center"/>
                </w:tcPr>
                <w:p w14:paraId="63C4A447">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0.0954</w:t>
                  </w:r>
                </w:p>
              </w:tc>
            </w:tr>
            <w:tr w14:paraId="44BA8E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jc w:val="center"/>
              </w:trPr>
              <w:tc>
                <w:tcPr>
                  <w:tcW w:w="1051" w:type="pct"/>
                  <w:tcBorders>
                    <w:tl2br w:val="nil"/>
                    <w:tr2bl w:val="nil"/>
                  </w:tcBorders>
                  <w:vAlign w:val="center"/>
                </w:tcPr>
                <w:p w14:paraId="03F3FF8B">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中和剂</w:t>
                  </w:r>
                </w:p>
              </w:tc>
              <w:tc>
                <w:tcPr>
                  <w:tcW w:w="752" w:type="pct"/>
                  <w:tcBorders>
                    <w:tl2br w:val="nil"/>
                    <w:tr2bl w:val="nil"/>
                  </w:tcBorders>
                  <w:vAlign w:val="center"/>
                </w:tcPr>
                <w:p w14:paraId="56D068FE">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0.12</w:t>
                  </w:r>
                </w:p>
              </w:tc>
              <w:tc>
                <w:tcPr>
                  <w:tcW w:w="985" w:type="pct"/>
                  <w:tcBorders>
                    <w:tl2br w:val="nil"/>
                    <w:tr2bl w:val="nil"/>
                  </w:tcBorders>
                  <w:vAlign w:val="center"/>
                </w:tcPr>
                <w:p w14:paraId="66256FE5">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w:t>
                  </w:r>
                </w:p>
              </w:tc>
              <w:tc>
                <w:tcPr>
                  <w:tcW w:w="1107" w:type="pct"/>
                  <w:tcBorders>
                    <w:tl2br w:val="nil"/>
                    <w:tr2bl w:val="nil"/>
                  </w:tcBorders>
                  <w:vAlign w:val="center"/>
                </w:tcPr>
                <w:p w14:paraId="433105EE">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0.084</w:t>
                  </w:r>
                </w:p>
              </w:tc>
              <w:tc>
                <w:tcPr>
                  <w:tcW w:w="1103" w:type="pct"/>
                  <w:tcBorders>
                    <w:tl2br w:val="nil"/>
                    <w:tr2bl w:val="nil"/>
                  </w:tcBorders>
                  <w:vAlign w:val="center"/>
                </w:tcPr>
                <w:p w14:paraId="17BC8492">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0.036</w:t>
                  </w:r>
                </w:p>
              </w:tc>
            </w:tr>
            <w:tr w14:paraId="4CABE2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jc w:val="center"/>
              </w:trPr>
              <w:tc>
                <w:tcPr>
                  <w:tcW w:w="1051" w:type="pct"/>
                  <w:tcBorders>
                    <w:tl2br w:val="nil"/>
                    <w:tr2bl w:val="nil"/>
                  </w:tcBorders>
                  <w:vAlign w:val="center"/>
                </w:tcPr>
                <w:p w14:paraId="147DA93E">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合计</w:t>
                  </w:r>
                </w:p>
              </w:tc>
              <w:tc>
                <w:tcPr>
                  <w:tcW w:w="752" w:type="pct"/>
                  <w:tcBorders>
                    <w:tl2br w:val="nil"/>
                    <w:tr2bl w:val="nil"/>
                  </w:tcBorders>
                  <w:vAlign w:val="center"/>
                </w:tcPr>
                <w:p w14:paraId="3EAF3817">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15.9</w:t>
                  </w:r>
                </w:p>
              </w:tc>
              <w:tc>
                <w:tcPr>
                  <w:tcW w:w="985" w:type="pct"/>
                  <w:tcBorders>
                    <w:tl2br w:val="nil"/>
                    <w:tr2bl w:val="nil"/>
                  </w:tcBorders>
                  <w:vAlign w:val="center"/>
                </w:tcPr>
                <w:p w14:paraId="7BA41C00">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7.863</w:t>
                  </w:r>
                </w:p>
              </w:tc>
              <w:tc>
                <w:tcPr>
                  <w:tcW w:w="1107" w:type="pct"/>
                  <w:tcBorders>
                    <w:tl2br w:val="nil"/>
                    <w:tr2bl w:val="nil"/>
                  </w:tcBorders>
                  <w:vAlign w:val="center"/>
                </w:tcPr>
                <w:p w14:paraId="7D687FBD">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7.0956</w:t>
                  </w:r>
                </w:p>
              </w:tc>
              <w:tc>
                <w:tcPr>
                  <w:tcW w:w="1103" w:type="pct"/>
                  <w:tcBorders>
                    <w:tl2br w:val="nil"/>
                    <w:tr2bl w:val="nil"/>
                  </w:tcBorders>
                  <w:vAlign w:val="center"/>
                </w:tcPr>
                <w:p w14:paraId="7C0F9916">
                  <w:pPr>
                    <w:pStyle w:val="4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0.9414</w:t>
                  </w:r>
                </w:p>
              </w:tc>
            </w:tr>
          </w:tbl>
          <w:p w14:paraId="1660097B">
            <w:pPr>
              <w:pStyle w:val="45"/>
              <w:keepNext w:val="0"/>
              <w:keepLines w:val="0"/>
              <w:pageBreakBefore w:val="0"/>
              <w:widowControl w:val="0"/>
              <w:kinsoku/>
              <w:wordWrap/>
              <w:overflowPunct/>
              <w:topLinePunct w:val="0"/>
              <w:autoSpaceDE/>
              <w:autoSpaceDN/>
              <w:bidi w:val="0"/>
              <w:adjustRightInd/>
              <w:snapToGrid/>
              <w:textAlignment w:val="auto"/>
              <w:rPr>
                <w:rFonts w:hint="eastAsia"/>
                <w:color w:val="auto"/>
                <w:highlight w:val="none"/>
                <w:lang w:val="en-US" w:eastAsia="zh-CN"/>
              </w:rPr>
            </w:pPr>
            <w:r>
              <w:rPr>
                <w:rFonts w:hint="eastAsia"/>
                <w:color w:val="auto"/>
                <w:highlight w:val="none"/>
                <w:lang w:val="en-US" w:eastAsia="zh-CN"/>
              </w:rPr>
              <w:t>本项目电泳槽液不更换且电泳后的工件经UF0喷淋、UF1喷淋、UF2浸洗后，带出液基本全部回用于电泳槽。电泳涂料中固份全部进入产品（涂层），在电泳及烘干固化过程中，水分全部蒸发损耗（水蒸气），挥发分全部挥发进入废气。根据电泳涂料成分分析，废气污染因子包括非甲烷总烃（NMHC）。</w:t>
            </w:r>
          </w:p>
          <w:p w14:paraId="23A293A0">
            <w:pPr>
              <w:pStyle w:val="45"/>
              <w:keepNext w:val="0"/>
              <w:keepLines w:val="0"/>
              <w:pageBreakBefore w:val="0"/>
              <w:widowControl w:val="0"/>
              <w:kinsoku/>
              <w:wordWrap/>
              <w:overflowPunct/>
              <w:topLinePunct w:val="0"/>
              <w:autoSpaceDE/>
              <w:autoSpaceDN/>
              <w:bidi w:val="0"/>
              <w:adjustRightInd/>
              <w:snapToGrid/>
              <w:textAlignment w:val="auto"/>
              <w:rPr>
                <w:rFonts w:hint="eastAsia"/>
                <w:color w:val="auto"/>
                <w:highlight w:val="none"/>
                <w:lang w:val="en-US" w:eastAsia="zh-CN"/>
              </w:rPr>
            </w:pPr>
            <w:r>
              <w:rPr>
                <w:rFonts w:hint="eastAsia"/>
                <w:color w:val="auto"/>
                <w:highlight w:val="none"/>
                <w:lang w:val="en-US" w:eastAsia="zh-CN"/>
              </w:rPr>
              <w:t>根据《污染源源强核算技术指南汽车制造（HJ 1097-2020）》附录E，电泳过程中电泳涂料中挥发性有机物的挥发比例为：电泳35%、烘干65%。</w:t>
            </w:r>
          </w:p>
          <w:p w14:paraId="484CDDAC">
            <w:pPr>
              <w:pStyle w:val="45"/>
              <w:keepNext w:val="0"/>
              <w:keepLines w:val="0"/>
              <w:pageBreakBefore w:val="0"/>
              <w:widowControl w:val="0"/>
              <w:kinsoku/>
              <w:wordWrap/>
              <w:overflowPunct/>
              <w:topLinePunct w:val="0"/>
              <w:autoSpaceDE/>
              <w:autoSpaceDN/>
              <w:bidi w:val="0"/>
              <w:adjustRightInd/>
              <w:snapToGrid/>
              <w:textAlignment w:val="auto"/>
              <w:rPr>
                <w:color w:val="auto"/>
                <w:sz w:val="24"/>
                <w:szCs w:val="24"/>
              </w:rPr>
            </w:pPr>
            <w:r>
              <w:rPr>
                <w:rFonts w:hint="eastAsia"/>
                <w:color w:val="auto"/>
                <w:highlight w:val="none"/>
                <w:lang w:val="en-US" w:eastAsia="zh-CN"/>
              </w:rPr>
              <w:t>本项目电泳废气和烘干废气收集后，经二级活性炭装置净化处理后排</w:t>
            </w:r>
            <w:r>
              <w:rPr>
                <w:color w:val="auto"/>
                <w:sz w:val="24"/>
                <w:szCs w:val="24"/>
              </w:rPr>
              <w:t>气筒排放。</w:t>
            </w:r>
          </w:p>
          <w:p w14:paraId="71E80B3E">
            <w:pPr>
              <w:pStyle w:val="45"/>
              <w:keepNext w:val="0"/>
              <w:keepLines w:val="0"/>
              <w:pageBreakBefore w:val="0"/>
              <w:widowControl w:val="0"/>
              <w:kinsoku/>
              <w:wordWrap/>
              <w:overflowPunct/>
              <w:topLinePunct w:val="0"/>
              <w:autoSpaceDE/>
              <w:autoSpaceDN/>
              <w:bidi w:val="0"/>
              <w:adjustRightInd/>
              <w:snapToGrid/>
              <w:textAlignment w:val="auto"/>
              <w:rPr>
                <w:color w:val="auto"/>
                <w:sz w:val="24"/>
                <w:szCs w:val="24"/>
              </w:rPr>
            </w:pPr>
            <w:r>
              <w:rPr>
                <w:color w:val="auto"/>
                <w:sz w:val="24"/>
                <w:szCs w:val="24"/>
              </w:rPr>
              <w:t>项目电泳线为相对封闭的结构，内部呈微负压状态，电泳废气、固化废气均可有效收集，捕集效率取90%，</w:t>
            </w:r>
            <w:r>
              <w:rPr>
                <w:rFonts w:hint="eastAsia"/>
                <w:color w:val="auto"/>
                <w:sz w:val="24"/>
                <w:szCs w:val="24"/>
                <w:lang w:val="en-US" w:eastAsia="zh-CN"/>
              </w:rPr>
              <w:t>喷淋+</w:t>
            </w:r>
            <w:r>
              <w:rPr>
                <w:color w:val="auto"/>
                <w:sz w:val="24"/>
                <w:szCs w:val="24"/>
              </w:rPr>
              <w:t>二级活性炭对有机废气的去除率取</w:t>
            </w:r>
            <w:r>
              <w:rPr>
                <w:rFonts w:hint="eastAsia"/>
                <w:color w:val="auto"/>
                <w:sz w:val="24"/>
                <w:szCs w:val="24"/>
                <w:lang w:val="en-US" w:eastAsia="zh-CN"/>
              </w:rPr>
              <w:t>90</w:t>
            </w:r>
            <w:r>
              <w:rPr>
                <w:color w:val="auto"/>
                <w:sz w:val="24"/>
                <w:szCs w:val="24"/>
              </w:rPr>
              <w:t>%。</w:t>
            </w:r>
          </w:p>
          <w:p w14:paraId="7F0B3ADB">
            <w:pPr>
              <w:pStyle w:val="45"/>
              <w:keepNext w:val="0"/>
              <w:keepLines w:val="0"/>
              <w:pageBreakBefore w:val="0"/>
              <w:widowControl w:val="0"/>
              <w:kinsoku/>
              <w:wordWrap/>
              <w:overflowPunct/>
              <w:topLinePunct w:val="0"/>
              <w:autoSpaceDE/>
              <w:autoSpaceDN/>
              <w:bidi w:val="0"/>
              <w:adjustRightInd/>
              <w:snapToGrid/>
              <w:textAlignment w:val="auto"/>
              <w:rPr>
                <w:rFonts w:hint="default"/>
                <w:color w:val="auto"/>
                <w:highlight w:val="none"/>
                <w:lang w:val="en-US" w:eastAsia="zh-CN"/>
              </w:rPr>
            </w:pPr>
            <w:r>
              <w:rPr>
                <w:rFonts w:hint="eastAsia"/>
                <w:color w:val="auto"/>
                <w:highlight w:val="none"/>
                <w:lang w:val="en-US" w:eastAsia="zh-CN"/>
              </w:rPr>
              <w:t>本项目VOCs物料平衡表如下图所示。</w:t>
            </w:r>
          </w:p>
          <w:p w14:paraId="795752A6">
            <w:pPr>
              <w:pStyle w:val="88"/>
              <w:ind w:left="0" w:leftChars="0" w:firstLine="0" w:firstLineChars="0"/>
              <w:jc w:val="center"/>
              <w:rPr>
                <w:rFonts w:hint="eastAsia"/>
                <w:b/>
                <w:bCs/>
                <w:color w:val="auto"/>
                <w:highlight w:val="none"/>
                <w:lang w:val="en-US" w:eastAsia="zh-CN"/>
              </w:rPr>
            </w:pPr>
            <w:r>
              <w:rPr>
                <w:color w:val="auto"/>
              </w:rPr>
              <w:drawing>
                <wp:inline distT="0" distB="0" distL="114300" distR="114300">
                  <wp:extent cx="5487035" cy="6085840"/>
                  <wp:effectExtent l="0" t="0" r="18415" b="10160"/>
                  <wp:docPr id="1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pic:cNvPicPr>
                            <a:picLocks noChangeAspect="1"/>
                          </pic:cNvPicPr>
                        </pic:nvPicPr>
                        <pic:blipFill>
                          <a:blip r:embed="rId24"/>
                          <a:stretch>
                            <a:fillRect/>
                          </a:stretch>
                        </pic:blipFill>
                        <pic:spPr>
                          <a:xfrm>
                            <a:off x="0" y="0"/>
                            <a:ext cx="5487035" cy="6085840"/>
                          </a:xfrm>
                          <a:prstGeom prst="rect">
                            <a:avLst/>
                          </a:prstGeom>
                          <a:noFill/>
                          <a:ln>
                            <a:noFill/>
                          </a:ln>
                        </pic:spPr>
                      </pic:pic>
                    </a:graphicData>
                  </a:graphic>
                </wp:inline>
              </w:drawing>
            </w:r>
          </w:p>
          <w:p w14:paraId="7329F727">
            <w:pPr>
              <w:pStyle w:val="47"/>
              <w:keepNext w:val="0"/>
              <w:keepLines w:val="0"/>
              <w:pageBreakBefore w:val="0"/>
              <w:widowControl w:val="0"/>
              <w:kinsoku/>
              <w:wordWrap/>
              <w:overflowPunct/>
              <w:topLinePunct w:val="0"/>
              <w:autoSpaceDE/>
              <w:autoSpaceDN/>
              <w:bidi w:val="0"/>
              <w:adjustRightInd/>
              <w:snapToGrid/>
              <w:spacing w:line="240" w:lineRule="auto"/>
              <w:ind w:left="1582" w:hanging="1582"/>
              <w:textAlignment w:val="auto"/>
              <w:rPr>
                <w:color w:val="auto"/>
                <w:highlight w:val="none"/>
              </w:rPr>
            </w:pPr>
            <w:r>
              <w:rPr>
                <w:rFonts w:hint="eastAsia" w:ascii="Times New Roman" w:hAnsi="Times New Roman" w:eastAsia="宋体" w:cs="Times New Roman"/>
                <w:b/>
                <w:bCs/>
                <w:color w:val="auto"/>
                <w:kern w:val="2"/>
                <w:sz w:val="24"/>
                <w:szCs w:val="21"/>
                <w:highlight w:val="none"/>
                <w:lang w:val="en-US" w:eastAsia="zh-CN" w:bidi="ar-SA"/>
              </w:rPr>
              <w:t>VOCs物料平衡图</w:t>
            </w:r>
          </w:p>
        </w:tc>
      </w:tr>
    </w:tbl>
    <w:p w14:paraId="50598DA5">
      <w:pPr>
        <w:pStyle w:val="31"/>
        <w:adjustRightInd w:val="0"/>
        <w:snapToGrid w:val="0"/>
        <w:spacing w:before="0" w:beforeAutospacing="0" w:after="0" w:afterAutospacing="0"/>
        <w:jc w:val="center"/>
        <w:rPr>
          <w:rFonts w:cs="宋体"/>
          <w:color w:val="auto"/>
          <w:sz w:val="21"/>
          <w:szCs w:val="21"/>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tbl>
      <w:tblPr>
        <w:tblStyle w:val="34"/>
        <w:tblW w:w="9378" w:type="dxa"/>
        <w:tblInd w:w="13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9"/>
        <w:gridCol w:w="8949"/>
      </w:tblGrid>
      <w:tr w14:paraId="454EA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24" w:hRule="atLeast"/>
        </w:trPr>
        <w:tc>
          <w:tcPr>
            <w:tcW w:w="429" w:type="dxa"/>
            <w:vAlign w:val="center"/>
          </w:tcPr>
          <w:p w14:paraId="3838D117">
            <w:pPr>
              <w:pStyle w:val="31"/>
              <w:adjustRightInd w:val="0"/>
              <w:snapToGrid w:val="0"/>
              <w:spacing w:before="0" w:beforeAutospacing="0" w:after="0" w:afterAutospacing="0"/>
              <w:jc w:val="center"/>
              <w:rPr>
                <w:rFonts w:cs="宋体"/>
                <w:color w:val="auto"/>
                <w:sz w:val="21"/>
                <w:szCs w:val="21"/>
                <w:highlight w:val="none"/>
              </w:rPr>
            </w:pPr>
            <w:r>
              <w:rPr>
                <w:rFonts w:hint="eastAsia" w:cs="宋体"/>
                <w:color w:val="auto"/>
                <w:sz w:val="21"/>
                <w:szCs w:val="21"/>
                <w:highlight w:val="none"/>
              </w:rPr>
              <w:t>工艺流程和产排污环节</w:t>
            </w:r>
          </w:p>
        </w:tc>
        <w:tc>
          <w:tcPr>
            <w:tcW w:w="8949" w:type="dxa"/>
          </w:tcPr>
          <w:p w14:paraId="07DBC6DF">
            <w:pPr>
              <w:pStyle w:val="3"/>
              <w:keepNext/>
              <w:keepLines/>
              <w:pageBreakBefore w:val="0"/>
              <w:widowControl w:val="0"/>
              <w:kinsoku/>
              <w:wordWrap/>
              <w:overflowPunct/>
              <w:topLinePunct w:val="0"/>
              <w:autoSpaceDE/>
              <w:autoSpaceDN/>
              <w:bidi w:val="0"/>
              <w:adjustRightInd/>
              <w:snapToGrid/>
              <w:spacing w:after="0"/>
              <w:ind w:left="0" w:leftChars="0" w:firstLine="0" w:firstLineChars="0"/>
              <w:textAlignment w:val="auto"/>
              <w:rPr>
                <w:rFonts w:hint="eastAsia"/>
                <w:color w:val="auto"/>
                <w:highlight w:val="none"/>
              </w:rPr>
            </w:pPr>
            <w:r>
              <w:rPr>
                <w:rFonts w:hint="eastAsia"/>
                <w:color w:val="auto"/>
                <w:highlight w:val="none"/>
              </w:rPr>
              <w:t>主要工艺流程及产污环节</w:t>
            </w:r>
          </w:p>
          <w:p w14:paraId="3CA693B0">
            <w:pPr>
              <w:pStyle w:val="4"/>
              <w:keepNext/>
              <w:keepLines/>
              <w:pageBreakBefore w:val="0"/>
              <w:widowControl w:val="0"/>
              <w:kinsoku/>
              <w:wordWrap/>
              <w:overflowPunct/>
              <w:topLinePunct w:val="0"/>
              <w:autoSpaceDE/>
              <w:autoSpaceDN/>
              <w:bidi w:val="0"/>
              <w:adjustRightInd/>
              <w:snapToGrid/>
              <w:spacing w:after="157" w:afterLines="50"/>
              <w:ind w:left="720" w:leftChars="0" w:hanging="720" w:firstLineChars="0"/>
              <w:textAlignment w:val="auto"/>
              <w:rPr>
                <w:rFonts w:hint="eastAsia"/>
                <w:color w:val="auto"/>
                <w:highlight w:val="none"/>
              </w:rPr>
            </w:pPr>
            <w:r>
              <w:rPr>
                <w:rFonts w:hint="eastAsia"/>
                <w:color w:val="auto"/>
                <w:highlight w:val="none"/>
              </w:rPr>
              <w:t>生产工艺</w:t>
            </w:r>
          </w:p>
          <w:p w14:paraId="424A32BB">
            <w:pPr>
              <w:pStyle w:val="113"/>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ascii="Times New Roman" w:hAnsi="Times New Roman" w:eastAsia="宋体" w:cs="宋体"/>
                <w:color w:val="auto"/>
                <w:kern w:val="0"/>
                <w:sz w:val="24"/>
                <w:szCs w:val="20"/>
                <w:highlight w:val="none"/>
                <w:lang w:val="zh-CN" w:eastAsia="zh-CN" w:bidi="ar-SA"/>
              </w:rPr>
            </w:pPr>
            <w:r>
              <w:rPr>
                <w:rFonts w:hint="eastAsia" w:ascii="Times New Roman" w:hAnsi="Times New Roman" w:eastAsia="宋体" w:cs="宋体"/>
                <w:color w:val="auto"/>
                <w:kern w:val="0"/>
                <w:sz w:val="24"/>
                <w:szCs w:val="20"/>
                <w:highlight w:val="none"/>
                <w:lang w:val="zh-CN" w:eastAsia="zh-CN" w:bidi="ar-SA"/>
              </w:rPr>
              <w:t>本项目汽车座椅骨架生产工艺流程见图</w:t>
            </w:r>
            <w:r>
              <w:rPr>
                <w:rFonts w:hint="eastAsia" w:ascii="Times New Roman" w:hAnsi="Times New Roman" w:eastAsia="宋体" w:cs="宋体"/>
                <w:color w:val="auto"/>
                <w:kern w:val="0"/>
                <w:sz w:val="24"/>
                <w:szCs w:val="20"/>
                <w:highlight w:val="none"/>
                <w:lang w:val="en-US" w:eastAsia="zh-CN" w:bidi="ar-SA"/>
              </w:rPr>
              <w:t>2.7-1；</w:t>
            </w:r>
            <w:r>
              <w:rPr>
                <w:rFonts w:ascii="Times New Roman" w:hAnsi="Times New Roman" w:eastAsia="宋体" w:cs="宋体"/>
                <w:color w:val="auto"/>
                <w:kern w:val="0"/>
                <w:sz w:val="24"/>
                <w:szCs w:val="20"/>
                <w:highlight w:val="none"/>
                <w:lang w:val="zh-CN" w:eastAsia="zh-CN" w:bidi="ar-SA"/>
              </w:rPr>
              <w:t>项目配套电泳线工艺流程如</w:t>
            </w:r>
            <w:r>
              <w:rPr>
                <w:rFonts w:hint="eastAsia" w:ascii="Times New Roman" w:hAnsi="Times New Roman" w:eastAsia="宋体" w:cs="宋体"/>
                <w:color w:val="auto"/>
                <w:kern w:val="0"/>
                <w:sz w:val="24"/>
                <w:szCs w:val="20"/>
                <w:highlight w:val="none"/>
                <w:lang w:val="zh-CN" w:eastAsia="zh-CN" w:bidi="ar-SA"/>
              </w:rPr>
              <w:t>图</w:t>
            </w:r>
            <w:r>
              <w:rPr>
                <w:rFonts w:hint="eastAsia" w:ascii="Times New Roman" w:hAnsi="Times New Roman" w:eastAsia="宋体" w:cs="宋体"/>
                <w:color w:val="auto"/>
                <w:kern w:val="0"/>
                <w:sz w:val="24"/>
                <w:szCs w:val="20"/>
                <w:highlight w:val="none"/>
                <w:lang w:val="en-US" w:eastAsia="zh-CN" w:bidi="ar-SA"/>
              </w:rPr>
              <w:t>2.7-2</w:t>
            </w:r>
            <w:r>
              <w:rPr>
                <w:rFonts w:ascii="Times New Roman" w:hAnsi="Times New Roman" w:eastAsia="宋体" w:cs="宋体"/>
                <w:color w:val="auto"/>
                <w:kern w:val="0"/>
                <w:sz w:val="24"/>
                <w:szCs w:val="20"/>
                <w:highlight w:val="none"/>
                <w:lang w:val="zh-CN" w:eastAsia="zh-CN" w:bidi="ar-SA"/>
              </w:rPr>
              <w:t>。</w:t>
            </w:r>
          </w:p>
          <w:p w14:paraId="31B877F7">
            <w:pPr>
              <w:pStyle w:val="44"/>
              <w:ind w:firstLine="480" w:firstLineChars="0"/>
              <w:jc w:val="center"/>
              <w:rPr>
                <w:rFonts w:hint="default" w:eastAsia="宋体"/>
                <w:b/>
                <w:bCs/>
                <w:i/>
                <w:iCs/>
                <w:color w:val="auto"/>
                <w:sz w:val="48"/>
                <w:szCs w:val="48"/>
                <w:highlight w:val="none"/>
                <w:lang w:val="en-US" w:eastAsia="zh-CN"/>
              </w:rPr>
            </w:pPr>
            <w:r>
              <w:rPr>
                <w:rFonts w:hint="eastAsia"/>
                <w:b/>
                <w:bCs/>
                <w:i/>
                <w:iCs/>
                <w:color w:val="auto"/>
                <w:sz w:val="48"/>
                <w:szCs w:val="48"/>
                <w:highlight w:val="none"/>
                <w:lang w:val="en-US" w:eastAsia="zh-CN"/>
              </w:rPr>
              <w:t>涉密删除</w:t>
            </w:r>
          </w:p>
          <w:p w14:paraId="6FF3CF89">
            <w:pPr>
              <w:pStyle w:val="47"/>
              <w:keepNext w:val="0"/>
              <w:keepLines w:val="0"/>
              <w:pageBreakBefore w:val="0"/>
              <w:widowControl w:val="0"/>
              <w:kinsoku/>
              <w:wordWrap/>
              <w:overflowPunct/>
              <w:topLinePunct w:val="0"/>
              <w:autoSpaceDE/>
              <w:autoSpaceDN/>
              <w:bidi w:val="0"/>
              <w:adjustRightInd/>
              <w:snapToGrid/>
              <w:spacing w:line="240" w:lineRule="auto"/>
              <w:ind w:left="0" w:firstLine="0"/>
              <w:jc w:val="center"/>
              <w:textAlignment w:val="auto"/>
              <w:rPr>
                <w:color w:val="auto"/>
                <w:highlight w:val="none"/>
              </w:rPr>
            </w:pPr>
            <w:r>
              <w:rPr>
                <w:rFonts w:hint="eastAsia"/>
                <w:color w:val="auto"/>
                <w:highlight w:val="none"/>
              </w:rPr>
              <w:t>汽车座椅骨架</w:t>
            </w:r>
            <w:r>
              <w:rPr>
                <w:rFonts w:hint="eastAsia"/>
                <w:color w:val="auto"/>
                <w:highlight w:val="none"/>
                <w:lang w:val="en-US" w:eastAsia="zh-CN"/>
              </w:rPr>
              <w:t>生产工艺流程图</w:t>
            </w:r>
          </w:p>
          <w:p w14:paraId="359B8019">
            <w:pPr>
              <w:pStyle w:val="44"/>
              <w:ind w:firstLine="480" w:firstLineChars="0"/>
              <w:jc w:val="center"/>
              <w:rPr>
                <w:rFonts w:hint="default" w:eastAsia="宋体"/>
                <w:b/>
                <w:bCs/>
                <w:i/>
                <w:iCs/>
                <w:color w:val="auto"/>
                <w:sz w:val="48"/>
                <w:szCs w:val="48"/>
                <w:highlight w:val="none"/>
                <w:lang w:val="en-US" w:eastAsia="zh-CN"/>
              </w:rPr>
            </w:pPr>
            <w:r>
              <w:rPr>
                <w:rFonts w:hint="eastAsia"/>
                <w:b/>
                <w:bCs/>
                <w:i/>
                <w:iCs/>
                <w:color w:val="auto"/>
                <w:sz w:val="48"/>
                <w:szCs w:val="48"/>
                <w:highlight w:val="none"/>
                <w:lang w:val="en-US" w:eastAsia="zh-CN"/>
              </w:rPr>
              <w:t>涉密删除</w:t>
            </w:r>
          </w:p>
          <w:p w14:paraId="58D73938">
            <w:pPr>
              <w:rPr>
                <w:rFonts w:hint="eastAsia" w:eastAsia="宋体"/>
                <w:color w:val="auto"/>
                <w:lang w:eastAsia="zh-CN"/>
              </w:rPr>
            </w:pPr>
          </w:p>
          <w:p w14:paraId="4BBBE913">
            <w:pPr>
              <w:pStyle w:val="47"/>
              <w:keepNext w:val="0"/>
              <w:keepLines w:val="0"/>
              <w:pageBreakBefore w:val="0"/>
              <w:widowControl w:val="0"/>
              <w:kinsoku/>
              <w:wordWrap/>
              <w:overflowPunct/>
              <w:topLinePunct w:val="0"/>
              <w:autoSpaceDE/>
              <w:autoSpaceDN/>
              <w:bidi w:val="0"/>
              <w:adjustRightInd/>
              <w:snapToGrid/>
              <w:spacing w:line="240" w:lineRule="auto"/>
              <w:ind w:left="1582" w:hanging="1582"/>
              <w:textAlignment w:val="auto"/>
              <w:rPr>
                <w:color w:val="auto"/>
                <w:highlight w:val="none"/>
              </w:rPr>
            </w:pPr>
            <w:r>
              <w:rPr>
                <w:b/>
                <w:bCs/>
                <w:color w:val="auto"/>
                <w:spacing w:val="-3"/>
                <w:sz w:val="24"/>
                <w:szCs w:val="24"/>
                <w:highlight w:val="none"/>
              </w:rPr>
              <w:t>项目配套电泳线工艺流程图</w:t>
            </w:r>
          </w:p>
          <w:p w14:paraId="5B9F3F1A">
            <w:pPr>
              <w:rPr>
                <w:color w:val="auto"/>
              </w:rPr>
            </w:pPr>
          </w:p>
        </w:tc>
      </w:tr>
    </w:tbl>
    <w:p w14:paraId="475E4BFE">
      <w:pPr>
        <w:pStyle w:val="31"/>
        <w:adjustRightInd w:val="0"/>
        <w:snapToGrid w:val="0"/>
        <w:spacing w:before="0" w:beforeAutospacing="0" w:after="0" w:afterAutospacing="0"/>
        <w:jc w:val="center"/>
        <w:rPr>
          <w:rFonts w:cs="宋体"/>
          <w:color w:val="auto"/>
          <w:sz w:val="21"/>
          <w:szCs w:val="21"/>
          <w:highlight w:val="none"/>
        </w:rPr>
        <w:sectPr>
          <w:pgSz w:w="11906" w:h="16838"/>
          <w:pgMar w:top="1531" w:right="1304" w:bottom="1531" w:left="1304" w:header="851" w:footer="1077" w:gutter="0"/>
          <w:pgBorders>
            <w:top w:val="none" w:sz="0" w:space="0"/>
            <w:left w:val="none" w:sz="0" w:space="0"/>
            <w:bottom w:val="none" w:sz="0" w:space="0"/>
            <w:right w:val="none" w:sz="0" w:space="0"/>
          </w:pgBorders>
          <w:pgNumType w:fmt="decimal"/>
          <w:cols w:space="0" w:num="1"/>
          <w:docGrid w:linePitch="312" w:charSpace="0"/>
        </w:sectPr>
      </w:pPr>
    </w:p>
    <w:tbl>
      <w:tblPr>
        <w:tblStyle w:val="33"/>
        <w:tblW w:w="933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28"/>
        <w:gridCol w:w="8802"/>
      </w:tblGrid>
      <w:tr w14:paraId="1DAB69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784" w:hRule="atLeast"/>
          <w:jc w:val="center"/>
        </w:trPr>
        <w:tc>
          <w:tcPr>
            <w:tcW w:w="528" w:type="dxa"/>
            <w:vAlign w:val="top"/>
          </w:tcPr>
          <w:p w14:paraId="7B741DE5">
            <w:pPr>
              <w:pStyle w:val="31"/>
              <w:adjustRightInd w:val="0"/>
              <w:snapToGrid w:val="0"/>
              <w:spacing w:before="0" w:beforeAutospacing="0" w:after="0" w:afterAutospacing="0"/>
              <w:jc w:val="center"/>
              <w:rPr>
                <w:rFonts w:cs="宋体"/>
                <w:color w:val="auto"/>
                <w:sz w:val="21"/>
                <w:szCs w:val="21"/>
                <w:highlight w:val="none"/>
              </w:rPr>
            </w:pPr>
            <w:r>
              <w:rPr>
                <w:rFonts w:hint="eastAsia" w:cs="宋体"/>
                <w:color w:val="auto"/>
                <w:sz w:val="21"/>
                <w:szCs w:val="21"/>
                <w:highlight w:val="none"/>
              </w:rPr>
              <w:t>工艺流程和产排污环节</w:t>
            </w:r>
          </w:p>
        </w:tc>
        <w:tc>
          <w:tcPr>
            <w:tcW w:w="8802" w:type="dxa"/>
            <w:vAlign w:val="top"/>
          </w:tcPr>
          <w:p w14:paraId="71BEE4C1">
            <w:pPr>
              <w:pStyle w:val="5"/>
              <w:keepNext/>
              <w:keepLines/>
              <w:pageBreakBefore w:val="0"/>
              <w:widowControl w:val="0"/>
              <w:numPr>
                <w:ilvl w:val="3"/>
                <w:numId w:val="9"/>
              </w:numPr>
              <w:tabs>
                <w:tab w:val="left" w:pos="0"/>
              </w:tabs>
              <w:kinsoku/>
              <w:wordWrap/>
              <w:overflowPunct/>
              <w:topLinePunct w:val="0"/>
              <w:autoSpaceDE/>
              <w:autoSpaceDN/>
              <w:bidi w:val="0"/>
              <w:adjustRightInd/>
              <w:snapToGrid/>
              <w:spacing w:before="157" w:beforeLines="50"/>
              <w:ind w:left="862" w:leftChars="0" w:hanging="862" w:firstLineChars="0"/>
              <w:textAlignment w:val="auto"/>
              <w:rPr>
                <w:rFonts w:hint="default"/>
                <w:color w:val="auto"/>
                <w:highlight w:val="none"/>
                <w:lang w:val="en-US" w:eastAsia="zh-CN"/>
              </w:rPr>
            </w:pPr>
            <w:r>
              <w:rPr>
                <w:rFonts w:hint="eastAsia"/>
                <w:color w:val="auto"/>
                <w:highlight w:val="none"/>
                <w:lang w:val="en-US" w:eastAsia="zh-CN"/>
              </w:rPr>
              <w:t>生产</w:t>
            </w:r>
            <w:r>
              <w:rPr>
                <w:rFonts w:hint="default"/>
                <w:color w:val="auto"/>
                <w:highlight w:val="none"/>
                <w:lang w:val="en-US" w:eastAsia="zh-CN"/>
              </w:rPr>
              <w:t>工艺</w:t>
            </w:r>
            <w:r>
              <w:rPr>
                <w:rFonts w:hint="eastAsia"/>
                <w:color w:val="auto"/>
                <w:highlight w:val="none"/>
                <w:lang w:val="en-US" w:eastAsia="zh-CN"/>
              </w:rPr>
              <w:t>流程</w:t>
            </w:r>
          </w:p>
          <w:p w14:paraId="454A5340">
            <w:pPr>
              <w:pStyle w:val="44"/>
              <w:ind w:firstLine="480"/>
              <w:rPr>
                <w:rFonts w:hint="default" w:ascii="Times New Roman" w:hAnsi="Times New Roman" w:eastAsia="宋体"/>
                <w:color w:val="auto"/>
                <w:sz w:val="24"/>
                <w:highlight w:val="none"/>
                <w:lang w:val="en-US" w:eastAsia="zh-CN"/>
              </w:rPr>
            </w:pPr>
            <w:r>
              <w:rPr>
                <w:rFonts w:hint="eastAsia"/>
                <w:color w:val="auto"/>
                <w:highlight w:val="none"/>
                <w:lang w:val="en-US" w:eastAsia="zh-CN"/>
              </w:rPr>
              <w:t>1、</w:t>
            </w:r>
            <w:r>
              <w:rPr>
                <w:rFonts w:hint="eastAsia"/>
                <w:color w:val="auto"/>
                <w:highlight w:val="none"/>
              </w:rPr>
              <w:t>本项目汽车座椅骨架生产工艺流程</w:t>
            </w:r>
          </w:p>
          <w:p w14:paraId="483A491A">
            <w:pPr>
              <w:pStyle w:val="44"/>
              <w:ind w:firstLine="480" w:firstLineChars="0"/>
              <w:jc w:val="center"/>
              <w:rPr>
                <w:rFonts w:hint="default" w:eastAsia="宋体"/>
                <w:b/>
                <w:bCs/>
                <w:i/>
                <w:iCs/>
                <w:color w:val="auto"/>
                <w:sz w:val="48"/>
                <w:szCs w:val="48"/>
                <w:highlight w:val="none"/>
                <w:lang w:val="en-US" w:eastAsia="zh-CN"/>
              </w:rPr>
            </w:pPr>
            <w:r>
              <w:rPr>
                <w:rFonts w:hint="eastAsia"/>
                <w:b/>
                <w:bCs/>
                <w:i/>
                <w:iCs/>
                <w:color w:val="auto"/>
                <w:sz w:val="48"/>
                <w:szCs w:val="48"/>
                <w:highlight w:val="none"/>
                <w:lang w:val="en-US" w:eastAsia="zh-CN"/>
              </w:rPr>
              <w:t>涉密删除</w:t>
            </w:r>
          </w:p>
          <w:p w14:paraId="5FE8CC01">
            <w:pPr>
              <w:pStyle w:val="44"/>
              <w:ind w:firstLine="480"/>
              <w:rPr>
                <w:rFonts w:ascii="Times New Roman" w:hAnsi="Times New Roman" w:eastAsia="宋体" w:cs="宋体"/>
                <w:color w:val="auto"/>
                <w:kern w:val="0"/>
                <w:sz w:val="24"/>
                <w:szCs w:val="20"/>
                <w:highlight w:val="none"/>
                <w:lang w:val="zh-CN" w:eastAsia="zh-CN" w:bidi="ar-SA"/>
              </w:rPr>
            </w:pPr>
            <w:r>
              <w:rPr>
                <w:rFonts w:hint="eastAsia"/>
                <w:color w:val="auto"/>
                <w:highlight w:val="none"/>
                <w:lang w:val="en-US" w:eastAsia="zh-CN"/>
              </w:rPr>
              <w:t>2、</w:t>
            </w:r>
            <w:r>
              <w:rPr>
                <w:rFonts w:hint="eastAsia"/>
                <w:color w:val="auto"/>
                <w:highlight w:val="none"/>
              </w:rPr>
              <w:t>本项目</w:t>
            </w:r>
            <w:r>
              <w:rPr>
                <w:rFonts w:ascii="Times New Roman" w:hAnsi="Times New Roman" w:eastAsia="宋体" w:cs="宋体"/>
                <w:color w:val="auto"/>
                <w:kern w:val="0"/>
                <w:sz w:val="24"/>
                <w:szCs w:val="20"/>
                <w:highlight w:val="none"/>
                <w:lang w:val="zh-CN" w:eastAsia="zh-CN" w:bidi="ar-SA"/>
              </w:rPr>
              <w:t>配套电泳线工艺流程</w:t>
            </w:r>
          </w:p>
          <w:p w14:paraId="111461B9">
            <w:pPr>
              <w:pStyle w:val="44"/>
              <w:ind w:firstLine="480" w:firstLineChars="0"/>
              <w:jc w:val="center"/>
              <w:rPr>
                <w:rFonts w:hint="default" w:eastAsia="宋体"/>
                <w:b/>
                <w:bCs/>
                <w:i/>
                <w:iCs/>
                <w:color w:val="auto"/>
                <w:sz w:val="48"/>
                <w:szCs w:val="48"/>
                <w:highlight w:val="none"/>
                <w:lang w:val="en-US" w:eastAsia="zh-CN"/>
              </w:rPr>
            </w:pPr>
            <w:r>
              <w:rPr>
                <w:rFonts w:hint="eastAsia"/>
                <w:b/>
                <w:bCs/>
                <w:i/>
                <w:iCs/>
                <w:color w:val="auto"/>
                <w:sz w:val="48"/>
                <w:szCs w:val="48"/>
                <w:highlight w:val="none"/>
                <w:lang w:val="en-US" w:eastAsia="zh-CN"/>
              </w:rPr>
              <w:t>涉密删除</w:t>
            </w:r>
          </w:p>
          <w:p w14:paraId="70E07CBF">
            <w:pPr>
              <w:pStyle w:val="5"/>
              <w:numPr>
                <w:ilvl w:val="3"/>
                <w:numId w:val="9"/>
              </w:numPr>
              <w:tabs>
                <w:tab w:val="left" w:pos="0"/>
              </w:tabs>
              <w:bidi w:val="0"/>
              <w:ind w:left="864" w:leftChars="0" w:hanging="864" w:firstLineChars="0"/>
              <w:rPr>
                <w:rFonts w:hint="eastAsia"/>
                <w:color w:val="auto"/>
                <w:highlight w:val="none"/>
                <w:lang w:val="en-US" w:eastAsia="zh-CN"/>
              </w:rPr>
            </w:pPr>
            <w:r>
              <w:rPr>
                <w:rFonts w:hint="eastAsia"/>
                <w:color w:val="auto"/>
                <w:highlight w:val="none"/>
                <w:lang w:val="en-US" w:eastAsia="zh-CN"/>
              </w:rPr>
              <w:t>生产工艺主要产污环节</w:t>
            </w:r>
          </w:p>
          <w:p w14:paraId="36899E9B">
            <w:pPr>
              <w:pStyle w:val="44"/>
              <w:ind w:firstLine="480"/>
              <w:rPr>
                <w:rFonts w:hint="eastAsia"/>
                <w:color w:val="auto"/>
              </w:rPr>
            </w:pPr>
            <w:r>
              <w:rPr>
                <w:rFonts w:hint="eastAsia"/>
                <w:color w:val="auto"/>
              </w:rPr>
              <w:t>主要</w:t>
            </w:r>
            <w:r>
              <w:rPr>
                <w:rFonts w:hint="eastAsia"/>
                <w:color w:val="auto"/>
                <w:highlight w:val="none"/>
                <w:vertAlign w:val="baseline"/>
                <w:lang w:val="en-US" w:eastAsia="zh-CN"/>
              </w:rPr>
              <w:t>产污环节</w:t>
            </w:r>
            <w:r>
              <w:rPr>
                <w:rFonts w:hint="eastAsia"/>
                <w:color w:val="auto"/>
              </w:rPr>
              <w:t>见下表。</w:t>
            </w:r>
          </w:p>
          <w:p w14:paraId="2C71296B">
            <w:pPr>
              <w:pStyle w:val="42"/>
              <w:keepNext/>
              <w:keepLines/>
              <w:pageBreakBefore w:val="0"/>
              <w:widowControl w:val="0"/>
              <w:numPr>
                <w:ilvl w:val="7"/>
                <w:numId w:val="10"/>
              </w:numPr>
              <w:tabs>
                <w:tab w:val="left" w:pos="0"/>
              </w:tabs>
              <w:kinsoku/>
              <w:wordWrap/>
              <w:overflowPunct/>
              <w:topLinePunct w:val="0"/>
              <w:autoSpaceDE/>
              <w:autoSpaceDN/>
              <w:bidi w:val="0"/>
              <w:adjustRightInd/>
              <w:snapToGrid/>
              <w:spacing w:before="157" w:beforeLines="50" w:after="0"/>
              <w:ind w:left="630" w:leftChars="0" w:firstLineChars="0"/>
              <w:textAlignment w:val="auto"/>
              <w:rPr>
                <w:color w:val="auto"/>
                <w:highlight w:val="none"/>
              </w:rPr>
            </w:pPr>
            <w:r>
              <w:rPr>
                <w:color w:val="auto"/>
                <w:highlight w:val="none"/>
              </w:rPr>
              <w:t>主要污染工序一览表</w:t>
            </w:r>
          </w:p>
          <w:tbl>
            <w:tblPr>
              <w:tblStyle w:val="33"/>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416"/>
              <w:gridCol w:w="416"/>
              <w:gridCol w:w="1910"/>
              <w:gridCol w:w="1962"/>
              <w:gridCol w:w="439"/>
              <w:gridCol w:w="3443"/>
            </w:tblGrid>
            <w:tr w14:paraId="70FE22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07" w:hRule="atLeast"/>
                <w:tblHeader/>
              </w:trPr>
              <w:tc>
                <w:tcPr>
                  <w:tcW w:w="0" w:type="auto"/>
                  <w:tcBorders>
                    <w:bottom w:val="single" w:color="000000" w:sz="12" w:space="0"/>
                  </w:tcBorders>
                  <w:vAlign w:val="center"/>
                </w:tcPr>
                <w:p w14:paraId="324DE9D0">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8"/>
                      <w:sz w:val="21"/>
                    </w:rPr>
                    <w:t>序号</w:t>
                  </w:r>
                </w:p>
              </w:tc>
              <w:tc>
                <w:tcPr>
                  <w:tcW w:w="0" w:type="auto"/>
                  <w:tcBorders>
                    <w:bottom w:val="single" w:color="000000" w:sz="12" w:space="0"/>
                  </w:tcBorders>
                  <w:vAlign w:val="center"/>
                </w:tcPr>
                <w:p w14:paraId="688FEB34">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8"/>
                      <w:sz w:val="21"/>
                    </w:rPr>
                    <w:t>类别</w:t>
                  </w:r>
                </w:p>
              </w:tc>
              <w:tc>
                <w:tcPr>
                  <w:tcW w:w="0" w:type="auto"/>
                  <w:tcBorders>
                    <w:bottom w:val="single" w:color="000000" w:sz="12" w:space="0"/>
                  </w:tcBorders>
                  <w:vAlign w:val="center"/>
                </w:tcPr>
                <w:p w14:paraId="6CD8AB09">
                  <w:pPr>
                    <w:pStyle w:val="95"/>
                    <w:keepNext w:val="0"/>
                    <w:keepLines w:val="0"/>
                    <w:pageBreakBefore w:val="0"/>
                    <w:widowControl w:val="0"/>
                    <w:kinsoku/>
                    <w:wordWrap/>
                    <w:overflowPunct/>
                    <w:topLinePunct w:val="0"/>
                    <w:autoSpaceDE/>
                    <w:autoSpaceDN/>
                    <w:bidi w:val="0"/>
                    <w:spacing w:line="240" w:lineRule="auto"/>
                    <w:ind w:left="0" w:right="0" w:rightChars="0" w:firstLine="0" w:firstLineChars="0"/>
                    <w:jc w:val="center"/>
                    <w:textAlignment w:val="auto"/>
                    <w:rPr>
                      <w:rFonts w:ascii="Times New Roman" w:hAnsi="Times New Roman" w:eastAsia="宋体" w:cs="宋体"/>
                      <w:color w:val="auto"/>
                      <w:spacing w:val="-7"/>
                      <w:sz w:val="21"/>
                    </w:rPr>
                  </w:pPr>
                  <w:r>
                    <w:rPr>
                      <w:rFonts w:ascii="Times New Roman" w:hAnsi="Times New Roman" w:eastAsia="宋体" w:cs="宋体"/>
                      <w:color w:val="auto"/>
                      <w:spacing w:val="-7"/>
                      <w:sz w:val="21"/>
                    </w:rPr>
                    <w:t>产污工序</w:t>
                  </w:r>
                </w:p>
              </w:tc>
              <w:tc>
                <w:tcPr>
                  <w:tcW w:w="0" w:type="auto"/>
                  <w:tcBorders>
                    <w:bottom w:val="single" w:color="000000" w:sz="12" w:space="0"/>
                  </w:tcBorders>
                  <w:vAlign w:val="center"/>
                </w:tcPr>
                <w:p w14:paraId="1B1F82AE">
                  <w:pPr>
                    <w:pStyle w:val="95"/>
                    <w:keepNext w:val="0"/>
                    <w:keepLines w:val="0"/>
                    <w:pageBreakBefore w:val="0"/>
                    <w:widowControl w:val="0"/>
                    <w:kinsoku/>
                    <w:wordWrap/>
                    <w:overflowPunct/>
                    <w:topLinePunct w:val="0"/>
                    <w:autoSpaceDE/>
                    <w:autoSpaceDN/>
                    <w:bidi w:val="0"/>
                    <w:spacing w:line="240" w:lineRule="auto"/>
                    <w:ind w:left="0" w:right="0" w:rightChars="0" w:firstLine="0" w:firstLine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污染物名称</w:t>
                  </w:r>
                </w:p>
              </w:tc>
              <w:tc>
                <w:tcPr>
                  <w:tcW w:w="0" w:type="auto"/>
                  <w:tcBorders>
                    <w:bottom w:val="single" w:color="000000" w:sz="12" w:space="0"/>
                  </w:tcBorders>
                  <w:vAlign w:val="center"/>
                </w:tcPr>
                <w:p w14:paraId="0A3B28B2">
                  <w:pPr>
                    <w:pStyle w:val="95"/>
                    <w:keepNext w:val="0"/>
                    <w:keepLines w:val="0"/>
                    <w:pageBreakBefore w:val="0"/>
                    <w:widowControl w:val="0"/>
                    <w:kinsoku/>
                    <w:wordWrap/>
                    <w:overflowPunct/>
                    <w:topLinePunct w:val="0"/>
                    <w:autoSpaceDE/>
                    <w:autoSpaceDN/>
                    <w:bidi w:val="0"/>
                    <w:spacing w:line="240" w:lineRule="auto"/>
                    <w:ind w:left="0" w:right="0" w:rightChars="0" w:firstLine="0" w:firstLineChars="0"/>
                    <w:jc w:val="center"/>
                    <w:textAlignment w:val="auto"/>
                    <w:rPr>
                      <w:rFonts w:ascii="Times New Roman" w:hAnsi="Times New Roman" w:eastAsia="宋体" w:cs="宋体"/>
                      <w:color w:val="auto"/>
                      <w:spacing w:val="-7"/>
                      <w:sz w:val="21"/>
                    </w:rPr>
                  </w:pPr>
                  <w:r>
                    <w:rPr>
                      <w:rFonts w:ascii="Times New Roman" w:hAnsi="Times New Roman" w:eastAsia="宋体" w:cs="宋体"/>
                      <w:color w:val="auto"/>
                      <w:spacing w:val="-7"/>
                      <w:sz w:val="21"/>
                    </w:rPr>
                    <w:t>代号</w:t>
                  </w:r>
                </w:p>
              </w:tc>
              <w:tc>
                <w:tcPr>
                  <w:tcW w:w="0" w:type="auto"/>
                  <w:tcBorders>
                    <w:bottom w:val="single" w:color="000000" w:sz="12" w:space="0"/>
                  </w:tcBorders>
                  <w:vAlign w:val="center"/>
                </w:tcPr>
                <w:p w14:paraId="62420207">
                  <w:pPr>
                    <w:pStyle w:val="95"/>
                    <w:keepNext w:val="0"/>
                    <w:keepLines w:val="0"/>
                    <w:pageBreakBefore w:val="0"/>
                    <w:widowControl w:val="0"/>
                    <w:kinsoku/>
                    <w:wordWrap/>
                    <w:overflowPunct/>
                    <w:topLinePunct w:val="0"/>
                    <w:autoSpaceDE/>
                    <w:autoSpaceDN/>
                    <w:bidi w:val="0"/>
                    <w:spacing w:line="240" w:lineRule="auto"/>
                    <w:ind w:left="0" w:right="0" w:rightChars="0" w:firstLine="0" w:firstLineChars="0"/>
                    <w:jc w:val="center"/>
                    <w:textAlignment w:val="auto"/>
                    <w:rPr>
                      <w:rFonts w:ascii="Times New Roman" w:hAnsi="Times New Roman" w:eastAsia="宋体" w:cs="宋体"/>
                      <w:color w:val="auto"/>
                      <w:spacing w:val="-7"/>
                      <w:sz w:val="21"/>
                    </w:rPr>
                  </w:pPr>
                  <w:r>
                    <w:rPr>
                      <w:rFonts w:ascii="Times New Roman" w:hAnsi="Times New Roman" w:eastAsia="宋体" w:cs="宋体"/>
                      <w:color w:val="auto"/>
                      <w:spacing w:val="-7"/>
                      <w:sz w:val="21"/>
                    </w:rPr>
                    <w:t>主要成分</w:t>
                  </w:r>
                </w:p>
              </w:tc>
            </w:tr>
            <w:tr w14:paraId="37319F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blHeader/>
              </w:trPr>
              <w:tc>
                <w:tcPr>
                  <w:tcW w:w="0" w:type="auto"/>
                  <w:vMerge w:val="restart"/>
                  <w:tcBorders>
                    <w:top w:val="single" w:color="000000" w:sz="12" w:space="0"/>
                    <w:tl2br w:val="nil"/>
                    <w:tr2bl w:val="nil"/>
                  </w:tcBorders>
                  <w:vAlign w:val="center"/>
                </w:tcPr>
                <w:p w14:paraId="00B7AB09">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5ACFB835">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7FC75D52">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2373B687">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2A6A706D">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10"/>
                      <w:sz w:val="21"/>
                    </w:rPr>
                    <w:t>1</w:t>
                  </w:r>
                </w:p>
              </w:tc>
              <w:tc>
                <w:tcPr>
                  <w:tcW w:w="0" w:type="auto"/>
                  <w:vMerge w:val="restart"/>
                  <w:tcBorders>
                    <w:top w:val="single" w:color="000000" w:sz="12" w:space="0"/>
                    <w:tl2br w:val="nil"/>
                    <w:tr2bl w:val="nil"/>
                  </w:tcBorders>
                  <w:vAlign w:val="center"/>
                </w:tcPr>
                <w:p w14:paraId="05EBDF97">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6C901893">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8"/>
                      <w:sz w:val="21"/>
                    </w:rPr>
                  </w:pPr>
                  <w:r>
                    <w:rPr>
                      <w:rFonts w:ascii="Times New Roman" w:hAnsi="Times New Roman" w:eastAsia="宋体"/>
                      <w:color w:val="auto"/>
                      <w:spacing w:val="-8"/>
                      <w:sz w:val="21"/>
                    </w:rPr>
                    <w:t>废气</w:t>
                  </w:r>
                </w:p>
                <w:p w14:paraId="3550B426">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p>
              </w:tc>
              <w:tc>
                <w:tcPr>
                  <w:tcW w:w="0" w:type="auto"/>
                  <w:tcBorders>
                    <w:top w:val="single" w:color="000000" w:sz="12" w:space="0"/>
                    <w:tl2br w:val="nil"/>
                    <w:tr2bl w:val="nil"/>
                  </w:tcBorders>
                  <w:shd w:val="clear" w:color="auto" w:fill="auto"/>
                  <w:vAlign w:val="center"/>
                </w:tcPr>
                <w:p w14:paraId="72804C2F">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4"/>
                      <w:sz w:val="21"/>
                    </w:rPr>
                    <w:t>焊接</w:t>
                  </w:r>
                </w:p>
              </w:tc>
              <w:tc>
                <w:tcPr>
                  <w:tcW w:w="0" w:type="auto"/>
                  <w:tcBorders>
                    <w:top w:val="single" w:color="000000" w:sz="12" w:space="0"/>
                    <w:tl2br w:val="nil"/>
                    <w:tr2bl w:val="nil"/>
                  </w:tcBorders>
                  <w:shd w:val="clear" w:color="auto" w:fill="auto"/>
                  <w:vAlign w:val="center"/>
                </w:tcPr>
                <w:p w14:paraId="0FA29AFA">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焊接废气</w:t>
                  </w:r>
                </w:p>
              </w:tc>
              <w:tc>
                <w:tcPr>
                  <w:tcW w:w="0" w:type="auto"/>
                  <w:tcBorders>
                    <w:top w:val="single" w:color="000000" w:sz="12" w:space="0"/>
                    <w:tl2br w:val="nil"/>
                    <w:tr2bl w:val="nil"/>
                  </w:tcBorders>
                  <w:shd w:val="clear" w:color="auto" w:fill="auto"/>
                  <w:vAlign w:val="center"/>
                </w:tcPr>
                <w:p w14:paraId="685EEB07">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11"/>
                      <w:position w:val="1"/>
                      <w:sz w:val="21"/>
                      <w:szCs w:val="20"/>
                    </w:rPr>
                    <w:t>G1</w:t>
                  </w:r>
                </w:p>
              </w:tc>
              <w:tc>
                <w:tcPr>
                  <w:tcW w:w="0" w:type="auto"/>
                  <w:tcBorders>
                    <w:top w:val="single" w:color="000000" w:sz="12" w:space="0"/>
                    <w:tl2br w:val="nil"/>
                    <w:tr2bl w:val="nil"/>
                  </w:tcBorders>
                  <w:shd w:val="clear" w:color="auto" w:fill="auto"/>
                  <w:vAlign w:val="center"/>
                </w:tcPr>
                <w:p w14:paraId="6B10F488">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颗粒物</w:t>
                  </w:r>
                </w:p>
              </w:tc>
            </w:tr>
            <w:tr w14:paraId="6B21D7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28" w:hRule="atLeast"/>
                <w:tblHeader/>
              </w:trPr>
              <w:tc>
                <w:tcPr>
                  <w:tcW w:w="0" w:type="auto"/>
                  <w:vMerge w:val="continue"/>
                  <w:tcBorders>
                    <w:tl2br w:val="nil"/>
                    <w:tr2bl w:val="nil"/>
                  </w:tcBorders>
                  <w:vAlign w:val="center"/>
                </w:tcPr>
                <w:p w14:paraId="4F699932">
                  <w:pPr>
                    <w:keepNext w:val="0"/>
                    <w:keepLines w:val="0"/>
                    <w:pageBreakBefore w:val="0"/>
                    <w:widowControl w:val="0"/>
                    <w:tabs>
                      <w:tab w:val="left" w:pos="2604"/>
                    </w:tabs>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1970F5C8">
                  <w:pPr>
                    <w:pStyle w:val="46"/>
                    <w:keepNext w:val="0"/>
                    <w:keepLines w:val="0"/>
                    <w:pageBreakBefore w:val="0"/>
                    <w:widowControl w:val="0"/>
                    <w:tabs>
                      <w:tab w:val="left" w:pos="0"/>
                    </w:tabs>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tcBorders>
                    <w:tl2br w:val="nil"/>
                    <w:tr2bl w:val="nil"/>
                  </w:tcBorders>
                  <w:shd w:val="clear" w:color="auto" w:fill="auto"/>
                  <w:vAlign w:val="center"/>
                </w:tcPr>
                <w:p w14:paraId="472738A6">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8"/>
                      <w:sz w:val="21"/>
                    </w:rPr>
                    <w:t>电泳</w:t>
                  </w:r>
                </w:p>
              </w:tc>
              <w:tc>
                <w:tcPr>
                  <w:tcW w:w="0" w:type="auto"/>
                  <w:tcBorders>
                    <w:tl2br w:val="nil"/>
                    <w:tr2bl w:val="nil"/>
                  </w:tcBorders>
                  <w:shd w:val="clear" w:color="auto" w:fill="auto"/>
                  <w:vAlign w:val="center"/>
                </w:tcPr>
                <w:p w14:paraId="40151E29">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1"/>
                      <w:sz w:val="21"/>
                    </w:rPr>
                    <w:t>电泳废气</w:t>
                  </w:r>
                </w:p>
              </w:tc>
              <w:tc>
                <w:tcPr>
                  <w:tcW w:w="0" w:type="auto"/>
                  <w:tcBorders>
                    <w:tl2br w:val="nil"/>
                    <w:tr2bl w:val="nil"/>
                  </w:tcBorders>
                  <w:shd w:val="clear" w:color="auto" w:fill="auto"/>
                  <w:vAlign w:val="center"/>
                </w:tcPr>
                <w:p w14:paraId="24030A19">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1"/>
                      <w:position w:val="1"/>
                      <w:sz w:val="21"/>
                      <w:szCs w:val="20"/>
                    </w:rPr>
                    <w:t>G2</w:t>
                  </w:r>
                </w:p>
              </w:tc>
              <w:tc>
                <w:tcPr>
                  <w:tcW w:w="0" w:type="auto"/>
                  <w:tcBorders>
                    <w:tl2br w:val="nil"/>
                    <w:tr2bl w:val="nil"/>
                  </w:tcBorders>
                  <w:shd w:val="clear" w:color="auto" w:fill="auto"/>
                  <w:vAlign w:val="center"/>
                </w:tcPr>
                <w:p w14:paraId="06DD58B8">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7"/>
                      <w:sz w:val="21"/>
                      <w:szCs w:val="20"/>
                    </w:rPr>
                    <w:t>NMHC</w:t>
                  </w:r>
                </w:p>
              </w:tc>
            </w:tr>
            <w:tr w14:paraId="21134A2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28" w:hRule="atLeast"/>
                <w:tblHeader/>
              </w:trPr>
              <w:tc>
                <w:tcPr>
                  <w:tcW w:w="0" w:type="auto"/>
                  <w:vMerge w:val="continue"/>
                  <w:tcBorders>
                    <w:tl2br w:val="nil"/>
                    <w:tr2bl w:val="nil"/>
                  </w:tcBorders>
                  <w:vAlign w:val="center"/>
                </w:tcPr>
                <w:p w14:paraId="36C0F9E1">
                  <w:pPr>
                    <w:keepNext w:val="0"/>
                    <w:keepLines w:val="0"/>
                    <w:pageBreakBefore w:val="0"/>
                    <w:widowControl w:val="0"/>
                    <w:tabs>
                      <w:tab w:val="left" w:pos="2604"/>
                    </w:tabs>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1EDDF103">
                  <w:pPr>
                    <w:pStyle w:val="46"/>
                    <w:keepNext w:val="0"/>
                    <w:keepLines w:val="0"/>
                    <w:pageBreakBefore w:val="0"/>
                    <w:widowControl w:val="0"/>
                    <w:tabs>
                      <w:tab w:val="left" w:pos="0"/>
                    </w:tabs>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restart"/>
                  <w:tcBorders>
                    <w:tl2br w:val="nil"/>
                    <w:tr2bl w:val="nil"/>
                  </w:tcBorders>
                  <w:shd w:val="clear" w:color="auto" w:fill="auto"/>
                  <w:vAlign w:val="center"/>
                </w:tcPr>
                <w:p w14:paraId="36FA8685">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7"/>
                      <w:sz w:val="21"/>
                    </w:rPr>
                  </w:pPr>
                </w:p>
                <w:p w14:paraId="2E4C3BB7">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烘干固化</w:t>
                  </w:r>
                </w:p>
                <w:p w14:paraId="3C8943BC">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4"/>
                      <w:sz w:val="21"/>
                    </w:rPr>
                  </w:pPr>
                </w:p>
              </w:tc>
              <w:tc>
                <w:tcPr>
                  <w:tcW w:w="0" w:type="auto"/>
                  <w:tcBorders>
                    <w:tl2br w:val="nil"/>
                    <w:tr2bl w:val="nil"/>
                  </w:tcBorders>
                  <w:shd w:val="clear" w:color="auto" w:fill="auto"/>
                  <w:vAlign w:val="center"/>
                </w:tcPr>
                <w:p w14:paraId="7774AAE2">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2"/>
                      <w:sz w:val="21"/>
                    </w:rPr>
                    <w:t>固化废气</w:t>
                  </w:r>
                </w:p>
              </w:tc>
              <w:tc>
                <w:tcPr>
                  <w:tcW w:w="0" w:type="auto"/>
                  <w:tcBorders>
                    <w:tl2br w:val="nil"/>
                    <w:tr2bl w:val="nil"/>
                  </w:tcBorders>
                  <w:shd w:val="clear" w:color="auto" w:fill="auto"/>
                  <w:vAlign w:val="center"/>
                </w:tcPr>
                <w:p w14:paraId="68FAB555">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1"/>
                      <w:position w:val="1"/>
                      <w:sz w:val="21"/>
                      <w:szCs w:val="20"/>
                    </w:rPr>
                    <w:t>G3</w:t>
                  </w:r>
                </w:p>
              </w:tc>
              <w:tc>
                <w:tcPr>
                  <w:tcW w:w="0" w:type="auto"/>
                  <w:tcBorders>
                    <w:tl2br w:val="nil"/>
                    <w:tr2bl w:val="nil"/>
                  </w:tcBorders>
                  <w:shd w:val="clear" w:color="auto" w:fill="auto"/>
                  <w:vAlign w:val="center"/>
                </w:tcPr>
                <w:p w14:paraId="773479E2">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7"/>
                      <w:sz w:val="21"/>
                      <w:szCs w:val="20"/>
                    </w:rPr>
                    <w:t>NMHC</w:t>
                  </w:r>
                </w:p>
              </w:tc>
            </w:tr>
            <w:tr w14:paraId="52B419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28" w:hRule="atLeast"/>
                <w:tblHeader/>
              </w:trPr>
              <w:tc>
                <w:tcPr>
                  <w:tcW w:w="0" w:type="auto"/>
                  <w:vMerge w:val="continue"/>
                  <w:tcBorders>
                    <w:tl2br w:val="nil"/>
                    <w:tr2bl w:val="nil"/>
                  </w:tcBorders>
                  <w:vAlign w:val="center"/>
                </w:tcPr>
                <w:p w14:paraId="6F28E17F">
                  <w:pPr>
                    <w:keepNext w:val="0"/>
                    <w:keepLines w:val="0"/>
                    <w:pageBreakBefore w:val="0"/>
                    <w:widowControl w:val="0"/>
                    <w:tabs>
                      <w:tab w:val="left" w:pos="2604"/>
                    </w:tabs>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2EFFA06A">
                  <w:pPr>
                    <w:pStyle w:val="46"/>
                    <w:keepNext w:val="0"/>
                    <w:keepLines w:val="0"/>
                    <w:pageBreakBefore w:val="0"/>
                    <w:widowControl w:val="0"/>
                    <w:tabs>
                      <w:tab w:val="left" w:pos="0"/>
                    </w:tabs>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02EB5E25">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4"/>
                      <w:sz w:val="21"/>
                    </w:rPr>
                  </w:pPr>
                </w:p>
              </w:tc>
              <w:tc>
                <w:tcPr>
                  <w:tcW w:w="0" w:type="auto"/>
                  <w:tcBorders>
                    <w:tl2br w:val="nil"/>
                    <w:tr2bl w:val="nil"/>
                  </w:tcBorders>
                  <w:shd w:val="clear" w:color="auto" w:fill="auto"/>
                  <w:vAlign w:val="center"/>
                </w:tcPr>
                <w:p w14:paraId="2147D1BB">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s="宋体"/>
                      <w:color w:val="auto"/>
                      <w:kern w:val="2"/>
                      <w:sz w:val="21"/>
                      <w:szCs w:val="24"/>
                      <w:lang w:val="en-US" w:eastAsia="en-US" w:bidi="ar-SA"/>
                    </w:rPr>
                  </w:pPr>
                  <w:r>
                    <w:rPr>
                      <w:rFonts w:hint="default" w:ascii="Times New Roman" w:hAnsi="Times New Roman" w:eastAsia="宋体"/>
                      <w:color w:val="auto"/>
                      <w:spacing w:val="4"/>
                      <w:sz w:val="21"/>
                      <w:lang w:val="en-US" w:eastAsia="zh-CN"/>
                    </w:rPr>
                    <w:t>天然气烘干炉</w:t>
                  </w:r>
                  <w:r>
                    <w:rPr>
                      <w:rFonts w:hint="eastAsia" w:ascii="Times New Roman" w:hAnsi="Times New Roman"/>
                      <w:color w:val="auto"/>
                      <w:spacing w:val="4"/>
                      <w:sz w:val="21"/>
                      <w:lang w:val="en-US" w:eastAsia="zh-CN"/>
                    </w:rPr>
                    <w:t>燃烧</w:t>
                  </w:r>
                  <w:r>
                    <w:rPr>
                      <w:rFonts w:ascii="Times New Roman" w:hAnsi="Times New Roman" w:eastAsia="宋体"/>
                      <w:color w:val="auto"/>
                      <w:spacing w:val="5"/>
                      <w:sz w:val="21"/>
                    </w:rPr>
                    <w:t>废气</w:t>
                  </w:r>
                </w:p>
              </w:tc>
              <w:tc>
                <w:tcPr>
                  <w:tcW w:w="0" w:type="auto"/>
                  <w:tcBorders>
                    <w:tl2br w:val="nil"/>
                    <w:tr2bl w:val="nil"/>
                  </w:tcBorders>
                  <w:shd w:val="clear" w:color="auto" w:fill="auto"/>
                  <w:vAlign w:val="center"/>
                </w:tcPr>
                <w:p w14:paraId="41616EDB">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1"/>
                      <w:position w:val="2"/>
                      <w:sz w:val="21"/>
                      <w:szCs w:val="20"/>
                    </w:rPr>
                    <w:t>G4</w:t>
                  </w:r>
                </w:p>
              </w:tc>
              <w:tc>
                <w:tcPr>
                  <w:tcW w:w="0" w:type="auto"/>
                  <w:tcBorders>
                    <w:tl2br w:val="nil"/>
                    <w:tr2bl w:val="nil"/>
                  </w:tcBorders>
                  <w:shd w:val="clear" w:color="auto" w:fill="auto"/>
                  <w:vAlign w:val="center"/>
                </w:tcPr>
                <w:p w14:paraId="0CE10A4E">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s="Times New Roman"/>
                      <w:color w:val="auto"/>
                      <w:position w:val="1"/>
                      <w:sz w:val="21"/>
                    </w:rPr>
                    <w:t>SO</w:t>
                  </w:r>
                  <w:r>
                    <w:rPr>
                      <w:rFonts w:ascii="Times New Roman" w:hAnsi="Times New Roman" w:eastAsia="宋体" w:cs="Times New Roman"/>
                      <w:color w:val="auto"/>
                      <w:spacing w:val="2"/>
                      <w:sz w:val="21"/>
                      <w:szCs w:val="13"/>
                      <w:vertAlign w:val="subscript"/>
                    </w:rPr>
                    <w:t>2</w:t>
                  </w:r>
                  <w:r>
                    <w:rPr>
                      <w:rFonts w:ascii="Times New Roman" w:hAnsi="Times New Roman" w:eastAsia="宋体"/>
                      <w:color w:val="auto"/>
                      <w:spacing w:val="2"/>
                      <w:position w:val="1"/>
                      <w:sz w:val="21"/>
                    </w:rPr>
                    <w:t>、</w:t>
                  </w:r>
                  <w:r>
                    <w:rPr>
                      <w:rFonts w:ascii="Times New Roman" w:hAnsi="Times New Roman" w:eastAsia="宋体" w:cs="Times New Roman"/>
                      <w:color w:val="auto"/>
                      <w:position w:val="1"/>
                      <w:sz w:val="21"/>
                    </w:rPr>
                    <w:t>NOx</w:t>
                  </w:r>
                  <w:r>
                    <w:rPr>
                      <w:rFonts w:ascii="Times New Roman" w:hAnsi="Times New Roman" w:eastAsia="宋体"/>
                      <w:color w:val="auto"/>
                      <w:spacing w:val="2"/>
                      <w:position w:val="1"/>
                      <w:sz w:val="21"/>
                    </w:rPr>
                    <w:t>、烟尘</w:t>
                  </w:r>
                </w:p>
              </w:tc>
            </w:tr>
            <w:tr w14:paraId="461E5F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793" w:hRule="atLeast"/>
                <w:tblHeader/>
              </w:trPr>
              <w:tc>
                <w:tcPr>
                  <w:tcW w:w="0" w:type="auto"/>
                  <w:vMerge w:val="restart"/>
                  <w:tcBorders>
                    <w:tl2br w:val="nil"/>
                    <w:tr2bl w:val="nil"/>
                  </w:tcBorders>
                  <w:vAlign w:val="center"/>
                </w:tcPr>
                <w:p w14:paraId="380EC753">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1973F4B8">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77240B55">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1E2CFE08">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47A85FB5">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763355D4">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10"/>
                      <w:sz w:val="21"/>
                    </w:rPr>
                    <w:t>2</w:t>
                  </w:r>
                </w:p>
              </w:tc>
              <w:tc>
                <w:tcPr>
                  <w:tcW w:w="0" w:type="auto"/>
                  <w:vMerge w:val="restart"/>
                  <w:tcBorders>
                    <w:tl2br w:val="nil"/>
                    <w:tr2bl w:val="nil"/>
                  </w:tcBorders>
                  <w:shd w:val="clear" w:color="auto" w:fill="auto"/>
                  <w:vAlign w:val="center"/>
                </w:tcPr>
                <w:p w14:paraId="5460EC16">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ascii="Times New Roman" w:hAnsi="Times New Roman" w:eastAsia="宋体"/>
                      <w:color w:val="auto"/>
                      <w:spacing w:val="-8"/>
                      <w:sz w:val="21"/>
                    </w:rPr>
                    <w:t>废</w:t>
                  </w:r>
                  <w:r>
                    <w:rPr>
                      <w:rFonts w:hint="eastAsia" w:ascii="Times New Roman" w:hAnsi="Times New Roman" w:eastAsia="宋体"/>
                      <w:color w:val="auto"/>
                      <w:spacing w:val="-8"/>
                      <w:sz w:val="21"/>
                      <w:lang w:val="en-US" w:eastAsia="zh-CN"/>
                    </w:rPr>
                    <w:t>水</w:t>
                  </w:r>
                </w:p>
              </w:tc>
              <w:tc>
                <w:tcPr>
                  <w:tcW w:w="0" w:type="auto"/>
                  <w:vMerge w:val="restart"/>
                  <w:tcBorders>
                    <w:tl2br w:val="nil"/>
                    <w:tr2bl w:val="nil"/>
                  </w:tcBorders>
                  <w:shd w:val="clear" w:color="auto" w:fill="auto"/>
                  <w:vAlign w:val="center"/>
                </w:tcPr>
                <w:p w14:paraId="07D914A0">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olor w:val="auto"/>
                      <w:sz w:val="21"/>
                      <w:szCs w:val="21"/>
                      <w:highlight w:val="none"/>
                      <w:lang w:eastAsia="zh-CN"/>
                    </w:rPr>
                  </w:pPr>
                  <w:r>
                    <w:rPr>
                      <w:rFonts w:ascii="Times New Roman" w:hAnsi="Times New Roman" w:eastAsia="宋体"/>
                      <w:color w:val="auto"/>
                      <w:spacing w:val="-2"/>
                      <w:sz w:val="21"/>
                    </w:rPr>
                    <w:t>电泳线</w:t>
                  </w:r>
                </w:p>
              </w:tc>
              <w:tc>
                <w:tcPr>
                  <w:tcW w:w="0" w:type="auto"/>
                  <w:tcBorders>
                    <w:tl2br w:val="nil"/>
                    <w:tr2bl w:val="nil"/>
                  </w:tcBorders>
                  <w:shd w:val="clear" w:color="auto" w:fill="auto"/>
                  <w:vAlign w:val="center"/>
                </w:tcPr>
                <w:p w14:paraId="789BDCCA">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4"/>
                      <w:sz w:val="21"/>
                    </w:rPr>
                  </w:pPr>
                  <w:r>
                    <w:rPr>
                      <w:rFonts w:hint="eastAsia" w:ascii="Times New Roman" w:hAnsi="Times New Roman"/>
                      <w:color w:val="auto"/>
                      <w:spacing w:val="6"/>
                      <w:sz w:val="21"/>
                      <w:lang w:val="en-US" w:eastAsia="zh-CN"/>
                    </w:rPr>
                    <w:t>纯</w:t>
                  </w:r>
                  <w:r>
                    <w:rPr>
                      <w:rFonts w:ascii="Times New Roman" w:hAnsi="Times New Roman" w:eastAsia="宋体"/>
                      <w:color w:val="auto"/>
                      <w:spacing w:val="6"/>
                      <w:sz w:val="21"/>
                    </w:rPr>
                    <w:t>水洗废水</w:t>
                  </w:r>
                </w:p>
              </w:tc>
              <w:tc>
                <w:tcPr>
                  <w:tcW w:w="0" w:type="auto"/>
                  <w:tcBorders>
                    <w:tl2br w:val="nil"/>
                    <w:tr2bl w:val="nil"/>
                  </w:tcBorders>
                  <w:shd w:val="clear" w:color="auto" w:fill="auto"/>
                  <w:vAlign w:val="center"/>
                </w:tcPr>
                <w:p w14:paraId="0E1C0547">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14"/>
                      <w:position w:val="2"/>
                      <w:sz w:val="21"/>
                      <w:szCs w:val="20"/>
                    </w:rPr>
                    <w:t>W</w:t>
                  </w:r>
                  <w:r>
                    <w:rPr>
                      <w:rFonts w:hint="eastAsia" w:cs="Times New Roman"/>
                      <w:color w:val="auto"/>
                      <w:spacing w:val="14"/>
                      <w:position w:val="2"/>
                      <w:sz w:val="21"/>
                      <w:szCs w:val="20"/>
                      <w:lang w:val="en-US" w:eastAsia="zh-CN"/>
                    </w:rPr>
                    <w:t>6</w:t>
                  </w:r>
                </w:p>
              </w:tc>
              <w:tc>
                <w:tcPr>
                  <w:tcW w:w="0" w:type="auto"/>
                  <w:tcBorders>
                    <w:tl2br w:val="nil"/>
                    <w:tr2bl w:val="nil"/>
                  </w:tcBorders>
                  <w:shd w:val="clear" w:color="auto" w:fill="auto"/>
                  <w:vAlign w:val="center"/>
                </w:tcPr>
                <w:p w14:paraId="593913AE">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s="Times New Roman"/>
                      <w:color w:val="auto"/>
                      <w:sz w:val="21"/>
                    </w:rPr>
                    <w:t>pH</w:t>
                  </w:r>
                  <w:r>
                    <w:rPr>
                      <w:rFonts w:ascii="Times New Roman" w:hAnsi="Times New Roman" w:eastAsia="宋体"/>
                      <w:color w:val="auto"/>
                      <w:spacing w:val="5"/>
                      <w:sz w:val="21"/>
                    </w:rPr>
                    <w:t>、</w:t>
                  </w:r>
                  <w:r>
                    <w:rPr>
                      <w:rFonts w:ascii="Times New Roman" w:hAnsi="Times New Roman" w:eastAsia="宋体" w:cs="Times New Roman"/>
                      <w:color w:val="auto"/>
                      <w:sz w:val="21"/>
                    </w:rPr>
                    <w:t>CODcr</w:t>
                  </w:r>
                  <w:r>
                    <w:rPr>
                      <w:rFonts w:ascii="Times New Roman" w:hAnsi="Times New Roman" w:eastAsia="宋体"/>
                      <w:color w:val="auto"/>
                      <w:spacing w:val="5"/>
                      <w:sz w:val="21"/>
                    </w:rPr>
                    <w:t>、</w:t>
                  </w:r>
                  <w:r>
                    <w:rPr>
                      <w:rFonts w:ascii="Times New Roman" w:hAnsi="Times New Roman" w:eastAsia="宋体" w:cs="Times New Roman"/>
                      <w:color w:val="auto"/>
                      <w:sz w:val="21"/>
                    </w:rPr>
                    <w:t>BOD</w:t>
                  </w:r>
                  <w:r>
                    <w:rPr>
                      <w:rFonts w:ascii="Times New Roman" w:hAnsi="Times New Roman" w:eastAsia="宋体" w:cs="Times New Roman"/>
                      <w:color w:val="auto"/>
                      <w:spacing w:val="5"/>
                      <w:position w:val="-1"/>
                      <w:sz w:val="21"/>
                      <w:szCs w:val="13"/>
                      <w:vertAlign w:val="subscript"/>
                    </w:rPr>
                    <w:t>5</w:t>
                  </w:r>
                  <w:r>
                    <w:rPr>
                      <w:rFonts w:ascii="Times New Roman" w:hAnsi="Times New Roman" w:eastAsia="宋体"/>
                      <w:color w:val="auto"/>
                      <w:spacing w:val="5"/>
                      <w:sz w:val="21"/>
                    </w:rPr>
                    <w:t>、</w:t>
                  </w:r>
                  <w:r>
                    <w:rPr>
                      <w:rFonts w:ascii="Times New Roman" w:hAnsi="Times New Roman" w:eastAsia="宋体" w:cs="Times New Roman"/>
                      <w:color w:val="auto"/>
                      <w:sz w:val="21"/>
                    </w:rPr>
                    <w:t>SS</w:t>
                  </w:r>
                  <w:r>
                    <w:rPr>
                      <w:rFonts w:ascii="Times New Roman" w:hAnsi="Times New Roman" w:eastAsia="宋体"/>
                      <w:color w:val="auto"/>
                      <w:spacing w:val="5"/>
                      <w:sz w:val="21"/>
                    </w:rPr>
                    <w:t>、石油</w:t>
                  </w:r>
                  <w:r>
                    <w:rPr>
                      <w:rFonts w:ascii="Times New Roman" w:hAnsi="Times New Roman" w:eastAsia="宋体"/>
                      <w:color w:val="auto"/>
                      <w:sz w:val="21"/>
                    </w:rPr>
                    <w:t>类</w:t>
                  </w:r>
                </w:p>
              </w:tc>
            </w:tr>
            <w:tr w14:paraId="05D4D0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blHeader/>
              </w:trPr>
              <w:tc>
                <w:tcPr>
                  <w:tcW w:w="0" w:type="auto"/>
                  <w:vMerge w:val="continue"/>
                  <w:tcBorders>
                    <w:tl2br w:val="nil"/>
                    <w:tr2bl w:val="nil"/>
                  </w:tcBorders>
                  <w:vAlign w:val="center"/>
                </w:tcPr>
                <w:p w14:paraId="2854672B">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6310042B">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eastAsia="宋体"/>
                      <w:color w:val="auto"/>
                      <w:sz w:val="21"/>
                      <w:highlight w:val="none"/>
                      <w:lang w:val="en-US" w:eastAsia="zh-CN"/>
                    </w:rPr>
                  </w:pPr>
                </w:p>
              </w:tc>
              <w:tc>
                <w:tcPr>
                  <w:tcW w:w="0" w:type="auto"/>
                  <w:vMerge w:val="continue"/>
                  <w:tcBorders>
                    <w:tl2br w:val="nil"/>
                    <w:tr2bl w:val="nil"/>
                  </w:tcBorders>
                  <w:vAlign w:val="center"/>
                </w:tcPr>
                <w:p w14:paraId="0F9EFE64">
                  <w:pPr>
                    <w:pStyle w:val="95"/>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olor w:val="auto"/>
                      <w:sz w:val="21"/>
                      <w:highlight w:val="none"/>
                      <w:lang w:val="en-US" w:eastAsia="zh-CN"/>
                    </w:rPr>
                  </w:pPr>
                </w:p>
              </w:tc>
              <w:tc>
                <w:tcPr>
                  <w:tcW w:w="0" w:type="auto"/>
                  <w:tcBorders>
                    <w:tl2br w:val="nil"/>
                    <w:tr2bl w:val="nil"/>
                  </w:tcBorders>
                  <w:vAlign w:val="center"/>
                </w:tcPr>
                <w:p w14:paraId="1B3DFCDA">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8"/>
                      <w:sz w:val="21"/>
                    </w:rPr>
                  </w:pPr>
                  <w:r>
                    <w:rPr>
                      <w:rFonts w:ascii="Times New Roman" w:hAnsi="Times New Roman" w:eastAsia="宋体"/>
                      <w:color w:val="auto"/>
                      <w:spacing w:val="7"/>
                      <w:sz w:val="21"/>
                    </w:rPr>
                    <w:t>脱脂废水</w:t>
                  </w:r>
                </w:p>
              </w:tc>
              <w:tc>
                <w:tcPr>
                  <w:tcW w:w="0" w:type="auto"/>
                  <w:tcBorders>
                    <w:tl2br w:val="nil"/>
                    <w:tr2bl w:val="nil"/>
                  </w:tcBorders>
                  <w:shd w:val="clear" w:color="auto" w:fill="auto"/>
                  <w:vAlign w:val="center"/>
                </w:tcPr>
                <w:p w14:paraId="0AB90C14">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4"/>
                      <w:position w:val="2"/>
                      <w:sz w:val="21"/>
                      <w:szCs w:val="20"/>
                    </w:rPr>
                    <w:t>W</w:t>
                  </w:r>
                  <w:r>
                    <w:rPr>
                      <w:rFonts w:hint="eastAsia" w:cs="Times New Roman"/>
                      <w:color w:val="auto"/>
                      <w:spacing w:val="4"/>
                      <w:position w:val="2"/>
                      <w:sz w:val="21"/>
                      <w:szCs w:val="20"/>
                      <w:lang w:val="en-US" w:eastAsia="zh-CN"/>
                    </w:rPr>
                    <w:t>1</w:t>
                  </w:r>
                </w:p>
              </w:tc>
              <w:tc>
                <w:tcPr>
                  <w:tcW w:w="0" w:type="auto"/>
                  <w:tcBorders>
                    <w:tl2br w:val="nil"/>
                    <w:tr2bl w:val="nil"/>
                  </w:tcBorders>
                  <w:shd w:val="clear" w:color="auto" w:fill="auto"/>
                  <w:vAlign w:val="center"/>
                </w:tcPr>
                <w:p w14:paraId="68091B11">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sz w:val="21"/>
                    </w:rPr>
                    <w:t>pH</w:t>
                  </w:r>
                  <w:r>
                    <w:rPr>
                      <w:rFonts w:ascii="Times New Roman" w:hAnsi="Times New Roman" w:eastAsia="宋体"/>
                      <w:color w:val="auto"/>
                      <w:spacing w:val="5"/>
                      <w:sz w:val="21"/>
                    </w:rPr>
                    <w:t>、</w:t>
                  </w:r>
                  <w:r>
                    <w:rPr>
                      <w:rFonts w:ascii="Times New Roman" w:hAnsi="Times New Roman" w:eastAsia="宋体" w:cs="Times New Roman"/>
                      <w:color w:val="auto"/>
                      <w:sz w:val="21"/>
                    </w:rPr>
                    <w:t>CODcr</w:t>
                  </w:r>
                  <w:r>
                    <w:rPr>
                      <w:rFonts w:ascii="Times New Roman" w:hAnsi="Times New Roman" w:eastAsia="宋体"/>
                      <w:color w:val="auto"/>
                      <w:spacing w:val="5"/>
                      <w:sz w:val="21"/>
                    </w:rPr>
                    <w:t>、</w:t>
                  </w:r>
                  <w:r>
                    <w:rPr>
                      <w:rFonts w:ascii="Times New Roman" w:hAnsi="Times New Roman" w:eastAsia="宋体" w:cs="Times New Roman"/>
                      <w:color w:val="auto"/>
                      <w:sz w:val="21"/>
                    </w:rPr>
                    <w:t>BOD</w:t>
                  </w:r>
                  <w:r>
                    <w:rPr>
                      <w:rFonts w:ascii="Times New Roman" w:hAnsi="Times New Roman" w:eastAsia="宋体" w:cs="Times New Roman"/>
                      <w:color w:val="auto"/>
                      <w:spacing w:val="5"/>
                      <w:position w:val="-1"/>
                      <w:sz w:val="21"/>
                      <w:szCs w:val="13"/>
                      <w:vertAlign w:val="subscript"/>
                    </w:rPr>
                    <w:t>5</w:t>
                  </w:r>
                  <w:r>
                    <w:rPr>
                      <w:rFonts w:ascii="Times New Roman" w:hAnsi="Times New Roman" w:eastAsia="宋体"/>
                      <w:color w:val="auto"/>
                      <w:spacing w:val="5"/>
                      <w:sz w:val="21"/>
                    </w:rPr>
                    <w:t>、</w:t>
                  </w:r>
                  <w:r>
                    <w:rPr>
                      <w:rFonts w:ascii="Times New Roman" w:hAnsi="Times New Roman" w:eastAsia="宋体" w:cs="Times New Roman"/>
                      <w:color w:val="auto"/>
                      <w:sz w:val="21"/>
                    </w:rPr>
                    <w:t>SS</w:t>
                  </w:r>
                  <w:r>
                    <w:rPr>
                      <w:rFonts w:ascii="Times New Roman" w:hAnsi="Times New Roman" w:eastAsia="宋体"/>
                      <w:color w:val="auto"/>
                      <w:spacing w:val="5"/>
                      <w:sz w:val="21"/>
                    </w:rPr>
                    <w:t>、石油</w:t>
                  </w:r>
                  <w:r>
                    <w:rPr>
                      <w:rFonts w:ascii="Times New Roman" w:hAnsi="Times New Roman" w:eastAsia="宋体"/>
                      <w:color w:val="auto"/>
                      <w:spacing w:val="14"/>
                      <w:sz w:val="21"/>
                    </w:rPr>
                    <w:t>类、</w:t>
                  </w:r>
                  <w:r>
                    <w:rPr>
                      <w:rFonts w:ascii="Times New Roman" w:hAnsi="Times New Roman" w:eastAsia="宋体" w:cs="Times New Roman"/>
                      <w:color w:val="auto"/>
                      <w:sz w:val="21"/>
                    </w:rPr>
                    <w:t>LAS</w:t>
                  </w:r>
                </w:p>
              </w:tc>
            </w:tr>
            <w:tr w14:paraId="75BBBE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139" w:hRule="atLeast"/>
                <w:tblHeader/>
              </w:trPr>
              <w:tc>
                <w:tcPr>
                  <w:tcW w:w="0" w:type="auto"/>
                  <w:vMerge w:val="continue"/>
                  <w:tcBorders>
                    <w:tl2br w:val="nil"/>
                    <w:tr2bl w:val="nil"/>
                  </w:tcBorders>
                  <w:vAlign w:val="center"/>
                </w:tcPr>
                <w:p w14:paraId="5DE3C641">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4585B59D">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68B38055">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olor w:val="auto"/>
                      <w:sz w:val="21"/>
                      <w:szCs w:val="21"/>
                      <w:highlight w:val="none"/>
                      <w:lang w:eastAsia="zh-CN"/>
                    </w:rPr>
                  </w:pPr>
                </w:p>
              </w:tc>
              <w:tc>
                <w:tcPr>
                  <w:tcW w:w="0" w:type="auto"/>
                  <w:vMerge w:val="restart"/>
                  <w:tcBorders>
                    <w:tl2br w:val="nil"/>
                    <w:tr2bl w:val="nil"/>
                  </w:tcBorders>
                  <w:vAlign w:val="center"/>
                </w:tcPr>
                <w:p w14:paraId="03D6CCB2">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16DD3B1F">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r>
                    <w:rPr>
                      <w:rFonts w:ascii="Times New Roman" w:hAnsi="Times New Roman" w:eastAsia="宋体"/>
                      <w:color w:val="auto"/>
                      <w:spacing w:val="7"/>
                      <w:sz w:val="21"/>
                    </w:rPr>
                    <w:t>脱脂后水洗</w:t>
                  </w:r>
                </w:p>
                <w:p w14:paraId="199F4057">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4"/>
                      <w:sz w:val="21"/>
                    </w:rPr>
                  </w:pPr>
                  <w:r>
                    <w:rPr>
                      <w:rFonts w:ascii="Times New Roman" w:hAnsi="Times New Roman" w:eastAsia="宋体"/>
                      <w:color w:val="auto"/>
                      <w:spacing w:val="5"/>
                      <w:sz w:val="21"/>
                    </w:rPr>
                    <w:t>废水</w:t>
                  </w:r>
                </w:p>
              </w:tc>
              <w:tc>
                <w:tcPr>
                  <w:tcW w:w="0" w:type="auto"/>
                  <w:tcBorders>
                    <w:tl2br w:val="nil"/>
                    <w:tr2bl w:val="nil"/>
                  </w:tcBorders>
                  <w:shd w:val="clear" w:color="auto" w:fill="auto"/>
                  <w:vAlign w:val="center"/>
                </w:tcPr>
                <w:p w14:paraId="78E82F5A">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4"/>
                      <w:position w:val="2"/>
                      <w:sz w:val="21"/>
                      <w:szCs w:val="20"/>
                    </w:rPr>
                    <w:t>W</w:t>
                  </w:r>
                  <w:r>
                    <w:rPr>
                      <w:rFonts w:hint="eastAsia" w:cs="Times New Roman"/>
                      <w:color w:val="auto"/>
                      <w:spacing w:val="4"/>
                      <w:position w:val="2"/>
                      <w:sz w:val="21"/>
                      <w:szCs w:val="20"/>
                      <w:lang w:val="en-US" w:eastAsia="zh-CN"/>
                    </w:rPr>
                    <w:t>2</w:t>
                  </w:r>
                </w:p>
              </w:tc>
              <w:tc>
                <w:tcPr>
                  <w:tcW w:w="0" w:type="auto"/>
                  <w:tcBorders>
                    <w:tl2br w:val="nil"/>
                    <w:tr2bl w:val="nil"/>
                  </w:tcBorders>
                  <w:shd w:val="clear" w:color="auto" w:fill="auto"/>
                  <w:vAlign w:val="center"/>
                </w:tcPr>
                <w:p w14:paraId="440CF7A5">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sz w:val="21"/>
                    </w:rPr>
                    <w:t>pH</w:t>
                  </w:r>
                  <w:r>
                    <w:rPr>
                      <w:rFonts w:ascii="Times New Roman" w:hAnsi="Times New Roman" w:eastAsia="宋体"/>
                      <w:color w:val="auto"/>
                      <w:spacing w:val="5"/>
                      <w:sz w:val="21"/>
                    </w:rPr>
                    <w:t>、</w:t>
                  </w:r>
                  <w:r>
                    <w:rPr>
                      <w:rFonts w:ascii="Times New Roman" w:hAnsi="Times New Roman" w:eastAsia="宋体" w:cs="Times New Roman"/>
                      <w:color w:val="auto"/>
                      <w:sz w:val="21"/>
                    </w:rPr>
                    <w:t>CODcr</w:t>
                  </w:r>
                  <w:r>
                    <w:rPr>
                      <w:rFonts w:ascii="Times New Roman" w:hAnsi="Times New Roman" w:eastAsia="宋体"/>
                      <w:color w:val="auto"/>
                      <w:spacing w:val="5"/>
                      <w:sz w:val="21"/>
                    </w:rPr>
                    <w:t>、</w:t>
                  </w:r>
                  <w:r>
                    <w:rPr>
                      <w:rFonts w:ascii="Times New Roman" w:hAnsi="Times New Roman" w:eastAsia="宋体" w:cs="Times New Roman"/>
                      <w:color w:val="auto"/>
                      <w:sz w:val="21"/>
                    </w:rPr>
                    <w:t>BOD</w:t>
                  </w:r>
                  <w:r>
                    <w:rPr>
                      <w:rFonts w:ascii="Times New Roman" w:hAnsi="Times New Roman" w:eastAsia="宋体" w:cs="Times New Roman"/>
                      <w:color w:val="auto"/>
                      <w:spacing w:val="5"/>
                      <w:position w:val="-1"/>
                      <w:sz w:val="21"/>
                      <w:szCs w:val="13"/>
                      <w:vertAlign w:val="subscript"/>
                    </w:rPr>
                    <w:t>5</w:t>
                  </w:r>
                  <w:r>
                    <w:rPr>
                      <w:rFonts w:ascii="Times New Roman" w:hAnsi="Times New Roman" w:eastAsia="宋体"/>
                      <w:color w:val="auto"/>
                      <w:spacing w:val="5"/>
                      <w:sz w:val="21"/>
                    </w:rPr>
                    <w:t>、</w:t>
                  </w:r>
                  <w:r>
                    <w:rPr>
                      <w:rFonts w:ascii="Times New Roman" w:hAnsi="Times New Roman" w:eastAsia="宋体" w:cs="Times New Roman"/>
                      <w:color w:val="auto"/>
                      <w:sz w:val="21"/>
                    </w:rPr>
                    <w:t>SS</w:t>
                  </w:r>
                  <w:r>
                    <w:rPr>
                      <w:rFonts w:ascii="Times New Roman" w:hAnsi="Times New Roman" w:eastAsia="宋体"/>
                      <w:color w:val="auto"/>
                      <w:spacing w:val="5"/>
                      <w:sz w:val="21"/>
                    </w:rPr>
                    <w:t>、石油</w:t>
                  </w:r>
                  <w:r>
                    <w:rPr>
                      <w:rFonts w:ascii="Times New Roman" w:hAnsi="Times New Roman" w:eastAsia="宋体"/>
                      <w:color w:val="auto"/>
                      <w:spacing w:val="14"/>
                      <w:sz w:val="21"/>
                    </w:rPr>
                    <w:t>类、</w:t>
                  </w:r>
                  <w:r>
                    <w:rPr>
                      <w:rFonts w:ascii="Times New Roman" w:hAnsi="Times New Roman" w:eastAsia="宋体" w:cs="Times New Roman"/>
                      <w:color w:val="auto"/>
                      <w:sz w:val="21"/>
                    </w:rPr>
                    <w:t>LAS</w:t>
                  </w:r>
                </w:p>
              </w:tc>
            </w:tr>
            <w:tr w14:paraId="33DDF6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139" w:hRule="atLeast"/>
                <w:tblHeader/>
              </w:trPr>
              <w:tc>
                <w:tcPr>
                  <w:tcW w:w="0" w:type="auto"/>
                  <w:vMerge w:val="continue"/>
                  <w:tcBorders>
                    <w:tl2br w:val="nil"/>
                    <w:tr2bl w:val="nil"/>
                  </w:tcBorders>
                  <w:vAlign w:val="center"/>
                </w:tcPr>
                <w:p w14:paraId="26370B1A">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tc>
              <w:tc>
                <w:tcPr>
                  <w:tcW w:w="0" w:type="auto"/>
                  <w:vMerge w:val="continue"/>
                  <w:tcBorders>
                    <w:tl2br w:val="nil"/>
                    <w:tr2bl w:val="nil"/>
                  </w:tcBorders>
                  <w:vAlign w:val="center"/>
                </w:tcPr>
                <w:p w14:paraId="2702B4CC">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tc>
              <w:tc>
                <w:tcPr>
                  <w:tcW w:w="0" w:type="auto"/>
                  <w:vMerge w:val="continue"/>
                  <w:tcBorders>
                    <w:tl2br w:val="nil"/>
                    <w:tr2bl w:val="nil"/>
                  </w:tcBorders>
                  <w:vAlign w:val="center"/>
                </w:tcPr>
                <w:p w14:paraId="3502E5E5">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tc>
              <w:tc>
                <w:tcPr>
                  <w:tcW w:w="0" w:type="auto"/>
                  <w:vMerge w:val="continue"/>
                  <w:tcBorders>
                    <w:tl2br w:val="nil"/>
                    <w:tr2bl w:val="nil"/>
                  </w:tcBorders>
                  <w:vAlign w:val="center"/>
                </w:tcPr>
                <w:p w14:paraId="5B0094DF">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tc>
              <w:tc>
                <w:tcPr>
                  <w:tcW w:w="0" w:type="auto"/>
                  <w:tcBorders>
                    <w:tl2br w:val="nil"/>
                    <w:tr2bl w:val="nil"/>
                  </w:tcBorders>
                  <w:shd w:val="clear" w:color="auto" w:fill="auto"/>
                  <w:vAlign w:val="center"/>
                </w:tcPr>
                <w:p w14:paraId="3816F086">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4"/>
                      <w:position w:val="2"/>
                      <w:sz w:val="21"/>
                      <w:szCs w:val="20"/>
                    </w:rPr>
                    <w:t>W</w:t>
                  </w:r>
                  <w:r>
                    <w:rPr>
                      <w:rFonts w:hint="eastAsia" w:cs="Times New Roman"/>
                      <w:color w:val="auto"/>
                      <w:spacing w:val="4"/>
                      <w:position w:val="2"/>
                      <w:sz w:val="21"/>
                      <w:szCs w:val="20"/>
                      <w:lang w:val="en-US" w:eastAsia="zh-CN"/>
                    </w:rPr>
                    <w:t>3</w:t>
                  </w:r>
                </w:p>
              </w:tc>
              <w:tc>
                <w:tcPr>
                  <w:tcW w:w="0" w:type="auto"/>
                  <w:tcBorders>
                    <w:tl2br w:val="nil"/>
                    <w:tr2bl w:val="nil"/>
                  </w:tcBorders>
                  <w:shd w:val="clear" w:color="auto" w:fill="auto"/>
                  <w:vAlign w:val="center"/>
                </w:tcPr>
                <w:p w14:paraId="1D2EDB5D">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sz w:val="21"/>
                    </w:rPr>
                    <w:t>pH</w:t>
                  </w:r>
                  <w:r>
                    <w:rPr>
                      <w:rFonts w:ascii="Times New Roman" w:hAnsi="Times New Roman" w:eastAsia="宋体"/>
                      <w:color w:val="auto"/>
                      <w:spacing w:val="5"/>
                      <w:sz w:val="21"/>
                    </w:rPr>
                    <w:t>、</w:t>
                  </w:r>
                  <w:r>
                    <w:rPr>
                      <w:rFonts w:ascii="Times New Roman" w:hAnsi="Times New Roman" w:eastAsia="宋体" w:cs="Times New Roman"/>
                      <w:color w:val="auto"/>
                      <w:sz w:val="21"/>
                    </w:rPr>
                    <w:t>CODcr</w:t>
                  </w:r>
                  <w:r>
                    <w:rPr>
                      <w:rFonts w:ascii="Times New Roman" w:hAnsi="Times New Roman" w:eastAsia="宋体"/>
                      <w:color w:val="auto"/>
                      <w:spacing w:val="5"/>
                      <w:sz w:val="21"/>
                    </w:rPr>
                    <w:t>、</w:t>
                  </w:r>
                  <w:r>
                    <w:rPr>
                      <w:rFonts w:ascii="Times New Roman" w:hAnsi="Times New Roman" w:eastAsia="宋体" w:cs="Times New Roman"/>
                      <w:color w:val="auto"/>
                      <w:sz w:val="21"/>
                    </w:rPr>
                    <w:t>BOD</w:t>
                  </w:r>
                  <w:r>
                    <w:rPr>
                      <w:rFonts w:ascii="Times New Roman" w:hAnsi="Times New Roman" w:eastAsia="宋体" w:cs="Times New Roman"/>
                      <w:color w:val="auto"/>
                      <w:spacing w:val="5"/>
                      <w:position w:val="-1"/>
                      <w:sz w:val="21"/>
                      <w:szCs w:val="13"/>
                      <w:vertAlign w:val="subscript"/>
                    </w:rPr>
                    <w:t>5</w:t>
                  </w:r>
                  <w:r>
                    <w:rPr>
                      <w:rFonts w:ascii="Times New Roman" w:hAnsi="Times New Roman" w:eastAsia="宋体"/>
                      <w:color w:val="auto"/>
                      <w:spacing w:val="5"/>
                      <w:sz w:val="21"/>
                    </w:rPr>
                    <w:t>、</w:t>
                  </w:r>
                  <w:r>
                    <w:rPr>
                      <w:rFonts w:ascii="Times New Roman" w:hAnsi="Times New Roman" w:eastAsia="宋体" w:cs="Times New Roman"/>
                      <w:color w:val="auto"/>
                      <w:sz w:val="21"/>
                    </w:rPr>
                    <w:t>SS</w:t>
                  </w:r>
                  <w:r>
                    <w:rPr>
                      <w:rFonts w:ascii="Times New Roman" w:hAnsi="Times New Roman" w:eastAsia="宋体"/>
                      <w:color w:val="auto"/>
                      <w:spacing w:val="5"/>
                      <w:sz w:val="21"/>
                    </w:rPr>
                    <w:t>、石油</w:t>
                  </w:r>
                  <w:r>
                    <w:rPr>
                      <w:rFonts w:ascii="Times New Roman" w:hAnsi="Times New Roman" w:eastAsia="宋体"/>
                      <w:color w:val="auto"/>
                      <w:spacing w:val="14"/>
                      <w:sz w:val="21"/>
                    </w:rPr>
                    <w:t>类、</w:t>
                  </w:r>
                  <w:r>
                    <w:rPr>
                      <w:rFonts w:ascii="Times New Roman" w:hAnsi="Times New Roman" w:eastAsia="宋体" w:cs="Times New Roman"/>
                      <w:color w:val="auto"/>
                      <w:sz w:val="21"/>
                    </w:rPr>
                    <w:t>LAS</w:t>
                  </w:r>
                </w:p>
              </w:tc>
            </w:tr>
            <w:tr w14:paraId="2032FE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9" w:hRule="atLeast"/>
                <w:tblHeader/>
              </w:trPr>
              <w:tc>
                <w:tcPr>
                  <w:tcW w:w="0" w:type="auto"/>
                  <w:vMerge w:val="continue"/>
                  <w:tcBorders>
                    <w:tl2br w:val="nil"/>
                    <w:tr2bl w:val="nil"/>
                  </w:tcBorders>
                  <w:vAlign w:val="center"/>
                </w:tcPr>
                <w:p w14:paraId="2D6C9C7E">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3F1C7637">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highlight w:val="none"/>
                    </w:rPr>
                  </w:pPr>
                </w:p>
              </w:tc>
              <w:tc>
                <w:tcPr>
                  <w:tcW w:w="0" w:type="auto"/>
                  <w:vMerge w:val="continue"/>
                  <w:tcBorders>
                    <w:tl2br w:val="nil"/>
                    <w:tr2bl w:val="nil"/>
                  </w:tcBorders>
                  <w:vAlign w:val="center"/>
                </w:tcPr>
                <w:p w14:paraId="2D11860D">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olor w:val="auto"/>
                      <w:sz w:val="21"/>
                      <w:szCs w:val="21"/>
                      <w:highlight w:val="none"/>
                      <w:lang w:eastAsia="zh-CN"/>
                    </w:rPr>
                  </w:pPr>
                </w:p>
              </w:tc>
              <w:tc>
                <w:tcPr>
                  <w:tcW w:w="0" w:type="auto"/>
                  <w:vMerge w:val="restart"/>
                  <w:tcBorders>
                    <w:tl2br w:val="nil"/>
                    <w:tr2bl w:val="nil"/>
                  </w:tcBorders>
                  <w:vAlign w:val="center"/>
                </w:tcPr>
                <w:p w14:paraId="7554EC80">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36B8C2D3">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r>
                    <w:rPr>
                      <w:rFonts w:ascii="Times New Roman" w:hAnsi="Times New Roman" w:eastAsia="宋体"/>
                      <w:color w:val="auto"/>
                      <w:spacing w:val="8"/>
                      <w:sz w:val="21"/>
                    </w:rPr>
                    <w:t>硅烷后水洗</w:t>
                  </w:r>
                </w:p>
                <w:p w14:paraId="75809C12">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4"/>
                      <w:sz w:val="21"/>
                    </w:rPr>
                  </w:pPr>
                  <w:r>
                    <w:rPr>
                      <w:rFonts w:ascii="Times New Roman" w:hAnsi="Times New Roman" w:eastAsia="宋体"/>
                      <w:color w:val="auto"/>
                      <w:spacing w:val="5"/>
                      <w:sz w:val="21"/>
                    </w:rPr>
                    <w:t>废水</w:t>
                  </w:r>
                </w:p>
              </w:tc>
              <w:tc>
                <w:tcPr>
                  <w:tcW w:w="0" w:type="auto"/>
                  <w:tcBorders>
                    <w:tl2br w:val="nil"/>
                    <w:tr2bl w:val="nil"/>
                  </w:tcBorders>
                  <w:shd w:val="clear" w:color="auto" w:fill="auto"/>
                  <w:vAlign w:val="center"/>
                </w:tcPr>
                <w:p w14:paraId="3A9D40AD">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4"/>
                      <w:sz w:val="21"/>
                      <w:szCs w:val="20"/>
                    </w:rPr>
                    <w:t>W</w:t>
                  </w:r>
                  <w:r>
                    <w:rPr>
                      <w:rFonts w:hint="eastAsia" w:cs="Times New Roman"/>
                      <w:color w:val="auto"/>
                      <w:spacing w:val="4"/>
                      <w:sz w:val="21"/>
                      <w:szCs w:val="20"/>
                      <w:lang w:val="en-US" w:eastAsia="zh-CN"/>
                    </w:rPr>
                    <w:t>4</w:t>
                  </w:r>
                </w:p>
              </w:tc>
              <w:tc>
                <w:tcPr>
                  <w:tcW w:w="0" w:type="auto"/>
                  <w:tcBorders>
                    <w:tl2br w:val="nil"/>
                    <w:tr2bl w:val="nil"/>
                  </w:tcBorders>
                  <w:shd w:val="clear" w:color="auto" w:fill="auto"/>
                  <w:vAlign w:val="center"/>
                </w:tcPr>
                <w:p w14:paraId="772EE659">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s="Times New Roman"/>
                      <w:color w:val="auto"/>
                      <w:spacing w:val="-3"/>
                      <w:sz w:val="21"/>
                    </w:rPr>
                    <w:t>pH</w:t>
                  </w:r>
                  <w:r>
                    <w:rPr>
                      <w:rFonts w:ascii="Times New Roman" w:hAnsi="Times New Roman" w:eastAsia="宋体"/>
                      <w:color w:val="auto"/>
                      <w:spacing w:val="-3"/>
                      <w:sz w:val="21"/>
                    </w:rPr>
                    <w:t>、</w:t>
                  </w:r>
                  <w:r>
                    <w:rPr>
                      <w:rFonts w:ascii="Times New Roman" w:hAnsi="Times New Roman" w:eastAsia="宋体" w:cs="Times New Roman"/>
                      <w:color w:val="auto"/>
                      <w:spacing w:val="-3"/>
                      <w:sz w:val="21"/>
                    </w:rPr>
                    <w:t>CODcr</w:t>
                  </w:r>
                  <w:r>
                    <w:rPr>
                      <w:rFonts w:ascii="Times New Roman" w:hAnsi="Times New Roman" w:eastAsia="宋体"/>
                      <w:color w:val="auto"/>
                      <w:spacing w:val="-3"/>
                      <w:sz w:val="21"/>
                    </w:rPr>
                    <w:t>、</w:t>
                  </w:r>
                  <w:r>
                    <w:rPr>
                      <w:rFonts w:ascii="Times New Roman" w:hAnsi="Times New Roman" w:eastAsia="宋体" w:cs="Times New Roman"/>
                      <w:color w:val="auto"/>
                      <w:spacing w:val="-3"/>
                      <w:sz w:val="21"/>
                    </w:rPr>
                    <w:t>BOD</w:t>
                  </w:r>
                  <w:r>
                    <w:rPr>
                      <w:rFonts w:ascii="Times New Roman" w:hAnsi="Times New Roman" w:eastAsia="宋体" w:cs="Times New Roman"/>
                      <w:color w:val="auto"/>
                      <w:spacing w:val="-3"/>
                      <w:position w:val="-1"/>
                      <w:sz w:val="21"/>
                      <w:szCs w:val="13"/>
                      <w:vertAlign w:val="subscript"/>
                    </w:rPr>
                    <w:t>5</w:t>
                  </w:r>
                  <w:r>
                    <w:rPr>
                      <w:rFonts w:ascii="Times New Roman" w:hAnsi="Times New Roman" w:eastAsia="宋体"/>
                      <w:color w:val="auto"/>
                      <w:spacing w:val="-3"/>
                      <w:sz w:val="21"/>
                    </w:rPr>
                    <w:t>、</w:t>
                  </w:r>
                  <w:r>
                    <w:rPr>
                      <w:rFonts w:ascii="Times New Roman" w:hAnsi="Times New Roman" w:eastAsia="宋体" w:cs="Times New Roman"/>
                      <w:color w:val="auto"/>
                      <w:spacing w:val="-3"/>
                      <w:sz w:val="21"/>
                    </w:rPr>
                    <w:t>NH</w:t>
                  </w:r>
                  <w:r>
                    <w:rPr>
                      <w:rFonts w:ascii="Times New Roman" w:hAnsi="Times New Roman" w:eastAsia="宋体" w:cs="Times New Roman"/>
                      <w:color w:val="auto"/>
                      <w:spacing w:val="-3"/>
                      <w:sz w:val="21"/>
                      <w:szCs w:val="13"/>
                      <w:vertAlign w:val="subscript"/>
                    </w:rPr>
                    <w:t>3</w:t>
                  </w:r>
                  <w:r>
                    <w:rPr>
                      <w:rFonts w:ascii="Times New Roman" w:hAnsi="Times New Roman" w:eastAsia="宋体" w:cs="Times New Roman"/>
                      <w:color w:val="auto"/>
                      <w:spacing w:val="-3"/>
                      <w:sz w:val="21"/>
                    </w:rPr>
                    <w:t>-N</w:t>
                  </w:r>
                  <w:r>
                    <w:rPr>
                      <w:rFonts w:ascii="Times New Roman" w:hAnsi="Times New Roman" w:eastAsia="宋体"/>
                      <w:color w:val="auto"/>
                      <w:spacing w:val="-3"/>
                      <w:sz w:val="21"/>
                    </w:rPr>
                    <w:t>、</w:t>
                  </w:r>
                  <w:r>
                    <w:rPr>
                      <w:rFonts w:ascii="Times New Roman" w:hAnsi="Times New Roman" w:eastAsia="宋体" w:cs="Times New Roman"/>
                      <w:color w:val="auto"/>
                      <w:spacing w:val="-3"/>
                      <w:sz w:val="21"/>
                    </w:rPr>
                    <w:t>SS</w:t>
                  </w:r>
                  <w:r>
                    <w:rPr>
                      <w:rFonts w:ascii="Times New Roman" w:hAnsi="Times New Roman" w:eastAsia="宋体"/>
                      <w:color w:val="auto"/>
                      <w:spacing w:val="-3"/>
                      <w:sz w:val="21"/>
                    </w:rPr>
                    <w:t>、</w:t>
                  </w:r>
                  <w:r>
                    <w:rPr>
                      <w:rFonts w:ascii="Times New Roman" w:hAnsi="Times New Roman" w:eastAsia="宋体" w:cs="Times New Roman"/>
                      <w:color w:val="auto"/>
                      <w:sz w:val="21"/>
                    </w:rPr>
                    <w:t>TN</w:t>
                  </w:r>
                  <w:r>
                    <w:rPr>
                      <w:rFonts w:ascii="Times New Roman" w:hAnsi="Times New Roman" w:eastAsia="宋体"/>
                      <w:color w:val="auto"/>
                      <w:spacing w:val="5"/>
                      <w:sz w:val="21"/>
                    </w:rPr>
                    <w:t>、</w:t>
                  </w:r>
                </w:p>
              </w:tc>
            </w:tr>
            <w:tr w14:paraId="041146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89" w:hRule="atLeast"/>
                <w:tblHeader/>
              </w:trPr>
              <w:tc>
                <w:tcPr>
                  <w:tcW w:w="0" w:type="auto"/>
                  <w:vMerge w:val="continue"/>
                  <w:tcBorders>
                    <w:tl2br w:val="nil"/>
                    <w:tr2bl w:val="nil"/>
                  </w:tcBorders>
                  <w:vAlign w:val="center"/>
                </w:tcPr>
                <w:p w14:paraId="663BF007">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rPr>
                  </w:pPr>
                </w:p>
              </w:tc>
              <w:tc>
                <w:tcPr>
                  <w:tcW w:w="0" w:type="auto"/>
                  <w:vMerge w:val="continue"/>
                  <w:tcBorders>
                    <w:tl2br w:val="nil"/>
                    <w:tr2bl w:val="nil"/>
                  </w:tcBorders>
                  <w:vAlign w:val="center"/>
                </w:tcPr>
                <w:p w14:paraId="324A5601">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rPr>
                  </w:pPr>
                </w:p>
              </w:tc>
              <w:tc>
                <w:tcPr>
                  <w:tcW w:w="0" w:type="auto"/>
                  <w:vMerge w:val="continue"/>
                  <w:tcBorders>
                    <w:tl2br w:val="nil"/>
                    <w:tr2bl w:val="nil"/>
                  </w:tcBorders>
                  <w:vAlign w:val="center"/>
                </w:tcPr>
                <w:p w14:paraId="710C4F24">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rPr>
                  </w:pPr>
                </w:p>
              </w:tc>
              <w:tc>
                <w:tcPr>
                  <w:tcW w:w="0" w:type="auto"/>
                  <w:vMerge w:val="continue"/>
                  <w:tcBorders>
                    <w:tl2br w:val="nil"/>
                    <w:tr2bl w:val="nil"/>
                  </w:tcBorders>
                  <w:vAlign w:val="center"/>
                </w:tcPr>
                <w:p w14:paraId="465609FC">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rPr>
                  </w:pPr>
                </w:p>
              </w:tc>
              <w:tc>
                <w:tcPr>
                  <w:tcW w:w="0" w:type="auto"/>
                  <w:tcBorders>
                    <w:tl2br w:val="nil"/>
                    <w:tr2bl w:val="nil"/>
                  </w:tcBorders>
                  <w:shd w:val="clear" w:color="auto" w:fill="auto"/>
                  <w:vAlign w:val="center"/>
                </w:tcPr>
                <w:p w14:paraId="5BAFE31A">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4"/>
                      <w:position w:val="2"/>
                      <w:sz w:val="21"/>
                      <w:szCs w:val="20"/>
                    </w:rPr>
                    <w:t>W</w:t>
                  </w:r>
                  <w:r>
                    <w:rPr>
                      <w:rFonts w:hint="eastAsia" w:cs="Times New Roman"/>
                      <w:color w:val="auto"/>
                      <w:spacing w:val="4"/>
                      <w:position w:val="2"/>
                      <w:sz w:val="21"/>
                      <w:szCs w:val="20"/>
                      <w:lang w:val="en-US" w:eastAsia="zh-CN"/>
                    </w:rPr>
                    <w:t>5</w:t>
                  </w:r>
                </w:p>
              </w:tc>
              <w:tc>
                <w:tcPr>
                  <w:tcW w:w="0" w:type="auto"/>
                  <w:tcBorders>
                    <w:tl2br w:val="nil"/>
                    <w:tr2bl w:val="nil"/>
                  </w:tcBorders>
                  <w:shd w:val="clear" w:color="auto" w:fill="auto"/>
                  <w:vAlign w:val="center"/>
                </w:tcPr>
                <w:p w14:paraId="3BACC18F">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s="宋体"/>
                      <w:color w:val="auto"/>
                      <w:kern w:val="2"/>
                      <w:sz w:val="21"/>
                      <w:szCs w:val="24"/>
                      <w:lang w:val="en-US" w:eastAsia="zh-CN" w:bidi="ar-SA"/>
                    </w:rPr>
                  </w:pPr>
                  <w:r>
                    <w:rPr>
                      <w:rFonts w:ascii="Times New Roman" w:hAnsi="Times New Roman" w:eastAsia="宋体" w:cs="Times New Roman"/>
                      <w:color w:val="auto"/>
                      <w:spacing w:val="-3"/>
                      <w:sz w:val="21"/>
                    </w:rPr>
                    <w:t>pH</w:t>
                  </w:r>
                  <w:r>
                    <w:rPr>
                      <w:rFonts w:ascii="Times New Roman" w:hAnsi="Times New Roman" w:eastAsia="宋体"/>
                      <w:color w:val="auto"/>
                      <w:spacing w:val="-3"/>
                      <w:sz w:val="21"/>
                    </w:rPr>
                    <w:t>、</w:t>
                  </w:r>
                  <w:r>
                    <w:rPr>
                      <w:rFonts w:ascii="Times New Roman" w:hAnsi="Times New Roman" w:eastAsia="宋体" w:cs="Times New Roman"/>
                      <w:color w:val="auto"/>
                      <w:spacing w:val="-3"/>
                      <w:sz w:val="21"/>
                    </w:rPr>
                    <w:t>CODcr</w:t>
                  </w:r>
                  <w:r>
                    <w:rPr>
                      <w:rFonts w:ascii="Times New Roman" w:hAnsi="Times New Roman" w:eastAsia="宋体"/>
                      <w:color w:val="auto"/>
                      <w:spacing w:val="-3"/>
                      <w:sz w:val="21"/>
                    </w:rPr>
                    <w:t>、</w:t>
                  </w:r>
                  <w:r>
                    <w:rPr>
                      <w:rFonts w:ascii="Times New Roman" w:hAnsi="Times New Roman" w:eastAsia="宋体" w:cs="Times New Roman"/>
                      <w:color w:val="auto"/>
                      <w:spacing w:val="-3"/>
                      <w:sz w:val="21"/>
                    </w:rPr>
                    <w:t>BOD</w:t>
                  </w:r>
                  <w:r>
                    <w:rPr>
                      <w:rFonts w:ascii="Times New Roman" w:hAnsi="Times New Roman" w:eastAsia="宋体" w:cs="Times New Roman"/>
                      <w:color w:val="auto"/>
                      <w:spacing w:val="-3"/>
                      <w:position w:val="-1"/>
                      <w:sz w:val="21"/>
                      <w:szCs w:val="13"/>
                      <w:vertAlign w:val="subscript"/>
                    </w:rPr>
                    <w:t>5</w:t>
                  </w:r>
                  <w:r>
                    <w:rPr>
                      <w:rFonts w:ascii="Times New Roman" w:hAnsi="Times New Roman" w:eastAsia="宋体"/>
                      <w:color w:val="auto"/>
                      <w:spacing w:val="-3"/>
                      <w:sz w:val="21"/>
                    </w:rPr>
                    <w:t>、</w:t>
                  </w:r>
                  <w:r>
                    <w:rPr>
                      <w:rFonts w:ascii="Times New Roman" w:hAnsi="Times New Roman" w:eastAsia="宋体" w:cs="Times New Roman"/>
                      <w:color w:val="auto"/>
                      <w:spacing w:val="-3"/>
                      <w:sz w:val="21"/>
                    </w:rPr>
                    <w:t>NH</w:t>
                  </w:r>
                  <w:r>
                    <w:rPr>
                      <w:rFonts w:ascii="Times New Roman" w:hAnsi="Times New Roman" w:eastAsia="宋体" w:cs="Times New Roman"/>
                      <w:color w:val="auto"/>
                      <w:spacing w:val="-3"/>
                      <w:sz w:val="21"/>
                      <w:szCs w:val="13"/>
                      <w:vertAlign w:val="subscript"/>
                    </w:rPr>
                    <w:t>3</w:t>
                  </w:r>
                  <w:r>
                    <w:rPr>
                      <w:rFonts w:ascii="Times New Roman" w:hAnsi="Times New Roman" w:eastAsia="宋体" w:cs="Times New Roman"/>
                      <w:color w:val="auto"/>
                      <w:spacing w:val="-3"/>
                      <w:sz w:val="21"/>
                    </w:rPr>
                    <w:t>-N</w:t>
                  </w:r>
                  <w:r>
                    <w:rPr>
                      <w:rFonts w:ascii="Times New Roman" w:hAnsi="Times New Roman" w:eastAsia="宋体"/>
                      <w:color w:val="auto"/>
                      <w:spacing w:val="-3"/>
                      <w:sz w:val="21"/>
                    </w:rPr>
                    <w:t>、</w:t>
                  </w:r>
                  <w:r>
                    <w:rPr>
                      <w:rFonts w:ascii="Times New Roman" w:hAnsi="Times New Roman" w:eastAsia="宋体" w:cs="Times New Roman"/>
                      <w:color w:val="auto"/>
                      <w:spacing w:val="-3"/>
                      <w:sz w:val="21"/>
                    </w:rPr>
                    <w:t>SS</w:t>
                  </w:r>
                  <w:r>
                    <w:rPr>
                      <w:rFonts w:ascii="Times New Roman" w:hAnsi="Times New Roman" w:eastAsia="宋体"/>
                      <w:color w:val="auto"/>
                      <w:spacing w:val="-3"/>
                      <w:sz w:val="21"/>
                    </w:rPr>
                    <w:t>、</w:t>
                  </w:r>
                  <w:r>
                    <w:rPr>
                      <w:rFonts w:ascii="Times New Roman" w:hAnsi="Times New Roman" w:eastAsia="宋体" w:cs="Times New Roman"/>
                      <w:color w:val="auto"/>
                      <w:sz w:val="21"/>
                    </w:rPr>
                    <w:t>TN</w:t>
                  </w:r>
                  <w:r>
                    <w:rPr>
                      <w:rFonts w:ascii="Times New Roman" w:hAnsi="Times New Roman" w:eastAsia="宋体"/>
                      <w:color w:val="auto"/>
                      <w:spacing w:val="5"/>
                      <w:sz w:val="21"/>
                    </w:rPr>
                    <w:t>、</w:t>
                  </w:r>
                </w:p>
              </w:tc>
            </w:tr>
            <w:tr w14:paraId="5B5A4A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70" w:hRule="atLeast"/>
                <w:tblHeader/>
              </w:trPr>
              <w:tc>
                <w:tcPr>
                  <w:tcW w:w="0" w:type="auto"/>
                  <w:vMerge w:val="continue"/>
                  <w:tcBorders>
                    <w:tl2br w:val="nil"/>
                    <w:tr2bl w:val="nil"/>
                  </w:tcBorders>
                  <w:vAlign w:val="center"/>
                </w:tcPr>
                <w:p w14:paraId="43357BB3">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3A5D297E">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highlight w:val="none"/>
                    </w:rPr>
                  </w:pPr>
                </w:p>
              </w:tc>
              <w:tc>
                <w:tcPr>
                  <w:tcW w:w="0" w:type="auto"/>
                  <w:tcBorders>
                    <w:tl2br w:val="nil"/>
                    <w:tr2bl w:val="nil"/>
                  </w:tcBorders>
                  <w:shd w:val="clear" w:color="auto" w:fill="auto"/>
                  <w:vAlign w:val="center"/>
                </w:tcPr>
                <w:p w14:paraId="5408D9C0">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6"/>
                      <w:sz w:val="21"/>
                    </w:rPr>
                    <w:t>纯水制备</w:t>
                  </w:r>
                </w:p>
              </w:tc>
              <w:tc>
                <w:tcPr>
                  <w:tcW w:w="0" w:type="auto"/>
                  <w:tcBorders>
                    <w:tl2br w:val="nil"/>
                    <w:tr2bl w:val="nil"/>
                  </w:tcBorders>
                  <w:shd w:val="clear" w:color="auto" w:fill="auto"/>
                  <w:vAlign w:val="center"/>
                </w:tcPr>
                <w:p w14:paraId="3924A814">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r>
                    <w:rPr>
                      <w:rFonts w:ascii="Times New Roman" w:hAnsi="Times New Roman" w:eastAsia="宋体"/>
                      <w:color w:val="auto"/>
                      <w:spacing w:val="7"/>
                      <w:sz w:val="21"/>
                    </w:rPr>
                    <w:t>纯水制备尾</w:t>
                  </w:r>
                </w:p>
                <w:p w14:paraId="0A6D1DDF">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z w:val="21"/>
                    </w:rPr>
                    <w:t>水</w:t>
                  </w:r>
                </w:p>
              </w:tc>
              <w:tc>
                <w:tcPr>
                  <w:tcW w:w="0" w:type="auto"/>
                  <w:tcBorders>
                    <w:tl2br w:val="nil"/>
                    <w:tr2bl w:val="nil"/>
                  </w:tcBorders>
                  <w:shd w:val="clear" w:color="auto" w:fill="auto"/>
                  <w:vAlign w:val="center"/>
                </w:tcPr>
                <w:p w14:paraId="67B5AD22">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Times New Roman"/>
                      <w:color w:val="auto"/>
                      <w:kern w:val="2"/>
                      <w:sz w:val="21"/>
                      <w:szCs w:val="20"/>
                      <w:lang w:val="en-US" w:eastAsia="en-US" w:bidi="ar-SA"/>
                    </w:rPr>
                  </w:pPr>
                  <w:r>
                    <w:rPr>
                      <w:rFonts w:ascii="Times New Roman" w:hAnsi="Times New Roman" w:eastAsia="宋体" w:cs="Times New Roman"/>
                      <w:color w:val="auto"/>
                      <w:spacing w:val="4"/>
                      <w:sz w:val="21"/>
                      <w:szCs w:val="20"/>
                    </w:rPr>
                    <w:t>W7</w:t>
                  </w:r>
                </w:p>
              </w:tc>
              <w:tc>
                <w:tcPr>
                  <w:tcW w:w="0" w:type="auto"/>
                  <w:tcBorders>
                    <w:tl2br w:val="nil"/>
                    <w:tr2bl w:val="nil"/>
                  </w:tcBorders>
                  <w:shd w:val="clear" w:color="auto" w:fill="auto"/>
                  <w:vAlign w:val="center"/>
                </w:tcPr>
                <w:p w14:paraId="5E5726BA">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sz w:val="21"/>
                    </w:rPr>
                    <w:t>pH</w:t>
                  </w:r>
                  <w:r>
                    <w:rPr>
                      <w:rFonts w:ascii="Times New Roman" w:hAnsi="Times New Roman" w:eastAsia="宋体"/>
                      <w:color w:val="auto"/>
                      <w:spacing w:val="13"/>
                      <w:sz w:val="21"/>
                    </w:rPr>
                    <w:t>、</w:t>
                  </w:r>
                  <w:r>
                    <w:rPr>
                      <w:rFonts w:ascii="Times New Roman" w:hAnsi="Times New Roman" w:eastAsia="宋体" w:cs="Times New Roman"/>
                      <w:color w:val="auto"/>
                      <w:sz w:val="21"/>
                    </w:rPr>
                    <w:t>CODcr</w:t>
                  </w:r>
                  <w:r>
                    <w:rPr>
                      <w:rFonts w:ascii="Times New Roman" w:hAnsi="Times New Roman" w:eastAsia="宋体"/>
                      <w:color w:val="auto"/>
                      <w:spacing w:val="13"/>
                      <w:sz w:val="21"/>
                    </w:rPr>
                    <w:t>、</w:t>
                  </w:r>
                  <w:r>
                    <w:rPr>
                      <w:rFonts w:ascii="Times New Roman" w:hAnsi="Times New Roman" w:eastAsia="宋体" w:cs="Times New Roman"/>
                      <w:color w:val="auto"/>
                      <w:sz w:val="21"/>
                    </w:rPr>
                    <w:t>SS</w:t>
                  </w:r>
                </w:p>
              </w:tc>
            </w:tr>
            <w:tr w14:paraId="739EAD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570" w:hRule="atLeast"/>
                <w:tblHeader/>
              </w:trPr>
              <w:tc>
                <w:tcPr>
                  <w:tcW w:w="0" w:type="auto"/>
                  <w:vMerge w:val="continue"/>
                  <w:tcBorders>
                    <w:tl2br w:val="nil"/>
                    <w:tr2bl w:val="nil"/>
                  </w:tcBorders>
                  <w:vAlign w:val="center"/>
                </w:tcPr>
                <w:p w14:paraId="400F8AC9">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3482F494">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highlight w:val="none"/>
                    </w:rPr>
                  </w:pPr>
                </w:p>
              </w:tc>
              <w:tc>
                <w:tcPr>
                  <w:tcW w:w="0" w:type="auto"/>
                  <w:tcBorders>
                    <w:tl2br w:val="nil"/>
                    <w:tr2bl w:val="nil"/>
                  </w:tcBorders>
                  <w:shd w:val="clear" w:color="auto" w:fill="auto"/>
                  <w:vAlign w:val="center"/>
                </w:tcPr>
                <w:p w14:paraId="7F8AFC8D">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5"/>
                      <w:sz w:val="21"/>
                    </w:rPr>
                    <w:t>员工生活</w:t>
                  </w:r>
                </w:p>
              </w:tc>
              <w:tc>
                <w:tcPr>
                  <w:tcW w:w="0" w:type="auto"/>
                  <w:tcBorders>
                    <w:tl2br w:val="nil"/>
                    <w:tr2bl w:val="nil"/>
                  </w:tcBorders>
                  <w:shd w:val="clear" w:color="auto" w:fill="auto"/>
                  <w:vAlign w:val="center"/>
                </w:tcPr>
                <w:p w14:paraId="6F47C178">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6"/>
                      <w:sz w:val="21"/>
                    </w:rPr>
                    <w:t>生活污水</w:t>
                  </w:r>
                </w:p>
              </w:tc>
              <w:tc>
                <w:tcPr>
                  <w:tcW w:w="0" w:type="auto"/>
                  <w:tcBorders>
                    <w:tl2br w:val="nil"/>
                    <w:tr2bl w:val="nil"/>
                  </w:tcBorders>
                  <w:shd w:val="clear" w:color="auto" w:fill="auto"/>
                  <w:vAlign w:val="center"/>
                </w:tcPr>
                <w:p w14:paraId="6147F674">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Times New Roman"/>
                      <w:color w:val="auto"/>
                      <w:kern w:val="2"/>
                      <w:sz w:val="21"/>
                      <w:szCs w:val="20"/>
                      <w:lang w:val="en-US" w:eastAsia="en-US" w:bidi="ar-SA"/>
                    </w:rPr>
                  </w:pPr>
                  <w:r>
                    <w:rPr>
                      <w:rFonts w:ascii="Times New Roman" w:hAnsi="Times New Roman" w:eastAsia="宋体" w:cs="Times New Roman"/>
                      <w:color w:val="auto"/>
                      <w:spacing w:val="4"/>
                      <w:position w:val="1"/>
                      <w:sz w:val="21"/>
                      <w:szCs w:val="20"/>
                    </w:rPr>
                    <w:t>W8</w:t>
                  </w:r>
                </w:p>
              </w:tc>
              <w:tc>
                <w:tcPr>
                  <w:tcW w:w="0" w:type="auto"/>
                  <w:tcBorders>
                    <w:tl2br w:val="nil"/>
                    <w:tr2bl w:val="nil"/>
                  </w:tcBorders>
                  <w:shd w:val="clear" w:color="auto" w:fill="auto"/>
                  <w:vAlign w:val="center"/>
                </w:tcPr>
                <w:p w14:paraId="7B7AE4FC">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4"/>
                      <w:lang w:val="en-US" w:eastAsia="zh-CN" w:bidi="ar-SA"/>
                    </w:rPr>
                  </w:pPr>
                  <w:r>
                    <w:rPr>
                      <w:rFonts w:ascii="Times New Roman" w:hAnsi="Times New Roman" w:eastAsia="宋体" w:cs="Times New Roman"/>
                      <w:color w:val="auto"/>
                      <w:spacing w:val="-1"/>
                      <w:sz w:val="21"/>
                    </w:rPr>
                    <w:t>COD</w:t>
                  </w:r>
                  <w:r>
                    <w:rPr>
                      <w:rFonts w:ascii="Times New Roman" w:hAnsi="Times New Roman" w:eastAsia="宋体" w:cs="Times New Roman"/>
                      <w:color w:val="auto"/>
                      <w:spacing w:val="-1"/>
                      <w:position w:val="-1"/>
                      <w:sz w:val="21"/>
                      <w:szCs w:val="13"/>
                    </w:rPr>
                    <w:t>Cr</w:t>
                  </w:r>
                  <w:r>
                    <w:rPr>
                      <w:rFonts w:ascii="Times New Roman" w:hAnsi="Times New Roman" w:eastAsia="宋体"/>
                      <w:color w:val="auto"/>
                      <w:spacing w:val="-1"/>
                      <w:sz w:val="21"/>
                    </w:rPr>
                    <w:t>、</w:t>
                  </w:r>
                  <w:r>
                    <w:rPr>
                      <w:rFonts w:ascii="Times New Roman" w:hAnsi="Times New Roman" w:eastAsia="宋体" w:cs="Times New Roman"/>
                      <w:color w:val="auto"/>
                      <w:spacing w:val="-1"/>
                      <w:sz w:val="21"/>
                    </w:rPr>
                    <w:t>BOD</w:t>
                  </w:r>
                  <w:r>
                    <w:rPr>
                      <w:rFonts w:ascii="Times New Roman" w:hAnsi="Times New Roman" w:eastAsia="宋体" w:cs="Times New Roman"/>
                      <w:color w:val="auto"/>
                      <w:spacing w:val="-1"/>
                      <w:position w:val="-1"/>
                      <w:sz w:val="21"/>
                      <w:szCs w:val="13"/>
                      <w:vertAlign w:val="subscript"/>
                    </w:rPr>
                    <w:t>5</w:t>
                  </w:r>
                  <w:r>
                    <w:rPr>
                      <w:rFonts w:ascii="Times New Roman" w:hAnsi="Times New Roman" w:eastAsia="宋体"/>
                      <w:color w:val="auto"/>
                      <w:spacing w:val="-1"/>
                      <w:sz w:val="21"/>
                    </w:rPr>
                    <w:t>、</w:t>
                  </w:r>
                  <w:r>
                    <w:rPr>
                      <w:rFonts w:ascii="Times New Roman" w:hAnsi="Times New Roman" w:eastAsia="宋体" w:cs="Times New Roman"/>
                      <w:color w:val="auto"/>
                      <w:spacing w:val="-1"/>
                      <w:sz w:val="21"/>
                    </w:rPr>
                    <w:t>NH</w:t>
                  </w:r>
                  <w:r>
                    <w:rPr>
                      <w:rFonts w:ascii="Times New Roman" w:hAnsi="Times New Roman" w:eastAsia="宋体" w:cs="Times New Roman"/>
                      <w:color w:val="auto"/>
                      <w:spacing w:val="-1"/>
                      <w:sz w:val="21"/>
                      <w:szCs w:val="13"/>
                      <w:vertAlign w:val="subscript"/>
                    </w:rPr>
                    <w:t>3</w:t>
                  </w:r>
                  <w:r>
                    <w:rPr>
                      <w:rFonts w:ascii="Times New Roman" w:hAnsi="Times New Roman" w:eastAsia="宋体" w:cs="Times New Roman"/>
                      <w:color w:val="auto"/>
                      <w:spacing w:val="-1"/>
                      <w:sz w:val="21"/>
                    </w:rPr>
                    <w:t>-N</w:t>
                  </w:r>
                  <w:r>
                    <w:rPr>
                      <w:rFonts w:ascii="Times New Roman" w:hAnsi="Times New Roman" w:eastAsia="宋体"/>
                      <w:color w:val="auto"/>
                      <w:spacing w:val="-1"/>
                      <w:sz w:val="21"/>
                    </w:rPr>
                    <w:t>、</w:t>
                  </w:r>
                  <w:r>
                    <w:rPr>
                      <w:rFonts w:ascii="Times New Roman" w:hAnsi="Times New Roman" w:eastAsia="宋体" w:cs="Times New Roman"/>
                      <w:color w:val="auto"/>
                      <w:spacing w:val="-1"/>
                      <w:sz w:val="21"/>
                    </w:rPr>
                    <w:t>SS</w:t>
                  </w:r>
                  <w:r>
                    <w:rPr>
                      <w:rFonts w:ascii="Times New Roman" w:hAnsi="Times New Roman" w:eastAsia="宋体"/>
                      <w:color w:val="auto"/>
                      <w:spacing w:val="-1"/>
                      <w:sz w:val="21"/>
                    </w:rPr>
                    <w:t>、</w:t>
                  </w:r>
                  <w:r>
                    <w:rPr>
                      <w:rFonts w:ascii="Times New Roman" w:hAnsi="Times New Roman" w:eastAsia="宋体" w:cs="Times New Roman"/>
                      <w:color w:val="auto"/>
                      <w:spacing w:val="-1"/>
                      <w:sz w:val="21"/>
                    </w:rPr>
                    <w:t>TN</w:t>
                  </w:r>
                </w:p>
              </w:tc>
            </w:tr>
            <w:tr w14:paraId="72E724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926" w:hRule="atLeast"/>
                <w:tblHeader/>
              </w:trPr>
              <w:tc>
                <w:tcPr>
                  <w:tcW w:w="0" w:type="auto"/>
                  <w:vMerge w:val="restart"/>
                  <w:tcBorders>
                    <w:tl2br w:val="nil"/>
                    <w:tr2bl w:val="nil"/>
                  </w:tcBorders>
                  <w:vAlign w:val="center"/>
                </w:tcPr>
                <w:p w14:paraId="08DF0165">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333C1F27">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2A5E9A4B">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4FEB2EC1">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0DF2EAA1">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7B96D2D6">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7FE847A0">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4F047D99">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484E067B">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2F39DEF4">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r>
                    <w:rPr>
                      <w:rFonts w:ascii="Times New Roman" w:hAnsi="Times New Roman" w:eastAsia="宋体"/>
                      <w:color w:val="auto"/>
                      <w:spacing w:val="-10"/>
                      <w:sz w:val="21"/>
                    </w:rPr>
                    <w:t>3</w:t>
                  </w:r>
                </w:p>
              </w:tc>
              <w:tc>
                <w:tcPr>
                  <w:tcW w:w="0" w:type="auto"/>
                  <w:vMerge w:val="restart"/>
                  <w:tcBorders>
                    <w:tl2br w:val="nil"/>
                    <w:tr2bl w:val="nil"/>
                  </w:tcBorders>
                  <w:vAlign w:val="center"/>
                </w:tcPr>
                <w:p w14:paraId="7C590163">
                  <w:pPr>
                    <w:pStyle w:val="95"/>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p>
                <w:p w14:paraId="16353131">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default" w:ascii="Times New Roman" w:hAnsi="Times New Roman" w:eastAsia="宋体"/>
                      <w:color w:val="auto"/>
                      <w:sz w:val="21"/>
                      <w:highlight w:val="none"/>
                      <w:lang w:val="en-US" w:eastAsia="zh-CN"/>
                    </w:rPr>
                  </w:pPr>
                  <w:r>
                    <w:rPr>
                      <w:rFonts w:ascii="Times New Roman" w:hAnsi="Times New Roman" w:eastAsia="宋体"/>
                      <w:color w:val="auto"/>
                      <w:spacing w:val="-8"/>
                      <w:sz w:val="21"/>
                    </w:rPr>
                    <w:t>固废</w:t>
                  </w:r>
                </w:p>
              </w:tc>
              <w:tc>
                <w:tcPr>
                  <w:tcW w:w="0" w:type="auto"/>
                  <w:tcBorders>
                    <w:tl2br w:val="nil"/>
                    <w:tr2bl w:val="nil"/>
                  </w:tcBorders>
                  <w:shd w:val="clear" w:color="auto" w:fill="auto"/>
                  <w:vAlign w:val="center"/>
                </w:tcPr>
                <w:p w14:paraId="1FCBE70D">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4"/>
                      <w:sz w:val="21"/>
                    </w:rPr>
                    <w:t>焊接</w:t>
                  </w:r>
                </w:p>
              </w:tc>
              <w:tc>
                <w:tcPr>
                  <w:tcW w:w="0" w:type="auto"/>
                  <w:tcBorders>
                    <w:tl2br w:val="nil"/>
                    <w:tr2bl w:val="nil"/>
                  </w:tcBorders>
                  <w:shd w:val="clear" w:color="auto" w:fill="auto"/>
                  <w:vAlign w:val="center"/>
                </w:tcPr>
                <w:p w14:paraId="497ECEBA">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焊渣</w:t>
                  </w:r>
                </w:p>
              </w:tc>
              <w:tc>
                <w:tcPr>
                  <w:tcW w:w="0" w:type="auto"/>
                  <w:tcBorders>
                    <w:tl2br w:val="nil"/>
                    <w:tr2bl w:val="nil"/>
                  </w:tcBorders>
                  <w:shd w:val="clear" w:color="auto" w:fill="auto"/>
                  <w:vAlign w:val="center"/>
                </w:tcPr>
                <w:p w14:paraId="23C5BA01">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7"/>
                      <w:position w:val="1"/>
                      <w:sz w:val="21"/>
                      <w:szCs w:val="20"/>
                    </w:rPr>
                    <w:t>S1</w:t>
                  </w:r>
                </w:p>
              </w:tc>
              <w:tc>
                <w:tcPr>
                  <w:tcW w:w="0" w:type="auto"/>
                  <w:tcBorders>
                    <w:tl2br w:val="nil"/>
                    <w:tr2bl w:val="nil"/>
                  </w:tcBorders>
                  <w:shd w:val="clear" w:color="auto" w:fill="auto"/>
                  <w:vAlign w:val="center"/>
                </w:tcPr>
                <w:p w14:paraId="120B8E87">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焊渣</w:t>
                  </w:r>
                </w:p>
              </w:tc>
            </w:tr>
            <w:tr w14:paraId="21C239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926" w:hRule="atLeast"/>
                <w:tblHeader/>
              </w:trPr>
              <w:tc>
                <w:tcPr>
                  <w:tcW w:w="0" w:type="auto"/>
                  <w:vMerge w:val="continue"/>
                  <w:tcBorders>
                    <w:tl2br w:val="nil"/>
                    <w:tr2bl w:val="nil"/>
                  </w:tcBorders>
                  <w:vAlign w:val="center"/>
                </w:tcPr>
                <w:p w14:paraId="402758D0">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10"/>
                      <w:sz w:val="21"/>
                    </w:rPr>
                  </w:pPr>
                </w:p>
              </w:tc>
              <w:tc>
                <w:tcPr>
                  <w:tcW w:w="0" w:type="auto"/>
                  <w:vMerge w:val="continue"/>
                  <w:tcBorders>
                    <w:tl2br w:val="nil"/>
                    <w:tr2bl w:val="nil"/>
                  </w:tcBorders>
                  <w:vAlign w:val="center"/>
                </w:tcPr>
                <w:p w14:paraId="2CD08960">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8"/>
                      <w:sz w:val="21"/>
                    </w:rPr>
                  </w:pPr>
                </w:p>
              </w:tc>
              <w:tc>
                <w:tcPr>
                  <w:tcW w:w="0" w:type="auto"/>
                  <w:tcBorders>
                    <w:tl2br w:val="nil"/>
                    <w:tr2bl w:val="nil"/>
                  </w:tcBorders>
                  <w:shd w:val="clear" w:color="auto" w:fill="auto"/>
                  <w:vAlign w:val="center"/>
                </w:tcPr>
                <w:p w14:paraId="3A7FECD2">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olor w:val="auto"/>
                      <w:spacing w:val="4"/>
                      <w:sz w:val="21"/>
                    </w:rPr>
                  </w:pPr>
                  <w:r>
                    <w:rPr>
                      <w:rFonts w:ascii="Times New Roman" w:hAnsi="Times New Roman" w:eastAsia="宋体"/>
                      <w:color w:val="auto"/>
                      <w:spacing w:val="4"/>
                      <w:sz w:val="21"/>
                    </w:rPr>
                    <w:t>装配</w:t>
                  </w:r>
                </w:p>
              </w:tc>
              <w:tc>
                <w:tcPr>
                  <w:tcW w:w="0" w:type="auto"/>
                  <w:tcBorders>
                    <w:tl2br w:val="nil"/>
                    <w:tr2bl w:val="nil"/>
                  </w:tcBorders>
                  <w:shd w:val="clear" w:color="auto" w:fill="auto"/>
                  <w:vAlign w:val="center"/>
                </w:tcPr>
                <w:p w14:paraId="3C6BB099">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olor w:val="auto"/>
                      <w:spacing w:val="4"/>
                      <w:sz w:val="21"/>
                    </w:rPr>
                  </w:pPr>
                  <w:r>
                    <w:rPr>
                      <w:rFonts w:ascii="Times New Roman" w:hAnsi="Times New Roman" w:eastAsia="宋体"/>
                      <w:color w:val="auto"/>
                      <w:spacing w:val="7"/>
                      <w:sz w:val="21"/>
                    </w:rPr>
                    <w:t>废金属料</w:t>
                  </w:r>
                </w:p>
              </w:tc>
              <w:tc>
                <w:tcPr>
                  <w:tcW w:w="0" w:type="auto"/>
                  <w:tcBorders>
                    <w:tl2br w:val="nil"/>
                    <w:tr2bl w:val="nil"/>
                  </w:tcBorders>
                  <w:shd w:val="clear" w:color="auto" w:fill="auto"/>
                  <w:vAlign w:val="center"/>
                </w:tcPr>
                <w:p w14:paraId="1A4FF5A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Times New Roman"/>
                      <w:color w:val="auto"/>
                      <w:spacing w:val="7"/>
                      <w:position w:val="1"/>
                      <w:sz w:val="21"/>
                      <w:szCs w:val="20"/>
                    </w:rPr>
                  </w:pPr>
                  <w:r>
                    <w:rPr>
                      <w:rFonts w:ascii="Times New Roman" w:hAnsi="Times New Roman" w:eastAsia="宋体" w:cs="Times New Roman"/>
                      <w:color w:val="auto"/>
                      <w:spacing w:val="-3"/>
                      <w:sz w:val="21"/>
                      <w:szCs w:val="20"/>
                    </w:rPr>
                    <w:t>S5</w:t>
                  </w:r>
                </w:p>
              </w:tc>
              <w:tc>
                <w:tcPr>
                  <w:tcW w:w="0" w:type="auto"/>
                  <w:tcBorders>
                    <w:tl2br w:val="nil"/>
                    <w:tr2bl w:val="nil"/>
                  </w:tcBorders>
                  <w:shd w:val="clear" w:color="auto" w:fill="auto"/>
                  <w:vAlign w:val="center"/>
                </w:tcPr>
                <w:p w14:paraId="3AA873ED">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olor w:val="auto"/>
                      <w:spacing w:val="4"/>
                      <w:sz w:val="21"/>
                    </w:rPr>
                  </w:pPr>
                  <w:r>
                    <w:rPr>
                      <w:rFonts w:ascii="Times New Roman" w:hAnsi="Times New Roman" w:eastAsia="宋体"/>
                      <w:color w:val="auto"/>
                      <w:spacing w:val="8"/>
                      <w:sz w:val="21"/>
                    </w:rPr>
                    <w:t>废金属零件</w:t>
                  </w:r>
                </w:p>
              </w:tc>
            </w:tr>
            <w:tr w14:paraId="2395C0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926" w:hRule="atLeast"/>
                <w:tblHeader/>
              </w:trPr>
              <w:tc>
                <w:tcPr>
                  <w:tcW w:w="0" w:type="auto"/>
                  <w:vMerge w:val="continue"/>
                  <w:tcBorders>
                    <w:tl2br w:val="nil"/>
                    <w:tr2bl w:val="nil"/>
                  </w:tcBorders>
                  <w:vAlign w:val="center"/>
                </w:tcPr>
                <w:p w14:paraId="4687C277">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10"/>
                      <w:sz w:val="21"/>
                    </w:rPr>
                  </w:pPr>
                </w:p>
              </w:tc>
              <w:tc>
                <w:tcPr>
                  <w:tcW w:w="0" w:type="auto"/>
                  <w:vMerge w:val="continue"/>
                  <w:tcBorders>
                    <w:tl2br w:val="nil"/>
                    <w:tr2bl w:val="nil"/>
                  </w:tcBorders>
                  <w:vAlign w:val="center"/>
                </w:tcPr>
                <w:p w14:paraId="4413FE52">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pacing w:val="-8"/>
                      <w:sz w:val="21"/>
                    </w:rPr>
                  </w:pPr>
                </w:p>
              </w:tc>
              <w:tc>
                <w:tcPr>
                  <w:tcW w:w="0" w:type="auto"/>
                  <w:tcBorders>
                    <w:tl2br w:val="nil"/>
                    <w:tr2bl w:val="nil"/>
                  </w:tcBorders>
                  <w:shd w:val="clear" w:color="auto" w:fill="auto"/>
                  <w:vAlign w:val="center"/>
                </w:tcPr>
                <w:p w14:paraId="544C989C">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olor w:val="auto"/>
                      <w:spacing w:val="4"/>
                      <w:sz w:val="21"/>
                    </w:rPr>
                  </w:pPr>
                  <w:r>
                    <w:rPr>
                      <w:rFonts w:ascii="Times New Roman" w:hAnsi="Times New Roman" w:eastAsia="宋体"/>
                      <w:color w:val="auto"/>
                      <w:spacing w:val="-1"/>
                      <w:sz w:val="21"/>
                    </w:rPr>
                    <w:t>原料拆包装、产</w:t>
                  </w:r>
                  <w:r>
                    <w:rPr>
                      <w:rFonts w:ascii="Times New Roman" w:hAnsi="Times New Roman" w:eastAsia="宋体"/>
                      <w:color w:val="auto"/>
                      <w:spacing w:val="1"/>
                      <w:sz w:val="21"/>
                    </w:rPr>
                    <w:t>品包装</w:t>
                  </w:r>
                </w:p>
              </w:tc>
              <w:tc>
                <w:tcPr>
                  <w:tcW w:w="0" w:type="auto"/>
                  <w:tcBorders>
                    <w:tl2br w:val="nil"/>
                    <w:tr2bl w:val="nil"/>
                  </w:tcBorders>
                  <w:shd w:val="clear" w:color="auto" w:fill="auto"/>
                  <w:vAlign w:val="center"/>
                </w:tcPr>
                <w:p w14:paraId="48A3982E">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olor w:val="auto"/>
                      <w:spacing w:val="4"/>
                      <w:sz w:val="21"/>
                    </w:rPr>
                  </w:pPr>
                  <w:r>
                    <w:rPr>
                      <w:rFonts w:ascii="Times New Roman" w:hAnsi="Times New Roman" w:eastAsia="宋体"/>
                      <w:color w:val="auto"/>
                      <w:spacing w:val="8"/>
                      <w:sz w:val="21"/>
                    </w:rPr>
                    <w:t>废一般包装</w:t>
                  </w:r>
                  <w:r>
                    <w:rPr>
                      <w:rFonts w:ascii="Times New Roman" w:hAnsi="Times New Roman" w:eastAsia="宋体"/>
                      <w:color w:val="auto"/>
                      <w:spacing w:val="4"/>
                      <w:sz w:val="21"/>
                    </w:rPr>
                    <w:t>材料</w:t>
                  </w:r>
                </w:p>
              </w:tc>
              <w:tc>
                <w:tcPr>
                  <w:tcW w:w="0" w:type="auto"/>
                  <w:tcBorders>
                    <w:tl2br w:val="nil"/>
                    <w:tr2bl w:val="nil"/>
                  </w:tcBorders>
                  <w:shd w:val="clear" w:color="auto" w:fill="auto"/>
                  <w:vAlign w:val="center"/>
                </w:tcPr>
                <w:p w14:paraId="2E51E3E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Times New Roman"/>
                      <w:color w:val="auto"/>
                      <w:spacing w:val="7"/>
                      <w:position w:val="1"/>
                      <w:sz w:val="21"/>
                      <w:szCs w:val="20"/>
                    </w:rPr>
                  </w:pPr>
                  <w:r>
                    <w:rPr>
                      <w:rFonts w:ascii="Times New Roman" w:hAnsi="Times New Roman" w:eastAsia="宋体" w:cs="Times New Roman"/>
                      <w:color w:val="auto"/>
                      <w:spacing w:val="-3"/>
                      <w:sz w:val="21"/>
                      <w:szCs w:val="20"/>
                    </w:rPr>
                    <w:t>S7</w:t>
                  </w:r>
                </w:p>
              </w:tc>
              <w:tc>
                <w:tcPr>
                  <w:tcW w:w="0" w:type="auto"/>
                  <w:tcBorders>
                    <w:tl2br w:val="nil"/>
                    <w:tr2bl w:val="nil"/>
                  </w:tcBorders>
                  <w:shd w:val="clear" w:color="auto" w:fill="auto"/>
                  <w:vAlign w:val="center"/>
                </w:tcPr>
                <w:p w14:paraId="286D23E8">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olor w:val="auto"/>
                      <w:spacing w:val="4"/>
                      <w:sz w:val="21"/>
                    </w:rPr>
                  </w:pPr>
                  <w:r>
                    <w:rPr>
                      <w:rFonts w:ascii="Times New Roman" w:hAnsi="Times New Roman" w:eastAsia="宋体"/>
                      <w:color w:val="auto"/>
                      <w:spacing w:val="8"/>
                      <w:position w:val="1"/>
                      <w:sz w:val="21"/>
                    </w:rPr>
                    <w:t>废纸、塑料袋</w:t>
                  </w:r>
                  <w:r>
                    <w:rPr>
                      <w:rFonts w:ascii="Times New Roman" w:hAnsi="Times New Roman" w:eastAsia="宋体" w:cs="Times New Roman"/>
                      <w:color w:val="auto"/>
                      <w:spacing w:val="8"/>
                      <w:position w:val="1"/>
                      <w:sz w:val="21"/>
                    </w:rPr>
                    <w:t>/</w:t>
                  </w:r>
                  <w:r>
                    <w:rPr>
                      <w:rFonts w:ascii="Times New Roman" w:hAnsi="Times New Roman" w:eastAsia="宋体"/>
                      <w:color w:val="auto"/>
                      <w:spacing w:val="8"/>
                      <w:position w:val="1"/>
                      <w:sz w:val="21"/>
                    </w:rPr>
                    <w:t>膜、纸箱等</w:t>
                  </w:r>
                </w:p>
              </w:tc>
            </w:tr>
            <w:tr w14:paraId="265B73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blHeader/>
              </w:trPr>
              <w:tc>
                <w:tcPr>
                  <w:tcW w:w="0" w:type="auto"/>
                  <w:vMerge w:val="continue"/>
                  <w:tcBorders>
                    <w:tl2br w:val="nil"/>
                    <w:tr2bl w:val="nil"/>
                  </w:tcBorders>
                  <w:vAlign w:val="center"/>
                </w:tcPr>
                <w:p w14:paraId="178EBF3C">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2FDB7E55">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eastAsia="宋体"/>
                      <w:color w:val="auto"/>
                      <w:sz w:val="21"/>
                      <w:highlight w:val="none"/>
                      <w:lang w:val="en-US" w:eastAsia="zh-CN"/>
                    </w:rPr>
                  </w:pPr>
                </w:p>
              </w:tc>
              <w:tc>
                <w:tcPr>
                  <w:tcW w:w="0" w:type="auto"/>
                  <w:tcBorders>
                    <w:tl2br w:val="nil"/>
                    <w:tr2bl w:val="nil"/>
                  </w:tcBorders>
                  <w:shd w:val="clear" w:color="auto" w:fill="auto"/>
                  <w:vAlign w:val="center"/>
                </w:tcPr>
                <w:p w14:paraId="4FE75645">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8"/>
                      <w:sz w:val="21"/>
                    </w:rPr>
                    <w:t>脱脂槽槽液过</w:t>
                  </w:r>
                  <w:r>
                    <w:rPr>
                      <w:rFonts w:ascii="Times New Roman" w:hAnsi="Times New Roman" w:eastAsia="宋体"/>
                      <w:color w:val="auto"/>
                      <w:sz w:val="21"/>
                    </w:rPr>
                    <w:t>滤</w:t>
                  </w:r>
                </w:p>
              </w:tc>
              <w:tc>
                <w:tcPr>
                  <w:tcW w:w="0" w:type="auto"/>
                  <w:tcBorders>
                    <w:tl2br w:val="nil"/>
                    <w:tr2bl w:val="nil"/>
                  </w:tcBorders>
                  <w:shd w:val="clear" w:color="auto" w:fill="auto"/>
                  <w:vAlign w:val="center"/>
                </w:tcPr>
                <w:p w14:paraId="5F971B1E">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废过滤物</w:t>
                  </w:r>
                </w:p>
              </w:tc>
              <w:tc>
                <w:tcPr>
                  <w:tcW w:w="0" w:type="auto"/>
                  <w:tcBorders>
                    <w:tl2br w:val="nil"/>
                    <w:tr2bl w:val="nil"/>
                  </w:tcBorders>
                  <w:shd w:val="clear" w:color="auto" w:fill="auto"/>
                  <w:vAlign w:val="center"/>
                </w:tcPr>
                <w:p w14:paraId="658C528F">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3"/>
                      <w:position w:val="2"/>
                      <w:sz w:val="21"/>
                      <w:szCs w:val="20"/>
                    </w:rPr>
                    <w:t>S2</w:t>
                  </w:r>
                </w:p>
              </w:tc>
              <w:tc>
                <w:tcPr>
                  <w:tcW w:w="0" w:type="auto"/>
                  <w:tcBorders>
                    <w:tl2br w:val="nil"/>
                    <w:tr2bl w:val="nil"/>
                  </w:tcBorders>
                  <w:shd w:val="clear" w:color="auto" w:fill="auto"/>
                  <w:vAlign w:val="center"/>
                </w:tcPr>
                <w:p w14:paraId="5DCD9C52">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沾染废过滤杂物的废过滤袋等</w:t>
                  </w:r>
                </w:p>
              </w:tc>
            </w:tr>
            <w:tr w14:paraId="0DA698F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0" w:type="auto"/>
                  <w:vMerge w:val="continue"/>
                  <w:tcBorders>
                    <w:tl2br w:val="nil"/>
                    <w:tr2bl w:val="nil"/>
                  </w:tcBorders>
                  <w:vAlign w:val="center"/>
                </w:tcPr>
                <w:p w14:paraId="01984027">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55D4836F">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tcBorders>
                    <w:tl2br w:val="nil"/>
                    <w:tr2bl w:val="nil"/>
                  </w:tcBorders>
                  <w:shd w:val="clear" w:color="auto" w:fill="auto"/>
                  <w:vAlign w:val="center"/>
                </w:tcPr>
                <w:p w14:paraId="67B94B2C">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化学品拆包装</w:t>
                  </w:r>
                </w:p>
              </w:tc>
              <w:tc>
                <w:tcPr>
                  <w:tcW w:w="0" w:type="auto"/>
                  <w:tcBorders>
                    <w:tl2br w:val="nil"/>
                    <w:tr2bl w:val="nil"/>
                  </w:tcBorders>
                  <w:shd w:val="clear" w:color="auto" w:fill="auto"/>
                  <w:vAlign w:val="center"/>
                </w:tcPr>
                <w:p w14:paraId="3F2DE8C6">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废化学品包</w:t>
                  </w:r>
                  <w:r>
                    <w:rPr>
                      <w:rFonts w:ascii="Times New Roman" w:hAnsi="Times New Roman" w:eastAsia="宋体"/>
                      <w:color w:val="auto"/>
                      <w:sz w:val="21"/>
                    </w:rPr>
                    <w:t>装</w:t>
                  </w:r>
                </w:p>
              </w:tc>
              <w:tc>
                <w:tcPr>
                  <w:tcW w:w="0" w:type="auto"/>
                  <w:tcBorders>
                    <w:tl2br w:val="nil"/>
                    <w:tr2bl w:val="nil"/>
                  </w:tcBorders>
                  <w:shd w:val="clear" w:color="auto" w:fill="auto"/>
                  <w:vAlign w:val="center"/>
                </w:tcPr>
                <w:p w14:paraId="4BFD9318">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3"/>
                      <w:position w:val="2"/>
                      <w:sz w:val="21"/>
                      <w:szCs w:val="20"/>
                    </w:rPr>
                    <w:t>S3</w:t>
                  </w:r>
                </w:p>
              </w:tc>
              <w:tc>
                <w:tcPr>
                  <w:tcW w:w="0" w:type="auto"/>
                  <w:tcBorders>
                    <w:tl2br w:val="nil"/>
                    <w:tr2bl w:val="nil"/>
                  </w:tcBorders>
                  <w:shd w:val="clear" w:color="auto" w:fill="auto"/>
                  <w:vAlign w:val="center"/>
                </w:tcPr>
                <w:p w14:paraId="3395E6C6">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沾有化学品的包装物</w:t>
                  </w:r>
                </w:p>
              </w:tc>
            </w:tr>
            <w:tr w14:paraId="784030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0" w:type="auto"/>
                  <w:vMerge w:val="continue"/>
                  <w:tcBorders>
                    <w:tl2br w:val="nil"/>
                    <w:tr2bl w:val="nil"/>
                  </w:tcBorders>
                  <w:vAlign w:val="center"/>
                </w:tcPr>
                <w:p w14:paraId="32489EED">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37F991A6">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eastAsia="宋体"/>
                      <w:color w:val="auto"/>
                      <w:sz w:val="21"/>
                      <w:highlight w:val="none"/>
                      <w:lang w:val="en-US" w:eastAsia="zh-CN"/>
                    </w:rPr>
                  </w:pPr>
                </w:p>
              </w:tc>
              <w:tc>
                <w:tcPr>
                  <w:tcW w:w="0" w:type="auto"/>
                  <w:tcBorders>
                    <w:tl2br w:val="nil"/>
                    <w:tr2bl w:val="nil"/>
                  </w:tcBorders>
                  <w:shd w:val="clear" w:color="auto" w:fill="auto"/>
                  <w:vAlign w:val="center"/>
                </w:tcPr>
                <w:p w14:paraId="354D7AC2">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8"/>
                      <w:sz w:val="21"/>
                    </w:rPr>
                    <w:t>电泳</w:t>
                  </w:r>
                </w:p>
              </w:tc>
              <w:tc>
                <w:tcPr>
                  <w:tcW w:w="0" w:type="auto"/>
                  <w:tcBorders>
                    <w:tl2br w:val="nil"/>
                    <w:tr2bl w:val="nil"/>
                  </w:tcBorders>
                  <w:shd w:val="clear" w:color="auto" w:fill="auto"/>
                  <w:vAlign w:val="center"/>
                </w:tcPr>
                <w:p w14:paraId="34DE915E">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废涂料桶</w:t>
                  </w:r>
                </w:p>
              </w:tc>
              <w:tc>
                <w:tcPr>
                  <w:tcW w:w="0" w:type="auto"/>
                  <w:tcBorders>
                    <w:tl2br w:val="nil"/>
                    <w:tr2bl w:val="nil"/>
                  </w:tcBorders>
                  <w:shd w:val="clear" w:color="auto" w:fill="auto"/>
                  <w:vAlign w:val="center"/>
                </w:tcPr>
                <w:p w14:paraId="07458A1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3"/>
                      <w:position w:val="1"/>
                      <w:sz w:val="21"/>
                      <w:szCs w:val="20"/>
                    </w:rPr>
                    <w:t>S4</w:t>
                  </w:r>
                </w:p>
              </w:tc>
              <w:tc>
                <w:tcPr>
                  <w:tcW w:w="0" w:type="auto"/>
                  <w:tcBorders>
                    <w:tl2br w:val="nil"/>
                    <w:tr2bl w:val="nil"/>
                  </w:tcBorders>
                  <w:shd w:val="clear" w:color="auto" w:fill="auto"/>
                  <w:vAlign w:val="center"/>
                </w:tcPr>
                <w:p w14:paraId="4A35079C">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沾有水性涂料的包装物</w:t>
                  </w:r>
                </w:p>
              </w:tc>
            </w:tr>
            <w:tr w14:paraId="66EC946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0" w:type="auto"/>
                  <w:vMerge w:val="continue"/>
                  <w:tcBorders>
                    <w:tl2br w:val="nil"/>
                    <w:tr2bl w:val="nil"/>
                  </w:tcBorders>
                  <w:vAlign w:val="center"/>
                </w:tcPr>
                <w:p w14:paraId="54D6FB9E">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0EAAF81F">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eastAsia" w:ascii="Times New Roman" w:hAnsi="Times New Roman" w:eastAsia="宋体"/>
                      <w:color w:val="auto"/>
                      <w:sz w:val="21"/>
                      <w:highlight w:val="none"/>
                      <w:lang w:eastAsia="zh-CN"/>
                    </w:rPr>
                  </w:pPr>
                </w:p>
              </w:tc>
              <w:tc>
                <w:tcPr>
                  <w:tcW w:w="0" w:type="auto"/>
                  <w:tcBorders>
                    <w:tl2br w:val="nil"/>
                    <w:tr2bl w:val="nil"/>
                  </w:tcBorders>
                  <w:shd w:val="clear" w:color="auto" w:fill="auto"/>
                  <w:vAlign w:val="center"/>
                </w:tcPr>
                <w:p w14:paraId="4F42BFB6">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r>
                    <w:rPr>
                      <w:rFonts w:ascii="Times New Roman" w:hAnsi="Times New Roman" w:eastAsia="宋体"/>
                      <w:color w:val="auto"/>
                      <w:spacing w:val="-1"/>
                      <w:sz w:val="21"/>
                    </w:rPr>
                    <w:t>装配、设备维护</w:t>
                  </w:r>
                </w:p>
                <w:p w14:paraId="062259A9">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保养</w:t>
                  </w:r>
                </w:p>
              </w:tc>
              <w:tc>
                <w:tcPr>
                  <w:tcW w:w="0" w:type="auto"/>
                  <w:tcBorders>
                    <w:tl2br w:val="nil"/>
                    <w:tr2bl w:val="nil"/>
                  </w:tcBorders>
                  <w:shd w:val="clear" w:color="auto" w:fill="auto"/>
                  <w:vAlign w:val="center"/>
                </w:tcPr>
                <w:p w14:paraId="19F765CA">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r>
                    <w:rPr>
                      <w:rFonts w:ascii="Times New Roman" w:hAnsi="Times New Roman" w:eastAsia="宋体"/>
                      <w:color w:val="auto"/>
                      <w:spacing w:val="8"/>
                      <w:sz w:val="21"/>
                    </w:rPr>
                    <w:t>废含油抹布</w:t>
                  </w:r>
                </w:p>
                <w:p w14:paraId="17547E5B">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4"/>
                      <w:sz w:val="21"/>
                    </w:rPr>
                    <w:t>手套</w:t>
                  </w:r>
                </w:p>
              </w:tc>
              <w:tc>
                <w:tcPr>
                  <w:tcW w:w="0" w:type="auto"/>
                  <w:tcBorders>
                    <w:tl2br w:val="nil"/>
                    <w:tr2bl w:val="nil"/>
                  </w:tcBorders>
                  <w:shd w:val="clear" w:color="auto" w:fill="auto"/>
                  <w:vAlign w:val="center"/>
                </w:tcPr>
                <w:p w14:paraId="67EF37A0">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3"/>
                      <w:position w:val="2"/>
                      <w:sz w:val="21"/>
                      <w:szCs w:val="20"/>
                    </w:rPr>
                    <w:t>S6</w:t>
                  </w:r>
                </w:p>
              </w:tc>
              <w:tc>
                <w:tcPr>
                  <w:tcW w:w="0" w:type="auto"/>
                  <w:tcBorders>
                    <w:tl2br w:val="nil"/>
                    <w:tr2bl w:val="nil"/>
                  </w:tcBorders>
                  <w:shd w:val="clear" w:color="auto" w:fill="auto"/>
                  <w:vAlign w:val="center"/>
                </w:tcPr>
                <w:p w14:paraId="7245EF40">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沾染机油的抹布、手套</w:t>
                  </w:r>
                </w:p>
              </w:tc>
            </w:tr>
            <w:tr w14:paraId="09AD48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0" w:type="auto"/>
                  <w:vMerge w:val="continue"/>
                  <w:tcBorders>
                    <w:tl2br w:val="nil"/>
                    <w:tr2bl w:val="nil"/>
                  </w:tcBorders>
                  <w:vAlign w:val="center"/>
                </w:tcPr>
                <w:p w14:paraId="302366D4">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632DAF5A">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eastAsia="宋体"/>
                      <w:color w:val="auto"/>
                      <w:sz w:val="21"/>
                      <w:szCs w:val="21"/>
                      <w:highlight w:val="none"/>
                      <w:lang w:val="en-US" w:eastAsia="zh-CN"/>
                    </w:rPr>
                  </w:pPr>
                </w:p>
              </w:tc>
              <w:tc>
                <w:tcPr>
                  <w:tcW w:w="0" w:type="auto"/>
                  <w:tcBorders>
                    <w:tl2br w:val="nil"/>
                    <w:tr2bl w:val="nil"/>
                  </w:tcBorders>
                  <w:shd w:val="clear" w:color="auto" w:fill="auto"/>
                  <w:vAlign w:val="center"/>
                </w:tcPr>
                <w:p w14:paraId="120EBC83">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6"/>
                      <w:sz w:val="21"/>
                    </w:rPr>
                    <w:t>纯水制备</w:t>
                  </w:r>
                </w:p>
              </w:tc>
              <w:tc>
                <w:tcPr>
                  <w:tcW w:w="0" w:type="auto"/>
                  <w:tcBorders>
                    <w:tl2br w:val="nil"/>
                    <w:tr2bl w:val="nil"/>
                  </w:tcBorders>
                  <w:shd w:val="clear" w:color="auto" w:fill="auto"/>
                  <w:vAlign w:val="center"/>
                </w:tcPr>
                <w:p w14:paraId="44A06860">
                  <w:pPr>
                    <w:pStyle w:val="113"/>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rPr>
                  </w:pPr>
                  <w:r>
                    <w:rPr>
                      <w:rFonts w:ascii="Times New Roman" w:hAnsi="Times New Roman" w:eastAsia="宋体"/>
                      <w:color w:val="auto"/>
                      <w:spacing w:val="8"/>
                      <w:sz w:val="21"/>
                    </w:rPr>
                    <w:t>废弃纯水制</w:t>
                  </w:r>
                </w:p>
                <w:p w14:paraId="5DFD34C2">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6"/>
                      <w:sz w:val="21"/>
                    </w:rPr>
                    <w:t>备耗材</w:t>
                  </w:r>
                </w:p>
              </w:tc>
              <w:tc>
                <w:tcPr>
                  <w:tcW w:w="0" w:type="auto"/>
                  <w:tcBorders>
                    <w:tl2br w:val="nil"/>
                    <w:tr2bl w:val="nil"/>
                  </w:tcBorders>
                  <w:shd w:val="clear" w:color="auto" w:fill="auto"/>
                  <w:vAlign w:val="center"/>
                </w:tcPr>
                <w:p w14:paraId="403838B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3"/>
                      <w:position w:val="2"/>
                      <w:sz w:val="21"/>
                      <w:szCs w:val="20"/>
                    </w:rPr>
                    <w:t>S8</w:t>
                  </w:r>
                </w:p>
              </w:tc>
              <w:tc>
                <w:tcPr>
                  <w:tcW w:w="0" w:type="auto"/>
                  <w:tcBorders>
                    <w:tl2br w:val="nil"/>
                    <w:tr2bl w:val="nil"/>
                  </w:tcBorders>
                  <w:shd w:val="clear" w:color="auto" w:fill="auto"/>
                  <w:vAlign w:val="center"/>
                </w:tcPr>
                <w:p w14:paraId="5D98BC18">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9"/>
                      <w:sz w:val="21"/>
                    </w:rPr>
                    <w:t>废</w:t>
                  </w:r>
                  <w:r>
                    <w:rPr>
                      <w:rFonts w:ascii="Times New Roman" w:hAnsi="Times New Roman" w:eastAsia="宋体" w:cs="Times New Roman"/>
                      <w:color w:val="auto"/>
                      <w:sz w:val="21"/>
                    </w:rPr>
                    <w:t>RO</w:t>
                  </w:r>
                  <w:r>
                    <w:rPr>
                      <w:rFonts w:ascii="Times New Roman" w:hAnsi="Times New Roman" w:eastAsia="宋体"/>
                      <w:color w:val="auto"/>
                      <w:spacing w:val="9"/>
                      <w:sz w:val="21"/>
                    </w:rPr>
                    <w:t>膜、废过滤器、废离子交</w:t>
                  </w:r>
                  <w:r>
                    <w:rPr>
                      <w:rFonts w:ascii="Times New Roman" w:hAnsi="Times New Roman" w:eastAsia="宋体"/>
                      <w:color w:val="auto"/>
                      <w:spacing w:val="6"/>
                      <w:sz w:val="21"/>
                    </w:rPr>
                    <w:t>换树脂</w:t>
                  </w:r>
                </w:p>
              </w:tc>
            </w:tr>
            <w:tr w14:paraId="4F42AA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90" w:hRule="atLeast"/>
              </w:trPr>
              <w:tc>
                <w:tcPr>
                  <w:tcW w:w="0" w:type="auto"/>
                  <w:vMerge w:val="continue"/>
                  <w:tcBorders>
                    <w:tl2br w:val="nil"/>
                    <w:tr2bl w:val="nil"/>
                  </w:tcBorders>
                  <w:vAlign w:val="center"/>
                </w:tcPr>
                <w:p w14:paraId="2EB51CF2">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1E82F826">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default" w:ascii="Times New Roman" w:hAnsi="Times New Roman" w:eastAsia="宋体"/>
                      <w:color w:val="auto"/>
                      <w:sz w:val="21"/>
                      <w:szCs w:val="21"/>
                      <w:highlight w:val="none"/>
                      <w:lang w:val="en-US" w:eastAsia="zh-CN"/>
                    </w:rPr>
                  </w:pPr>
                </w:p>
              </w:tc>
              <w:tc>
                <w:tcPr>
                  <w:tcW w:w="0" w:type="auto"/>
                  <w:tcBorders>
                    <w:tl2br w:val="nil"/>
                    <w:tr2bl w:val="nil"/>
                  </w:tcBorders>
                  <w:shd w:val="clear" w:color="auto" w:fill="auto"/>
                  <w:vAlign w:val="center"/>
                </w:tcPr>
                <w:p w14:paraId="1643DB8F">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设备维护保养</w:t>
                  </w:r>
                </w:p>
              </w:tc>
              <w:tc>
                <w:tcPr>
                  <w:tcW w:w="0" w:type="auto"/>
                  <w:tcBorders>
                    <w:tl2br w:val="nil"/>
                    <w:tr2bl w:val="nil"/>
                  </w:tcBorders>
                  <w:shd w:val="clear" w:color="auto" w:fill="auto"/>
                  <w:vAlign w:val="center"/>
                </w:tcPr>
                <w:p w14:paraId="43E8FC0E">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废机油</w:t>
                  </w:r>
                </w:p>
              </w:tc>
              <w:tc>
                <w:tcPr>
                  <w:tcW w:w="0" w:type="auto"/>
                  <w:tcBorders>
                    <w:tl2br w:val="nil"/>
                    <w:tr2bl w:val="nil"/>
                  </w:tcBorders>
                  <w:shd w:val="clear" w:color="auto" w:fill="auto"/>
                  <w:vAlign w:val="center"/>
                </w:tcPr>
                <w:p w14:paraId="1C1736F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3"/>
                      <w:position w:val="1"/>
                      <w:sz w:val="21"/>
                      <w:szCs w:val="20"/>
                    </w:rPr>
                    <w:t>S9</w:t>
                  </w:r>
                </w:p>
              </w:tc>
              <w:tc>
                <w:tcPr>
                  <w:tcW w:w="0" w:type="auto"/>
                  <w:tcBorders>
                    <w:tl2br w:val="nil"/>
                    <w:tr2bl w:val="nil"/>
                  </w:tcBorders>
                  <w:shd w:val="clear" w:color="auto" w:fill="auto"/>
                  <w:vAlign w:val="center"/>
                </w:tcPr>
                <w:p w14:paraId="4E1ACAFC">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废矿物油</w:t>
                  </w:r>
                </w:p>
              </w:tc>
            </w:tr>
            <w:tr w14:paraId="54FB9D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0" w:type="auto"/>
                  <w:vMerge w:val="continue"/>
                  <w:tcBorders>
                    <w:tl2br w:val="nil"/>
                    <w:tr2bl w:val="nil"/>
                  </w:tcBorders>
                  <w:vAlign w:val="center"/>
                </w:tcPr>
                <w:p w14:paraId="463FB24B">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63B8704E">
                  <w:pPr>
                    <w:keepNext w:val="0"/>
                    <w:keepLines w:val="0"/>
                    <w:pageBreakBefore w:val="0"/>
                    <w:widowControl w:val="0"/>
                    <w:kinsoku/>
                    <w:wordWrap/>
                    <w:overflowPunct/>
                    <w:topLinePunct w:val="0"/>
                    <w:autoSpaceDE/>
                    <w:autoSpaceDN/>
                    <w:bidi w:val="0"/>
                    <w:spacing w:line="240" w:lineRule="auto"/>
                    <w:ind w:left="0" w:right="0" w:firstLine="0" w:firstLineChars="0"/>
                    <w:jc w:val="center"/>
                    <w:textAlignment w:val="auto"/>
                    <w:rPr>
                      <w:rFonts w:hint="eastAsia" w:ascii="Times New Roman" w:hAnsi="Times New Roman" w:eastAsia="宋体"/>
                      <w:color w:val="auto"/>
                      <w:sz w:val="21"/>
                      <w:szCs w:val="21"/>
                      <w:highlight w:val="none"/>
                      <w:lang w:val="en-US" w:eastAsia="zh-CN"/>
                    </w:rPr>
                  </w:pPr>
                </w:p>
              </w:tc>
              <w:tc>
                <w:tcPr>
                  <w:tcW w:w="0" w:type="auto"/>
                  <w:tcBorders>
                    <w:tl2br w:val="nil"/>
                    <w:tr2bl w:val="nil"/>
                  </w:tcBorders>
                  <w:shd w:val="clear" w:color="auto" w:fill="auto"/>
                  <w:vAlign w:val="center"/>
                </w:tcPr>
                <w:p w14:paraId="217D993A">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设备维护保养</w:t>
                  </w:r>
                </w:p>
              </w:tc>
              <w:tc>
                <w:tcPr>
                  <w:tcW w:w="0" w:type="auto"/>
                  <w:tcBorders>
                    <w:tl2br w:val="nil"/>
                    <w:tr2bl w:val="nil"/>
                  </w:tcBorders>
                  <w:shd w:val="clear" w:color="auto" w:fill="auto"/>
                  <w:vAlign w:val="center"/>
                </w:tcPr>
                <w:p w14:paraId="7454D186">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废油桶</w:t>
                  </w:r>
                </w:p>
              </w:tc>
              <w:tc>
                <w:tcPr>
                  <w:tcW w:w="0" w:type="auto"/>
                  <w:tcBorders>
                    <w:tl2br w:val="nil"/>
                    <w:tr2bl w:val="nil"/>
                  </w:tcBorders>
                  <w:shd w:val="clear" w:color="auto" w:fill="auto"/>
                  <w:vAlign w:val="center"/>
                </w:tcPr>
                <w:p w14:paraId="5295F6B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8"/>
                      <w:position w:val="1"/>
                      <w:sz w:val="21"/>
                      <w:szCs w:val="20"/>
                    </w:rPr>
                    <w:t>S</w:t>
                  </w:r>
                  <w:r>
                    <w:rPr>
                      <w:rFonts w:ascii="Times New Roman" w:hAnsi="Times New Roman" w:eastAsia="宋体" w:cs="Times New Roman"/>
                      <w:color w:val="auto"/>
                      <w:spacing w:val="-27"/>
                      <w:position w:val="1"/>
                      <w:sz w:val="21"/>
                      <w:szCs w:val="20"/>
                    </w:rPr>
                    <w:t xml:space="preserve"> </w:t>
                  </w:r>
                  <w:r>
                    <w:rPr>
                      <w:rFonts w:ascii="Times New Roman" w:hAnsi="Times New Roman" w:eastAsia="宋体" w:cs="Times New Roman"/>
                      <w:color w:val="auto"/>
                      <w:spacing w:val="-8"/>
                      <w:position w:val="1"/>
                      <w:sz w:val="21"/>
                      <w:szCs w:val="20"/>
                    </w:rPr>
                    <w:t>10</w:t>
                  </w:r>
                </w:p>
              </w:tc>
              <w:tc>
                <w:tcPr>
                  <w:tcW w:w="0" w:type="auto"/>
                  <w:tcBorders>
                    <w:tl2br w:val="nil"/>
                    <w:tr2bl w:val="nil"/>
                  </w:tcBorders>
                  <w:shd w:val="clear" w:color="auto" w:fill="auto"/>
                  <w:vAlign w:val="center"/>
                </w:tcPr>
                <w:p w14:paraId="04B6C286">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沾染矿物油的包装物</w:t>
                  </w:r>
                </w:p>
              </w:tc>
            </w:tr>
            <w:tr w14:paraId="691A36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340" w:hRule="atLeast"/>
              </w:trPr>
              <w:tc>
                <w:tcPr>
                  <w:tcW w:w="0" w:type="auto"/>
                  <w:vMerge w:val="continue"/>
                  <w:tcBorders>
                    <w:tl2br w:val="nil"/>
                    <w:tr2bl w:val="nil"/>
                  </w:tcBorders>
                  <w:vAlign w:val="center"/>
                </w:tcPr>
                <w:p w14:paraId="7FCBBC45">
                  <w:pPr>
                    <w:keepNext w:val="0"/>
                    <w:keepLines w:val="0"/>
                    <w:pageBreakBefore w:val="0"/>
                    <w:widowControl w:val="0"/>
                    <w:tabs>
                      <w:tab w:val="left" w:pos="2604"/>
                    </w:tabs>
                    <w:kinsoku/>
                    <w:wordWrap/>
                    <w:overflowPunct/>
                    <w:topLinePunct w:val="0"/>
                    <w:autoSpaceDE/>
                    <w:autoSpaceDN/>
                    <w:bidi w:val="0"/>
                    <w:adjustRightInd w:val="0"/>
                    <w:snapToGrid w:val="0"/>
                    <w:spacing w:line="240" w:lineRule="auto"/>
                    <w:ind w:left="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31426C70">
                  <w:pPr>
                    <w:keepNext w:val="0"/>
                    <w:keepLines w:val="0"/>
                    <w:pageBreakBefore w:val="0"/>
                    <w:widowControl w:val="0"/>
                    <w:tabs>
                      <w:tab w:val="left" w:pos="2604"/>
                    </w:tabs>
                    <w:kinsoku/>
                    <w:wordWrap/>
                    <w:overflowPunct/>
                    <w:topLinePunct w:val="0"/>
                    <w:autoSpaceDE/>
                    <w:autoSpaceDN/>
                    <w:bidi w:val="0"/>
                    <w:adjustRightInd w:val="0"/>
                    <w:snapToGrid w:val="0"/>
                    <w:spacing w:line="240" w:lineRule="auto"/>
                    <w:ind w:left="0" w:right="0" w:firstLine="0" w:firstLineChars="0"/>
                    <w:jc w:val="center"/>
                    <w:textAlignment w:val="auto"/>
                    <w:rPr>
                      <w:rFonts w:hint="eastAsia" w:ascii="Times New Roman" w:hAnsi="Times New Roman" w:eastAsia="宋体"/>
                      <w:color w:val="auto"/>
                      <w:sz w:val="21"/>
                      <w:szCs w:val="21"/>
                      <w:highlight w:val="none"/>
                      <w:lang w:val="en-US" w:eastAsia="zh-CN"/>
                    </w:rPr>
                  </w:pPr>
                </w:p>
              </w:tc>
              <w:tc>
                <w:tcPr>
                  <w:tcW w:w="0" w:type="auto"/>
                  <w:tcBorders>
                    <w:tl2br w:val="nil"/>
                    <w:tr2bl w:val="nil"/>
                  </w:tcBorders>
                  <w:shd w:val="clear" w:color="auto" w:fill="auto"/>
                  <w:vAlign w:val="center"/>
                </w:tcPr>
                <w:p w14:paraId="3C8CF155">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污水处理设施</w:t>
                  </w:r>
                </w:p>
              </w:tc>
              <w:tc>
                <w:tcPr>
                  <w:tcW w:w="0" w:type="auto"/>
                  <w:tcBorders>
                    <w:tl2br w:val="nil"/>
                    <w:tr2bl w:val="nil"/>
                  </w:tcBorders>
                  <w:shd w:val="clear" w:color="auto" w:fill="auto"/>
                  <w:vAlign w:val="center"/>
                </w:tcPr>
                <w:p w14:paraId="27251003">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8"/>
                      <w:sz w:val="21"/>
                    </w:rPr>
                    <w:t>废水处理污</w:t>
                  </w:r>
                  <w:r>
                    <w:rPr>
                      <w:rFonts w:ascii="Times New Roman" w:hAnsi="Times New Roman" w:eastAsia="宋体"/>
                      <w:color w:val="auto"/>
                      <w:sz w:val="21"/>
                    </w:rPr>
                    <w:t>泥</w:t>
                  </w:r>
                </w:p>
              </w:tc>
              <w:tc>
                <w:tcPr>
                  <w:tcW w:w="0" w:type="auto"/>
                  <w:tcBorders>
                    <w:tl2br w:val="nil"/>
                    <w:tr2bl w:val="nil"/>
                  </w:tcBorders>
                  <w:shd w:val="clear" w:color="auto" w:fill="auto"/>
                  <w:vAlign w:val="center"/>
                </w:tcPr>
                <w:p w14:paraId="15539AE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8"/>
                      <w:position w:val="2"/>
                      <w:sz w:val="21"/>
                      <w:szCs w:val="20"/>
                    </w:rPr>
                    <w:t>S</w:t>
                  </w:r>
                  <w:r>
                    <w:rPr>
                      <w:rFonts w:ascii="Times New Roman" w:hAnsi="Times New Roman" w:eastAsia="宋体" w:cs="Times New Roman"/>
                      <w:color w:val="auto"/>
                      <w:spacing w:val="-27"/>
                      <w:position w:val="2"/>
                      <w:sz w:val="21"/>
                      <w:szCs w:val="20"/>
                    </w:rPr>
                    <w:t xml:space="preserve"> </w:t>
                  </w:r>
                  <w:r>
                    <w:rPr>
                      <w:rFonts w:ascii="Times New Roman" w:hAnsi="Times New Roman" w:eastAsia="宋体" w:cs="Times New Roman"/>
                      <w:color w:val="auto"/>
                      <w:spacing w:val="-8"/>
                      <w:position w:val="2"/>
                      <w:sz w:val="21"/>
                      <w:szCs w:val="20"/>
                    </w:rPr>
                    <w:t>11</w:t>
                  </w:r>
                </w:p>
              </w:tc>
              <w:tc>
                <w:tcPr>
                  <w:tcW w:w="0" w:type="auto"/>
                  <w:tcBorders>
                    <w:tl2br w:val="nil"/>
                    <w:tr2bl w:val="nil"/>
                  </w:tcBorders>
                  <w:shd w:val="clear" w:color="auto" w:fill="auto"/>
                  <w:vAlign w:val="center"/>
                </w:tcPr>
                <w:p w14:paraId="124B71ED">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3"/>
                      <w:sz w:val="21"/>
                    </w:rPr>
                    <w:t>污泥</w:t>
                  </w:r>
                </w:p>
              </w:tc>
            </w:tr>
            <w:tr w14:paraId="3223D2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8" w:hRule="atLeast"/>
              </w:trPr>
              <w:tc>
                <w:tcPr>
                  <w:tcW w:w="0" w:type="auto"/>
                  <w:vMerge w:val="continue"/>
                  <w:tcBorders>
                    <w:tl2br w:val="nil"/>
                    <w:tr2bl w:val="nil"/>
                  </w:tcBorders>
                  <w:vAlign w:val="center"/>
                </w:tcPr>
                <w:p w14:paraId="2010708C">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4BBA3C9B">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olor w:val="auto"/>
                      <w:sz w:val="21"/>
                      <w:szCs w:val="21"/>
                      <w:highlight w:val="none"/>
                      <w:lang w:val="en-US" w:eastAsia="zh-CN"/>
                    </w:rPr>
                  </w:pPr>
                </w:p>
              </w:tc>
              <w:tc>
                <w:tcPr>
                  <w:tcW w:w="0" w:type="auto"/>
                  <w:tcBorders>
                    <w:tl2br w:val="nil"/>
                    <w:tr2bl w:val="nil"/>
                  </w:tcBorders>
                  <w:shd w:val="clear" w:color="auto" w:fill="auto"/>
                  <w:vAlign w:val="center"/>
                </w:tcPr>
                <w:p w14:paraId="005FF08C">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活性炭装置</w:t>
                  </w:r>
                </w:p>
              </w:tc>
              <w:tc>
                <w:tcPr>
                  <w:tcW w:w="0" w:type="auto"/>
                  <w:tcBorders>
                    <w:tl2br w:val="nil"/>
                    <w:tr2bl w:val="nil"/>
                  </w:tcBorders>
                  <w:shd w:val="clear" w:color="auto" w:fill="auto"/>
                  <w:vAlign w:val="center"/>
                </w:tcPr>
                <w:p w14:paraId="6015E0E4">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废活性炭</w:t>
                  </w:r>
                </w:p>
              </w:tc>
              <w:tc>
                <w:tcPr>
                  <w:tcW w:w="0" w:type="auto"/>
                  <w:tcBorders>
                    <w:tl2br w:val="nil"/>
                    <w:tr2bl w:val="nil"/>
                  </w:tcBorders>
                  <w:shd w:val="clear" w:color="auto" w:fill="auto"/>
                  <w:vAlign w:val="center"/>
                </w:tcPr>
                <w:p w14:paraId="54F4AD92">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8"/>
                      <w:position w:val="1"/>
                      <w:sz w:val="21"/>
                      <w:szCs w:val="20"/>
                    </w:rPr>
                    <w:t>S</w:t>
                  </w:r>
                  <w:r>
                    <w:rPr>
                      <w:rFonts w:ascii="Times New Roman" w:hAnsi="Times New Roman" w:eastAsia="宋体" w:cs="Times New Roman"/>
                      <w:color w:val="auto"/>
                      <w:spacing w:val="-27"/>
                      <w:position w:val="1"/>
                      <w:sz w:val="21"/>
                      <w:szCs w:val="20"/>
                    </w:rPr>
                    <w:t xml:space="preserve"> </w:t>
                  </w:r>
                  <w:r>
                    <w:rPr>
                      <w:rFonts w:ascii="Times New Roman" w:hAnsi="Times New Roman" w:eastAsia="宋体" w:cs="Times New Roman"/>
                      <w:color w:val="auto"/>
                      <w:spacing w:val="-8"/>
                      <w:position w:val="1"/>
                      <w:sz w:val="21"/>
                      <w:szCs w:val="20"/>
                    </w:rPr>
                    <w:t>12</w:t>
                  </w:r>
                </w:p>
              </w:tc>
              <w:tc>
                <w:tcPr>
                  <w:tcW w:w="0" w:type="auto"/>
                  <w:tcBorders>
                    <w:tl2br w:val="nil"/>
                    <w:tr2bl w:val="nil"/>
                  </w:tcBorders>
                  <w:shd w:val="clear" w:color="auto" w:fill="auto"/>
                  <w:vAlign w:val="center"/>
                </w:tcPr>
                <w:p w14:paraId="735EBCEE">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吸附废气的活性炭</w:t>
                  </w:r>
                </w:p>
              </w:tc>
            </w:tr>
            <w:tr w14:paraId="0C2090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8" w:hRule="atLeast"/>
              </w:trPr>
              <w:tc>
                <w:tcPr>
                  <w:tcW w:w="0" w:type="auto"/>
                  <w:vMerge w:val="continue"/>
                  <w:tcBorders>
                    <w:tl2br w:val="nil"/>
                    <w:tr2bl w:val="nil"/>
                  </w:tcBorders>
                  <w:vAlign w:val="center"/>
                </w:tcPr>
                <w:p w14:paraId="2AB10859">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1E262FB0">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olor w:val="auto"/>
                      <w:sz w:val="21"/>
                      <w:szCs w:val="21"/>
                      <w:highlight w:val="none"/>
                      <w:lang w:val="en-US" w:eastAsia="zh-CN"/>
                    </w:rPr>
                  </w:pPr>
                </w:p>
              </w:tc>
              <w:tc>
                <w:tcPr>
                  <w:tcW w:w="0" w:type="auto"/>
                  <w:tcBorders>
                    <w:tl2br w:val="nil"/>
                    <w:tr2bl w:val="nil"/>
                  </w:tcBorders>
                  <w:shd w:val="clear" w:color="auto" w:fill="auto"/>
                  <w:vAlign w:val="center"/>
                </w:tcPr>
                <w:p w14:paraId="54B412F1">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超滤系统</w:t>
                  </w:r>
                </w:p>
              </w:tc>
              <w:tc>
                <w:tcPr>
                  <w:tcW w:w="0" w:type="auto"/>
                  <w:tcBorders>
                    <w:tl2br w:val="nil"/>
                    <w:tr2bl w:val="nil"/>
                  </w:tcBorders>
                  <w:shd w:val="clear" w:color="auto" w:fill="auto"/>
                  <w:vAlign w:val="center"/>
                </w:tcPr>
                <w:p w14:paraId="2BFC7D2B">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废滤膜</w:t>
                  </w:r>
                </w:p>
              </w:tc>
              <w:tc>
                <w:tcPr>
                  <w:tcW w:w="0" w:type="auto"/>
                  <w:tcBorders>
                    <w:tl2br w:val="nil"/>
                    <w:tr2bl w:val="nil"/>
                  </w:tcBorders>
                  <w:shd w:val="clear" w:color="auto" w:fill="auto"/>
                  <w:vAlign w:val="center"/>
                </w:tcPr>
                <w:p w14:paraId="5AD7CC26">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8"/>
                      <w:position w:val="1"/>
                      <w:sz w:val="21"/>
                      <w:szCs w:val="20"/>
                    </w:rPr>
                    <w:t>S</w:t>
                  </w:r>
                  <w:r>
                    <w:rPr>
                      <w:rFonts w:ascii="Times New Roman" w:hAnsi="Times New Roman" w:eastAsia="宋体" w:cs="Times New Roman"/>
                      <w:color w:val="auto"/>
                      <w:spacing w:val="-27"/>
                      <w:position w:val="1"/>
                      <w:sz w:val="21"/>
                      <w:szCs w:val="20"/>
                    </w:rPr>
                    <w:t xml:space="preserve"> </w:t>
                  </w:r>
                  <w:r>
                    <w:rPr>
                      <w:rFonts w:ascii="Times New Roman" w:hAnsi="Times New Roman" w:eastAsia="宋体" w:cs="Times New Roman"/>
                      <w:color w:val="auto"/>
                      <w:spacing w:val="-8"/>
                      <w:position w:val="1"/>
                      <w:sz w:val="21"/>
                      <w:szCs w:val="20"/>
                    </w:rPr>
                    <w:t>13</w:t>
                  </w:r>
                </w:p>
              </w:tc>
              <w:tc>
                <w:tcPr>
                  <w:tcW w:w="0" w:type="auto"/>
                  <w:tcBorders>
                    <w:tl2br w:val="nil"/>
                    <w:tr2bl w:val="nil"/>
                  </w:tcBorders>
                  <w:shd w:val="clear" w:color="auto" w:fill="auto"/>
                  <w:vAlign w:val="center"/>
                </w:tcPr>
                <w:p w14:paraId="6BDCE950">
                  <w:pPr>
                    <w:pStyle w:val="113"/>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沾染杂物的滤膜</w:t>
                  </w:r>
                </w:p>
              </w:tc>
            </w:tr>
            <w:tr w14:paraId="47702F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8" w:hRule="atLeast"/>
              </w:trPr>
              <w:tc>
                <w:tcPr>
                  <w:tcW w:w="0" w:type="auto"/>
                  <w:vMerge w:val="continue"/>
                  <w:tcBorders>
                    <w:tl2br w:val="nil"/>
                    <w:tr2bl w:val="nil"/>
                  </w:tcBorders>
                  <w:vAlign w:val="center"/>
                </w:tcPr>
                <w:p w14:paraId="56B40A6D">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olor w:val="auto"/>
                      <w:sz w:val="21"/>
                      <w:szCs w:val="21"/>
                      <w:highlight w:val="none"/>
                    </w:rPr>
                  </w:pPr>
                </w:p>
              </w:tc>
              <w:tc>
                <w:tcPr>
                  <w:tcW w:w="0" w:type="auto"/>
                  <w:vMerge w:val="continue"/>
                  <w:tcBorders>
                    <w:tl2br w:val="nil"/>
                    <w:tr2bl w:val="nil"/>
                  </w:tcBorders>
                  <w:vAlign w:val="center"/>
                </w:tcPr>
                <w:p w14:paraId="7EDD8DF8">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olor w:val="auto"/>
                      <w:sz w:val="21"/>
                      <w:szCs w:val="21"/>
                      <w:highlight w:val="none"/>
                      <w:lang w:val="en-US" w:eastAsia="zh-CN"/>
                    </w:rPr>
                  </w:pPr>
                </w:p>
              </w:tc>
              <w:tc>
                <w:tcPr>
                  <w:tcW w:w="0" w:type="auto"/>
                  <w:tcBorders>
                    <w:tl2br w:val="nil"/>
                    <w:tr2bl w:val="nil"/>
                  </w:tcBorders>
                  <w:shd w:val="clear" w:color="auto" w:fill="auto"/>
                  <w:vAlign w:val="center"/>
                </w:tcPr>
                <w:p w14:paraId="0CAA4985">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5"/>
                      <w:sz w:val="21"/>
                    </w:rPr>
                    <w:t>员工生活</w:t>
                  </w:r>
                </w:p>
              </w:tc>
              <w:tc>
                <w:tcPr>
                  <w:tcW w:w="0" w:type="auto"/>
                  <w:tcBorders>
                    <w:tl2br w:val="nil"/>
                    <w:tr2bl w:val="nil"/>
                  </w:tcBorders>
                  <w:shd w:val="clear" w:color="auto" w:fill="auto"/>
                  <w:vAlign w:val="center"/>
                </w:tcPr>
                <w:p w14:paraId="5EDD7933">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6"/>
                      <w:sz w:val="21"/>
                    </w:rPr>
                    <w:t>生活垃圾</w:t>
                  </w:r>
                </w:p>
              </w:tc>
              <w:tc>
                <w:tcPr>
                  <w:tcW w:w="0" w:type="auto"/>
                  <w:tcBorders>
                    <w:tl2br w:val="nil"/>
                    <w:tr2bl w:val="nil"/>
                  </w:tcBorders>
                  <w:shd w:val="clear" w:color="auto" w:fill="auto"/>
                  <w:vAlign w:val="center"/>
                </w:tcPr>
                <w:p w14:paraId="435F17FB">
                  <w:pPr>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8"/>
                      <w:position w:val="1"/>
                      <w:sz w:val="21"/>
                      <w:szCs w:val="20"/>
                    </w:rPr>
                    <w:t>S</w:t>
                  </w:r>
                  <w:r>
                    <w:rPr>
                      <w:rFonts w:ascii="Times New Roman" w:hAnsi="Times New Roman" w:eastAsia="宋体" w:cs="Times New Roman"/>
                      <w:color w:val="auto"/>
                      <w:spacing w:val="-27"/>
                      <w:position w:val="1"/>
                      <w:sz w:val="21"/>
                      <w:szCs w:val="20"/>
                    </w:rPr>
                    <w:t xml:space="preserve"> </w:t>
                  </w:r>
                  <w:r>
                    <w:rPr>
                      <w:rFonts w:ascii="Times New Roman" w:hAnsi="Times New Roman" w:eastAsia="宋体" w:cs="Times New Roman"/>
                      <w:color w:val="auto"/>
                      <w:spacing w:val="-8"/>
                      <w:position w:val="1"/>
                      <w:sz w:val="21"/>
                      <w:szCs w:val="20"/>
                    </w:rPr>
                    <w:t>14</w:t>
                  </w:r>
                </w:p>
              </w:tc>
              <w:tc>
                <w:tcPr>
                  <w:tcW w:w="0" w:type="auto"/>
                  <w:tcBorders>
                    <w:tl2br w:val="nil"/>
                    <w:tr2bl w:val="nil"/>
                  </w:tcBorders>
                  <w:shd w:val="clear" w:color="auto" w:fill="auto"/>
                  <w:vAlign w:val="center"/>
                </w:tcPr>
                <w:p w14:paraId="7AC58C12">
                  <w:pPr>
                    <w:pStyle w:val="113"/>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ascii="Times New Roman" w:hAnsi="Times New Roman" w:eastAsia="宋体" w:cs="宋体"/>
                      <w:color w:val="auto"/>
                      <w:kern w:val="2"/>
                      <w:sz w:val="21"/>
                      <w:szCs w:val="24"/>
                      <w:lang w:val="en-US" w:eastAsia="en-US" w:bidi="ar-SA"/>
                    </w:rPr>
                  </w:pPr>
                  <w:r>
                    <w:rPr>
                      <w:rFonts w:ascii="Times New Roman" w:hAnsi="Times New Roman" w:eastAsia="宋体"/>
                      <w:color w:val="auto"/>
                      <w:spacing w:val="9"/>
                      <w:sz w:val="21"/>
                    </w:rPr>
                    <w:t>废纸、废塑料和有机垃圾等</w:t>
                  </w:r>
                </w:p>
              </w:tc>
            </w:tr>
            <w:tr w14:paraId="779153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trHeight w:val="238" w:hRule="atLeast"/>
              </w:trPr>
              <w:tc>
                <w:tcPr>
                  <w:tcW w:w="0" w:type="auto"/>
                  <w:tcBorders>
                    <w:tl2br w:val="nil"/>
                    <w:tr2bl w:val="nil"/>
                  </w:tcBorders>
                  <w:vAlign w:val="center"/>
                </w:tcPr>
                <w:p w14:paraId="3C3D6248">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4</w:t>
                  </w:r>
                </w:p>
              </w:tc>
              <w:tc>
                <w:tcPr>
                  <w:tcW w:w="0" w:type="auto"/>
                  <w:tcBorders>
                    <w:tl2br w:val="nil"/>
                    <w:tr2bl w:val="nil"/>
                  </w:tcBorders>
                  <w:vAlign w:val="center"/>
                </w:tcPr>
                <w:p w14:paraId="23BF5246">
                  <w:pPr>
                    <w:pStyle w:val="95"/>
                    <w:keepNext w:val="0"/>
                    <w:keepLines w:val="0"/>
                    <w:pageBreakBefore w:val="0"/>
                    <w:widowControl w:val="0"/>
                    <w:kinsoku/>
                    <w:wordWrap/>
                    <w:overflowPunct/>
                    <w:topLinePunct w:val="0"/>
                    <w:autoSpaceDE/>
                    <w:autoSpaceDN/>
                    <w:bidi w:val="0"/>
                    <w:spacing w:line="240" w:lineRule="auto"/>
                    <w:ind w:left="0" w:leftChars="0" w:right="0" w:firstLine="0" w:firstLineChars="0"/>
                    <w:jc w:val="center"/>
                    <w:textAlignment w:val="auto"/>
                    <w:rPr>
                      <w:rFonts w:hint="eastAsia" w:ascii="Times New Roman" w:hAnsi="Times New Roman" w:eastAsia="宋体"/>
                      <w:color w:val="auto"/>
                      <w:sz w:val="21"/>
                      <w:szCs w:val="21"/>
                      <w:highlight w:val="none"/>
                      <w:lang w:val="en-US" w:eastAsia="zh-CN"/>
                    </w:rPr>
                  </w:pPr>
                  <w:r>
                    <w:rPr>
                      <w:rFonts w:ascii="Times New Roman" w:hAnsi="Times New Roman" w:eastAsia="宋体"/>
                      <w:color w:val="auto"/>
                      <w:spacing w:val="-8"/>
                      <w:sz w:val="21"/>
                    </w:rPr>
                    <w:t>噪声</w:t>
                  </w:r>
                </w:p>
              </w:tc>
              <w:tc>
                <w:tcPr>
                  <w:tcW w:w="0" w:type="auto"/>
                  <w:gridSpan w:val="4"/>
                  <w:tcBorders>
                    <w:tl2br w:val="nil"/>
                    <w:tr2bl w:val="nil"/>
                  </w:tcBorders>
                  <w:shd w:val="clear" w:color="auto" w:fill="auto"/>
                  <w:vAlign w:val="center"/>
                </w:tcPr>
                <w:p w14:paraId="6F699B02">
                  <w:pPr>
                    <w:pStyle w:val="95"/>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ascii="Times New Roman" w:hAnsi="Times New Roman" w:eastAsia="宋体" w:cs="Times New Roman"/>
                      <w:color w:val="auto"/>
                      <w:sz w:val="21"/>
                      <w:szCs w:val="21"/>
                      <w:highlight w:val="none"/>
                    </w:rPr>
                  </w:pPr>
                  <w:r>
                    <w:rPr>
                      <w:rFonts w:ascii="Times New Roman" w:hAnsi="Times New Roman" w:eastAsia="宋体"/>
                      <w:color w:val="auto"/>
                      <w:spacing w:val="9"/>
                      <w:sz w:val="21"/>
                    </w:rPr>
                    <w:t>本项目新增噪声源主要是焊接设备、废气处</w:t>
                  </w:r>
                  <w:r>
                    <w:rPr>
                      <w:rFonts w:ascii="Times New Roman" w:hAnsi="Times New Roman" w:eastAsia="宋体"/>
                      <w:color w:val="auto"/>
                      <w:spacing w:val="8"/>
                      <w:sz w:val="21"/>
                    </w:rPr>
                    <w:t>理风机等设备运行产生的噪声。</w:t>
                  </w:r>
                </w:p>
              </w:tc>
            </w:tr>
          </w:tbl>
          <w:p w14:paraId="0D55CBB3">
            <w:pPr>
              <w:pStyle w:val="27"/>
              <w:rPr>
                <w:color w:val="auto"/>
              </w:rPr>
            </w:pPr>
          </w:p>
        </w:tc>
      </w:tr>
      <w:tr w14:paraId="0B8A60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87" w:hRule="atLeast"/>
          <w:jc w:val="center"/>
        </w:trPr>
        <w:tc>
          <w:tcPr>
            <w:tcW w:w="528" w:type="dxa"/>
            <w:vAlign w:val="center"/>
          </w:tcPr>
          <w:p w14:paraId="04C248B2">
            <w:pPr>
              <w:pStyle w:val="31"/>
              <w:adjustRightInd w:val="0"/>
              <w:snapToGrid w:val="0"/>
              <w:spacing w:before="0" w:beforeAutospacing="0" w:after="0" w:afterAutospacing="0"/>
              <w:jc w:val="center"/>
              <w:rPr>
                <w:rFonts w:hint="eastAsia" w:cs="宋体"/>
                <w:bCs/>
                <w:color w:val="auto"/>
                <w:kern w:val="2"/>
                <w:sz w:val="21"/>
                <w:szCs w:val="21"/>
                <w:highlight w:val="none"/>
              </w:rPr>
            </w:pPr>
            <w:r>
              <w:rPr>
                <w:rFonts w:hint="eastAsia" w:cs="宋体"/>
                <w:bCs/>
                <w:color w:val="auto"/>
                <w:kern w:val="2"/>
                <w:sz w:val="21"/>
                <w:szCs w:val="21"/>
                <w:highlight w:val="none"/>
              </w:rPr>
              <w:t>与项目有关的原有环境污染问题</w:t>
            </w:r>
          </w:p>
        </w:tc>
        <w:tc>
          <w:tcPr>
            <w:tcW w:w="8802" w:type="dxa"/>
            <w:vAlign w:val="center"/>
          </w:tcPr>
          <w:p w14:paraId="26E4122E">
            <w:pPr>
              <w:pStyle w:val="44"/>
              <w:ind w:firstLine="480"/>
              <w:jc w:val="both"/>
              <w:rPr>
                <w:rFonts w:hint="eastAsia" w:eastAsia="宋体"/>
                <w:color w:val="auto"/>
                <w:highlight w:val="none"/>
                <w:lang w:val="en-US" w:eastAsia="zh-CN"/>
              </w:rPr>
            </w:pPr>
            <w:r>
              <w:rPr>
                <w:rFonts w:hint="eastAsia"/>
                <w:color w:val="auto"/>
                <w:highlight w:val="none"/>
                <w:lang w:val="en-US" w:eastAsia="zh-CN"/>
              </w:rPr>
              <w:t>本项目为新建项目，不存在与本项目有关的环境污染问题。</w:t>
            </w:r>
          </w:p>
        </w:tc>
      </w:tr>
    </w:tbl>
    <w:p w14:paraId="45A8841E">
      <w:pPr>
        <w:rPr>
          <w:color w:val="auto"/>
        </w:rPr>
      </w:pPr>
    </w:p>
    <w:p w14:paraId="688FCE05">
      <w:pPr>
        <w:pStyle w:val="31"/>
        <w:jc w:val="center"/>
        <w:rPr>
          <w:rFonts w:ascii="黑体" w:hAnsi="黑体" w:eastAsia="黑体"/>
          <w:snapToGrid w:val="0"/>
          <w:color w:val="auto"/>
          <w:sz w:val="36"/>
          <w:szCs w:val="36"/>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14:paraId="3E61264A">
      <w:pPr>
        <w:pStyle w:val="2"/>
        <w:numPr>
          <w:ilvl w:val="0"/>
          <w:numId w:val="1"/>
        </w:numPr>
        <w:bidi w:val="0"/>
        <w:ind w:left="432" w:leftChars="0" w:hanging="432" w:firstLineChars="0"/>
        <w:rPr>
          <w:rFonts w:hint="eastAsia"/>
          <w:color w:val="auto"/>
          <w:highlight w:val="none"/>
        </w:rPr>
      </w:pPr>
      <w:bookmarkStart w:id="23" w:name="_Toc26415"/>
      <w:bookmarkStart w:id="24" w:name="_Toc6808"/>
      <w:bookmarkStart w:id="25" w:name="_Toc24049"/>
      <w:bookmarkStart w:id="26" w:name="_Toc19680"/>
      <w:bookmarkStart w:id="27" w:name="_Toc25824"/>
      <w:r>
        <w:rPr>
          <w:rFonts w:hint="eastAsia"/>
          <w:color w:val="auto"/>
          <w:highlight w:val="none"/>
        </w:rPr>
        <w:t>区域环境质量现状、环境保护目标及评价标准</w:t>
      </w:r>
      <w:bookmarkEnd w:id="23"/>
      <w:bookmarkEnd w:id="24"/>
      <w:bookmarkEnd w:id="25"/>
      <w:bookmarkEnd w:id="26"/>
      <w:bookmarkEnd w:id="27"/>
    </w:p>
    <w:tbl>
      <w:tblPr>
        <w:tblStyle w:val="33"/>
        <w:tblW w:w="928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864"/>
      </w:tblGrid>
      <w:tr w14:paraId="568D02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6" w:type="dxa"/>
            <w:vAlign w:val="center"/>
          </w:tcPr>
          <w:p w14:paraId="7C529B43">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区域</w:t>
            </w:r>
          </w:p>
          <w:p w14:paraId="0F6A2366">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环境</w:t>
            </w:r>
          </w:p>
          <w:p w14:paraId="5479D9F7">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质量</w:t>
            </w:r>
          </w:p>
          <w:p w14:paraId="7E522016">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现状</w:t>
            </w:r>
          </w:p>
        </w:tc>
        <w:tc>
          <w:tcPr>
            <w:tcW w:w="8461" w:type="dxa"/>
            <w:vAlign w:val="center"/>
          </w:tcPr>
          <w:p w14:paraId="2B9565CA">
            <w:pPr>
              <w:pStyle w:val="3"/>
              <w:numPr>
                <w:ilvl w:val="1"/>
                <w:numId w:val="1"/>
              </w:numPr>
              <w:bidi w:val="0"/>
              <w:ind w:left="0" w:leftChars="0" w:firstLine="0" w:firstLineChars="0"/>
              <w:rPr>
                <w:color w:val="auto"/>
                <w:highlight w:val="none"/>
              </w:rPr>
            </w:pPr>
            <w:bookmarkStart w:id="28" w:name="_Toc12042"/>
            <w:r>
              <w:rPr>
                <w:rFonts w:hint="eastAsia"/>
                <w:color w:val="auto"/>
                <w:highlight w:val="none"/>
              </w:rPr>
              <w:t>区域环境质量现状</w:t>
            </w:r>
            <w:bookmarkEnd w:id="28"/>
          </w:p>
          <w:p w14:paraId="4BD6095A">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地表水环境质量现状</w:t>
            </w:r>
          </w:p>
          <w:p w14:paraId="2C9D9B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1</w:t>
            </w:r>
            <w:r>
              <w:rPr>
                <w:rFonts w:hint="eastAsia" w:ascii="Times New Roman" w:hAnsi="Times New Roman" w:eastAsia="宋体" w:cs="Times New Roman"/>
                <w:color w:val="auto"/>
                <w:kern w:val="2"/>
                <w:sz w:val="24"/>
                <w:szCs w:val="20"/>
                <w:highlight w:val="none"/>
                <w:lang w:val="en-US" w:eastAsia="zh-CN" w:bidi="ar-SA"/>
              </w:rPr>
              <w:t>）地表水功能区划</w:t>
            </w:r>
          </w:p>
          <w:p w14:paraId="7C13EE4D">
            <w:pPr>
              <w:pStyle w:val="44"/>
              <w:keepNext w:val="0"/>
              <w:keepLines w:val="0"/>
              <w:pageBreakBefore w:val="0"/>
              <w:widowControl w:val="0"/>
              <w:shd w:val="clear"/>
              <w:kinsoku/>
              <w:wordWrap/>
              <w:overflowPunct/>
              <w:topLinePunct w:val="0"/>
              <w:autoSpaceDE w:val="0"/>
              <w:autoSpaceDN w:val="0"/>
              <w:bidi w:val="0"/>
              <w:adjustRightInd/>
              <w:snapToGrid/>
              <w:ind w:firstLine="480"/>
              <w:textAlignment w:val="auto"/>
              <w:rPr>
                <w:rFonts w:hint="default"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本项目废水排入福清市第二污水处理厂，福清市第二污水处理厂尾水达到 《城镇污水处理厂污染物排放标准》</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GB18918-2002</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一级A标准后排放至龙江，龙江水质执行《地表水环境质量标准》</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GB3838-2002</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中V类标准，水质执行《地表水环境质量标准》</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GB3838-2002)V类水质标准，具体详见表3.1-1。</w:t>
            </w:r>
          </w:p>
          <w:p w14:paraId="18220BEB">
            <w:pPr>
              <w:pStyle w:val="42"/>
              <w:keepNext/>
              <w:keepLines/>
              <w:pageBreakBefore w:val="0"/>
              <w:widowControl w:val="0"/>
              <w:numPr>
                <w:ilvl w:val="7"/>
                <w:numId w:val="11"/>
              </w:numPr>
              <w:tabs>
                <w:tab w:val="left" w:pos="0"/>
              </w:tabs>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rPr>
            </w:pPr>
            <w:bookmarkStart w:id="29" w:name="_Ref6142"/>
            <w:r>
              <w:rPr>
                <w:rFonts w:hint="eastAsia" w:ascii="Times New Roman" w:hAnsi="Times New Roman" w:eastAsia="宋体"/>
                <w:color w:val="auto"/>
                <w:highlight w:val="none"/>
              </w:rPr>
              <w:t xml:space="preserve"> </w:t>
            </w:r>
            <w:bookmarkEnd w:id="29"/>
            <w:r>
              <w:rPr>
                <w:rFonts w:hint="eastAsia" w:ascii="Times New Roman" w:hAnsi="Times New Roman" w:eastAsia="宋体"/>
                <w:color w:val="auto"/>
                <w:highlight w:val="none"/>
              </w:rPr>
              <w:t>地表水环境质量标准（摘录） 单位：mg/L（除pH外）</w:t>
            </w:r>
          </w:p>
          <w:tbl>
            <w:tblPr>
              <w:tblStyle w:val="33"/>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42"/>
              <w:gridCol w:w="2909"/>
              <w:gridCol w:w="1240"/>
              <w:gridCol w:w="1204"/>
              <w:gridCol w:w="1171"/>
              <w:gridCol w:w="1179"/>
            </w:tblGrid>
            <w:tr w14:paraId="430582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bottom w:val="single" w:color="000000" w:sz="12" w:space="0"/>
                  </w:tcBorders>
                  <w:vAlign w:val="center"/>
                </w:tcPr>
                <w:p w14:paraId="26CF625A">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color w:val="auto"/>
                      <w:sz w:val="21"/>
                    </w:rPr>
                  </w:pPr>
                  <w:r>
                    <w:rPr>
                      <w:color w:val="auto"/>
                      <w:spacing w:val="-8"/>
                      <w:sz w:val="21"/>
                    </w:rPr>
                    <w:t>序号</w:t>
                  </w:r>
                </w:p>
              </w:tc>
              <w:tc>
                <w:tcPr>
                  <w:tcW w:w="1682" w:type="pct"/>
                  <w:tcBorders>
                    <w:bottom w:val="single" w:color="000000" w:sz="12" w:space="0"/>
                  </w:tcBorders>
                  <w:vAlign w:val="center"/>
                </w:tcPr>
                <w:p w14:paraId="6479EF0D">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color w:val="auto"/>
                      <w:sz w:val="21"/>
                    </w:rPr>
                  </w:pPr>
                  <w:r>
                    <w:rPr>
                      <w:color w:val="auto"/>
                      <w:spacing w:val="-8"/>
                      <w:sz w:val="21"/>
                    </w:rPr>
                    <w:t>项目</w:t>
                  </w:r>
                </w:p>
              </w:tc>
              <w:tc>
                <w:tcPr>
                  <w:tcW w:w="717" w:type="pct"/>
                  <w:tcBorders>
                    <w:bottom w:val="single" w:color="000000" w:sz="12" w:space="0"/>
                  </w:tcBorders>
                  <w:vAlign w:val="center"/>
                </w:tcPr>
                <w:p w14:paraId="7786CC85">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color w:val="auto"/>
                      <w:sz w:val="21"/>
                    </w:rPr>
                  </w:pPr>
                  <w:r>
                    <w:rPr>
                      <w:color w:val="auto"/>
                      <w:spacing w:val="-6"/>
                      <w:sz w:val="21"/>
                    </w:rPr>
                    <w:t>Ⅱ类</w:t>
                  </w:r>
                </w:p>
              </w:tc>
              <w:tc>
                <w:tcPr>
                  <w:tcW w:w="696" w:type="pct"/>
                  <w:tcBorders>
                    <w:bottom w:val="single" w:color="000000" w:sz="12" w:space="0"/>
                  </w:tcBorders>
                  <w:shd w:val="clear" w:color="auto" w:fill="auto"/>
                  <w:vAlign w:val="center"/>
                </w:tcPr>
                <w:p w14:paraId="137EE4E0">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color w:val="auto"/>
                      <w:sz w:val="21"/>
                    </w:rPr>
                  </w:pPr>
                  <w:r>
                    <w:rPr>
                      <w:color w:val="auto"/>
                      <w:spacing w:val="-8"/>
                      <w:sz w:val="21"/>
                    </w:rPr>
                    <w:t>Ⅲ类</w:t>
                  </w:r>
                </w:p>
              </w:tc>
              <w:tc>
                <w:tcPr>
                  <w:tcW w:w="677" w:type="pct"/>
                  <w:tcBorders>
                    <w:bottom w:val="single" w:color="000000" w:sz="12" w:space="0"/>
                  </w:tcBorders>
                  <w:vAlign w:val="center"/>
                </w:tcPr>
                <w:p w14:paraId="776D6DBF">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color w:val="auto"/>
                      <w:sz w:val="21"/>
                    </w:rPr>
                  </w:pPr>
                  <w:r>
                    <w:rPr>
                      <w:color w:val="auto"/>
                      <w:spacing w:val="-6"/>
                      <w:sz w:val="21"/>
                    </w:rPr>
                    <w:t>Ⅳ类</w:t>
                  </w:r>
                </w:p>
              </w:tc>
              <w:tc>
                <w:tcPr>
                  <w:tcW w:w="680" w:type="pct"/>
                  <w:tcBorders>
                    <w:bottom w:val="single" w:color="000000" w:sz="12" w:space="0"/>
                  </w:tcBorders>
                  <w:shd w:val="clear" w:color="auto" w:fill="BEBEBE" w:themeFill="background1" w:themeFillShade="BF"/>
                  <w:vAlign w:val="center"/>
                </w:tcPr>
                <w:p w14:paraId="0537504E">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color w:val="auto"/>
                      <w:sz w:val="21"/>
                    </w:rPr>
                  </w:pPr>
                  <w:r>
                    <w:rPr>
                      <w:color w:val="auto"/>
                      <w:spacing w:val="-6"/>
                      <w:sz w:val="21"/>
                    </w:rPr>
                    <w:t>Ⅴ类</w:t>
                  </w:r>
                </w:p>
              </w:tc>
            </w:tr>
            <w:tr w14:paraId="6F483D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top w:val="single" w:color="000000" w:sz="12" w:space="0"/>
                    <w:tl2br w:val="nil"/>
                    <w:tr2bl w:val="nil"/>
                  </w:tcBorders>
                  <w:vAlign w:val="center"/>
                </w:tcPr>
                <w:p w14:paraId="3BF719AE">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1</w:t>
                  </w:r>
                </w:p>
              </w:tc>
              <w:tc>
                <w:tcPr>
                  <w:tcW w:w="1682" w:type="pct"/>
                  <w:tcBorders>
                    <w:top w:val="single" w:color="000000" w:sz="12" w:space="0"/>
                    <w:tl2br w:val="nil"/>
                    <w:tr2bl w:val="nil"/>
                  </w:tcBorders>
                  <w:vAlign w:val="center"/>
                </w:tcPr>
                <w:p w14:paraId="5F6F3CE7">
                  <w:pPr>
                    <w:pStyle w:val="95"/>
                    <w:keepNext w:val="0"/>
                    <w:keepLines w:val="0"/>
                    <w:pageBreakBefore w:val="0"/>
                    <w:widowControl w:val="0"/>
                    <w:kinsoku/>
                    <w:wordWrap/>
                    <w:overflowPunct/>
                    <w:topLinePunct w:val="0"/>
                    <w:autoSpaceDE/>
                    <w:autoSpaceDN/>
                    <w:bidi w:val="0"/>
                    <w:adjustRightInd/>
                    <w:snapToGrid/>
                    <w:ind w:left="0" w:right="0"/>
                    <w:textAlignment w:val="auto"/>
                    <w:rPr>
                      <w:rFonts w:ascii="Times New Roman" w:eastAsia="Times New Roman"/>
                      <w:color w:val="auto"/>
                      <w:sz w:val="21"/>
                    </w:rPr>
                  </w:pPr>
                  <w:r>
                    <w:rPr>
                      <w:rFonts w:ascii="Times New Roman" w:eastAsia="Times New Roman"/>
                      <w:color w:val="auto"/>
                      <w:spacing w:val="-2"/>
                      <w:sz w:val="21"/>
                    </w:rPr>
                    <w:t>pH</w:t>
                  </w:r>
                  <w:r>
                    <w:rPr>
                      <w:rFonts w:hint="eastAsia" w:ascii="Times New Roman" w:eastAsia="宋体"/>
                      <w:color w:val="auto"/>
                      <w:spacing w:val="-2"/>
                      <w:sz w:val="21"/>
                      <w:lang w:eastAsia="zh-CN"/>
                    </w:rPr>
                    <w:t>(</w:t>
                  </w:r>
                  <w:r>
                    <w:rPr>
                      <w:color w:val="auto"/>
                      <w:spacing w:val="-2"/>
                      <w:sz w:val="21"/>
                    </w:rPr>
                    <w:t>无量纲</w:t>
                  </w:r>
                  <w:r>
                    <w:rPr>
                      <w:rFonts w:hint="eastAsia"/>
                      <w:color w:val="auto"/>
                      <w:spacing w:val="-2"/>
                      <w:sz w:val="21"/>
                      <w:lang w:eastAsia="zh-CN"/>
                    </w:rPr>
                    <w:t>)</w:t>
                  </w:r>
                </w:p>
              </w:tc>
              <w:tc>
                <w:tcPr>
                  <w:tcW w:w="2772" w:type="pct"/>
                  <w:gridSpan w:val="4"/>
                  <w:tcBorders>
                    <w:top w:val="single" w:color="000000" w:sz="12" w:space="0"/>
                    <w:tl2br w:val="nil"/>
                    <w:tr2bl w:val="nil"/>
                  </w:tcBorders>
                  <w:shd w:val="clear" w:color="auto" w:fill="BEBEBE" w:themeFill="background1" w:themeFillShade="BF"/>
                  <w:vAlign w:val="center"/>
                </w:tcPr>
                <w:p w14:paraId="22DF33FF">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eastAsia="Times New Roman"/>
                      <w:color w:val="auto"/>
                      <w:sz w:val="21"/>
                    </w:rPr>
                  </w:pPr>
                  <w:r>
                    <w:rPr>
                      <w:rFonts w:ascii="Times New Roman" w:eastAsia="Times New Roman"/>
                      <w:color w:val="auto"/>
                      <w:spacing w:val="-5"/>
                      <w:sz w:val="21"/>
                    </w:rPr>
                    <w:t>6</w:t>
                  </w:r>
                  <w:r>
                    <w:rPr>
                      <w:rFonts w:hint="eastAsia" w:ascii="Times New Roman" w:eastAsia="宋体"/>
                      <w:color w:val="auto"/>
                      <w:spacing w:val="-5"/>
                      <w:sz w:val="21"/>
                      <w:lang w:eastAsia="zh-CN"/>
                    </w:rPr>
                    <w:t>～</w:t>
                  </w:r>
                  <w:r>
                    <w:rPr>
                      <w:rFonts w:ascii="Times New Roman" w:eastAsia="Times New Roman"/>
                      <w:color w:val="auto"/>
                      <w:spacing w:val="-5"/>
                      <w:sz w:val="21"/>
                    </w:rPr>
                    <w:t>9</w:t>
                  </w:r>
                </w:p>
              </w:tc>
            </w:tr>
            <w:tr w14:paraId="1F09E2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tl2br w:val="nil"/>
                    <w:tr2bl w:val="nil"/>
                  </w:tcBorders>
                  <w:vAlign w:val="center"/>
                </w:tcPr>
                <w:p w14:paraId="4D448C34">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2</w:t>
                  </w:r>
                </w:p>
              </w:tc>
              <w:tc>
                <w:tcPr>
                  <w:tcW w:w="1682" w:type="pct"/>
                  <w:tcBorders>
                    <w:tl2br w:val="nil"/>
                    <w:tr2bl w:val="nil"/>
                  </w:tcBorders>
                  <w:vAlign w:val="center"/>
                </w:tcPr>
                <w:p w14:paraId="101D22F8">
                  <w:pPr>
                    <w:pStyle w:val="95"/>
                    <w:keepNext w:val="0"/>
                    <w:keepLines w:val="0"/>
                    <w:pageBreakBefore w:val="0"/>
                    <w:widowControl w:val="0"/>
                    <w:kinsoku/>
                    <w:wordWrap/>
                    <w:overflowPunct/>
                    <w:topLinePunct w:val="0"/>
                    <w:autoSpaceDE/>
                    <w:autoSpaceDN/>
                    <w:bidi w:val="0"/>
                    <w:adjustRightInd/>
                    <w:snapToGrid/>
                    <w:ind w:left="0" w:right="0"/>
                    <w:textAlignment w:val="auto"/>
                    <w:rPr>
                      <w:rFonts w:ascii="Times New Roman" w:hAnsi="Times New Roman" w:eastAsia="Times New Roman"/>
                      <w:color w:val="auto"/>
                      <w:sz w:val="21"/>
                    </w:rPr>
                  </w:pPr>
                  <w:r>
                    <w:rPr>
                      <w:color w:val="auto"/>
                      <w:sz w:val="21"/>
                    </w:rPr>
                    <w:t>溶解氧</w:t>
                  </w:r>
                  <w:r>
                    <w:rPr>
                      <w:rFonts w:hint="eastAsia"/>
                      <w:color w:val="auto"/>
                      <w:sz w:val="21"/>
                      <w:lang w:eastAsia="zh-CN"/>
                    </w:rPr>
                    <w:t>(</w:t>
                  </w:r>
                  <w:r>
                    <w:rPr>
                      <w:rFonts w:ascii="Times New Roman" w:hAnsi="Times New Roman" w:eastAsia="Times New Roman"/>
                      <w:color w:val="auto"/>
                      <w:sz w:val="21"/>
                    </w:rPr>
                    <w:t>DO</w:t>
                  </w:r>
                  <w:r>
                    <w:rPr>
                      <w:rFonts w:hint="eastAsia" w:ascii="Times New Roman" w:hAnsi="Times New Roman" w:eastAsia="宋体"/>
                      <w:color w:val="auto"/>
                      <w:sz w:val="21"/>
                      <w:lang w:eastAsia="zh-CN"/>
                    </w:rPr>
                    <w:t>)</w:t>
                  </w:r>
                  <w:r>
                    <w:rPr>
                      <w:rFonts w:ascii="Times New Roman" w:hAnsi="Times New Roman" w:eastAsia="Times New Roman"/>
                      <w:color w:val="auto"/>
                      <w:spacing w:val="-9"/>
                      <w:sz w:val="21"/>
                    </w:rPr>
                    <w:t xml:space="preserve"> ≥</w:t>
                  </w:r>
                </w:p>
              </w:tc>
              <w:tc>
                <w:tcPr>
                  <w:tcW w:w="717" w:type="pct"/>
                  <w:tcBorders>
                    <w:tl2br w:val="nil"/>
                    <w:tr2bl w:val="nil"/>
                  </w:tcBorders>
                  <w:vAlign w:val="center"/>
                </w:tcPr>
                <w:p w14:paraId="19D98EA5">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6</w:t>
                  </w:r>
                </w:p>
              </w:tc>
              <w:tc>
                <w:tcPr>
                  <w:tcW w:w="696" w:type="pct"/>
                  <w:tcBorders>
                    <w:tl2br w:val="nil"/>
                    <w:tr2bl w:val="nil"/>
                  </w:tcBorders>
                  <w:shd w:val="clear" w:color="auto" w:fill="auto"/>
                  <w:vAlign w:val="center"/>
                </w:tcPr>
                <w:p w14:paraId="519DA1E8">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5</w:t>
                  </w:r>
                </w:p>
              </w:tc>
              <w:tc>
                <w:tcPr>
                  <w:tcW w:w="677" w:type="pct"/>
                  <w:tcBorders>
                    <w:tl2br w:val="nil"/>
                    <w:tr2bl w:val="nil"/>
                  </w:tcBorders>
                  <w:vAlign w:val="center"/>
                </w:tcPr>
                <w:p w14:paraId="6BED5252">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3</w:t>
                  </w:r>
                </w:p>
              </w:tc>
              <w:tc>
                <w:tcPr>
                  <w:tcW w:w="680" w:type="pct"/>
                  <w:tcBorders>
                    <w:tl2br w:val="nil"/>
                    <w:tr2bl w:val="nil"/>
                  </w:tcBorders>
                  <w:shd w:val="clear" w:color="auto" w:fill="BEBEBE" w:themeFill="background1" w:themeFillShade="BF"/>
                  <w:vAlign w:val="center"/>
                </w:tcPr>
                <w:p w14:paraId="1215698D">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2</w:t>
                  </w:r>
                </w:p>
              </w:tc>
            </w:tr>
            <w:tr w14:paraId="2B3C47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tl2br w:val="nil"/>
                    <w:tr2bl w:val="nil"/>
                  </w:tcBorders>
                  <w:vAlign w:val="center"/>
                </w:tcPr>
                <w:p w14:paraId="4A5F3653">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3</w:t>
                  </w:r>
                </w:p>
              </w:tc>
              <w:tc>
                <w:tcPr>
                  <w:tcW w:w="1682" w:type="pct"/>
                  <w:tcBorders>
                    <w:tl2br w:val="nil"/>
                    <w:tr2bl w:val="nil"/>
                  </w:tcBorders>
                  <w:vAlign w:val="center"/>
                </w:tcPr>
                <w:p w14:paraId="4DF5AAFF">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Times New Roman"/>
                      <w:color w:val="auto"/>
                      <w:position w:val="2"/>
                      <w:sz w:val="21"/>
                    </w:rPr>
                  </w:pPr>
                  <w:r>
                    <w:rPr>
                      <w:rFonts w:ascii="Times New Roman" w:hAnsi="Times New Roman"/>
                      <w:color w:val="auto"/>
                      <w:spacing w:val="-2"/>
                      <w:position w:val="2"/>
                      <w:sz w:val="21"/>
                    </w:rPr>
                    <w:t>COD</w:t>
                  </w:r>
                  <w:r>
                    <w:rPr>
                      <w:rFonts w:ascii="Times New Roman" w:hAnsi="Times New Roman"/>
                      <w:color w:val="auto"/>
                      <w:spacing w:val="-2"/>
                      <w:sz w:val="13"/>
                    </w:rPr>
                    <w:t>Mn</w:t>
                  </w:r>
                  <w:r>
                    <w:rPr>
                      <w:rFonts w:ascii="Times New Roman" w:hAnsi="Times New Roman"/>
                      <w:color w:val="auto"/>
                      <w:spacing w:val="-2"/>
                      <w:position w:val="2"/>
                      <w:sz w:val="21"/>
                    </w:rPr>
                    <w:t>≤</w:t>
                  </w:r>
                </w:p>
              </w:tc>
              <w:tc>
                <w:tcPr>
                  <w:tcW w:w="717" w:type="pct"/>
                  <w:tcBorders>
                    <w:tl2br w:val="nil"/>
                    <w:tr2bl w:val="nil"/>
                  </w:tcBorders>
                  <w:vAlign w:val="center"/>
                </w:tcPr>
                <w:p w14:paraId="0661801C">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4</w:t>
                  </w:r>
                </w:p>
              </w:tc>
              <w:tc>
                <w:tcPr>
                  <w:tcW w:w="696" w:type="pct"/>
                  <w:tcBorders>
                    <w:tl2br w:val="nil"/>
                    <w:tr2bl w:val="nil"/>
                  </w:tcBorders>
                  <w:shd w:val="clear" w:color="auto" w:fill="auto"/>
                  <w:vAlign w:val="center"/>
                </w:tcPr>
                <w:p w14:paraId="14CF1773">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6</w:t>
                  </w:r>
                </w:p>
              </w:tc>
              <w:tc>
                <w:tcPr>
                  <w:tcW w:w="677" w:type="pct"/>
                  <w:tcBorders>
                    <w:tl2br w:val="nil"/>
                    <w:tr2bl w:val="nil"/>
                  </w:tcBorders>
                  <w:vAlign w:val="center"/>
                </w:tcPr>
                <w:p w14:paraId="77D7406C">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5"/>
                      <w:sz w:val="21"/>
                    </w:rPr>
                    <w:t>10</w:t>
                  </w:r>
                </w:p>
              </w:tc>
              <w:tc>
                <w:tcPr>
                  <w:tcW w:w="680" w:type="pct"/>
                  <w:tcBorders>
                    <w:tl2br w:val="nil"/>
                    <w:tr2bl w:val="nil"/>
                  </w:tcBorders>
                  <w:shd w:val="clear" w:color="auto" w:fill="BEBEBE" w:themeFill="background1" w:themeFillShade="BF"/>
                  <w:vAlign w:val="center"/>
                </w:tcPr>
                <w:p w14:paraId="04F2F5AB">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5"/>
                      <w:sz w:val="21"/>
                    </w:rPr>
                    <w:t>15</w:t>
                  </w:r>
                </w:p>
              </w:tc>
            </w:tr>
            <w:tr w14:paraId="46F296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545" w:type="pct"/>
                  <w:tcBorders>
                    <w:tl2br w:val="nil"/>
                    <w:tr2bl w:val="nil"/>
                  </w:tcBorders>
                  <w:vAlign w:val="center"/>
                </w:tcPr>
                <w:p w14:paraId="767AAAB2">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4</w:t>
                  </w:r>
                </w:p>
              </w:tc>
              <w:tc>
                <w:tcPr>
                  <w:tcW w:w="1682" w:type="pct"/>
                  <w:tcBorders>
                    <w:tl2br w:val="nil"/>
                    <w:tr2bl w:val="nil"/>
                  </w:tcBorders>
                  <w:vAlign w:val="center"/>
                </w:tcPr>
                <w:p w14:paraId="259377C9">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Times New Roman"/>
                      <w:color w:val="auto"/>
                      <w:sz w:val="21"/>
                    </w:rPr>
                  </w:pPr>
                  <w:r>
                    <w:rPr>
                      <w:rFonts w:ascii="Times New Roman" w:hAnsi="Times New Roman"/>
                      <w:color w:val="auto"/>
                      <w:spacing w:val="-5"/>
                      <w:sz w:val="21"/>
                    </w:rPr>
                    <w:t>DO≤</w:t>
                  </w:r>
                </w:p>
              </w:tc>
              <w:tc>
                <w:tcPr>
                  <w:tcW w:w="717" w:type="pct"/>
                  <w:tcBorders>
                    <w:tl2br w:val="nil"/>
                    <w:tr2bl w:val="nil"/>
                  </w:tcBorders>
                  <w:vAlign w:val="center"/>
                </w:tcPr>
                <w:p w14:paraId="32CCC589">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6</w:t>
                  </w:r>
                </w:p>
              </w:tc>
              <w:tc>
                <w:tcPr>
                  <w:tcW w:w="696" w:type="pct"/>
                  <w:tcBorders>
                    <w:tl2br w:val="nil"/>
                    <w:tr2bl w:val="nil"/>
                  </w:tcBorders>
                  <w:shd w:val="clear" w:color="auto" w:fill="auto"/>
                  <w:vAlign w:val="center"/>
                </w:tcPr>
                <w:p w14:paraId="7BA02E60">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5</w:t>
                  </w:r>
                </w:p>
              </w:tc>
              <w:tc>
                <w:tcPr>
                  <w:tcW w:w="677" w:type="pct"/>
                  <w:tcBorders>
                    <w:tl2br w:val="nil"/>
                    <w:tr2bl w:val="nil"/>
                  </w:tcBorders>
                  <w:vAlign w:val="center"/>
                </w:tcPr>
                <w:p w14:paraId="56F75F3F">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3</w:t>
                  </w:r>
                </w:p>
              </w:tc>
              <w:tc>
                <w:tcPr>
                  <w:tcW w:w="680" w:type="pct"/>
                  <w:tcBorders>
                    <w:tl2br w:val="nil"/>
                    <w:tr2bl w:val="nil"/>
                  </w:tcBorders>
                  <w:shd w:val="clear" w:color="auto" w:fill="BEBEBE" w:themeFill="background1" w:themeFillShade="BF"/>
                  <w:vAlign w:val="center"/>
                </w:tcPr>
                <w:p w14:paraId="45A7138D">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2</w:t>
                  </w:r>
                </w:p>
              </w:tc>
            </w:tr>
            <w:tr w14:paraId="14F457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545" w:type="pct"/>
                  <w:tcBorders>
                    <w:tl2br w:val="nil"/>
                    <w:tr2bl w:val="nil"/>
                  </w:tcBorders>
                  <w:vAlign w:val="center"/>
                </w:tcPr>
                <w:p w14:paraId="76F71CF8">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5</w:t>
                  </w:r>
                </w:p>
              </w:tc>
              <w:tc>
                <w:tcPr>
                  <w:tcW w:w="1682" w:type="pct"/>
                  <w:tcBorders>
                    <w:tl2br w:val="nil"/>
                    <w:tr2bl w:val="nil"/>
                  </w:tcBorders>
                  <w:vAlign w:val="center"/>
                </w:tcPr>
                <w:p w14:paraId="0B8D5235">
                  <w:pPr>
                    <w:pStyle w:val="95"/>
                    <w:keepNext w:val="0"/>
                    <w:keepLines w:val="0"/>
                    <w:pageBreakBefore w:val="0"/>
                    <w:widowControl w:val="0"/>
                    <w:kinsoku/>
                    <w:wordWrap/>
                    <w:overflowPunct/>
                    <w:topLinePunct w:val="0"/>
                    <w:autoSpaceDE/>
                    <w:autoSpaceDN/>
                    <w:bidi w:val="0"/>
                    <w:adjustRightInd/>
                    <w:snapToGrid/>
                    <w:ind w:left="0" w:right="0"/>
                    <w:textAlignment w:val="auto"/>
                    <w:rPr>
                      <w:rFonts w:ascii="Times New Roman" w:hAnsi="Times New Roman"/>
                      <w:color w:val="auto"/>
                      <w:position w:val="2"/>
                      <w:sz w:val="21"/>
                    </w:rPr>
                  </w:pPr>
                  <w:r>
                    <w:rPr>
                      <w:rFonts w:ascii="Times New Roman" w:hAnsi="Times New Roman"/>
                      <w:color w:val="auto"/>
                      <w:spacing w:val="-2"/>
                      <w:position w:val="2"/>
                      <w:sz w:val="21"/>
                    </w:rPr>
                    <w:t>NH</w:t>
                  </w:r>
                  <w:r>
                    <w:rPr>
                      <w:rFonts w:ascii="Times New Roman" w:hAnsi="Times New Roman"/>
                      <w:color w:val="auto"/>
                      <w:spacing w:val="-2"/>
                      <w:sz w:val="13"/>
                    </w:rPr>
                    <w:t>3</w:t>
                  </w:r>
                  <w:r>
                    <w:rPr>
                      <w:rFonts w:ascii="Times New Roman" w:hAnsi="Times New Roman"/>
                      <w:color w:val="auto"/>
                      <w:spacing w:val="-2"/>
                      <w:position w:val="2"/>
                      <w:sz w:val="21"/>
                    </w:rPr>
                    <w:t>-</w:t>
                  </w:r>
                  <w:r>
                    <w:rPr>
                      <w:rFonts w:ascii="Times New Roman" w:hAnsi="Times New Roman"/>
                      <w:color w:val="auto"/>
                      <w:spacing w:val="-5"/>
                      <w:position w:val="2"/>
                      <w:sz w:val="21"/>
                    </w:rPr>
                    <w:t>N≤</w:t>
                  </w:r>
                </w:p>
              </w:tc>
              <w:tc>
                <w:tcPr>
                  <w:tcW w:w="717" w:type="pct"/>
                  <w:tcBorders>
                    <w:tl2br w:val="nil"/>
                    <w:tr2bl w:val="nil"/>
                  </w:tcBorders>
                  <w:vAlign w:val="center"/>
                </w:tcPr>
                <w:p w14:paraId="0411596F">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5"/>
                      <w:sz w:val="21"/>
                    </w:rPr>
                    <w:t>0.5</w:t>
                  </w:r>
                </w:p>
              </w:tc>
              <w:tc>
                <w:tcPr>
                  <w:tcW w:w="696" w:type="pct"/>
                  <w:tcBorders>
                    <w:tl2br w:val="nil"/>
                    <w:tr2bl w:val="nil"/>
                  </w:tcBorders>
                  <w:shd w:val="clear" w:color="auto" w:fill="auto"/>
                  <w:vAlign w:val="center"/>
                </w:tcPr>
                <w:p w14:paraId="0EFD9ED5">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5"/>
                      <w:sz w:val="21"/>
                    </w:rPr>
                    <w:t>1.0</w:t>
                  </w:r>
                </w:p>
              </w:tc>
              <w:tc>
                <w:tcPr>
                  <w:tcW w:w="677" w:type="pct"/>
                  <w:tcBorders>
                    <w:tl2br w:val="nil"/>
                    <w:tr2bl w:val="nil"/>
                  </w:tcBorders>
                  <w:vAlign w:val="center"/>
                </w:tcPr>
                <w:p w14:paraId="58890A9C">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5"/>
                      <w:sz w:val="21"/>
                    </w:rPr>
                    <w:t>1.5</w:t>
                  </w:r>
                </w:p>
              </w:tc>
              <w:tc>
                <w:tcPr>
                  <w:tcW w:w="680" w:type="pct"/>
                  <w:tcBorders>
                    <w:tl2br w:val="nil"/>
                    <w:tr2bl w:val="nil"/>
                  </w:tcBorders>
                  <w:shd w:val="clear" w:color="auto" w:fill="BEBEBE" w:themeFill="background1" w:themeFillShade="BF"/>
                  <w:vAlign w:val="center"/>
                </w:tcPr>
                <w:p w14:paraId="2191863A">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5"/>
                      <w:sz w:val="21"/>
                    </w:rPr>
                    <w:t>2.0</w:t>
                  </w:r>
                </w:p>
              </w:tc>
            </w:tr>
            <w:tr w14:paraId="0F5BFD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545" w:type="pct"/>
                  <w:tcBorders>
                    <w:tl2br w:val="nil"/>
                    <w:tr2bl w:val="nil"/>
                  </w:tcBorders>
                  <w:vAlign w:val="center"/>
                </w:tcPr>
                <w:p w14:paraId="5087D4C2">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6</w:t>
                  </w:r>
                </w:p>
              </w:tc>
              <w:tc>
                <w:tcPr>
                  <w:tcW w:w="1682" w:type="pct"/>
                  <w:tcBorders>
                    <w:tl2br w:val="nil"/>
                    <w:tr2bl w:val="nil"/>
                  </w:tcBorders>
                  <w:vAlign w:val="center"/>
                </w:tcPr>
                <w:p w14:paraId="7D85743D">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hAnsi="Times New Roman"/>
                      <w:color w:val="auto"/>
                      <w:position w:val="2"/>
                      <w:sz w:val="21"/>
                    </w:rPr>
                  </w:pPr>
                  <w:r>
                    <w:rPr>
                      <w:rFonts w:ascii="Times New Roman" w:hAnsi="Times New Roman"/>
                      <w:color w:val="auto"/>
                      <w:spacing w:val="-2"/>
                      <w:position w:val="2"/>
                      <w:sz w:val="21"/>
                    </w:rPr>
                    <w:t>BOD</w:t>
                  </w:r>
                  <w:r>
                    <w:rPr>
                      <w:rFonts w:ascii="Times New Roman" w:hAnsi="Times New Roman"/>
                      <w:color w:val="auto"/>
                      <w:spacing w:val="-2"/>
                      <w:sz w:val="13"/>
                    </w:rPr>
                    <w:t>5</w:t>
                  </w:r>
                  <w:r>
                    <w:rPr>
                      <w:rFonts w:ascii="Times New Roman" w:hAnsi="Times New Roman"/>
                      <w:color w:val="auto"/>
                      <w:spacing w:val="-2"/>
                      <w:position w:val="2"/>
                      <w:sz w:val="21"/>
                    </w:rPr>
                    <w:t>≤</w:t>
                  </w:r>
                </w:p>
              </w:tc>
              <w:tc>
                <w:tcPr>
                  <w:tcW w:w="717" w:type="pct"/>
                  <w:tcBorders>
                    <w:tl2br w:val="nil"/>
                    <w:tr2bl w:val="nil"/>
                  </w:tcBorders>
                  <w:vAlign w:val="center"/>
                </w:tcPr>
                <w:p w14:paraId="467763FE">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3</w:t>
                  </w:r>
                </w:p>
              </w:tc>
              <w:tc>
                <w:tcPr>
                  <w:tcW w:w="696" w:type="pct"/>
                  <w:tcBorders>
                    <w:tl2br w:val="nil"/>
                    <w:tr2bl w:val="nil"/>
                  </w:tcBorders>
                  <w:shd w:val="clear" w:color="auto" w:fill="auto"/>
                  <w:vAlign w:val="center"/>
                </w:tcPr>
                <w:p w14:paraId="544FA816">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4</w:t>
                  </w:r>
                </w:p>
              </w:tc>
              <w:tc>
                <w:tcPr>
                  <w:tcW w:w="677" w:type="pct"/>
                  <w:tcBorders>
                    <w:tl2br w:val="nil"/>
                    <w:tr2bl w:val="nil"/>
                  </w:tcBorders>
                  <w:vAlign w:val="center"/>
                </w:tcPr>
                <w:p w14:paraId="03E98153">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10"/>
                      <w:sz w:val="21"/>
                    </w:rPr>
                    <w:t>6</w:t>
                  </w:r>
                </w:p>
              </w:tc>
              <w:tc>
                <w:tcPr>
                  <w:tcW w:w="680" w:type="pct"/>
                  <w:tcBorders>
                    <w:tl2br w:val="nil"/>
                    <w:tr2bl w:val="nil"/>
                  </w:tcBorders>
                  <w:shd w:val="clear" w:color="auto" w:fill="BEBEBE" w:themeFill="background1" w:themeFillShade="BF"/>
                  <w:vAlign w:val="center"/>
                </w:tcPr>
                <w:p w14:paraId="2FB9F981">
                  <w:pPr>
                    <w:pStyle w:val="95"/>
                    <w:keepNext w:val="0"/>
                    <w:keepLines w:val="0"/>
                    <w:pageBreakBefore w:val="0"/>
                    <w:widowControl w:val="0"/>
                    <w:kinsoku/>
                    <w:wordWrap/>
                    <w:overflowPunct/>
                    <w:topLinePunct w:val="0"/>
                    <w:autoSpaceDE/>
                    <w:autoSpaceDN/>
                    <w:bidi w:val="0"/>
                    <w:adjustRightInd/>
                    <w:snapToGrid/>
                    <w:ind w:left="0" w:right="0"/>
                    <w:jc w:val="center"/>
                    <w:textAlignment w:val="auto"/>
                    <w:rPr>
                      <w:rFonts w:ascii="Times New Roman"/>
                      <w:color w:val="auto"/>
                      <w:sz w:val="21"/>
                    </w:rPr>
                  </w:pPr>
                  <w:r>
                    <w:rPr>
                      <w:rFonts w:ascii="Times New Roman"/>
                      <w:color w:val="auto"/>
                      <w:spacing w:val="-5"/>
                      <w:sz w:val="21"/>
                    </w:rPr>
                    <w:t>10</w:t>
                  </w:r>
                </w:p>
              </w:tc>
            </w:tr>
          </w:tbl>
          <w:p w14:paraId="473501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w:t>
            </w:r>
            <w:r>
              <w:rPr>
                <w:rFonts w:hint="default" w:ascii="Times New Roman" w:hAnsi="Times New Roman" w:eastAsia="宋体" w:cs="Times New Roman"/>
                <w:color w:val="auto"/>
                <w:kern w:val="2"/>
                <w:sz w:val="24"/>
                <w:szCs w:val="20"/>
                <w:highlight w:val="none"/>
                <w:lang w:val="en-US" w:eastAsia="zh-CN" w:bidi="ar-SA"/>
              </w:rPr>
              <w:t>2</w:t>
            </w:r>
            <w:r>
              <w:rPr>
                <w:rFonts w:hint="eastAsia" w:ascii="Times New Roman" w:hAnsi="Times New Roman" w:eastAsia="宋体" w:cs="Times New Roman"/>
                <w:color w:val="auto"/>
                <w:kern w:val="2"/>
                <w:sz w:val="24"/>
                <w:szCs w:val="20"/>
                <w:highlight w:val="none"/>
                <w:lang w:val="en-US" w:eastAsia="zh-CN" w:bidi="ar-SA"/>
              </w:rPr>
              <w:t>）地表水环境现状</w:t>
            </w:r>
          </w:p>
          <w:p w14:paraId="68ED59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cs="Times New Roman"/>
                <w:color w:val="auto"/>
                <w:kern w:val="2"/>
                <w:sz w:val="24"/>
                <w:szCs w:val="20"/>
                <w:highlight w:val="none"/>
                <w:lang w:val="en-US" w:eastAsia="zh-CN" w:bidi="ar-SA"/>
              </w:rPr>
              <w:t>①</w:t>
            </w:r>
            <w:r>
              <w:rPr>
                <w:rFonts w:hint="eastAsia" w:ascii="Times New Roman" w:hAnsi="Times New Roman" w:eastAsia="宋体" w:cs="Times New Roman"/>
                <w:color w:val="auto"/>
                <w:kern w:val="2"/>
                <w:sz w:val="24"/>
                <w:szCs w:val="20"/>
                <w:highlight w:val="none"/>
                <w:lang w:val="en-US" w:eastAsia="zh-CN" w:bidi="ar-SA"/>
              </w:rPr>
              <w:t>地表水水质现状调查</w:t>
            </w:r>
          </w:p>
          <w:p w14:paraId="428C4C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为了解项目地表水水质环境质量现状，根据福建省生态环境厅网站发布的福建省主要流域水环境质量状况</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2024年</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,2024年，福建省主要流域总体水质为优，国控断面I~Ⅲ类水质比例100%.I~类水质比例77.1%;国控及省控断面I~Ⅲ类水质比例99.7%,其中I～类水质比例80.0%,各类水质比例如下：类占2.4%,类占77.6%,Ⅲ类占19.7%,IV类占0.3%</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无V类和劣V类水</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详见</w:t>
            </w:r>
            <w:r>
              <w:rPr>
                <w:rFonts w:hint="eastAsia" w:cs="Times New Roman"/>
                <w:color w:val="auto"/>
                <w:kern w:val="2"/>
                <w:sz w:val="24"/>
                <w:szCs w:val="20"/>
                <w:highlight w:val="none"/>
                <w:lang w:val="en-US" w:eastAsia="zh-CN" w:bidi="ar-SA"/>
              </w:rPr>
              <w:t>图3.1-1）</w:t>
            </w:r>
            <w:r>
              <w:rPr>
                <w:rFonts w:hint="eastAsia" w:ascii="Times New Roman" w:hAnsi="Times New Roman" w:eastAsia="宋体" w:cs="Times New Roman"/>
                <w:color w:val="auto"/>
                <w:kern w:val="2"/>
                <w:sz w:val="24"/>
                <w:szCs w:val="20"/>
                <w:highlight w:val="none"/>
                <w:lang w:val="en-US" w:eastAsia="zh-CN" w:bidi="ar-SA"/>
              </w:rPr>
              <w:t>。</w:t>
            </w:r>
          </w:p>
          <w:p w14:paraId="40BCF3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2024年，福建省主要流域总体水质从相对较好开始排序，具体为：闽江、交溪、九龙江、汀江</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韩江</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、霍童溪、晋江、荻芦溪、东西溪、木兰溪、敖江、漳江、诏安东溪、鹿溪、</w:t>
            </w:r>
            <w:r>
              <w:rPr>
                <w:rFonts w:hint="eastAsia" w:ascii="Times New Roman" w:hAnsi="Times New Roman" w:eastAsia="宋体" w:cs="Times New Roman"/>
                <w:b/>
                <w:bCs/>
                <w:color w:val="auto"/>
                <w:kern w:val="2"/>
                <w:sz w:val="24"/>
                <w:szCs w:val="20"/>
                <w:highlight w:val="none"/>
                <w:lang w:val="en-US" w:eastAsia="zh-CN" w:bidi="ar-SA"/>
              </w:rPr>
              <w:t>龙江</w:t>
            </w:r>
            <w:r>
              <w:rPr>
                <w:rFonts w:hint="eastAsia" w:cs="Times New Roman"/>
                <w:b/>
                <w:bCs/>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详见</w:t>
            </w:r>
            <w:r>
              <w:rPr>
                <w:rFonts w:hint="eastAsia" w:cs="Times New Roman"/>
                <w:color w:val="auto"/>
                <w:kern w:val="2"/>
                <w:sz w:val="24"/>
                <w:szCs w:val="20"/>
                <w:highlight w:val="none"/>
                <w:lang w:val="en-US" w:eastAsia="zh-CN" w:bidi="ar-SA"/>
              </w:rPr>
              <w:t>图3.1-2）</w:t>
            </w:r>
            <w:r>
              <w:rPr>
                <w:rFonts w:hint="eastAsia" w:ascii="Times New Roman" w:hAnsi="Times New Roman" w:eastAsia="宋体" w:cs="Times New Roman"/>
                <w:color w:val="auto"/>
                <w:kern w:val="2"/>
                <w:sz w:val="24"/>
                <w:szCs w:val="20"/>
                <w:highlight w:val="none"/>
                <w:lang w:val="en-US" w:eastAsia="zh-CN" w:bidi="ar-SA"/>
              </w:rPr>
              <w:t>。</w:t>
            </w:r>
          </w:p>
          <w:p w14:paraId="5BEACE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由此，可知龙江水质可达到《地表水环境质量标准》</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GB3838-2002)V类水标准。</w:t>
            </w:r>
            <w:r>
              <w:rPr>
                <w:color w:val="auto"/>
              </w:rPr>
              <w:drawing>
                <wp:inline distT="0" distB="0" distL="114300" distR="114300">
                  <wp:extent cx="5560060" cy="3710940"/>
                  <wp:effectExtent l="0" t="0" r="2540" b="3810"/>
                  <wp:docPr id="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0"/>
                          <pic:cNvPicPr>
                            <a:picLocks noChangeAspect="1"/>
                          </pic:cNvPicPr>
                        </pic:nvPicPr>
                        <pic:blipFill>
                          <a:blip r:embed="rId25"/>
                          <a:stretch>
                            <a:fillRect/>
                          </a:stretch>
                        </pic:blipFill>
                        <pic:spPr>
                          <a:xfrm>
                            <a:off x="0" y="0"/>
                            <a:ext cx="5560060" cy="3710940"/>
                          </a:xfrm>
                          <a:prstGeom prst="rect">
                            <a:avLst/>
                          </a:prstGeom>
                          <a:noFill/>
                          <a:ln>
                            <a:noFill/>
                          </a:ln>
                        </pic:spPr>
                      </pic:pic>
                    </a:graphicData>
                  </a:graphic>
                </wp:inline>
              </w:drawing>
            </w:r>
          </w:p>
          <w:p w14:paraId="48CD94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center"/>
              <w:textAlignment w:val="auto"/>
              <w:rPr>
                <w:rFonts w:hint="eastAsia" w:cs="Times New Roman"/>
                <w:b/>
                <w:bCs/>
                <w:color w:val="auto"/>
                <w:kern w:val="2"/>
                <w:sz w:val="24"/>
                <w:szCs w:val="20"/>
                <w:highlight w:val="none"/>
                <w:lang w:val="en-US" w:eastAsia="zh-CN" w:bidi="ar-SA"/>
              </w:rPr>
            </w:pPr>
            <w:r>
              <w:rPr>
                <w:color w:val="auto"/>
              </w:rPr>
              <w:drawing>
                <wp:anchor distT="0" distB="0" distL="114300" distR="114300" simplePos="0" relativeHeight="251662336" behindDoc="0" locked="0" layoutInCell="1" allowOverlap="1">
                  <wp:simplePos x="0" y="0"/>
                  <wp:positionH relativeFrom="column">
                    <wp:posOffset>-40640</wp:posOffset>
                  </wp:positionH>
                  <wp:positionV relativeFrom="paragraph">
                    <wp:posOffset>353695</wp:posOffset>
                  </wp:positionV>
                  <wp:extent cx="5554345" cy="2183765"/>
                  <wp:effectExtent l="0" t="0" r="8255" b="6985"/>
                  <wp:wrapTopAndBottom/>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26"/>
                          <a:stretch>
                            <a:fillRect/>
                          </a:stretch>
                        </pic:blipFill>
                        <pic:spPr>
                          <a:xfrm>
                            <a:off x="0" y="0"/>
                            <a:ext cx="5554345" cy="2183765"/>
                          </a:xfrm>
                          <a:prstGeom prst="rect">
                            <a:avLst/>
                          </a:prstGeom>
                          <a:noFill/>
                          <a:ln>
                            <a:noFill/>
                          </a:ln>
                        </pic:spPr>
                      </pic:pic>
                    </a:graphicData>
                  </a:graphic>
                </wp:anchor>
              </w:drawing>
            </w:r>
            <w:r>
              <w:rPr>
                <w:rFonts w:hint="eastAsia" w:cs="Times New Roman"/>
                <w:b/>
                <w:bCs/>
                <w:color w:val="auto"/>
                <w:kern w:val="2"/>
                <w:sz w:val="24"/>
                <w:szCs w:val="20"/>
                <w:highlight w:val="none"/>
                <w:lang w:val="en-US" w:eastAsia="zh-CN" w:bidi="ar-SA"/>
              </w:rPr>
              <w:t>图3.1-1 福建省流域水环境质量状况（2024年）</w:t>
            </w:r>
          </w:p>
          <w:p w14:paraId="74EA9D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default" w:cs="Times New Roman"/>
                <w:b/>
                <w:bCs/>
                <w:color w:val="auto"/>
                <w:kern w:val="2"/>
                <w:sz w:val="24"/>
                <w:szCs w:val="20"/>
                <w:highlight w:val="none"/>
                <w:lang w:val="en-US" w:eastAsia="zh-CN" w:bidi="ar-SA"/>
              </w:rPr>
            </w:pPr>
            <w:r>
              <w:rPr>
                <w:rFonts w:hint="eastAsia" w:cs="Times New Roman"/>
                <w:b/>
                <w:bCs/>
                <w:color w:val="auto"/>
                <w:kern w:val="2"/>
                <w:sz w:val="24"/>
                <w:szCs w:val="20"/>
                <w:highlight w:val="none"/>
                <w:lang w:val="en-US" w:eastAsia="zh-CN" w:bidi="ar-SA"/>
              </w:rPr>
              <w:t>图3.1-2 福建省地表水水质状况排序（2024年）</w:t>
            </w:r>
          </w:p>
          <w:p w14:paraId="765508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cs="Times New Roman"/>
                <w:color w:val="auto"/>
                <w:kern w:val="2"/>
                <w:sz w:val="24"/>
                <w:szCs w:val="20"/>
                <w:highlight w:val="none"/>
                <w:lang w:val="en-US" w:eastAsia="zh-CN" w:bidi="ar-SA"/>
              </w:rPr>
              <w:t>②</w:t>
            </w:r>
            <w:r>
              <w:rPr>
                <w:rFonts w:hint="eastAsia" w:ascii="Times New Roman" w:hAnsi="Times New Roman" w:eastAsia="宋体" w:cs="Times New Roman"/>
                <w:color w:val="auto"/>
                <w:kern w:val="2"/>
                <w:sz w:val="24"/>
                <w:szCs w:val="20"/>
                <w:highlight w:val="none"/>
                <w:lang w:val="en-US" w:eastAsia="zh-CN" w:bidi="ar-SA"/>
              </w:rPr>
              <w:t>引用资料的有效性分析</w:t>
            </w:r>
          </w:p>
          <w:p w14:paraId="2A8BD33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left"/>
              <w:textAlignment w:val="auto"/>
              <w:rPr>
                <w:rFonts w:hint="eastAsia" w:ascii="Times New Roman" w:hAnsi="Times New Roman" w:eastAsia="宋体" w:cs="Times New Roman"/>
                <w:color w:val="auto"/>
                <w:kern w:val="2"/>
                <w:sz w:val="24"/>
                <w:szCs w:val="20"/>
                <w:highlight w:val="none"/>
                <w:lang w:val="en-US" w:eastAsia="zh-CN" w:bidi="ar-SA"/>
              </w:rPr>
            </w:pPr>
            <w:r>
              <w:rPr>
                <w:rFonts w:hint="eastAsia" w:ascii="Times New Roman" w:hAnsi="Times New Roman" w:eastAsia="宋体" w:cs="Times New Roman"/>
                <w:color w:val="auto"/>
                <w:kern w:val="2"/>
                <w:sz w:val="24"/>
                <w:szCs w:val="20"/>
                <w:highlight w:val="none"/>
                <w:lang w:val="en-US" w:eastAsia="zh-CN" w:bidi="ar-SA"/>
              </w:rPr>
              <w:t>根据《建设项目环境影响报告表编制技术指南（污染影响类）（试行）》（环办环评</w:t>
            </w:r>
            <w:r>
              <w:rPr>
                <w:rFonts w:hint="eastAsia"/>
                <w:color w:val="auto"/>
                <w:sz w:val="24"/>
                <w:szCs w:val="24"/>
                <w:highlight w:val="none"/>
              </w:rPr>
              <w:t>〔</w:t>
            </w:r>
            <w:r>
              <w:rPr>
                <w:color w:val="auto"/>
                <w:sz w:val="24"/>
                <w:szCs w:val="24"/>
                <w:highlight w:val="none"/>
              </w:rPr>
              <w:t>202</w:t>
            </w:r>
            <w:r>
              <w:rPr>
                <w:rFonts w:hint="eastAsia"/>
                <w:color w:val="auto"/>
                <w:sz w:val="24"/>
                <w:szCs w:val="24"/>
                <w:highlight w:val="none"/>
                <w:lang w:val="en-US" w:eastAsia="zh-CN"/>
              </w:rPr>
              <w:t>0</w:t>
            </w:r>
            <w:r>
              <w:rPr>
                <w:rFonts w:hint="eastAsia"/>
                <w:color w:val="auto"/>
                <w:sz w:val="24"/>
                <w:szCs w:val="24"/>
                <w:highlight w:val="none"/>
              </w:rPr>
              <w:t>〕</w:t>
            </w:r>
            <w:r>
              <w:rPr>
                <w:rFonts w:hint="eastAsia" w:ascii="Times New Roman" w:hAnsi="Times New Roman" w:eastAsia="宋体"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0"/>
                <w:highlight w:val="none"/>
                <w:lang w:val="en-US" w:eastAsia="zh-CN" w:bidi="ar-SA"/>
              </w:rPr>
              <w:t>3号）的要求：“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本次评价选取福州市人民政府网站发布的水环境质量状</w:t>
            </w:r>
            <w:r>
              <w:rPr>
                <w:rFonts w:hint="eastAsia" w:cs="Times New Roman"/>
                <w:color w:val="auto"/>
                <w:kern w:val="2"/>
                <w:sz w:val="24"/>
                <w:szCs w:val="20"/>
                <w:highlight w:val="none"/>
                <w:lang w:val="en-US" w:eastAsia="zh-CN" w:bidi="ar-SA"/>
              </w:rPr>
              <w:t>况</w:t>
            </w:r>
            <w:r>
              <w:rPr>
                <w:rFonts w:hint="eastAsia" w:ascii="Times New Roman" w:hAnsi="Times New Roman" w:eastAsia="宋体" w:cs="Times New Roman"/>
                <w:color w:val="auto"/>
                <w:kern w:val="2"/>
                <w:sz w:val="24"/>
                <w:szCs w:val="20"/>
                <w:highlight w:val="none"/>
                <w:lang w:val="en-US" w:eastAsia="zh-CN" w:bidi="ar-SA"/>
              </w:rPr>
              <w:t>，符合</w:t>
            </w:r>
            <w:r>
              <w:rPr>
                <w:rFonts w:hint="eastAsia" w:cs="Times New Roman"/>
                <w:color w:val="auto"/>
                <w:kern w:val="2"/>
                <w:sz w:val="24"/>
                <w:szCs w:val="20"/>
                <w:highlight w:val="none"/>
                <w:lang w:val="en-US" w:eastAsia="zh-CN" w:bidi="ar-SA"/>
              </w:rPr>
              <w:t>《</w:t>
            </w:r>
            <w:r>
              <w:rPr>
                <w:rFonts w:hint="eastAsia" w:ascii="Times New Roman" w:hAnsi="Times New Roman" w:eastAsia="宋体" w:cs="Times New Roman"/>
                <w:color w:val="auto"/>
                <w:kern w:val="2"/>
                <w:sz w:val="24"/>
                <w:szCs w:val="20"/>
                <w:highlight w:val="none"/>
                <w:lang w:val="en-US" w:eastAsia="zh-CN" w:bidi="ar-SA"/>
              </w:rPr>
              <w:t>建设项目环境影响报告表编制技术指南（污染影响类）（试行）》（环办环评</w:t>
            </w:r>
            <w:r>
              <w:rPr>
                <w:rFonts w:hint="eastAsia"/>
                <w:color w:val="auto"/>
                <w:sz w:val="24"/>
                <w:szCs w:val="24"/>
                <w:highlight w:val="none"/>
              </w:rPr>
              <w:t>〔</w:t>
            </w:r>
            <w:r>
              <w:rPr>
                <w:color w:val="auto"/>
                <w:sz w:val="24"/>
                <w:szCs w:val="24"/>
                <w:highlight w:val="none"/>
              </w:rPr>
              <w:t>202</w:t>
            </w:r>
            <w:r>
              <w:rPr>
                <w:rFonts w:hint="eastAsia"/>
                <w:color w:val="auto"/>
                <w:sz w:val="24"/>
                <w:szCs w:val="24"/>
                <w:highlight w:val="none"/>
                <w:lang w:val="en-US" w:eastAsia="zh-CN"/>
              </w:rPr>
              <w:t>0</w:t>
            </w:r>
            <w:r>
              <w:rPr>
                <w:rFonts w:hint="eastAsia"/>
                <w:color w:val="auto"/>
                <w:sz w:val="24"/>
                <w:szCs w:val="24"/>
                <w:highlight w:val="none"/>
              </w:rPr>
              <w:t>〕</w:t>
            </w:r>
            <w:r>
              <w:rPr>
                <w:rFonts w:hint="eastAsia" w:ascii="Times New Roman" w:hAnsi="Times New Roman" w:eastAsia="宋体" w:cs="Times New Roman"/>
                <w:color w:val="auto"/>
                <w:kern w:val="2"/>
                <w:sz w:val="24"/>
                <w:szCs w:val="20"/>
                <w:highlight w:val="none"/>
                <w:lang w:val="en-US" w:eastAsia="zh-CN" w:bidi="ar-SA"/>
              </w:rPr>
              <w:t>33号）的要求。</w:t>
            </w:r>
          </w:p>
          <w:p w14:paraId="7DA1FFF3">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大气环境质量现状</w:t>
            </w:r>
          </w:p>
          <w:p w14:paraId="0C32AA92">
            <w:pPr>
              <w:pStyle w:val="5"/>
              <w:bidi w:val="0"/>
              <w:rPr>
                <w:rFonts w:hint="default"/>
                <w:color w:val="auto"/>
                <w:highlight w:val="none"/>
              </w:rPr>
            </w:pPr>
            <w:r>
              <w:rPr>
                <w:rFonts w:hint="default"/>
                <w:color w:val="auto"/>
                <w:highlight w:val="none"/>
                <w:lang w:val="en-US" w:eastAsia="zh-CN"/>
              </w:rPr>
              <w:t>区域达标判断</w:t>
            </w:r>
          </w:p>
          <w:p w14:paraId="43664C50">
            <w:pPr>
              <w:pStyle w:val="44"/>
              <w:keepNext w:val="0"/>
              <w:keepLines w:val="0"/>
              <w:pageBreakBefore w:val="0"/>
              <w:widowControl w:val="0"/>
              <w:kinsoku/>
              <w:wordWrap/>
              <w:overflowPunct/>
              <w:topLinePunct w:val="0"/>
              <w:autoSpaceDE w:val="0"/>
              <w:autoSpaceDN w:val="0"/>
              <w:bidi w:val="0"/>
              <w:adjustRightInd/>
              <w:snapToGrid/>
              <w:textAlignment w:val="auto"/>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根据福州市人民政府榕政综</w:t>
            </w:r>
            <w:r>
              <w:rPr>
                <w:rFonts w:hint="eastAsia" w:cs="宋体"/>
                <w:color w:val="auto"/>
                <w:highlight w:val="none"/>
                <w:lang w:val="en-US" w:eastAsia="zh-CN"/>
              </w:rPr>
              <w:t>[2014]30号</w:t>
            </w:r>
            <w:r>
              <w:rPr>
                <w:rFonts w:hint="eastAsia" w:ascii="Times New Roman" w:hAnsi="Times New Roman" w:eastAsia="宋体" w:cs="宋体"/>
                <w:color w:val="auto"/>
                <w:highlight w:val="none"/>
                <w:lang w:val="en-US" w:eastAsia="zh-CN"/>
              </w:rPr>
              <w:t>文件正式批准实施《福州市环境空气质量功能区划</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报批稿</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》的规定，项目所在区域环境空气功能规划为二类区，环境空气质量执行《环境空气质量标准》</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GB3095-2012</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及其修改单中的二级标准。非甲烷总烃参照执行《大气污染物综合排放标准详解》</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国家</w:t>
            </w:r>
            <w:r>
              <w:rPr>
                <w:rFonts w:hint="eastAsia" w:cs="宋体"/>
                <w:color w:val="auto"/>
                <w:highlight w:val="none"/>
                <w:lang w:val="en-US" w:eastAsia="zh-CN"/>
              </w:rPr>
              <w:t>生态环境局</w:t>
            </w:r>
            <w:r>
              <w:rPr>
                <w:rFonts w:hint="eastAsia" w:ascii="Times New Roman" w:hAnsi="Times New Roman" w:eastAsia="宋体" w:cs="宋体"/>
                <w:color w:val="auto"/>
                <w:highlight w:val="none"/>
                <w:lang w:val="en-US" w:eastAsia="zh-CN"/>
              </w:rPr>
              <w:t>科技标准司</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中规定的标准限值，具体详见表3.1-2。</w:t>
            </w:r>
          </w:p>
          <w:p w14:paraId="4EC5EA9D">
            <w:pPr>
              <w:pStyle w:val="42"/>
              <w:keepNext/>
              <w:keepLines/>
              <w:pageBreakBefore w:val="0"/>
              <w:widowControl w:val="0"/>
              <w:numPr>
                <w:ilvl w:val="7"/>
                <w:numId w:val="11"/>
              </w:numPr>
              <w:tabs>
                <w:tab w:val="left" w:pos="0"/>
              </w:tabs>
              <w:kinsoku/>
              <w:wordWrap/>
              <w:overflowPunct/>
              <w:topLinePunct w:val="0"/>
              <w:autoSpaceDE/>
              <w:autoSpaceDN/>
              <w:bidi w:val="0"/>
              <w:adjustRightInd/>
              <w:snapToGrid/>
              <w:spacing w:before="0" w:after="0"/>
              <w:ind w:left="630" w:leftChars="0" w:firstLineChars="0"/>
              <w:textAlignment w:val="auto"/>
              <w:rPr>
                <w:rFonts w:hint="default" w:ascii="Times New Roman" w:hAnsi="Times New Roman" w:eastAsia="宋体"/>
                <w:color w:val="auto"/>
                <w:highlight w:val="none"/>
              </w:rPr>
            </w:pPr>
            <w:r>
              <w:rPr>
                <w:rFonts w:hint="eastAsia" w:ascii="Times New Roman" w:hAnsi="Times New Roman" w:eastAsia="宋体"/>
                <w:color w:val="auto"/>
                <w:highlight w:val="none"/>
              </w:rPr>
              <w:t>环境空气标准一览表</w:t>
            </w:r>
          </w:p>
          <w:tbl>
            <w:tblPr>
              <w:tblStyle w:val="34"/>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82"/>
              <w:gridCol w:w="2418"/>
              <w:gridCol w:w="1927"/>
              <w:gridCol w:w="2611"/>
            </w:tblGrid>
            <w:tr w14:paraId="69FB1A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tcBorders>
                    <w:bottom w:val="single" w:color="000000" w:sz="12" w:space="0"/>
                  </w:tcBorders>
                  <w:vAlign w:val="center"/>
                </w:tcPr>
                <w:p w14:paraId="0747D488">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4"/>
                      <w:sz w:val="21"/>
                    </w:rPr>
                    <w:t>污染物名称</w:t>
                  </w:r>
                </w:p>
              </w:tc>
              <w:tc>
                <w:tcPr>
                  <w:tcW w:w="1399" w:type="pct"/>
                  <w:tcBorders>
                    <w:bottom w:val="single" w:color="000000" w:sz="12" w:space="0"/>
                  </w:tcBorders>
                  <w:vAlign w:val="center"/>
                </w:tcPr>
                <w:p w14:paraId="2BB91CE5">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7"/>
                      <w:sz w:val="21"/>
                    </w:rPr>
                    <w:t>取值时间</w:t>
                  </w:r>
                </w:p>
              </w:tc>
              <w:tc>
                <w:tcPr>
                  <w:tcW w:w="1115" w:type="pct"/>
                  <w:tcBorders>
                    <w:bottom w:val="single" w:color="000000" w:sz="12" w:space="0"/>
                  </w:tcBorders>
                  <w:vAlign w:val="center"/>
                </w:tcPr>
                <w:p w14:paraId="4CE5D062">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7"/>
                      <w:sz w:val="21"/>
                    </w:rPr>
                    <w:t>浓度限值</w:t>
                  </w:r>
                </w:p>
              </w:tc>
              <w:tc>
                <w:tcPr>
                  <w:tcW w:w="1511" w:type="pct"/>
                  <w:tcBorders>
                    <w:bottom w:val="single" w:color="000000" w:sz="12" w:space="0"/>
                  </w:tcBorders>
                  <w:vAlign w:val="center"/>
                </w:tcPr>
                <w:p w14:paraId="3B2FB31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textAlignment w:val="auto"/>
                    <w:rPr>
                      <w:rFonts w:hint="default" w:ascii="Times New Roman" w:hAnsi="Times New Roman" w:eastAsia="宋体"/>
                      <w:color w:val="auto"/>
                      <w:vertAlign w:val="baseline"/>
                    </w:rPr>
                  </w:pPr>
                  <w:r>
                    <w:rPr>
                      <w:rFonts w:ascii="Times New Roman" w:hAnsi="Times New Roman" w:eastAsia="宋体"/>
                      <w:color w:val="auto"/>
                      <w:spacing w:val="-7"/>
                      <w:sz w:val="21"/>
                    </w:rPr>
                    <w:t>标准来源</w:t>
                  </w:r>
                </w:p>
              </w:tc>
            </w:tr>
            <w:tr w14:paraId="496895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op w:val="single" w:color="000000" w:sz="12" w:space="0"/>
                    <w:tl2br w:val="nil"/>
                    <w:tr2bl w:val="nil"/>
                  </w:tcBorders>
                  <w:vAlign w:val="center"/>
                </w:tcPr>
                <w:p w14:paraId="61AD1B97">
                  <w:pPr>
                    <w:pStyle w:val="95"/>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13"/>
                    </w:rPr>
                  </w:pPr>
                </w:p>
                <w:p w14:paraId="6DA86233">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4"/>
                      <w:position w:val="2"/>
                      <w:sz w:val="21"/>
                    </w:rPr>
                    <w:t>PM</w:t>
                  </w:r>
                  <w:r>
                    <w:rPr>
                      <w:rFonts w:ascii="Times New Roman" w:hAnsi="Times New Roman" w:eastAsia="宋体"/>
                      <w:color w:val="auto"/>
                      <w:spacing w:val="-4"/>
                      <w:sz w:val="13"/>
                    </w:rPr>
                    <w:t>10</w:t>
                  </w:r>
                </w:p>
              </w:tc>
              <w:tc>
                <w:tcPr>
                  <w:tcW w:w="1399" w:type="pct"/>
                  <w:tcBorders>
                    <w:top w:val="single" w:color="000000" w:sz="12" w:space="0"/>
                    <w:tl2br w:val="nil"/>
                    <w:tr2bl w:val="nil"/>
                  </w:tcBorders>
                  <w:vAlign w:val="center"/>
                </w:tcPr>
                <w:p w14:paraId="6494498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5"/>
                      <w:sz w:val="21"/>
                    </w:rPr>
                    <w:t>年平均</w:t>
                  </w:r>
                </w:p>
              </w:tc>
              <w:tc>
                <w:tcPr>
                  <w:tcW w:w="1115" w:type="pct"/>
                  <w:tcBorders>
                    <w:top w:val="single" w:color="000000" w:sz="12" w:space="0"/>
                    <w:tl2br w:val="nil"/>
                    <w:tr2bl w:val="nil"/>
                  </w:tcBorders>
                  <w:vAlign w:val="center"/>
                </w:tcPr>
                <w:p w14:paraId="27ED671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70μg/m</w:t>
                  </w:r>
                  <w:r>
                    <w:rPr>
                      <w:rFonts w:ascii="Times New Roman" w:hAnsi="Times New Roman" w:eastAsia="宋体"/>
                      <w:color w:val="auto"/>
                      <w:spacing w:val="-2"/>
                      <w:sz w:val="21"/>
                      <w:vertAlign w:val="superscript"/>
                    </w:rPr>
                    <w:t>3</w:t>
                  </w:r>
                </w:p>
              </w:tc>
              <w:tc>
                <w:tcPr>
                  <w:tcW w:w="1511" w:type="pct"/>
                  <w:vMerge w:val="restart"/>
                  <w:tcBorders>
                    <w:top w:val="single" w:color="000000" w:sz="12" w:space="0"/>
                    <w:tl2br w:val="nil"/>
                    <w:tr2bl w:val="nil"/>
                  </w:tcBorders>
                  <w:vAlign w:val="center"/>
                </w:tcPr>
                <w:p w14:paraId="658F6C46">
                  <w:pPr>
                    <w:pStyle w:val="9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3"/>
                      <w:sz w:val="21"/>
                    </w:rPr>
                    <w:t>《环境空气质量标准》</w:t>
                  </w:r>
                </w:p>
                <w:p w14:paraId="267519AF">
                  <w:pPr>
                    <w:pStyle w:val="95"/>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(GB3095-2012</w:t>
                  </w:r>
                  <w:r>
                    <w:rPr>
                      <w:rFonts w:hint="eastAsia" w:ascii="Times New Roman" w:hAnsi="Times New Roman"/>
                      <w:color w:val="auto"/>
                      <w:spacing w:val="-2"/>
                      <w:sz w:val="21"/>
                      <w:lang w:eastAsia="zh-CN"/>
                    </w:rPr>
                    <w:t>)</w:t>
                  </w:r>
                  <w:r>
                    <w:rPr>
                      <w:rFonts w:ascii="Times New Roman" w:hAnsi="Times New Roman" w:eastAsia="宋体"/>
                      <w:color w:val="auto"/>
                      <w:spacing w:val="-4"/>
                      <w:sz w:val="21"/>
                    </w:rPr>
                    <w:t>及其修改单中的二级标准</w:t>
                  </w:r>
                </w:p>
              </w:tc>
            </w:tr>
            <w:tr w14:paraId="2FBD409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331617D3">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vAlign w:val="center"/>
                </w:tcPr>
                <w:p w14:paraId="268E88E9">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z w:val="21"/>
                    </w:rPr>
                    <w:t>24</w:t>
                  </w:r>
                  <w:r>
                    <w:rPr>
                      <w:rFonts w:ascii="Times New Roman" w:hAnsi="Times New Roman" w:eastAsia="宋体"/>
                      <w:color w:val="auto"/>
                      <w:spacing w:val="-3"/>
                      <w:sz w:val="21"/>
                    </w:rPr>
                    <w:t>小时平均</w:t>
                  </w:r>
                </w:p>
              </w:tc>
              <w:tc>
                <w:tcPr>
                  <w:tcW w:w="1115" w:type="pct"/>
                  <w:tcBorders>
                    <w:tl2br w:val="nil"/>
                    <w:tr2bl w:val="nil"/>
                  </w:tcBorders>
                  <w:vAlign w:val="center"/>
                </w:tcPr>
                <w:p w14:paraId="6467B1F2">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150μg/m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71172722">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6A34E2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0D66B186">
                  <w:pPr>
                    <w:pStyle w:val="95"/>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13"/>
                    </w:rPr>
                  </w:pPr>
                </w:p>
                <w:p w14:paraId="4E884657">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textAlignment w:val="auto"/>
                    <w:rPr>
                      <w:rFonts w:hint="default" w:ascii="Times New Roman" w:hAnsi="Times New Roman" w:eastAsia="宋体"/>
                      <w:color w:val="auto"/>
                      <w:vertAlign w:val="baseline"/>
                    </w:rPr>
                  </w:pPr>
                  <w:r>
                    <w:rPr>
                      <w:rFonts w:ascii="Times New Roman" w:hAnsi="Times New Roman" w:eastAsia="宋体"/>
                      <w:color w:val="auto"/>
                      <w:spacing w:val="-2"/>
                      <w:w w:val="105"/>
                      <w:position w:val="2"/>
                      <w:sz w:val="21"/>
                    </w:rPr>
                    <w:t>PM</w:t>
                  </w:r>
                  <w:r>
                    <w:rPr>
                      <w:rFonts w:ascii="Times New Roman" w:hAnsi="Times New Roman" w:eastAsia="宋体"/>
                      <w:color w:val="auto"/>
                      <w:spacing w:val="-2"/>
                      <w:w w:val="105"/>
                      <w:sz w:val="13"/>
                    </w:rPr>
                    <w:t>2.5</w:t>
                  </w:r>
                </w:p>
              </w:tc>
              <w:tc>
                <w:tcPr>
                  <w:tcW w:w="1399" w:type="pct"/>
                  <w:tcBorders>
                    <w:tl2br w:val="nil"/>
                    <w:tr2bl w:val="nil"/>
                  </w:tcBorders>
                  <w:vAlign w:val="center"/>
                </w:tcPr>
                <w:p w14:paraId="4DAC0962">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5"/>
                      <w:sz w:val="21"/>
                    </w:rPr>
                    <w:t>年平均</w:t>
                  </w:r>
                </w:p>
              </w:tc>
              <w:tc>
                <w:tcPr>
                  <w:tcW w:w="1115" w:type="pct"/>
                  <w:tcBorders>
                    <w:tl2br w:val="nil"/>
                    <w:tr2bl w:val="nil"/>
                  </w:tcBorders>
                  <w:vAlign w:val="center"/>
                </w:tcPr>
                <w:p w14:paraId="540BADB4">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35μg/m</w:t>
                  </w:r>
                  <w:r>
                    <w:rPr>
                      <w:rFonts w:ascii="Times New Roman" w:hAnsi="Times New Roman" w:eastAsia="宋体"/>
                      <w:color w:val="auto"/>
                      <w:spacing w:val="-2"/>
                      <w:position w:val="7"/>
                      <w:sz w:val="13"/>
                    </w:rPr>
                    <w:t>3</w:t>
                  </w:r>
                </w:p>
              </w:tc>
              <w:tc>
                <w:tcPr>
                  <w:tcW w:w="1511" w:type="pct"/>
                  <w:vMerge w:val="continue"/>
                  <w:tcBorders>
                    <w:tl2br w:val="nil"/>
                    <w:tr2bl w:val="nil"/>
                  </w:tcBorders>
                  <w:vAlign w:val="center"/>
                </w:tcPr>
                <w:p w14:paraId="21569710">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47550F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34E3FAF0">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vAlign w:val="center"/>
                </w:tcPr>
                <w:p w14:paraId="25AAE2FD">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z w:val="21"/>
                    </w:rPr>
                    <w:t>24</w:t>
                  </w:r>
                  <w:r>
                    <w:rPr>
                      <w:rFonts w:ascii="Times New Roman" w:hAnsi="Times New Roman" w:eastAsia="宋体"/>
                      <w:color w:val="auto"/>
                      <w:spacing w:val="-3"/>
                      <w:sz w:val="21"/>
                    </w:rPr>
                    <w:t>小时平均</w:t>
                  </w:r>
                </w:p>
              </w:tc>
              <w:tc>
                <w:tcPr>
                  <w:tcW w:w="1115" w:type="pct"/>
                  <w:tcBorders>
                    <w:tl2br w:val="nil"/>
                    <w:tr2bl w:val="nil"/>
                  </w:tcBorders>
                  <w:vAlign w:val="center"/>
                </w:tcPr>
                <w:p w14:paraId="6ECDEDC6">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75μg/m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63007EFD">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4B871A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7BFDBF28">
                  <w:pPr>
                    <w:pStyle w:val="95"/>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rPr>
                  </w:pPr>
                </w:p>
                <w:p w14:paraId="1AF577FB">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5"/>
                      <w:position w:val="2"/>
                      <w:sz w:val="21"/>
                    </w:rPr>
                    <w:t>SO</w:t>
                  </w:r>
                  <w:r>
                    <w:rPr>
                      <w:rFonts w:ascii="Times New Roman" w:hAnsi="Times New Roman" w:eastAsia="宋体"/>
                      <w:color w:val="auto"/>
                      <w:spacing w:val="-5"/>
                      <w:sz w:val="13"/>
                    </w:rPr>
                    <w:t>2</w:t>
                  </w:r>
                </w:p>
              </w:tc>
              <w:tc>
                <w:tcPr>
                  <w:tcW w:w="1399" w:type="pct"/>
                  <w:tcBorders>
                    <w:tl2br w:val="nil"/>
                    <w:tr2bl w:val="nil"/>
                  </w:tcBorders>
                  <w:vAlign w:val="center"/>
                </w:tcPr>
                <w:p w14:paraId="43D7DDEC">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5"/>
                      <w:sz w:val="21"/>
                    </w:rPr>
                    <w:t>年平均</w:t>
                  </w:r>
                </w:p>
              </w:tc>
              <w:tc>
                <w:tcPr>
                  <w:tcW w:w="1115" w:type="pct"/>
                  <w:tcBorders>
                    <w:tl2br w:val="nil"/>
                    <w:tr2bl w:val="nil"/>
                  </w:tcBorders>
                  <w:vAlign w:val="center"/>
                </w:tcPr>
                <w:p w14:paraId="6908E21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60μg/m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6EAAAD79">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71DF7C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727A53F0">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vAlign w:val="center"/>
                </w:tcPr>
                <w:p w14:paraId="014D6FFB">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z w:val="21"/>
                    </w:rPr>
                    <w:t>24</w:t>
                  </w:r>
                  <w:r>
                    <w:rPr>
                      <w:rFonts w:ascii="Times New Roman" w:hAnsi="Times New Roman" w:eastAsia="宋体"/>
                      <w:color w:val="auto"/>
                      <w:spacing w:val="-3"/>
                      <w:sz w:val="21"/>
                    </w:rPr>
                    <w:t>小时平均</w:t>
                  </w:r>
                </w:p>
              </w:tc>
              <w:tc>
                <w:tcPr>
                  <w:tcW w:w="1115" w:type="pct"/>
                  <w:tcBorders>
                    <w:tl2br w:val="nil"/>
                    <w:tr2bl w:val="nil"/>
                  </w:tcBorders>
                  <w:vAlign w:val="center"/>
                </w:tcPr>
                <w:p w14:paraId="442B53F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150μg/m</w:t>
                  </w:r>
                  <w:r>
                    <w:rPr>
                      <w:rFonts w:ascii="Times New Roman" w:hAnsi="Times New Roman" w:eastAsia="宋体"/>
                      <w:color w:val="auto"/>
                      <w:spacing w:val="-2"/>
                      <w:position w:val="7"/>
                      <w:sz w:val="13"/>
                    </w:rPr>
                    <w:t>3</w:t>
                  </w:r>
                </w:p>
              </w:tc>
              <w:tc>
                <w:tcPr>
                  <w:tcW w:w="1511" w:type="pct"/>
                  <w:vMerge w:val="continue"/>
                  <w:tcBorders>
                    <w:tl2br w:val="nil"/>
                    <w:tr2bl w:val="nil"/>
                  </w:tcBorders>
                  <w:vAlign w:val="center"/>
                </w:tcPr>
                <w:p w14:paraId="473054E0">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00F4B0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27C01CD6">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vAlign w:val="center"/>
                </w:tcPr>
                <w:p w14:paraId="7B28E3A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z w:val="21"/>
                    </w:rPr>
                    <w:t>1</w:t>
                  </w:r>
                  <w:r>
                    <w:rPr>
                      <w:rFonts w:ascii="Times New Roman" w:hAnsi="Times New Roman" w:eastAsia="宋体"/>
                      <w:color w:val="auto"/>
                      <w:spacing w:val="-3"/>
                      <w:sz w:val="21"/>
                    </w:rPr>
                    <w:t>小时平均</w:t>
                  </w:r>
                </w:p>
              </w:tc>
              <w:tc>
                <w:tcPr>
                  <w:tcW w:w="1115" w:type="pct"/>
                  <w:tcBorders>
                    <w:tl2br w:val="nil"/>
                    <w:tr2bl w:val="nil"/>
                  </w:tcBorders>
                  <w:vAlign w:val="center"/>
                </w:tcPr>
                <w:p w14:paraId="49991EE1">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500μg/m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37DFB042">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6465AE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4E043BD3">
                  <w:pPr>
                    <w:pStyle w:val="95"/>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rPr>
                  </w:pPr>
                </w:p>
                <w:p w14:paraId="799086A9">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5"/>
                      <w:position w:val="2"/>
                      <w:sz w:val="21"/>
                    </w:rPr>
                    <w:t>NO</w:t>
                  </w:r>
                  <w:r>
                    <w:rPr>
                      <w:rFonts w:ascii="Times New Roman" w:hAnsi="Times New Roman" w:eastAsia="宋体"/>
                      <w:color w:val="auto"/>
                      <w:spacing w:val="-5"/>
                      <w:sz w:val="13"/>
                    </w:rPr>
                    <w:t>2</w:t>
                  </w:r>
                </w:p>
              </w:tc>
              <w:tc>
                <w:tcPr>
                  <w:tcW w:w="1399" w:type="pct"/>
                  <w:tcBorders>
                    <w:tl2br w:val="nil"/>
                    <w:tr2bl w:val="nil"/>
                  </w:tcBorders>
                  <w:vAlign w:val="center"/>
                </w:tcPr>
                <w:p w14:paraId="10123061">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ascii="Times New Roman" w:hAnsi="Times New Roman" w:eastAsia="宋体"/>
                      <w:color w:val="auto"/>
                      <w:sz w:val="21"/>
                    </w:rPr>
                  </w:pPr>
                  <w:r>
                    <w:rPr>
                      <w:rFonts w:ascii="Times New Roman" w:hAnsi="Times New Roman" w:eastAsia="宋体"/>
                      <w:color w:val="auto"/>
                      <w:spacing w:val="-5"/>
                      <w:sz w:val="21"/>
                    </w:rPr>
                    <w:t>年平均</w:t>
                  </w:r>
                </w:p>
              </w:tc>
              <w:tc>
                <w:tcPr>
                  <w:tcW w:w="1115" w:type="pct"/>
                  <w:tcBorders>
                    <w:tl2br w:val="nil"/>
                    <w:tr2bl w:val="nil"/>
                  </w:tcBorders>
                  <w:vAlign w:val="center"/>
                </w:tcPr>
                <w:p w14:paraId="1DD2672D">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40μg/m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7A7837F6">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5DE056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2F2D45A5">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vAlign w:val="center"/>
                </w:tcPr>
                <w:p w14:paraId="4231D10C">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olor w:val="auto"/>
                      <w:sz w:val="21"/>
                    </w:rPr>
                  </w:pPr>
                  <w:r>
                    <w:rPr>
                      <w:rFonts w:ascii="Times New Roman" w:hAnsi="Times New Roman" w:eastAsia="宋体"/>
                      <w:color w:val="auto"/>
                      <w:sz w:val="21"/>
                    </w:rPr>
                    <w:t>24</w:t>
                  </w:r>
                  <w:r>
                    <w:rPr>
                      <w:rFonts w:ascii="Times New Roman" w:hAnsi="Times New Roman" w:eastAsia="宋体"/>
                      <w:color w:val="auto"/>
                      <w:spacing w:val="-3"/>
                      <w:sz w:val="21"/>
                    </w:rPr>
                    <w:t>小时平均</w:t>
                  </w:r>
                </w:p>
              </w:tc>
              <w:tc>
                <w:tcPr>
                  <w:tcW w:w="1115" w:type="pct"/>
                  <w:tcBorders>
                    <w:tl2br w:val="nil"/>
                    <w:tr2bl w:val="nil"/>
                  </w:tcBorders>
                  <w:vAlign w:val="center"/>
                </w:tcPr>
                <w:p w14:paraId="01A6E2E1">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80μg/m</w:t>
                  </w:r>
                  <w:r>
                    <w:rPr>
                      <w:rFonts w:ascii="Times New Roman" w:hAnsi="Times New Roman" w:eastAsia="宋体"/>
                      <w:color w:val="auto"/>
                      <w:spacing w:val="-2"/>
                      <w:position w:val="7"/>
                      <w:sz w:val="13"/>
                    </w:rPr>
                    <w:t>3</w:t>
                  </w:r>
                </w:p>
              </w:tc>
              <w:tc>
                <w:tcPr>
                  <w:tcW w:w="1511" w:type="pct"/>
                  <w:vMerge w:val="continue"/>
                  <w:tcBorders>
                    <w:tl2br w:val="nil"/>
                    <w:tr2bl w:val="nil"/>
                  </w:tcBorders>
                  <w:vAlign w:val="center"/>
                </w:tcPr>
                <w:p w14:paraId="6895B8F3">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72DEC7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69BE7F08">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vAlign w:val="center"/>
                </w:tcPr>
                <w:p w14:paraId="3E6DC23F">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olor w:val="auto"/>
                      <w:sz w:val="21"/>
                    </w:rPr>
                  </w:pPr>
                  <w:r>
                    <w:rPr>
                      <w:rFonts w:ascii="Times New Roman" w:hAnsi="Times New Roman" w:eastAsia="宋体"/>
                      <w:color w:val="auto"/>
                      <w:sz w:val="21"/>
                    </w:rPr>
                    <w:t>1</w:t>
                  </w:r>
                  <w:r>
                    <w:rPr>
                      <w:rFonts w:ascii="Times New Roman" w:hAnsi="Times New Roman" w:eastAsia="宋体"/>
                      <w:color w:val="auto"/>
                      <w:spacing w:val="-3"/>
                      <w:sz w:val="21"/>
                    </w:rPr>
                    <w:t>小时平均</w:t>
                  </w:r>
                </w:p>
              </w:tc>
              <w:tc>
                <w:tcPr>
                  <w:tcW w:w="1115" w:type="pct"/>
                  <w:tcBorders>
                    <w:tl2br w:val="nil"/>
                    <w:tr2bl w:val="nil"/>
                  </w:tcBorders>
                  <w:vAlign w:val="center"/>
                </w:tcPr>
                <w:p w14:paraId="7BB5ABBD">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200μg/m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2135206F">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712923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751EBE9E">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5"/>
                      <w:sz w:val="21"/>
                    </w:rPr>
                    <w:t>CO</w:t>
                  </w:r>
                </w:p>
              </w:tc>
              <w:tc>
                <w:tcPr>
                  <w:tcW w:w="1399" w:type="pct"/>
                  <w:tcBorders>
                    <w:tl2br w:val="nil"/>
                    <w:tr2bl w:val="nil"/>
                  </w:tcBorders>
                  <w:vAlign w:val="center"/>
                </w:tcPr>
                <w:p w14:paraId="040B67E3">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24</w:t>
                  </w:r>
                  <w:r>
                    <w:rPr>
                      <w:rFonts w:ascii="Times New Roman" w:hAnsi="Times New Roman" w:eastAsia="宋体"/>
                      <w:color w:val="auto"/>
                      <w:spacing w:val="-4"/>
                      <w:sz w:val="21"/>
                    </w:rPr>
                    <w:t>小时平均</w:t>
                  </w:r>
                </w:p>
              </w:tc>
              <w:tc>
                <w:tcPr>
                  <w:tcW w:w="1115" w:type="pct"/>
                  <w:tcBorders>
                    <w:tl2br w:val="nil"/>
                    <w:tr2bl w:val="nil"/>
                  </w:tcBorders>
                  <w:vAlign w:val="center"/>
                </w:tcPr>
                <w:p w14:paraId="6752FDCF">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4mg/m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2D489C20">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3E9847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0B40B4A8">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vAlign w:val="center"/>
                </w:tcPr>
                <w:p w14:paraId="202BFD40">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1</w:t>
                  </w:r>
                  <w:r>
                    <w:rPr>
                      <w:rFonts w:ascii="Times New Roman" w:hAnsi="Times New Roman" w:eastAsia="宋体"/>
                      <w:color w:val="auto"/>
                      <w:spacing w:val="-4"/>
                      <w:sz w:val="21"/>
                    </w:rPr>
                    <w:t>小时平均</w:t>
                  </w:r>
                </w:p>
              </w:tc>
              <w:tc>
                <w:tcPr>
                  <w:tcW w:w="1115" w:type="pct"/>
                  <w:tcBorders>
                    <w:tl2br w:val="nil"/>
                    <w:tr2bl w:val="nil"/>
                  </w:tcBorders>
                  <w:vAlign w:val="center"/>
                </w:tcPr>
                <w:p w14:paraId="6FD31910">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10mg/m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1F8510DD">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7F3CEC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5D5B3194">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5"/>
                      <w:position w:val="2"/>
                      <w:sz w:val="21"/>
                    </w:rPr>
                    <w:t>O</w:t>
                  </w:r>
                  <w:r>
                    <w:rPr>
                      <w:rFonts w:ascii="Times New Roman" w:hAnsi="Times New Roman" w:eastAsia="宋体"/>
                      <w:color w:val="auto"/>
                      <w:spacing w:val="-5"/>
                      <w:sz w:val="13"/>
                    </w:rPr>
                    <w:t>3</w:t>
                  </w:r>
                </w:p>
              </w:tc>
              <w:tc>
                <w:tcPr>
                  <w:tcW w:w="1399" w:type="pct"/>
                  <w:tcBorders>
                    <w:tl2br w:val="nil"/>
                    <w:tr2bl w:val="nil"/>
                  </w:tcBorders>
                  <w:vAlign w:val="center"/>
                </w:tcPr>
                <w:p w14:paraId="216DC568">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日最大8</w:t>
                  </w:r>
                  <w:r>
                    <w:rPr>
                      <w:rFonts w:ascii="Times New Roman" w:hAnsi="Times New Roman" w:eastAsia="宋体"/>
                      <w:color w:val="auto"/>
                      <w:spacing w:val="-4"/>
                      <w:sz w:val="21"/>
                    </w:rPr>
                    <w:t>小时平均</w:t>
                  </w:r>
                </w:p>
              </w:tc>
              <w:tc>
                <w:tcPr>
                  <w:tcW w:w="1115" w:type="pct"/>
                  <w:tcBorders>
                    <w:tl2br w:val="nil"/>
                    <w:tr2bl w:val="nil"/>
                  </w:tcBorders>
                  <w:vAlign w:val="center"/>
                </w:tcPr>
                <w:p w14:paraId="42112910">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160μg/m</w:t>
                  </w:r>
                  <w:r>
                    <w:rPr>
                      <w:rFonts w:ascii="Times New Roman" w:hAnsi="Times New Roman" w:eastAsia="宋体"/>
                      <w:color w:val="auto"/>
                      <w:spacing w:val="-2"/>
                      <w:position w:val="7"/>
                      <w:sz w:val="13"/>
                    </w:rPr>
                    <w:t>3</w:t>
                  </w:r>
                </w:p>
              </w:tc>
              <w:tc>
                <w:tcPr>
                  <w:tcW w:w="1511" w:type="pct"/>
                  <w:vMerge w:val="continue"/>
                  <w:tcBorders>
                    <w:tl2br w:val="nil"/>
                    <w:tr2bl w:val="nil"/>
                  </w:tcBorders>
                  <w:vAlign w:val="center"/>
                </w:tcPr>
                <w:p w14:paraId="2F8CFD07">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7740910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0C96D13D">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vAlign w:val="center"/>
                </w:tcPr>
                <w:p w14:paraId="70B70D21">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olor w:val="auto"/>
                      <w:sz w:val="21"/>
                    </w:rPr>
                  </w:pPr>
                  <w:r>
                    <w:rPr>
                      <w:rFonts w:ascii="Times New Roman" w:hAnsi="Times New Roman" w:eastAsia="宋体"/>
                      <w:color w:val="auto"/>
                      <w:spacing w:val="-2"/>
                      <w:sz w:val="21"/>
                    </w:rPr>
                    <w:t>1</w:t>
                  </w:r>
                  <w:r>
                    <w:rPr>
                      <w:rFonts w:ascii="Times New Roman" w:hAnsi="Times New Roman" w:eastAsia="宋体"/>
                      <w:color w:val="auto"/>
                      <w:spacing w:val="-4"/>
                      <w:sz w:val="21"/>
                    </w:rPr>
                    <w:t>小时平均</w:t>
                  </w:r>
                </w:p>
              </w:tc>
              <w:tc>
                <w:tcPr>
                  <w:tcW w:w="1115" w:type="pct"/>
                  <w:tcBorders>
                    <w:tl2br w:val="nil"/>
                    <w:tr2bl w:val="nil"/>
                  </w:tcBorders>
                  <w:vAlign w:val="center"/>
                </w:tcPr>
                <w:p w14:paraId="76182E96">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vertAlign w:val="baseline"/>
                    </w:rPr>
                  </w:pPr>
                  <w:r>
                    <w:rPr>
                      <w:rFonts w:ascii="Times New Roman" w:hAnsi="Times New Roman" w:eastAsia="宋体"/>
                      <w:color w:val="auto"/>
                      <w:spacing w:val="-2"/>
                      <w:sz w:val="21"/>
                    </w:rPr>
                    <w:t>200μg/m</w:t>
                  </w:r>
                  <w:r>
                    <w:rPr>
                      <w:rFonts w:ascii="Times New Roman" w:hAnsi="Times New Roman" w:eastAsia="宋体"/>
                      <w:color w:val="auto"/>
                      <w:spacing w:val="-2"/>
                      <w:sz w:val="21"/>
                      <w:vertAlign w:val="superscript"/>
                    </w:rPr>
                    <w:t>3</w:t>
                  </w:r>
                </w:p>
              </w:tc>
              <w:tc>
                <w:tcPr>
                  <w:tcW w:w="1511" w:type="pct"/>
                  <w:vMerge w:val="continue"/>
                  <w:tcBorders>
                    <w:tl2br w:val="nil"/>
                    <w:tr2bl w:val="nil"/>
                  </w:tcBorders>
                  <w:vAlign w:val="center"/>
                </w:tcPr>
                <w:p w14:paraId="5679493C">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64D567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restart"/>
                  <w:tcBorders>
                    <w:tl2br w:val="nil"/>
                    <w:tr2bl w:val="nil"/>
                  </w:tcBorders>
                  <w:vAlign w:val="center"/>
                </w:tcPr>
                <w:p w14:paraId="060BB30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vertAlign w:val="baseline"/>
                      <w:lang w:val="en-US" w:eastAsia="zh-CN"/>
                    </w:rPr>
                  </w:pPr>
                  <w:r>
                    <w:rPr>
                      <w:rFonts w:hint="eastAsia"/>
                      <w:color w:val="auto"/>
                      <w:vertAlign w:val="baseline"/>
                      <w:lang w:val="en-US" w:eastAsia="zh-CN"/>
                    </w:rPr>
                    <w:t>TSP</w:t>
                  </w:r>
                </w:p>
              </w:tc>
              <w:tc>
                <w:tcPr>
                  <w:tcW w:w="1399" w:type="pct"/>
                  <w:tcBorders>
                    <w:tl2br w:val="nil"/>
                    <w:tr2bl w:val="nil"/>
                  </w:tcBorders>
                  <w:shd w:val="clear" w:color="auto" w:fill="auto"/>
                  <w:vAlign w:val="top"/>
                </w:tcPr>
                <w:p w14:paraId="0EDB3F2B">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spacing w:val="-2"/>
                      <w:sz w:val="21"/>
                      <w:lang w:val="en-US" w:eastAsia="en-US"/>
                    </w:rPr>
                  </w:pPr>
                  <w:r>
                    <w:rPr>
                      <w:rFonts w:ascii="Times New Roman" w:hAnsi="Times New Roman" w:eastAsia="宋体" w:cs="宋体"/>
                      <w:color w:val="auto"/>
                      <w:spacing w:val="-2"/>
                      <w:sz w:val="21"/>
                    </w:rPr>
                    <w:t>年平均</w:t>
                  </w:r>
                </w:p>
              </w:tc>
              <w:tc>
                <w:tcPr>
                  <w:tcW w:w="1115" w:type="pct"/>
                  <w:tcBorders>
                    <w:tl2br w:val="nil"/>
                    <w:tr2bl w:val="nil"/>
                  </w:tcBorders>
                  <w:shd w:val="clear" w:color="auto" w:fill="auto"/>
                  <w:vAlign w:val="top"/>
                </w:tcPr>
                <w:p w14:paraId="52F09E50">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spacing w:val="-2"/>
                      <w:sz w:val="21"/>
                      <w:lang w:val="en-US" w:eastAsia="en-US"/>
                    </w:rPr>
                  </w:pPr>
                  <w:r>
                    <w:rPr>
                      <w:rFonts w:ascii="Times New Roman" w:hAnsi="Times New Roman" w:eastAsia="宋体" w:cs="宋体"/>
                      <w:color w:val="auto"/>
                      <w:spacing w:val="-2"/>
                      <w:sz w:val="21"/>
                    </w:rPr>
                    <w:t>200μg/m³</w:t>
                  </w:r>
                </w:p>
              </w:tc>
              <w:tc>
                <w:tcPr>
                  <w:tcW w:w="1511" w:type="pct"/>
                  <w:vMerge w:val="continue"/>
                  <w:tcBorders>
                    <w:tl2br w:val="nil"/>
                    <w:tr2bl w:val="nil"/>
                  </w:tcBorders>
                  <w:vAlign w:val="center"/>
                </w:tcPr>
                <w:p w14:paraId="46C55730">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06398E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vMerge w:val="continue"/>
                  <w:tcBorders>
                    <w:tl2br w:val="nil"/>
                    <w:tr2bl w:val="nil"/>
                  </w:tcBorders>
                  <w:vAlign w:val="center"/>
                </w:tcPr>
                <w:p w14:paraId="6CED78F4">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c>
                <w:tcPr>
                  <w:tcW w:w="1399" w:type="pct"/>
                  <w:tcBorders>
                    <w:tl2br w:val="nil"/>
                    <w:tr2bl w:val="nil"/>
                  </w:tcBorders>
                  <w:shd w:val="clear" w:color="auto" w:fill="auto"/>
                  <w:vAlign w:val="top"/>
                </w:tcPr>
                <w:p w14:paraId="5944CDD5">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spacing w:val="-2"/>
                      <w:sz w:val="21"/>
                      <w:lang w:val="en-US" w:eastAsia="en-US"/>
                    </w:rPr>
                  </w:pPr>
                  <w:r>
                    <w:rPr>
                      <w:rFonts w:ascii="Times New Roman" w:hAnsi="Times New Roman" w:eastAsia="宋体" w:cs="宋体"/>
                      <w:color w:val="auto"/>
                      <w:spacing w:val="-2"/>
                      <w:sz w:val="21"/>
                    </w:rPr>
                    <w:t>24小时平均</w:t>
                  </w:r>
                </w:p>
              </w:tc>
              <w:tc>
                <w:tcPr>
                  <w:tcW w:w="1115" w:type="pct"/>
                  <w:tcBorders>
                    <w:tl2br w:val="nil"/>
                    <w:tr2bl w:val="nil"/>
                  </w:tcBorders>
                  <w:shd w:val="clear" w:color="auto" w:fill="auto"/>
                  <w:vAlign w:val="top"/>
                </w:tcPr>
                <w:p w14:paraId="002AA18D">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ascii="Times New Roman" w:hAnsi="Times New Roman" w:eastAsia="宋体" w:cs="宋体"/>
                      <w:color w:val="auto"/>
                      <w:spacing w:val="-2"/>
                      <w:sz w:val="21"/>
                      <w:lang w:val="en-US" w:eastAsia="en-US"/>
                    </w:rPr>
                  </w:pPr>
                  <w:r>
                    <w:rPr>
                      <w:rFonts w:ascii="Times New Roman" w:hAnsi="Times New Roman" w:eastAsia="宋体" w:cs="宋体"/>
                      <w:color w:val="auto"/>
                      <w:spacing w:val="-2"/>
                      <w:sz w:val="21"/>
                    </w:rPr>
                    <w:t>300μg/m³</w:t>
                  </w:r>
                </w:p>
              </w:tc>
              <w:tc>
                <w:tcPr>
                  <w:tcW w:w="1511" w:type="pct"/>
                  <w:vMerge w:val="continue"/>
                  <w:tcBorders>
                    <w:tl2br w:val="nil"/>
                    <w:tr2bl w:val="nil"/>
                  </w:tcBorders>
                  <w:vAlign w:val="center"/>
                </w:tcPr>
                <w:p w14:paraId="6FC27977">
                  <w:pPr>
                    <w:pStyle w:val="46"/>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hint="default" w:ascii="Times New Roman" w:hAnsi="Times New Roman" w:eastAsia="宋体"/>
                      <w:color w:val="auto"/>
                      <w:vertAlign w:val="baseline"/>
                    </w:rPr>
                  </w:pPr>
                </w:p>
              </w:tc>
            </w:tr>
            <w:tr w14:paraId="7AF429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973" w:type="pct"/>
                  <w:tcBorders>
                    <w:tl2br w:val="nil"/>
                    <w:tr2bl w:val="nil"/>
                  </w:tcBorders>
                  <w:vAlign w:val="center"/>
                </w:tcPr>
                <w:p w14:paraId="39BB404F">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color w:val="auto"/>
                      <w:spacing w:val="-4"/>
                      <w:sz w:val="21"/>
                    </w:rPr>
                  </w:pPr>
                  <w:r>
                    <w:rPr>
                      <w:rFonts w:ascii="Times New Roman" w:hAnsi="Times New Roman" w:eastAsia="宋体"/>
                      <w:color w:val="auto"/>
                      <w:spacing w:val="-4"/>
                      <w:sz w:val="21"/>
                    </w:rPr>
                    <w:t>非甲烷总烃</w:t>
                  </w:r>
                </w:p>
              </w:tc>
              <w:tc>
                <w:tcPr>
                  <w:tcW w:w="1399" w:type="pct"/>
                  <w:tcBorders>
                    <w:tl2br w:val="nil"/>
                    <w:tr2bl w:val="nil"/>
                  </w:tcBorders>
                  <w:vAlign w:val="center"/>
                </w:tcPr>
                <w:p w14:paraId="69C4F3F6">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eastAsia="Times New Roman"/>
                      <w:color w:val="auto"/>
                      <w:sz w:val="21"/>
                    </w:rPr>
                  </w:pPr>
                  <w:r>
                    <w:rPr>
                      <w:rFonts w:ascii="Times New Roman" w:hAnsi="Times New Roman" w:eastAsia="宋体"/>
                      <w:color w:val="auto"/>
                      <w:sz w:val="21"/>
                    </w:rPr>
                    <w:t>1</w:t>
                  </w:r>
                  <w:r>
                    <w:rPr>
                      <w:rFonts w:ascii="Times New Roman" w:hAnsi="Times New Roman" w:eastAsia="宋体"/>
                      <w:color w:val="auto"/>
                      <w:spacing w:val="-3"/>
                      <w:sz w:val="21"/>
                    </w:rPr>
                    <w:t>小时均值</w:t>
                  </w:r>
                </w:p>
              </w:tc>
              <w:tc>
                <w:tcPr>
                  <w:tcW w:w="1115" w:type="pct"/>
                  <w:tcBorders>
                    <w:tl2br w:val="nil"/>
                    <w:tr2bl w:val="nil"/>
                  </w:tcBorders>
                  <w:vAlign w:val="center"/>
                </w:tcPr>
                <w:p w14:paraId="5EF519E5">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ascii="Times New Roman"/>
                      <w:color w:val="auto"/>
                      <w:spacing w:val="-2"/>
                      <w:sz w:val="21"/>
                    </w:rPr>
                  </w:pPr>
                  <w:r>
                    <w:rPr>
                      <w:rFonts w:ascii="Times New Roman" w:hAnsi="Times New Roman" w:eastAsia="宋体"/>
                      <w:color w:val="auto"/>
                      <w:spacing w:val="-2"/>
                      <w:sz w:val="21"/>
                    </w:rPr>
                    <w:t>2.0mg/m</w:t>
                  </w:r>
                  <w:r>
                    <w:rPr>
                      <w:rFonts w:ascii="Times New Roman" w:hAnsi="Times New Roman" w:eastAsia="宋体"/>
                      <w:color w:val="auto"/>
                      <w:spacing w:val="-2"/>
                      <w:sz w:val="21"/>
                      <w:vertAlign w:val="superscript"/>
                    </w:rPr>
                    <w:t>3</w:t>
                  </w:r>
                </w:p>
              </w:tc>
              <w:tc>
                <w:tcPr>
                  <w:tcW w:w="1511" w:type="pct"/>
                  <w:tcBorders>
                    <w:tl2br w:val="nil"/>
                    <w:tr2bl w:val="nil"/>
                  </w:tcBorders>
                  <w:vAlign w:val="center"/>
                </w:tcPr>
                <w:p w14:paraId="3DA01824">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olor w:val="auto"/>
                      <w:vertAlign w:val="baseline"/>
                    </w:rPr>
                  </w:pPr>
                  <w:r>
                    <w:rPr>
                      <w:rFonts w:ascii="Times New Roman" w:hAnsi="Times New Roman" w:eastAsia="宋体" w:cs="宋体"/>
                      <w:color w:val="auto"/>
                      <w:spacing w:val="-3"/>
                      <w:sz w:val="21"/>
                      <w:highlight w:val="none"/>
                    </w:rPr>
                    <w:t>《大气污染物综合排放标准</w:t>
                  </w:r>
                  <w:r>
                    <w:rPr>
                      <w:rFonts w:hint="eastAsia" w:ascii="Times New Roman" w:hAnsi="Times New Roman" w:cs="宋体"/>
                      <w:color w:val="auto"/>
                      <w:spacing w:val="-3"/>
                      <w:sz w:val="21"/>
                      <w:highlight w:val="none"/>
                      <w:lang w:val="en-US" w:eastAsia="zh-CN"/>
                    </w:rPr>
                    <w:t>详解</w:t>
                  </w:r>
                  <w:r>
                    <w:rPr>
                      <w:rFonts w:ascii="Times New Roman" w:hAnsi="Times New Roman" w:eastAsia="宋体" w:cs="宋体"/>
                      <w:color w:val="auto"/>
                      <w:spacing w:val="-3"/>
                      <w:sz w:val="21"/>
                      <w:highlight w:val="none"/>
                    </w:rPr>
                    <w:t>》</w:t>
                  </w:r>
                  <w:r>
                    <w:rPr>
                      <w:rFonts w:hint="eastAsia" w:ascii="Times New Roman" w:hAnsi="Times New Roman" w:cs="宋体"/>
                      <w:color w:val="auto"/>
                      <w:spacing w:val="-3"/>
                      <w:sz w:val="21"/>
                      <w:highlight w:val="none"/>
                      <w:lang w:eastAsia="zh-CN"/>
                    </w:rPr>
                    <w:t>(</w:t>
                  </w:r>
                  <w:r>
                    <w:rPr>
                      <w:rFonts w:ascii="Times New Roman" w:hAnsi="Times New Roman" w:eastAsia="宋体" w:cs="宋体"/>
                      <w:color w:val="auto"/>
                      <w:spacing w:val="-3"/>
                      <w:sz w:val="21"/>
                      <w:highlight w:val="none"/>
                    </w:rPr>
                    <w:t>GB16297-1996)</w:t>
                  </w:r>
                </w:p>
              </w:tc>
            </w:tr>
          </w:tbl>
          <w:p w14:paraId="0981CBBF">
            <w:pPr>
              <w:pStyle w:val="46"/>
              <w:rPr>
                <w:rFonts w:hint="default"/>
                <w:color w:val="auto"/>
              </w:rPr>
            </w:pPr>
          </w:p>
          <w:p w14:paraId="50959606">
            <w:pPr>
              <w:pStyle w:val="5"/>
              <w:bidi w:val="0"/>
              <w:rPr>
                <w:rFonts w:hint="default"/>
                <w:color w:val="auto"/>
              </w:rPr>
            </w:pPr>
            <w:r>
              <w:rPr>
                <w:rFonts w:hint="eastAsia"/>
                <w:color w:val="auto"/>
                <w:lang w:val="en-US" w:eastAsia="zh-CN"/>
              </w:rPr>
              <w:t>区域大气</w:t>
            </w:r>
            <w:r>
              <w:rPr>
                <w:rFonts w:hint="default"/>
                <w:color w:val="auto"/>
                <w:lang w:val="en-US" w:eastAsia="zh-CN"/>
              </w:rPr>
              <w:t>环境质量现状</w:t>
            </w:r>
          </w:p>
          <w:p w14:paraId="6FAD9CBE">
            <w:pPr>
              <w:pStyle w:val="44"/>
              <w:numPr>
                <w:ilvl w:val="0"/>
                <w:numId w:val="0"/>
              </w:numPr>
              <w:bidi w:val="0"/>
              <w:ind w:left="425" w:leftChars="0" w:hanging="425" w:firstLineChars="0"/>
              <w:rPr>
                <w:rFonts w:hint="eastAsia" w:ascii="Times New Roman" w:hAnsi="Times New Roman" w:eastAsia="宋体" w:cs="宋体"/>
                <w:color w:val="auto"/>
                <w:highlight w:val="none"/>
                <w:lang w:val="en-US" w:eastAsia="zh-CN"/>
              </w:rPr>
            </w:pPr>
            <w:r>
              <w:rPr>
                <w:rFonts w:hint="eastAsia" w:cs="宋体"/>
                <w:color w:val="auto"/>
                <w:kern w:val="0"/>
                <w:sz w:val="24"/>
                <w:szCs w:val="20"/>
                <w:lang w:val="en-US" w:eastAsia="zh-CN" w:bidi="ar-SA"/>
              </w:rPr>
              <w:t>(</w:t>
            </w:r>
            <w:r>
              <w:rPr>
                <w:rFonts w:hint="default" w:ascii="Times New Roman" w:hAnsi="Times New Roman" w:eastAsia="宋体" w:cs="宋体"/>
                <w:color w:val="auto"/>
                <w:kern w:val="0"/>
                <w:sz w:val="24"/>
                <w:szCs w:val="20"/>
                <w:lang w:val="en-US" w:eastAsia="zh-CN" w:bidi="ar-SA"/>
              </w:rPr>
              <w:t>1</w:t>
            </w:r>
            <w:r>
              <w:rPr>
                <w:rFonts w:hint="eastAsia" w:cs="宋体"/>
                <w:color w:val="auto"/>
                <w:kern w:val="0"/>
                <w:sz w:val="24"/>
                <w:szCs w:val="20"/>
                <w:lang w:val="en-US" w:eastAsia="zh-CN" w:bidi="ar-SA"/>
              </w:rPr>
              <w:t>)</w:t>
            </w:r>
            <w:r>
              <w:rPr>
                <w:rFonts w:hint="eastAsia" w:ascii="Times New Roman" w:hAnsi="Times New Roman" w:eastAsia="宋体" w:cs="宋体"/>
                <w:color w:val="auto"/>
                <w:highlight w:val="none"/>
                <w:lang w:val="en-US" w:eastAsia="zh-CN"/>
              </w:rPr>
              <w:t>城市达标区域判断</w:t>
            </w:r>
          </w:p>
          <w:p w14:paraId="215D3279">
            <w:pPr>
              <w:pStyle w:val="44"/>
              <w:bidi w:val="0"/>
              <w:jc w:val="both"/>
              <w:rPr>
                <w:rFonts w:hint="eastAsia" w:ascii="Times New Roman" w:hAnsi="Times New Roman" w:eastAsia="宋体" w:cs="宋体"/>
                <w:color w:val="auto"/>
                <w:sz w:val="24"/>
                <w:highlight w:val="none"/>
                <w:lang w:val="en-US" w:eastAsia="zh-CN"/>
              </w:rPr>
            </w:pPr>
            <w:r>
              <w:rPr>
                <w:rFonts w:hint="eastAsia" w:ascii="Times New Roman" w:hAnsi="Times New Roman" w:eastAsia="宋体" w:cs="宋体"/>
                <w:color w:val="auto"/>
                <w:highlight w:val="none"/>
                <w:lang w:val="en-US" w:eastAsia="zh-CN"/>
              </w:rPr>
              <w:t>城市环境空气质量达标情况评价指标为SO</w:t>
            </w:r>
            <w:r>
              <w:rPr>
                <w:rFonts w:hint="eastAsia" w:ascii="Times New Roman" w:hAnsi="Times New Roman" w:eastAsia="宋体" w:cs="宋体"/>
                <w:color w:val="auto"/>
                <w:highlight w:val="none"/>
                <w:vertAlign w:val="subscript"/>
                <w:lang w:val="en-US" w:eastAsia="zh-CN"/>
              </w:rPr>
              <w:t>2</w:t>
            </w:r>
            <w:r>
              <w:rPr>
                <w:rFonts w:hint="eastAsia" w:ascii="Times New Roman" w:hAnsi="Times New Roman" w:eastAsia="宋体" w:cs="宋体"/>
                <w:color w:val="auto"/>
                <w:highlight w:val="none"/>
                <w:lang w:val="en-US" w:eastAsia="zh-CN"/>
              </w:rPr>
              <w:t>、NO</w:t>
            </w:r>
            <w:r>
              <w:rPr>
                <w:rFonts w:hint="eastAsia" w:ascii="Times New Roman" w:hAnsi="Times New Roman" w:eastAsia="宋体" w:cs="宋体"/>
                <w:color w:val="auto"/>
                <w:highlight w:val="none"/>
                <w:vertAlign w:val="subscript"/>
                <w:lang w:val="en-US" w:eastAsia="zh-CN"/>
              </w:rPr>
              <w:t>2</w:t>
            </w:r>
            <w:r>
              <w:rPr>
                <w:rFonts w:hint="eastAsia" w:ascii="Times New Roman" w:hAnsi="Times New Roman" w:eastAsia="宋体" w:cs="宋体"/>
                <w:color w:val="auto"/>
                <w:highlight w:val="none"/>
                <w:lang w:val="en-US" w:eastAsia="zh-CN"/>
              </w:rPr>
              <w:t>、PM</w:t>
            </w:r>
            <w:r>
              <w:rPr>
                <w:rFonts w:hint="eastAsia" w:ascii="Times New Roman" w:hAnsi="Times New Roman" w:eastAsia="宋体" w:cs="宋体"/>
                <w:color w:val="auto"/>
                <w:highlight w:val="none"/>
                <w:vertAlign w:val="subscript"/>
                <w:lang w:val="en-US" w:eastAsia="zh-CN"/>
              </w:rPr>
              <w:t>10</w:t>
            </w:r>
            <w:r>
              <w:rPr>
                <w:rFonts w:hint="eastAsia" w:ascii="Times New Roman" w:hAnsi="Times New Roman" w:eastAsia="宋体" w:cs="宋体"/>
                <w:color w:val="auto"/>
                <w:highlight w:val="none"/>
                <w:lang w:val="en-US" w:eastAsia="zh-CN"/>
              </w:rPr>
              <w:t>、PM</w:t>
            </w:r>
            <w:r>
              <w:rPr>
                <w:rFonts w:hint="eastAsia" w:ascii="Times New Roman" w:hAnsi="Times New Roman" w:eastAsia="宋体" w:cs="宋体"/>
                <w:color w:val="auto"/>
                <w:highlight w:val="none"/>
                <w:vertAlign w:val="subscript"/>
                <w:lang w:val="en-US" w:eastAsia="zh-CN"/>
              </w:rPr>
              <w:t>2.5</w:t>
            </w:r>
            <w:r>
              <w:rPr>
                <w:rFonts w:hint="eastAsia" w:ascii="Times New Roman" w:hAnsi="Times New Roman" w:eastAsia="宋体" w:cs="宋体"/>
                <w:color w:val="auto"/>
                <w:highlight w:val="none"/>
                <w:lang w:val="en-US" w:eastAsia="zh-CN"/>
              </w:rPr>
              <w:t>、CO和O</w:t>
            </w:r>
            <w:r>
              <w:rPr>
                <w:rFonts w:hint="eastAsia" w:ascii="Times New Roman" w:hAnsi="Times New Roman" w:eastAsia="宋体" w:cs="宋体"/>
                <w:color w:val="auto"/>
                <w:highlight w:val="none"/>
                <w:vertAlign w:val="subscript"/>
                <w:lang w:val="en-US" w:eastAsia="zh-CN"/>
              </w:rPr>
              <w:t>3</w:t>
            </w:r>
            <w:r>
              <w:rPr>
                <w:rFonts w:hint="eastAsia" w:ascii="Times New Roman" w:hAnsi="Times New Roman" w:eastAsia="宋体" w:cs="宋体"/>
                <w:color w:val="auto"/>
                <w:highlight w:val="none"/>
                <w:lang w:val="en-US" w:eastAsia="zh-CN"/>
              </w:rPr>
              <w:t>，六项污染物全部达标即为城市环境空气质量达标。根据福建省生态环境厅发布的</w:t>
            </w:r>
            <w:r>
              <w:rPr>
                <w:rFonts w:hint="eastAsia" w:ascii="Times New Roman" w:hAnsi="Times New Roman" w:eastAsia="宋体" w:cs="宋体"/>
                <w:color w:val="auto"/>
                <w:sz w:val="24"/>
                <w:highlight w:val="none"/>
                <w:lang w:val="en-US" w:eastAsia="zh-CN"/>
              </w:rPr>
              <w:t>“202</w:t>
            </w:r>
            <w:r>
              <w:rPr>
                <w:rFonts w:hint="eastAsia" w:ascii="Times New Roman" w:hAnsi="Times New Roman" w:cs="宋体"/>
                <w:color w:val="auto"/>
                <w:sz w:val="24"/>
                <w:highlight w:val="none"/>
                <w:lang w:val="en-US" w:eastAsia="zh-CN"/>
              </w:rPr>
              <w:t>4</w:t>
            </w:r>
            <w:r>
              <w:rPr>
                <w:rFonts w:hint="eastAsia" w:ascii="Times New Roman" w:hAnsi="Times New Roman" w:eastAsia="宋体" w:cs="宋体"/>
                <w:color w:val="auto"/>
                <w:sz w:val="24"/>
                <w:highlight w:val="none"/>
                <w:lang w:val="en-US" w:eastAsia="zh-CN"/>
              </w:rPr>
              <w:t>年12月福建省城市环境空气质量状况”显示，202</w:t>
            </w:r>
            <w:r>
              <w:rPr>
                <w:rFonts w:hint="eastAsia" w:ascii="Times New Roman" w:hAnsi="Times New Roman" w:cs="宋体"/>
                <w:color w:val="auto"/>
                <w:sz w:val="24"/>
                <w:highlight w:val="none"/>
                <w:lang w:val="en-US" w:eastAsia="zh-CN"/>
              </w:rPr>
              <w:t>4</w:t>
            </w:r>
            <w:r>
              <w:rPr>
                <w:rFonts w:hint="eastAsia" w:ascii="Times New Roman" w:hAnsi="Times New Roman" w:eastAsia="宋体" w:cs="宋体"/>
                <w:color w:val="auto"/>
                <w:sz w:val="24"/>
                <w:highlight w:val="none"/>
                <w:lang w:val="en-US" w:eastAsia="zh-CN"/>
              </w:rPr>
              <w:t>年1</w:t>
            </w:r>
            <w:r>
              <w:rPr>
                <w:rFonts w:hint="eastAsia" w:cs="宋体"/>
                <w:color w:val="auto"/>
                <w:sz w:val="24"/>
                <w:highlight w:val="none"/>
                <w:lang w:val="en-US" w:eastAsia="zh-CN"/>
              </w:rPr>
              <w:t>—</w:t>
            </w:r>
            <w:r>
              <w:rPr>
                <w:rFonts w:hint="eastAsia" w:ascii="Times New Roman" w:hAnsi="Times New Roman" w:eastAsia="宋体" w:cs="宋体"/>
                <w:color w:val="auto"/>
                <w:sz w:val="24"/>
                <w:highlight w:val="none"/>
                <w:lang w:val="en-US" w:eastAsia="zh-CN"/>
              </w:rPr>
              <w:t>12月，福州市环境空气质量综合指数2.</w:t>
            </w:r>
            <w:r>
              <w:rPr>
                <w:rFonts w:hint="eastAsia" w:ascii="Times New Roman" w:hAnsi="Times New Roman" w:cs="宋体"/>
                <w:color w:val="auto"/>
                <w:sz w:val="24"/>
                <w:highlight w:val="none"/>
                <w:lang w:val="en-US" w:eastAsia="zh-CN"/>
              </w:rPr>
              <w:t>40</w:t>
            </w:r>
            <w:r>
              <w:rPr>
                <w:rFonts w:hint="eastAsia" w:ascii="Times New Roman" w:hAnsi="Times New Roman" w:eastAsia="宋体" w:cs="宋体"/>
                <w:color w:val="auto"/>
                <w:sz w:val="24"/>
                <w:highlight w:val="none"/>
                <w:lang w:val="en-US" w:eastAsia="zh-CN"/>
              </w:rPr>
              <w:t>。由此可知，福州市城区环境空气质量总体达到二级标准，</w:t>
            </w:r>
            <w:r>
              <w:rPr>
                <w:rFonts w:hint="eastAsia" w:cs="宋体"/>
                <w:color w:val="auto"/>
                <w:sz w:val="24"/>
                <w:highlight w:val="none"/>
                <w:lang w:val="en-US" w:eastAsia="zh-CN"/>
              </w:rPr>
              <w:t>福清市</w:t>
            </w:r>
            <w:r>
              <w:rPr>
                <w:rFonts w:hint="eastAsia" w:ascii="Times New Roman" w:hAnsi="Times New Roman" w:eastAsia="宋体" w:cs="宋体"/>
                <w:color w:val="auto"/>
                <w:sz w:val="24"/>
                <w:highlight w:val="none"/>
                <w:lang w:val="en-US" w:eastAsia="zh-CN"/>
              </w:rPr>
              <w:t>属于达标区域</w:t>
            </w:r>
            <w:r>
              <w:rPr>
                <w:rFonts w:hint="eastAsia" w:cs="宋体"/>
                <w:color w:val="auto"/>
                <w:sz w:val="24"/>
                <w:highlight w:val="none"/>
                <w:lang w:val="en-US" w:eastAsia="zh-CN"/>
              </w:rPr>
              <w:t>；</w:t>
            </w:r>
            <w:r>
              <w:rPr>
                <w:rFonts w:hint="eastAsia" w:ascii="Times New Roman" w:hAnsi="Times New Roman" w:eastAsia="宋体" w:cs="宋体"/>
                <w:color w:val="auto"/>
                <w:sz w:val="24"/>
                <w:highlight w:val="none"/>
                <w:lang w:val="en-US" w:eastAsia="zh-CN"/>
              </w:rPr>
              <w:t>见表3.1-</w:t>
            </w:r>
            <w:r>
              <w:rPr>
                <w:rFonts w:hint="eastAsia" w:ascii="Times New Roman" w:hAnsi="Times New Roman" w:cs="宋体"/>
                <w:color w:val="auto"/>
                <w:sz w:val="24"/>
                <w:highlight w:val="none"/>
                <w:lang w:val="en-US" w:eastAsia="zh-CN"/>
              </w:rPr>
              <w:t>3</w:t>
            </w:r>
            <w:r>
              <w:rPr>
                <w:rFonts w:hint="eastAsia" w:ascii="Times New Roman" w:hAnsi="Times New Roman" w:eastAsia="宋体" w:cs="宋体"/>
                <w:color w:val="auto"/>
                <w:sz w:val="24"/>
                <w:highlight w:val="none"/>
                <w:lang w:val="en-US" w:eastAsia="zh-CN"/>
              </w:rPr>
              <w:t>。</w:t>
            </w:r>
          </w:p>
          <w:p w14:paraId="1F444317">
            <w:pPr>
              <w:pStyle w:val="42"/>
              <w:keepNext/>
              <w:keepLines/>
              <w:pageBreakBefore w:val="0"/>
              <w:widowControl w:val="0"/>
              <w:numPr>
                <w:ilvl w:val="7"/>
                <w:numId w:val="11"/>
              </w:numPr>
              <w:tabs>
                <w:tab w:val="left" w:pos="0"/>
              </w:tabs>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 xml:space="preserve"> 2024年1</w:t>
            </w:r>
            <w:r>
              <w:rPr>
                <w:rFonts w:hint="eastAsia"/>
                <w:color w:val="auto"/>
                <w:highlight w:val="none"/>
                <w:lang w:val="en-US" w:eastAsia="zh-CN"/>
              </w:rPr>
              <w:t>—</w:t>
            </w:r>
            <w:r>
              <w:rPr>
                <w:rFonts w:hint="eastAsia" w:ascii="Times New Roman" w:hAnsi="Times New Roman" w:eastAsia="宋体"/>
                <w:color w:val="auto"/>
                <w:highlight w:val="none"/>
                <w:lang w:val="en-US" w:eastAsia="zh-CN"/>
              </w:rPr>
              <w:t>12月设区城市环境空气质量状况</w:t>
            </w:r>
          </w:p>
          <w:tbl>
            <w:tblPr>
              <w:tblStyle w:val="33"/>
              <w:tblW w:w="4997" w:type="pct"/>
              <w:tblInd w:w="0" w:type="dxa"/>
              <w:tblBorders>
                <w:top w:val="single" w:color="000000" w:sz="12" w:space="0"/>
                <w:left w:val="none" w:color="auto" w:sz="0" w:space="0"/>
                <w:bottom w:val="single" w:color="000000" w:sz="12" w:space="0"/>
                <w:right w:val="none" w:color="auto" w:sz="0" w:space="0"/>
                <w:insideH w:val="single" w:color="000000" w:sz="12" w:space="0"/>
                <w:insideV w:val="single" w:color="000000" w:sz="6" w:space="0"/>
              </w:tblBorders>
              <w:tblLayout w:type="autofit"/>
              <w:tblCellMar>
                <w:top w:w="0" w:type="dxa"/>
                <w:left w:w="0" w:type="dxa"/>
                <w:bottom w:w="0" w:type="dxa"/>
                <w:right w:w="0" w:type="dxa"/>
              </w:tblCellMar>
            </w:tblPr>
            <w:tblGrid>
              <w:gridCol w:w="536"/>
              <w:gridCol w:w="832"/>
              <w:gridCol w:w="808"/>
              <w:gridCol w:w="706"/>
              <w:gridCol w:w="739"/>
              <w:gridCol w:w="799"/>
              <w:gridCol w:w="870"/>
              <w:gridCol w:w="1106"/>
              <w:gridCol w:w="1312"/>
              <w:gridCol w:w="935"/>
            </w:tblGrid>
            <w:tr w14:paraId="2F067929">
              <w:tblPrEx>
                <w:tblBorders>
                  <w:top w:val="single" w:color="000000" w:sz="12" w:space="0"/>
                  <w:left w:val="none" w:color="auto" w:sz="0" w:space="0"/>
                  <w:bottom w:val="single" w:color="000000" w:sz="12" w:space="0"/>
                  <w:right w:val="none" w:color="auto" w:sz="0" w:space="0"/>
                  <w:insideH w:val="single" w:color="000000" w:sz="12" w:space="0"/>
                  <w:insideV w:val="single" w:color="000000" w:sz="6" w:space="0"/>
                </w:tblBorders>
                <w:tblCellMar>
                  <w:top w:w="0" w:type="dxa"/>
                  <w:left w:w="0" w:type="dxa"/>
                  <w:bottom w:w="0" w:type="dxa"/>
                  <w:right w:w="0" w:type="dxa"/>
                </w:tblCellMar>
              </w:tblPrEx>
              <w:trPr>
                <w:trHeight w:val="545" w:hRule="atLeast"/>
              </w:trPr>
              <w:tc>
                <w:tcPr>
                  <w:tcW w:w="310" w:type="pct"/>
                  <w:tcBorders>
                    <w:tl2br w:val="nil"/>
                    <w:tr2bl w:val="nil"/>
                  </w:tcBorders>
                  <w:vAlign w:val="center"/>
                </w:tcPr>
                <w:p w14:paraId="4638D6C4">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textAlignment w:val="auto"/>
                    <w:rPr>
                      <w:rFonts w:ascii="Times New Roman" w:hAnsi="Times New Roman" w:eastAsia="宋体"/>
                      <w:color w:val="auto"/>
                      <w:sz w:val="21"/>
                      <w:szCs w:val="21"/>
                    </w:rPr>
                  </w:pPr>
                  <w:r>
                    <w:rPr>
                      <w:rFonts w:ascii="Times New Roman" w:hAnsi="Times New Roman" w:eastAsia="宋体"/>
                      <w:color w:val="auto"/>
                      <w:spacing w:val="-10"/>
                      <w:sz w:val="21"/>
                      <w:szCs w:val="21"/>
                    </w:rPr>
                    <w:t>排</w:t>
                  </w:r>
                </w:p>
                <w:p w14:paraId="2BC11327">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textAlignment w:val="auto"/>
                    <w:rPr>
                      <w:rFonts w:ascii="Times New Roman" w:hAnsi="Times New Roman" w:eastAsia="宋体"/>
                      <w:color w:val="auto"/>
                      <w:sz w:val="21"/>
                      <w:szCs w:val="21"/>
                    </w:rPr>
                  </w:pPr>
                  <w:r>
                    <w:rPr>
                      <w:rFonts w:ascii="Times New Roman" w:hAnsi="Times New Roman" w:eastAsia="宋体"/>
                      <w:color w:val="auto"/>
                      <w:spacing w:val="-10"/>
                      <w:sz w:val="21"/>
                      <w:szCs w:val="21"/>
                    </w:rPr>
                    <w:t>名</w:t>
                  </w:r>
                </w:p>
              </w:tc>
              <w:tc>
                <w:tcPr>
                  <w:tcW w:w="481" w:type="pct"/>
                  <w:tcBorders>
                    <w:tl2br w:val="nil"/>
                    <w:tr2bl w:val="nil"/>
                  </w:tcBorders>
                  <w:vAlign w:val="center"/>
                </w:tcPr>
                <w:p w14:paraId="2990DAD8">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textAlignment w:val="auto"/>
                    <w:rPr>
                      <w:rFonts w:ascii="Times New Roman" w:hAnsi="Times New Roman" w:eastAsia="宋体"/>
                      <w:color w:val="auto"/>
                      <w:sz w:val="21"/>
                      <w:szCs w:val="21"/>
                    </w:rPr>
                  </w:pPr>
                  <w:r>
                    <w:rPr>
                      <w:rFonts w:ascii="Times New Roman" w:hAnsi="Times New Roman" w:eastAsia="宋体"/>
                      <w:color w:val="auto"/>
                      <w:spacing w:val="-8"/>
                      <w:sz w:val="21"/>
                      <w:szCs w:val="21"/>
                    </w:rPr>
                    <w:t>城市</w:t>
                  </w:r>
                </w:p>
              </w:tc>
              <w:tc>
                <w:tcPr>
                  <w:tcW w:w="467" w:type="pct"/>
                  <w:tcBorders>
                    <w:tl2br w:val="nil"/>
                    <w:tr2bl w:val="nil"/>
                  </w:tcBorders>
                  <w:vAlign w:val="center"/>
                </w:tcPr>
                <w:p w14:paraId="2CED2CB1">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textAlignment w:val="auto"/>
                    <w:rPr>
                      <w:rFonts w:ascii="Times New Roman" w:hAnsi="Times New Roman" w:eastAsia="宋体"/>
                      <w:color w:val="auto"/>
                      <w:sz w:val="21"/>
                      <w:szCs w:val="21"/>
                    </w:rPr>
                  </w:pPr>
                  <w:r>
                    <w:rPr>
                      <w:rFonts w:ascii="Times New Roman" w:hAnsi="Times New Roman" w:eastAsia="宋体"/>
                      <w:color w:val="auto"/>
                      <w:spacing w:val="-8"/>
                      <w:sz w:val="21"/>
                      <w:szCs w:val="21"/>
                    </w:rPr>
                    <w:t>综合</w:t>
                  </w:r>
                </w:p>
                <w:p w14:paraId="6803F3A0">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textAlignment w:val="auto"/>
                    <w:rPr>
                      <w:rFonts w:ascii="Times New Roman" w:hAnsi="Times New Roman" w:eastAsia="宋体"/>
                      <w:color w:val="auto"/>
                      <w:sz w:val="21"/>
                      <w:szCs w:val="21"/>
                    </w:rPr>
                  </w:pPr>
                  <w:r>
                    <w:rPr>
                      <w:rFonts w:ascii="Times New Roman" w:hAnsi="Times New Roman" w:eastAsia="宋体"/>
                      <w:color w:val="auto"/>
                      <w:spacing w:val="-8"/>
                      <w:sz w:val="21"/>
                      <w:szCs w:val="21"/>
                    </w:rPr>
                    <w:t>指数</w:t>
                  </w:r>
                </w:p>
              </w:tc>
              <w:tc>
                <w:tcPr>
                  <w:tcW w:w="408" w:type="pct"/>
                  <w:tcBorders>
                    <w:tl2br w:val="nil"/>
                    <w:tr2bl w:val="nil"/>
                  </w:tcBorders>
                  <w:vAlign w:val="center"/>
                </w:tcPr>
                <w:p w14:paraId="5460F005">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5"/>
                      <w:position w:val="2"/>
                      <w:sz w:val="21"/>
                      <w:szCs w:val="21"/>
                    </w:rPr>
                    <w:t>SO</w:t>
                  </w:r>
                  <w:r>
                    <w:rPr>
                      <w:rFonts w:ascii="Times New Roman" w:hAnsi="Times New Roman" w:eastAsia="宋体"/>
                      <w:color w:val="auto"/>
                      <w:spacing w:val="-5"/>
                      <w:sz w:val="21"/>
                      <w:szCs w:val="21"/>
                    </w:rPr>
                    <w:t>2</w:t>
                  </w:r>
                </w:p>
              </w:tc>
              <w:tc>
                <w:tcPr>
                  <w:tcW w:w="427" w:type="pct"/>
                  <w:tcBorders>
                    <w:tl2br w:val="nil"/>
                    <w:tr2bl w:val="nil"/>
                  </w:tcBorders>
                  <w:vAlign w:val="center"/>
                </w:tcPr>
                <w:p w14:paraId="6CF4EC77">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5"/>
                      <w:position w:val="2"/>
                      <w:sz w:val="21"/>
                      <w:szCs w:val="21"/>
                    </w:rPr>
                    <w:t>NO</w:t>
                  </w:r>
                  <w:r>
                    <w:rPr>
                      <w:rFonts w:ascii="Times New Roman" w:hAnsi="Times New Roman" w:eastAsia="宋体"/>
                      <w:color w:val="auto"/>
                      <w:spacing w:val="-5"/>
                      <w:sz w:val="21"/>
                      <w:szCs w:val="21"/>
                    </w:rPr>
                    <w:t>2</w:t>
                  </w:r>
                </w:p>
              </w:tc>
              <w:tc>
                <w:tcPr>
                  <w:tcW w:w="462" w:type="pct"/>
                  <w:tcBorders>
                    <w:tl2br w:val="nil"/>
                    <w:tr2bl w:val="nil"/>
                  </w:tcBorders>
                  <w:vAlign w:val="center"/>
                </w:tcPr>
                <w:p w14:paraId="0ED81020">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4"/>
                      <w:position w:val="2"/>
                      <w:sz w:val="21"/>
                      <w:szCs w:val="21"/>
                    </w:rPr>
                    <w:t>PM</w:t>
                  </w:r>
                  <w:r>
                    <w:rPr>
                      <w:rFonts w:ascii="Times New Roman" w:hAnsi="Times New Roman" w:eastAsia="宋体"/>
                      <w:color w:val="auto"/>
                      <w:spacing w:val="-4"/>
                      <w:sz w:val="21"/>
                      <w:szCs w:val="21"/>
                    </w:rPr>
                    <w:t>10</w:t>
                  </w:r>
                </w:p>
              </w:tc>
              <w:tc>
                <w:tcPr>
                  <w:tcW w:w="503" w:type="pct"/>
                  <w:tcBorders>
                    <w:tl2br w:val="nil"/>
                    <w:tr2bl w:val="nil"/>
                  </w:tcBorders>
                  <w:vAlign w:val="center"/>
                </w:tcPr>
                <w:p w14:paraId="2C44101A">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2"/>
                      <w:w w:val="105"/>
                      <w:position w:val="2"/>
                      <w:sz w:val="21"/>
                      <w:szCs w:val="21"/>
                    </w:rPr>
                    <w:t>PM</w:t>
                  </w:r>
                  <w:r>
                    <w:rPr>
                      <w:rFonts w:ascii="Times New Roman" w:hAnsi="Times New Roman" w:eastAsia="宋体"/>
                      <w:color w:val="auto"/>
                      <w:spacing w:val="-2"/>
                      <w:w w:val="105"/>
                      <w:sz w:val="21"/>
                      <w:szCs w:val="21"/>
                    </w:rPr>
                    <w:t>2.5</w:t>
                  </w:r>
                </w:p>
              </w:tc>
              <w:tc>
                <w:tcPr>
                  <w:tcW w:w="639" w:type="pct"/>
                  <w:tcBorders>
                    <w:tl2br w:val="nil"/>
                    <w:tr2bl w:val="nil"/>
                  </w:tcBorders>
                  <w:vAlign w:val="center"/>
                </w:tcPr>
                <w:p w14:paraId="3CEF18B8">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2"/>
                      <w:position w:val="2"/>
                      <w:sz w:val="21"/>
                      <w:szCs w:val="21"/>
                    </w:rPr>
                    <w:t>CO-</w:t>
                  </w:r>
                  <w:r>
                    <w:rPr>
                      <w:rFonts w:ascii="Times New Roman" w:hAnsi="Times New Roman" w:eastAsia="宋体"/>
                      <w:color w:val="auto"/>
                      <w:spacing w:val="-2"/>
                      <w:sz w:val="21"/>
                      <w:szCs w:val="21"/>
                    </w:rPr>
                    <w:t>95per</w:t>
                  </w:r>
                </w:p>
              </w:tc>
              <w:tc>
                <w:tcPr>
                  <w:tcW w:w="758" w:type="pct"/>
                  <w:tcBorders>
                    <w:tl2br w:val="nil"/>
                    <w:tr2bl w:val="nil"/>
                  </w:tcBorders>
                  <w:vAlign w:val="center"/>
                </w:tcPr>
                <w:p w14:paraId="3C9BC13D">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position w:val="2"/>
                      <w:sz w:val="21"/>
                      <w:szCs w:val="21"/>
                    </w:rPr>
                    <w:t>O</w:t>
                  </w:r>
                  <w:r>
                    <w:rPr>
                      <w:rFonts w:ascii="Times New Roman" w:hAnsi="Times New Roman" w:eastAsia="宋体"/>
                      <w:color w:val="auto"/>
                      <w:sz w:val="21"/>
                      <w:szCs w:val="21"/>
                    </w:rPr>
                    <w:t>3</w:t>
                  </w:r>
                  <w:r>
                    <w:rPr>
                      <w:rFonts w:ascii="Times New Roman" w:hAnsi="Times New Roman" w:eastAsia="宋体"/>
                      <w:color w:val="auto"/>
                      <w:position w:val="2"/>
                      <w:sz w:val="21"/>
                      <w:szCs w:val="21"/>
                    </w:rPr>
                    <w:t>_</w:t>
                  </w:r>
                  <w:r>
                    <w:rPr>
                      <w:rFonts w:ascii="Times New Roman" w:hAnsi="Times New Roman" w:eastAsia="宋体"/>
                      <w:color w:val="auto"/>
                      <w:sz w:val="21"/>
                      <w:szCs w:val="21"/>
                    </w:rPr>
                    <w:t>8h-</w:t>
                  </w:r>
                  <w:r>
                    <w:rPr>
                      <w:rFonts w:ascii="Times New Roman" w:hAnsi="Times New Roman" w:eastAsia="宋体"/>
                      <w:color w:val="auto"/>
                      <w:spacing w:val="-2"/>
                      <w:sz w:val="21"/>
                      <w:szCs w:val="21"/>
                    </w:rPr>
                    <w:t>90per</w:t>
                  </w:r>
                </w:p>
              </w:tc>
              <w:tc>
                <w:tcPr>
                  <w:tcW w:w="540" w:type="pct"/>
                  <w:tcBorders>
                    <w:tl2br w:val="nil"/>
                    <w:tr2bl w:val="nil"/>
                  </w:tcBorders>
                  <w:vAlign w:val="center"/>
                </w:tcPr>
                <w:p w14:paraId="15A6B365">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5"/>
                      <w:sz w:val="21"/>
                      <w:szCs w:val="21"/>
                    </w:rPr>
                    <w:t>首要污</w:t>
                  </w:r>
                </w:p>
                <w:p w14:paraId="57C7F0D1">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8"/>
                      <w:sz w:val="21"/>
                      <w:szCs w:val="21"/>
                    </w:rPr>
                    <w:t>染物</w:t>
                  </w:r>
                </w:p>
              </w:tc>
            </w:tr>
            <w:tr w14:paraId="758FDB5B">
              <w:tblPrEx>
                <w:tblBorders>
                  <w:top w:val="single" w:color="000000" w:sz="12" w:space="0"/>
                  <w:left w:val="none" w:color="auto" w:sz="0" w:space="0"/>
                  <w:bottom w:val="single" w:color="000000" w:sz="12" w:space="0"/>
                  <w:right w:val="none" w:color="auto" w:sz="0" w:space="0"/>
                  <w:insideH w:val="single" w:color="000000" w:sz="12" w:space="0"/>
                  <w:insideV w:val="single" w:color="000000" w:sz="6" w:space="0"/>
                </w:tblBorders>
                <w:tblCellMar>
                  <w:top w:w="0" w:type="dxa"/>
                  <w:left w:w="0" w:type="dxa"/>
                  <w:bottom w:w="0" w:type="dxa"/>
                  <w:right w:w="0" w:type="dxa"/>
                </w:tblCellMar>
              </w:tblPrEx>
              <w:trPr>
                <w:trHeight w:val="544" w:hRule="atLeast"/>
              </w:trPr>
              <w:tc>
                <w:tcPr>
                  <w:tcW w:w="310" w:type="pct"/>
                  <w:tcBorders>
                    <w:tl2br w:val="nil"/>
                    <w:tr2bl w:val="nil"/>
                  </w:tcBorders>
                  <w:vAlign w:val="center"/>
                </w:tcPr>
                <w:p w14:paraId="55AE6F60">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10"/>
                      <w:sz w:val="21"/>
                      <w:szCs w:val="21"/>
                    </w:rPr>
                    <w:t>1</w:t>
                  </w:r>
                </w:p>
              </w:tc>
              <w:tc>
                <w:tcPr>
                  <w:tcW w:w="481" w:type="pct"/>
                  <w:tcBorders>
                    <w:tl2br w:val="nil"/>
                    <w:tr2bl w:val="nil"/>
                  </w:tcBorders>
                  <w:vAlign w:val="center"/>
                </w:tcPr>
                <w:p w14:paraId="3AF86CA5">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8"/>
                      <w:sz w:val="21"/>
                      <w:szCs w:val="21"/>
                    </w:rPr>
                    <w:t>福州</w:t>
                  </w:r>
                </w:p>
                <w:p w14:paraId="73885258">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jc w:val="center"/>
                    <w:textAlignment w:val="auto"/>
                    <w:rPr>
                      <w:rFonts w:ascii="Times New Roman" w:hAnsi="Times New Roman" w:eastAsia="宋体"/>
                      <w:color w:val="auto"/>
                      <w:sz w:val="21"/>
                      <w:szCs w:val="21"/>
                    </w:rPr>
                  </w:pPr>
                  <w:r>
                    <w:rPr>
                      <w:rFonts w:ascii="Times New Roman" w:hAnsi="Times New Roman" w:eastAsia="宋体"/>
                      <w:color w:val="auto"/>
                      <w:spacing w:val="-10"/>
                      <w:sz w:val="21"/>
                      <w:szCs w:val="21"/>
                    </w:rPr>
                    <w:t>市</w:t>
                  </w:r>
                </w:p>
              </w:tc>
              <w:tc>
                <w:tcPr>
                  <w:tcW w:w="467" w:type="pct"/>
                  <w:tcBorders>
                    <w:tl2br w:val="nil"/>
                    <w:tr2bl w:val="nil"/>
                  </w:tcBorders>
                  <w:vAlign w:val="center"/>
                </w:tcPr>
                <w:p w14:paraId="07A2F8D6">
                  <w:pPr>
                    <w:pStyle w:val="95"/>
                    <w:keepNext w:val="0"/>
                    <w:keepLines w:val="0"/>
                    <w:pageBreakBefore w:val="0"/>
                    <w:widowControl w:val="0"/>
                    <w:kinsoku/>
                    <w:wordWrap/>
                    <w:overflowPunct/>
                    <w:topLinePunct w:val="0"/>
                    <w:autoSpaceDE/>
                    <w:autoSpaceDN/>
                    <w:bidi w:val="0"/>
                    <w:adjustRightInd/>
                    <w:snapToGrid/>
                    <w:spacing w:beforeAutospacing="0" w:afterAutospacing="0" w:line="240" w:lineRule="auto"/>
                    <w:ind w:left="0" w:right="0"/>
                    <w:textAlignment w:val="auto"/>
                    <w:rPr>
                      <w:rFonts w:hint="default" w:ascii="Times New Roman" w:hAnsi="Times New Roman" w:eastAsia="宋体"/>
                      <w:color w:val="auto"/>
                      <w:sz w:val="21"/>
                      <w:szCs w:val="21"/>
                      <w:lang w:val="en-US" w:eastAsia="zh-CN"/>
                    </w:rPr>
                  </w:pPr>
                  <w:r>
                    <w:rPr>
                      <w:rFonts w:ascii="Times New Roman" w:hAnsi="Times New Roman" w:eastAsia="宋体"/>
                      <w:color w:val="auto"/>
                      <w:spacing w:val="-4"/>
                      <w:sz w:val="21"/>
                      <w:szCs w:val="21"/>
                    </w:rPr>
                    <w:t>2.</w:t>
                  </w:r>
                  <w:r>
                    <w:rPr>
                      <w:rFonts w:hint="eastAsia" w:ascii="Times New Roman" w:hAnsi="Times New Roman" w:eastAsia="宋体"/>
                      <w:color w:val="auto"/>
                      <w:spacing w:val="-4"/>
                      <w:sz w:val="21"/>
                      <w:szCs w:val="21"/>
                      <w:lang w:val="en-US" w:eastAsia="zh-CN"/>
                    </w:rPr>
                    <w:t>40</w:t>
                  </w:r>
                </w:p>
              </w:tc>
              <w:tc>
                <w:tcPr>
                  <w:tcW w:w="704" w:type="dxa"/>
                  <w:tcBorders>
                    <w:tl2br w:val="nil"/>
                    <w:tr2bl w:val="nil"/>
                  </w:tcBorders>
                  <w:vAlign w:val="center"/>
                </w:tcPr>
                <w:p w14:paraId="21562F73">
                  <w:pPr>
                    <w:pStyle w:val="3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ascii="Times New Roman" w:hAnsi="Times New Roman" w:eastAsia="宋体"/>
                      <w:color w:val="auto"/>
                      <w:sz w:val="21"/>
                      <w:szCs w:val="21"/>
                    </w:rPr>
                  </w:pPr>
                  <w:r>
                    <w:rPr>
                      <w:rFonts w:hint="eastAsia" w:ascii="Times New Roman" w:hAnsi="Times New Roman" w:eastAsia="宋体" w:cs="宋体"/>
                      <w:i w:val="0"/>
                      <w:iCs w:val="0"/>
                      <w:caps w:val="0"/>
                      <w:color w:val="auto"/>
                      <w:spacing w:val="0"/>
                      <w:sz w:val="21"/>
                      <w:szCs w:val="21"/>
                    </w:rPr>
                    <w:t>4</w:t>
                  </w:r>
                </w:p>
              </w:tc>
              <w:tc>
                <w:tcPr>
                  <w:tcW w:w="736" w:type="dxa"/>
                  <w:tcBorders>
                    <w:tl2br w:val="nil"/>
                    <w:tr2bl w:val="nil"/>
                  </w:tcBorders>
                  <w:vAlign w:val="center"/>
                </w:tcPr>
                <w:p w14:paraId="5FFC0D39">
                  <w:pPr>
                    <w:pStyle w:val="3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ascii="Times New Roman" w:hAnsi="Times New Roman" w:eastAsia="宋体"/>
                      <w:color w:val="auto"/>
                      <w:sz w:val="21"/>
                      <w:szCs w:val="21"/>
                    </w:rPr>
                  </w:pPr>
                  <w:r>
                    <w:rPr>
                      <w:rFonts w:hint="eastAsia" w:ascii="Times New Roman" w:hAnsi="Times New Roman" w:eastAsia="宋体" w:cs="宋体"/>
                      <w:i w:val="0"/>
                      <w:iCs w:val="0"/>
                      <w:caps w:val="0"/>
                      <w:color w:val="auto"/>
                      <w:spacing w:val="0"/>
                      <w:sz w:val="21"/>
                      <w:szCs w:val="21"/>
                    </w:rPr>
                    <w:t>14</w:t>
                  </w:r>
                </w:p>
              </w:tc>
              <w:tc>
                <w:tcPr>
                  <w:tcW w:w="797" w:type="dxa"/>
                  <w:tcBorders>
                    <w:tl2br w:val="nil"/>
                    <w:tr2bl w:val="nil"/>
                  </w:tcBorders>
                  <w:vAlign w:val="center"/>
                </w:tcPr>
                <w:p w14:paraId="4C69F29B">
                  <w:pPr>
                    <w:pStyle w:val="3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ascii="Times New Roman" w:hAnsi="Times New Roman" w:eastAsia="宋体"/>
                      <w:color w:val="auto"/>
                      <w:sz w:val="21"/>
                      <w:szCs w:val="21"/>
                    </w:rPr>
                  </w:pPr>
                  <w:r>
                    <w:rPr>
                      <w:rFonts w:hint="eastAsia" w:ascii="Times New Roman" w:hAnsi="Times New Roman" w:eastAsia="宋体" w:cs="宋体"/>
                      <w:i w:val="0"/>
                      <w:iCs w:val="0"/>
                      <w:caps w:val="0"/>
                      <w:color w:val="auto"/>
                      <w:spacing w:val="0"/>
                      <w:sz w:val="21"/>
                      <w:szCs w:val="21"/>
                    </w:rPr>
                    <w:t>31</w:t>
                  </w:r>
                </w:p>
              </w:tc>
              <w:tc>
                <w:tcPr>
                  <w:tcW w:w="867" w:type="dxa"/>
                  <w:tcBorders>
                    <w:tl2br w:val="nil"/>
                    <w:tr2bl w:val="nil"/>
                  </w:tcBorders>
                  <w:vAlign w:val="center"/>
                </w:tcPr>
                <w:p w14:paraId="4ADCF200">
                  <w:pPr>
                    <w:pStyle w:val="3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ascii="Times New Roman" w:hAnsi="Times New Roman" w:eastAsia="宋体"/>
                      <w:color w:val="auto"/>
                      <w:sz w:val="21"/>
                      <w:szCs w:val="21"/>
                    </w:rPr>
                  </w:pPr>
                  <w:r>
                    <w:rPr>
                      <w:rFonts w:hint="eastAsia" w:ascii="Times New Roman" w:hAnsi="Times New Roman" w:eastAsia="宋体" w:cs="宋体"/>
                      <w:i w:val="0"/>
                      <w:iCs w:val="0"/>
                      <w:caps w:val="0"/>
                      <w:color w:val="auto"/>
                      <w:spacing w:val="0"/>
                      <w:sz w:val="21"/>
                      <w:szCs w:val="21"/>
                    </w:rPr>
                    <w:t>19</w:t>
                  </w:r>
                </w:p>
              </w:tc>
              <w:tc>
                <w:tcPr>
                  <w:tcW w:w="1102" w:type="dxa"/>
                  <w:tcBorders>
                    <w:tl2br w:val="nil"/>
                    <w:tr2bl w:val="nil"/>
                  </w:tcBorders>
                  <w:vAlign w:val="center"/>
                </w:tcPr>
                <w:p w14:paraId="6EB84E60">
                  <w:pPr>
                    <w:pStyle w:val="3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ascii="Times New Roman" w:hAnsi="Times New Roman" w:eastAsia="宋体"/>
                      <w:color w:val="auto"/>
                      <w:sz w:val="21"/>
                      <w:szCs w:val="21"/>
                    </w:rPr>
                  </w:pPr>
                  <w:r>
                    <w:rPr>
                      <w:rFonts w:hint="eastAsia" w:ascii="Times New Roman" w:hAnsi="Times New Roman" w:eastAsia="宋体" w:cs="宋体"/>
                      <w:i w:val="0"/>
                      <w:iCs w:val="0"/>
                      <w:caps w:val="0"/>
                      <w:color w:val="auto"/>
                      <w:spacing w:val="0"/>
                      <w:sz w:val="21"/>
                      <w:szCs w:val="21"/>
                    </w:rPr>
                    <w:t>0.7</w:t>
                  </w:r>
                </w:p>
              </w:tc>
              <w:tc>
                <w:tcPr>
                  <w:tcW w:w="1306" w:type="dxa"/>
                  <w:tcBorders>
                    <w:tl2br w:val="nil"/>
                    <w:tr2bl w:val="nil"/>
                  </w:tcBorders>
                  <w:vAlign w:val="center"/>
                </w:tcPr>
                <w:p w14:paraId="7A4C3A8D">
                  <w:pPr>
                    <w:pStyle w:val="3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ascii="Times New Roman" w:hAnsi="Times New Roman" w:eastAsia="宋体"/>
                      <w:color w:val="auto"/>
                      <w:sz w:val="21"/>
                      <w:szCs w:val="21"/>
                    </w:rPr>
                  </w:pPr>
                  <w:r>
                    <w:rPr>
                      <w:rFonts w:hint="eastAsia" w:ascii="Times New Roman" w:hAnsi="Times New Roman" w:eastAsia="宋体" w:cs="宋体"/>
                      <w:i w:val="0"/>
                      <w:iCs w:val="0"/>
                      <w:caps w:val="0"/>
                      <w:color w:val="auto"/>
                      <w:spacing w:val="0"/>
                      <w:sz w:val="21"/>
                      <w:szCs w:val="21"/>
                    </w:rPr>
                    <w:t>132</w:t>
                  </w:r>
                </w:p>
              </w:tc>
              <w:tc>
                <w:tcPr>
                  <w:tcW w:w="931" w:type="dxa"/>
                  <w:tcBorders>
                    <w:tl2br w:val="nil"/>
                    <w:tr2bl w:val="nil"/>
                  </w:tcBorders>
                  <w:vAlign w:val="center"/>
                </w:tcPr>
                <w:p w14:paraId="02A5DC3E">
                  <w:pPr>
                    <w:pStyle w:val="31"/>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ascii="Times New Roman" w:hAnsi="Times New Roman" w:eastAsia="宋体"/>
                      <w:color w:val="auto"/>
                      <w:sz w:val="21"/>
                      <w:szCs w:val="21"/>
                    </w:rPr>
                  </w:pPr>
                  <w:r>
                    <w:rPr>
                      <w:rFonts w:hint="eastAsia" w:ascii="Times New Roman" w:hAnsi="Times New Roman" w:eastAsia="宋体" w:cs="宋体"/>
                      <w:i w:val="0"/>
                      <w:iCs w:val="0"/>
                      <w:caps w:val="0"/>
                      <w:color w:val="auto"/>
                      <w:spacing w:val="0"/>
                      <w:sz w:val="21"/>
                      <w:szCs w:val="21"/>
                    </w:rPr>
                    <w:t>臭氧</w:t>
                  </w:r>
                </w:p>
              </w:tc>
            </w:tr>
          </w:tbl>
          <w:p w14:paraId="0FCE9413">
            <w:pPr>
              <w:pStyle w:val="44"/>
              <w:bidi w:val="0"/>
              <w:rPr>
                <w:rFonts w:hint="eastAsia" w:ascii="Times New Roman" w:hAnsi="Times New Roman" w:eastAsia="宋体" w:cs="宋体"/>
                <w:color w:val="auto"/>
                <w:highlight w:val="none"/>
                <w:lang w:val="en-US" w:eastAsia="zh-CN"/>
              </w:rPr>
            </w:pP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详见附图</w:t>
            </w:r>
            <w:r>
              <w:rPr>
                <w:rFonts w:hint="eastAsia" w:cs="宋体"/>
                <w:color w:val="auto"/>
                <w:highlight w:val="none"/>
                <w:lang w:val="en-US" w:eastAsia="zh-CN"/>
              </w:rPr>
              <w:t>6</w:t>
            </w:r>
            <w:r>
              <w:rPr>
                <w:rFonts w:hint="eastAsia" w:ascii="Times New Roman" w:hAnsi="Times New Roman" w:eastAsia="宋体" w:cs="宋体"/>
                <w:color w:val="auto"/>
                <w:highlight w:val="none"/>
                <w:lang w:val="en-US" w:eastAsia="zh-CN"/>
              </w:rPr>
              <w:t>、附图</w:t>
            </w:r>
            <w:r>
              <w:rPr>
                <w:rFonts w:hint="eastAsia" w:cs="宋体"/>
                <w:color w:val="auto"/>
                <w:highlight w:val="none"/>
                <w:lang w:val="en-US" w:eastAsia="zh-CN"/>
              </w:rPr>
              <w:t>7)</w:t>
            </w:r>
            <w:r>
              <w:rPr>
                <w:rFonts w:hint="eastAsia" w:ascii="Times New Roman" w:hAnsi="Times New Roman" w:eastAsia="宋体" w:cs="宋体"/>
                <w:color w:val="auto"/>
                <w:highlight w:val="none"/>
                <w:lang w:val="en-US" w:eastAsia="zh-CN"/>
              </w:rPr>
              <w:t>。</w:t>
            </w:r>
          </w:p>
          <w:p w14:paraId="290FF860">
            <w:pPr>
              <w:pStyle w:val="44"/>
              <w:numPr>
                <w:ilvl w:val="0"/>
                <w:numId w:val="0"/>
              </w:numPr>
              <w:bidi w:val="0"/>
              <w:ind w:leftChars="0"/>
              <w:rPr>
                <w:rFonts w:hint="eastAsia" w:ascii="Times New Roman" w:hAnsi="Times New Roman" w:eastAsia="宋体" w:cs="宋体"/>
                <w:color w:val="auto"/>
                <w:highlight w:val="none"/>
                <w:lang w:val="en-US" w:eastAsia="zh-CN"/>
              </w:rPr>
            </w:pPr>
            <w:r>
              <w:rPr>
                <w:rFonts w:hint="eastAsia" w:cs="宋体"/>
                <w:color w:val="auto"/>
                <w:highlight w:val="none"/>
                <w:lang w:val="en-US" w:eastAsia="zh-CN"/>
              </w:rPr>
              <w:t>（2）</w:t>
            </w:r>
            <w:r>
              <w:rPr>
                <w:rFonts w:hint="eastAsia" w:ascii="宋体" w:hAnsi="宋体" w:cs="宋体"/>
                <w:color w:val="auto"/>
                <w:sz w:val="24"/>
                <w:highlight w:val="none"/>
              </w:rPr>
              <w:t>特征</w:t>
            </w:r>
            <w:r>
              <w:rPr>
                <w:rFonts w:hint="eastAsia"/>
                <w:color w:val="auto"/>
                <w:sz w:val="24"/>
                <w:highlight w:val="none"/>
              </w:rPr>
              <w:t>污染</w:t>
            </w:r>
            <w:r>
              <w:rPr>
                <w:rFonts w:hint="eastAsia" w:ascii="宋体" w:hAnsi="宋体" w:cs="宋体"/>
                <w:color w:val="auto"/>
                <w:sz w:val="24"/>
                <w:highlight w:val="none"/>
              </w:rPr>
              <w:t>因子</w:t>
            </w:r>
          </w:p>
          <w:p w14:paraId="58DEECBB">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根据《关于</w:t>
            </w:r>
            <w:r>
              <w:rPr>
                <w:rFonts w:hint="eastAsia" w:ascii="Times New Roman" w:hAnsi="Times New Roman" w:eastAsia="宋体" w:cs="Times New Roman"/>
                <w:color w:val="auto"/>
                <w:kern w:val="2"/>
                <w:sz w:val="24"/>
                <w:szCs w:val="24"/>
                <w:highlight w:val="none"/>
                <w:lang w:val="en-US" w:eastAsia="zh-CN" w:bidi="ar-SA"/>
              </w:rPr>
              <w:t>&lt;</w:t>
            </w:r>
            <w:r>
              <w:rPr>
                <w:rFonts w:ascii="Times New Roman" w:hAnsi="Times New Roman" w:eastAsia="宋体" w:cs="Times New Roman"/>
                <w:color w:val="auto"/>
                <w:kern w:val="2"/>
                <w:sz w:val="24"/>
                <w:szCs w:val="24"/>
                <w:highlight w:val="none"/>
                <w:lang w:val="en-US" w:eastAsia="zh-CN" w:bidi="ar-SA"/>
              </w:rPr>
              <w:t>建设项目环境影响报告表</w:t>
            </w:r>
            <w:r>
              <w:rPr>
                <w:rFonts w:hint="eastAsia" w:ascii="Times New Roman" w:hAnsi="Times New Roman" w:eastAsia="宋体" w:cs="Times New Roman"/>
                <w:color w:val="auto"/>
                <w:kern w:val="2"/>
                <w:sz w:val="24"/>
                <w:szCs w:val="24"/>
                <w:highlight w:val="none"/>
                <w:lang w:val="en-US" w:eastAsia="zh-CN" w:bidi="ar-SA"/>
              </w:rPr>
              <w:t>&gt;</w:t>
            </w:r>
            <w:r>
              <w:rPr>
                <w:rFonts w:ascii="Times New Roman" w:hAnsi="Times New Roman" w:eastAsia="宋体" w:cs="Times New Roman"/>
                <w:color w:val="auto"/>
                <w:kern w:val="2"/>
                <w:sz w:val="24"/>
                <w:szCs w:val="24"/>
                <w:highlight w:val="none"/>
                <w:lang w:val="en-US" w:eastAsia="zh-CN" w:bidi="ar-SA"/>
              </w:rPr>
              <w:t>内容、格式及编制技术指南常见问题解答》（生态环境部环境工程评估中心）</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技术指南中提到</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排放国家、地方环境空气质量标准中有标准限值要求的特征污染物</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，其中环境空气质量标准指《环境空气质量标准》</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GB3095</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和地方的环境空气质量标准，不包括《环境影响评价技术导则 大气环境》</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HJ2.2-2018</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附录D、《工业企业设计卫生标准》</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TJ36-97</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《前苏联居住区标准》</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CH245-71</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、《环境影响评价技术导则 制药建设项目》</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HJ611-2011</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、《大气污染物综合排放标准详解》等导则或参考资料。排放的特征污染物需要在国家、地方环境空气质量标准中有限值要求才涉及现状监测</w:t>
            </w:r>
            <w:r>
              <w:rPr>
                <w:rFonts w:hint="eastAsia" w:cs="Times New Roman"/>
                <w:color w:val="auto"/>
                <w:kern w:val="2"/>
                <w:sz w:val="24"/>
                <w:szCs w:val="24"/>
                <w:highlight w:val="none"/>
                <w:lang w:val="en-US" w:eastAsia="zh-CN" w:bidi="ar-SA"/>
              </w:rPr>
              <w:t>且</w:t>
            </w:r>
            <w:r>
              <w:rPr>
                <w:rFonts w:ascii="Times New Roman" w:hAnsi="Times New Roman" w:eastAsia="宋体" w:cs="Times New Roman"/>
                <w:color w:val="auto"/>
                <w:kern w:val="2"/>
                <w:sz w:val="24"/>
                <w:szCs w:val="24"/>
                <w:highlight w:val="none"/>
                <w:lang w:val="en-US" w:eastAsia="zh-CN" w:bidi="ar-SA"/>
              </w:rPr>
              <w:t>优先引用现有监测数据</w:t>
            </w:r>
            <w:r>
              <w:rPr>
                <w:rFonts w:hint="eastAsia" w:ascii="Times New Roman" w:hAnsi="Times New Roman" w:eastAsia="宋体" w:cs="Times New Roman"/>
                <w:color w:val="auto"/>
                <w:kern w:val="2"/>
                <w:sz w:val="24"/>
                <w:szCs w:val="24"/>
                <w:highlight w:val="none"/>
                <w:lang w:val="en-US" w:eastAsia="zh-CN" w:bidi="ar-SA"/>
              </w:rPr>
              <w:t>”</w:t>
            </w:r>
            <w:r>
              <w:rPr>
                <w:rFonts w:ascii="Times New Roman" w:hAnsi="Times New Roman" w:eastAsia="宋体" w:cs="Times New Roman"/>
                <w:color w:val="auto"/>
                <w:kern w:val="2"/>
                <w:sz w:val="24"/>
                <w:szCs w:val="24"/>
                <w:highlight w:val="none"/>
                <w:lang w:val="en-US" w:eastAsia="zh-CN" w:bidi="ar-SA"/>
              </w:rPr>
              <w:t>。</w:t>
            </w:r>
          </w:p>
          <w:p w14:paraId="13405500">
            <w:pPr>
              <w:adjustRightInd w:val="0"/>
              <w:spacing w:line="360" w:lineRule="auto"/>
              <w:ind w:firstLine="480" w:firstLineChars="200"/>
              <w:contextualSpacing/>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w:t>
            </w:r>
            <w:r>
              <w:rPr>
                <w:rFonts w:ascii="Times New Roman" w:hAnsi="Times New Roman" w:eastAsia="宋体" w:cs="Times New Roman"/>
                <w:color w:val="auto"/>
                <w:sz w:val="24"/>
                <w:highlight w:val="none"/>
              </w:rPr>
              <w:t>排放的其他污染物为非甲烷总烃</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颗粒物</w:t>
            </w: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其中非甲烷总烃</w:t>
            </w:r>
            <w:r>
              <w:rPr>
                <w:rFonts w:ascii="Times New Roman" w:hAnsi="Times New Roman" w:eastAsia="宋体" w:cs="Times New Roman"/>
                <w:color w:val="auto"/>
                <w:sz w:val="24"/>
                <w:highlight w:val="none"/>
              </w:rPr>
              <w:t>不属于《环境空气质量标准》</w:t>
            </w:r>
            <w:r>
              <w:rPr>
                <w:rFonts w:hint="eastAsia" w:cs="Times New Roman"/>
                <w:color w:val="auto"/>
                <w:sz w:val="24"/>
                <w:highlight w:val="none"/>
                <w:lang w:eastAsia="zh-CN"/>
              </w:rPr>
              <w:t>(</w:t>
            </w:r>
            <w:r>
              <w:rPr>
                <w:rFonts w:ascii="Times New Roman" w:hAnsi="Times New Roman" w:eastAsia="宋体" w:cs="Times New Roman"/>
                <w:color w:val="auto"/>
                <w:sz w:val="24"/>
                <w:highlight w:val="none"/>
              </w:rPr>
              <w:t>GB3095</w:t>
            </w:r>
            <w:r>
              <w:rPr>
                <w:rFonts w:hint="eastAsia" w:ascii="Times New Roman" w:hAnsi="Times New Roman" w:eastAsia="宋体" w:cs="Times New Roman"/>
                <w:color w:val="auto"/>
                <w:sz w:val="24"/>
                <w:highlight w:val="none"/>
              </w:rPr>
              <w:t>-2012</w:t>
            </w:r>
            <w:r>
              <w:rPr>
                <w:rFonts w:hint="eastAsia" w:cs="Times New Roman"/>
                <w:color w:val="auto"/>
                <w:sz w:val="24"/>
                <w:highlight w:val="none"/>
                <w:lang w:eastAsia="zh-CN"/>
              </w:rPr>
              <w:t>)</w:t>
            </w:r>
            <w:r>
              <w:rPr>
                <w:rFonts w:ascii="Times New Roman" w:hAnsi="Times New Roman" w:eastAsia="宋体" w:cs="Times New Roman"/>
                <w:color w:val="auto"/>
                <w:sz w:val="24"/>
                <w:highlight w:val="none"/>
              </w:rPr>
              <w:t>和地方的环境空气质量中有标准限值要求的污染物，因此</w:t>
            </w:r>
            <w:r>
              <w:rPr>
                <w:rFonts w:hint="eastAsia" w:ascii="Times New Roman" w:hAnsi="Times New Roman" w:eastAsia="宋体" w:cs="Times New Roman"/>
                <w:color w:val="auto"/>
                <w:sz w:val="24"/>
                <w:highlight w:val="none"/>
                <w:lang w:eastAsia="zh-CN"/>
              </w:rPr>
              <w:t>，</w:t>
            </w:r>
            <w:r>
              <w:rPr>
                <w:rFonts w:ascii="Times New Roman" w:hAnsi="Times New Roman" w:eastAsia="宋体" w:cs="Times New Roman"/>
                <w:color w:val="auto"/>
                <w:sz w:val="24"/>
                <w:highlight w:val="none"/>
              </w:rPr>
              <w:t>不</w:t>
            </w:r>
            <w:r>
              <w:rPr>
                <w:rFonts w:hint="eastAsia" w:ascii="Times New Roman" w:hAnsi="Times New Roman" w:eastAsia="宋体" w:cs="Times New Roman"/>
                <w:color w:val="auto"/>
                <w:sz w:val="24"/>
                <w:highlight w:val="none"/>
                <w:lang w:val="en-US" w:eastAsia="zh-CN"/>
              </w:rPr>
              <w:t>对非甲烷总烃</w:t>
            </w:r>
            <w:r>
              <w:rPr>
                <w:rFonts w:ascii="Times New Roman" w:hAnsi="Times New Roman" w:eastAsia="宋体" w:cs="Times New Roman"/>
                <w:color w:val="auto"/>
                <w:sz w:val="24"/>
                <w:highlight w:val="none"/>
              </w:rPr>
              <w:t>进行</w:t>
            </w:r>
            <w:r>
              <w:rPr>
                <w:rFonts w:hint="eastAsia" w:ascii="Times New Roman" w:hAnsi="Times New Roman" w:eastAsia="宋体" w:cs="Times New Roman"/>
                <w:color w:val="auto"/>
                <w:sz w:val="24"/>
                <w:highlight w:val="none"/>
              </w:rPr>
              <w:t>特征污染物</w:t>
            </w:r>
            <w:r>
              <w:rPr>
                <w:rFonts w:ascii="Times New Roman" w:hAnsi="Times New Roman" w:eastAsia="宋体" w:cs="Times New Roman"/>
                <w:color w:val="auto"/>
                <w:sz w:val="24"/>
                <w:highlight w:val="none"/>
              </w:rPr>
              <w:t>现状检测评价。</w:t>
            </w:r>
          </w:p>
          <w:p w14:paraId="66410738">
            <w:pPr>
              <w:keepNext w:val="0"/>
              <w:keepLines w:val="0"/>
              <w:pageBreakBefore w:val="0"/>
              <w:widowControl/>
              <w:suppressLineNumbers w:val="0"/>
              <w:kinsoku/>
              <w:wordWrap/>
              <w:overflowPunct/>
              <w:topLinePunct w:val="0"/>
              <w:bidi w:val="0"/>
              <w:adjustRightInd/>
              <w:snapToGrid/>
              <w:spacing w:line="360" w:lineRule="auto"/>
              <w:ind w:firstLine="48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eastAsia" w:ascii="Times New Roman" w:hAnsi="Times New Roman" w:eastAsia="宋体" w:cs="Times New Roman"/>
                <w:color w:val="auto"/>
                <w:kern w:val="0"/>
                <w:sz w:val="24"/>
                <w:szCs w:val="24"/>
                <w:lang w:val="en-US" w:eastAsia="zh-CN" w:bidi="ar"/>
              </w:rPr>
              <w:t>为了解项目所在区域环境空气中颗粒物情况，建设单位委托</w:t>
            </w:r>
            <w:r>
              <w:rPr>
                <w:rFonts w:hint="default" w:ascii="Times New Roman" w:hAnsi="Times New Roman" w:eastAsia="宋体" w:cs="Times New Roman"/>
                <w:color w:val="auto"/>
                <w:kern w:val="0"/>
                <w:sz w:val="24"/>
                <w:szCs w:val="24"/>
                <w:lang w:val="en-US" w:eastAsia="zh-CN" w:bidi="ar"/>
              </w:rPr>
              <w:t>福建九五检测技术服务有限公司</w:t>
            </w:r>
            <w:r>
              <w:rPr>
                <w:rFonts w:hint="eastAsia" w:ascii="Times New Roman" w:hAnsi="Times New Roman" w:eastAsia="宋体" w:cs="Times New Roman"/>
                <w:color w:val="auto"/>
                <w:kern w:val="0"/>
                <w:sz w:val="24"/>
                <w:szCs w:val="24"/>
                <w:lang w:val="en-US" w:eastAsia="zh-CN" w:bidi="ar"/>
              </w:rPr>
              <w:t>于2025年7月11日</w:t>
            </w:r>
            <w:r>
              <w:rPr>
                <w:rFonts w:hint="eastAsia" w:cs="Times New Roman"/>
                <w:color w:val="auto"/>
                <w:kern w:val="0"/>
                <w:sz w:val="24"/>
                <w:szCs w:val="24"/>
                <w:lang w:val="en-US" w:eastAsia="zh-CN" w:bidi="ar"/>
              </w:rPr>
              <w:t>~</w:t>
            </w:r>
            <w:r>
              <w:rPr>
                <w:rFonts w:hint="eastAsia" w:ascii="Times New Roman" w:hAnsi="Times New Roman" w:eastAsia="宋体" w:cs="Times New Roman"/>
                <w:color w:val="auto"/>
                <w:kern w:val="0"/>
                <w:sz w:val="24"/>
                <w:szCs w:val="24"/>
                <w:lang w:val="en-US" w:eastAsia="zh-CN" w:bidi="ar"/>
              </w:rPr>
              <w:t>2025年7月14日对其进行监测，监测结果见表</w:t>
            </w:r>
            <w:r>
              <w:rPr>
                <w:rFonts w:hint="eastAsia" w:ascii="Times New Roman" w:hAnsi="Times New Roman" w:eastAsia="宋体" w:cs="Times New Roman"/>
                <w:color w:val="auto"/>
                <w:kern w:val="0"/>
                <w:sz w:val="24"/>
                <w:szCs w:val="24"/>
                <w:highlight w:val="none"/>
                <w:lang w:val="en-US" w:eastAsia="zh-CN" w:bidi="ar"/>
              </w:rPr>
              <w:t>3.1-4</w:t>
            </w:r>
            <w:r>
              <w:rPr>
                <w:rFonts w:hint="eastAsia" w:ascii="Times New Roman" w:hAnsi="Times New Roman" w:eastAsia="宋体" w:cs="Times New Roman"/>
                <w:color w:val="auto"/>
                <w:kern w:val="0"/>
                <w:sz w:val="24"/>
                <w:szCs w:val="24"/>
                <w:lang w:val="en-US" w:eastAsia="zh-CN" w:bidi="ar"/>
              </w:rPr>
              <w:t>，检测报告见附</w:t>
            </w:r>
            <w:r>
              <w:rPr>
                <w:rFonts w:hint="eastAsia" w:ascii="Times New Roman" w:hAnsi="Times New Roman" w:eastAsia="宋体" w:cs="Times New Roman"/>
                <w:color w:val="auto"/>
                <w:kern w:val="0"/>
                <w:sz w:val="24"/>
                <w:szCs w:val="24"/>
                <w:highlight w:val="none"/>
                <w:lang w:val="en-US" w:eastAsia="zh-CN" w:bidi="ar"/>
              </w:rPr>
              <w:t>件1</w:t>
            </w:r>
            <w:r>
              <w:rPr>
                <w:rFonts w:hint="eastAsia" w:cs="Times New Roman"/>
                <w:color w:val="auto"/>
                <w:kern w:val="0"/>
                <w:sz w:val="24"/>
                <w:szCs w:val="24"/>
                <w:highlight w:val="none"/>
                <w:lang w:val="en-US" w:eastAsia="zh-CN" w:bidi="ar"/>
              </w:rPr>
              <w:t>6</w:t>
            </w:r>
            <w:r>
              <w:rPr>
                <w:rFonts w:hint="eastAsia" w:ascii="Times New Roman" w:hAnsi="Times New Roman" w:eastAsia="宋体" w:cs="Times New Roman"/>
                <w:color w:val="auto"/>
                <w:kern w:val="0"/>
                <w:sz w:val="24"/>
                <w:szCs w:val="24"/>
                <w:lang w:val="en-US" w:eastAsia="zh-CN" w:bidi="ar"/>
              </w:rPr>
              <w:t>。</w:t>
            </w:r>
          </w:p>
          <w:p w14:paraId="42AB6ED9">
            <w:pPr>
              <w:pStyle w:val="42"/>
              <w:keepNext/>
              <w:keepLines/>
              <w:pageBreakBefore w:val="0"/>
              <w:widowControl w:val="0"/>
              <w:numPr>
                <w:ilvl w:val="7"/>
                <w:numId w:val="11"/>
              </w:numPr>
              <w:tabs>
                <w:tab w:val="left" w:pos="0"/>
              </w:tabs>
              <w:kinsoku/>
              <w:wordWrap/>
              <w:overflowPunct/>
              <w:topLinePunct w:val="0"/>
              <w:autoSpaceDE/>
              <w:autoSpaceDN/>
              <w:bidi w:val="0"/>
              <w:adjustRightInd/>
              <w:snapToGrid/>
              <w:spacing w:before="0" w:after="0"/>
              <w:ind w:left="630" w:leftChars="0" w:firstLineChars="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颗粒物现状情况一览表</w:t>
            </w:r>
          </w:p>
          <w:tbl>
            <w:tblPr>
              <w:tblStyle w:val="33"/>
              <w:tblW w:w="845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1679"/>
              <w:gridCol w:w="2807"/>
              <w:gridCol w:w="1591"/>
              <w:gridCol w:w="1206"/>
            </w:tblGrid>
            <w:tr w14:paraId="2D48F5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174" w:type="dxa"/>
                  <w:tcBorders>
                    <w:bottom w:val="single" w:color="auto" w:sz="12" w:space="0"/>
                  </w:tcBorders>
                  <w:noWrap w:val="0"/>
                  <w:vAlign w:val="center"/>
                </w:tcPr>
                <w:p w14:paraId="1196F5EC">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检测点位</w:t>
                  </w:r>
                </w:p>
              </w:tc>
              <w:tc>
                <w:tcPr>
                  <w:tcW w:w="1679" w:type="dxa"/>
                  <w:tcBorders>
                    <w:bottom w:val="single" w:color="auto" w:sz="12" w:space="0"/>
                  </w:tcBorders>
                  <w:noWrap w:val="0"/>
                  <w:vAlign w:val="center"/>
                </w:tcPr>
                <w:p w14:paraId="7C4D77D1">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检测项目</w:t>
                  </w:r>
                </w:p>
              </w:tc>
              <w:tc>
                <w:tcPr>
                  <w:tcW w:w="2807" w:type="dxa"/>
                  <w:tcBorders>
                    <w:bottom w:val="single" w:color="auto" w:sz="12" w:space="0"/>
                  </w:tcBorders>
                  <w:noWrap w:val="0"/>
                  <w:vAlign w:val="center"/>
                </w:tcPr>
                <w:p w14:paraId="74515E74">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采样日期</w:t>
                  </w:r>
                </w:p>
              </w:tc>
              <w:tc>
                <w:tcPr>
                  <w:tcW w:w="1591" w:type="dxa"/>
                  <w:tcBorders>
                    <w:bottom w:val="single" w:color="auto" w:sz="12" w:space="0"/>
                  </w:tcBorders>
                  <w:noWrap w:val="0"/>
                  <w:vAlign w:val="center"/>
                </w:tcPr>
                <w:p w14:paraId="76E65C9C">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检测结果</w:t>
                  </w:r>
                </w:p>
              </w:tc>
              <w:tc>
                <w:tcPr>
                  <w:tcW w:w="1206" w:type="dxa"/>
                  <w:tcBorders>
                    <w:bottom w:val="single" w:color="auto" w:sz="12" w:space="0"/>
                  </w:tcBorders>
                  <w:noWrap w:val="0"/>
                  <w:vAlign w:val="center"/>
                </w:tcPr>
                <w:p w14:paraId="79A62130">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单位</w:t>
                  </w:r>
                </w:p>
              </w:tc>
            </w:tr>
            <w:tr w14:paraId="4DC1F1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4" w:type="dxa"/>
                  <w:vMerge w:val="restart"/>
                  <w:tcBorders>
                    <w:top w:val="single" w:color="auto" w:sz="12" w:space="0"/>
                    <w:tl2br w:val="nil"/>
                    <w:tr2bl w:val="nil"/>
                  </w:tcBorders>
                  <w:noWrap w:val="0"/>
                  <w:vAlign w:val="center"/>
                </w:tcPr>
                <w:p w14:paraId="6A9AC275">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厂区下风向</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上店村</w:t>
                  </w:r>
                  <w:r>
                    <w:rPr>
                      <w:rFonts w:hint="eastAsia" w:ascii="Times New Roman" w:hAnsi="Times New Roman" w:eastAsia="宋体" w:cs="Times New Roman"/>
                      <w:color w:val="auto"/>
                      <w:sz w:val="21"/>
                      <w:szCs w:val="21"/>
                      <w:highlight w:val="none"/>
                    </w:rPr>
                    <w:t>）Q1</w:t>
                  </w:r>
                </w:p>
              </w:tc>
              <w:tc>
                <w:tcPr>
                  <w:tcW w:w="1679" w:type="dxa"/>
                  <w:vMerge w:val="restart"/>
                  <w:tcBorders>
                    <w:top w:val="single" w:color="auto" w:sz="12" w:space="0"/>
                    <w:tl2br w:val="nil"/>
                    <w:tr2bl w:val="nil"/>
                  </w:tcBorders>
                  <w:noWrap w:val="0"/>
                  <w:vAlign w:val="center"/>
                </w:tcPr>
                <w:p w14:paraId="6C715FB5">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总悬浮颗粒物（TSP）</w:t>
                  </w:r>
                </w:p>
              </w:tc>
              <w:tc>
                <w:tcPr>
                  <w:tcW w:w="2807" w:type="dxa"/>
                  <w:tcBorders>
                    <w:top w:val="single" w:color="auto" w:sz="12" w:space="0"/>
                    <w:tl2br w:val="nil"/>
                    <w:tr2bl w:val="nil"/>
                  </w:tcBorders>
                  <w:noWrap w:val="0"/>
                  <w:vAlign w:val="center"/>
                </w:tcPr>
                <w:p w14:paraId="15B25845">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2025年7月11日—</w:t>
                  </w:r>
                  <w:r>
                    <w:rPr>
                      <w:rFonts w:hint="eastAsia" w:ascii="Times New Roman" w:hAnsi="Times New Roman" w:eastAsia="宋体" w:cs="Times New Roman"/>
                      <w:color w:val="auto"/>
                      <w:sz w:val="21"/>
                      <w:szCs w:val="21"/>
                      <w:highlight w:val="none"/>
                      <w:lang w:val="en-US" w:eastAsia="zh-CN"/>
                    </w:rPr>
                    <w:t>12</w:t>
                  </w:r>
                  <w:r>
                    <w:rPr>
                      <w:rFonts w:hint="eastAsia" w:ascii="Times New Roman" w:hAnsi="Times New Roman" w:eastAsia="宋体" w:cs="Times New Roman"/>
                      <w:color w:val="auto"/>
                      <w:sz w:val="21"/>
                      <w:szCs w:val="21"/>
                      <w:highlight w:val="none"/>
                    </w:rPr>
                    <w:t>日</w:t>
                  </w:r>
                </w:p>
              </w:tc>
              <w:tc>
                <w:tcPr>
                  <w:tcW w:w="1591" w:type="dxa"/>
                  <w:tcBorders>
                    <w:top w:val="single" w:color="auto" w:sz="12" w:space="0"/>
                    <w:tl2br w:val="nil"/>
                    <w:tr2bl w:val="nil"/>
                  </w:tcBorders>
                  <w:noWrap w:val="0"/>
                  <w:vAlign w:val="center"/>
                </w:tcPr>
                <w:p w14:paraId="39C33F2A">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84</w:t>
                  </w:r>
                </w:p>
              </w:tc>
              <w:tc>
                <w:tcPr>
                  <w:tcW w:w="1206" w:type="dxa"/>
                  <w:vMerge w:val="restart"/>
                  <w:tcBorders>
                    <w:top w:val="single" w:color="auto" w:sz="12" w:space="0"/>
                    <w:tl2br w:val="nil"/>
                    <w:tr2bl w:val="nil"/>
                  </w:tcBorders>
                  <w:noWrap w:val="0"/>
                  <w:vAlign w:val="center"/>
                </w:tcPr>
                <w:p w14:paraId="10396EF9">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宋体"/>
                      <w:color w:val="auto"/>
                      <w:spacing w:val="-2"/>
                      <w:sz w:val="21"/>
                    </w:rPr>
                    <w:t>μg/m³</w:t>
                  </w:r>
                </w:p>
              </w:tc>
            </w:tr>
            <w:tr w14:paraId="1790D0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4" w:type="dxa"/>
                  <w:vMerge w:val="continue"/>
                  <w:tcBorders>
                    <w:tl2br w:val="nil"/>
                    <w:tr2bl w:val="nil"/>
                  </w:tcBorders>
                  <w:noWrap w:val="0"/>
                  <w:vAlign w:val="center"/>
                </w:tcPr>
                <w:p w14:paraId="764ACF2E">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679" w:type="dxa"/>
                  <w:vMerge w:val="continue"/>
                  <w:tcBorders>
                    <w:tl2br w:val="nil"/>
                    <w:tr2bl w:val="nil"/>
                  </w:tcBorders>
                  <w:noWrap w:val="0"/>
                  <w:vAlign w:val="center"/>
                </w:tcPr>
                <w:p w14:paraId="50D25964">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2807" w:type="dxa"/>
                  <w:tcBorders>
                    <w:tl2br w:val="nil"/>
                    <w:tr2bl w:val="nil"/>
                  </w:tcBorders>
                  <w:noWrap w:val="0"/>
                  <w:vAlign w:val="center"/>
                </w:tcPr>
                <w:p w14:paraId="2F5B6215">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2025年</w:t>
                  </w:r>
                  <w:r>
                    <w:rPr>
                      <w:rFonts w:hint="eastAsia" w:cs="Times New Roman"/>
                      <w:color w:val="auto"/>
                      <w:sz w:val="21"/>
                      <w:szCs w:val="21"/>
                      <w:highlight w:val="none"/>
                      <w:lang w:val="en-US" w:eastAsia="zh-CN"/>
                    </w:rPr>
                    <w:t>7</w:t>
                  </w:r>
                  <w:r>
                    <w:rPr>
                      <w:rFonts w:hint="eastAsia" w:cs="Times New Roman"/>
                      <w:color w:val="auto"/>
                      <w:sz w:val="21"/>
                      <w:szCs w:val="21"/>
                      <w:highlight w:val="none"/>
                      <w:lang w:eastAsia="zh-CN"/>
                    </w:rPr>
                    <w:t>月12日—</w:t>
                  </w:r>
                  <w:r>
                    <w:rPr>
                      <w:rFonts w:hint="eastAsia" w:ascii="Times New Roman" w:hAnsi="Times New Roman" w:eastAsia="宋体" w:cs="Times New Roman"/>
                      <w:color w:val="auto"/>
                      <w:sz w:val="21"/>
                      <w:szCs w:val="21"/>
                      <w:highlight w:val="none"/>
                      <w:lang w:val="en-US" w:eastAsia="zh-CN"/>
                    </w:rPr>
                    <w:t>13</w:t>
                  </w:r>
                  <w:r>
                    <w:rPr>
                      <w:rFonts w:hint="eastAsia" w:ascii="Times New Roman" w:hAnsi="Times New Roman" w:eastAsia="宋体" w:cs="Times New Roman"/>
                      <w:color w:val="auto"/>
                      <w:sz w:val="21"/>
                      <w:szCs w:val="21"/>
                      <w:highlight w:val="none"/>
                    </w:rPr>
                    <w:t>日</w:t>
                  </w:r>
                </w:p>
              </w:tc>
              <w:tc>
                <w:tcPr>
                  <w:tcW w:w="1591" w:type="dxa"/>
                  <w:tcBorders>
                    <w:tl2br w:val="nil"/>
                    <w:tr2bl w:val="nil"/>
                  </w:tcBorders>
                  <w:noWrap w:val="0"/>
                  <w:vAlign w:val="center"/>
                </w:tcPr>
                <w:p w14:paraId="6556FE99">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76</w:t>
                  </w:r>
                </w:p>
              </w:tc>
              <w:tc>
                <w:tcPr>
                  <w:tcW w:w="1206" w:type="dxa"/>
                  <w:vMerge w:val="continue"/>
                  <w:tcBorders>
                    <w:tl2br w:val="nil"/>
                    <w:tr2bl w:val="nil"/>
                  </w:tcBorders>
                  <w:noWrap w:val="0"/>
                  <w:vAlign w:val="center"/>
                </w:tcPr>
                <w:p w14:paraId="1412A51D">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p>
              </w:tc>
            </w:tr>
            <w:tr w14:paraId="1FCDE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74" w:type="dxa"/>
                  <w:vMerge w:val="continue"/>
                  <w:tcBorders>
                    <w:tl2br w:val="nil"/>
                    <w:tr2bl w:val="nil"/>
                  </w:tcBorders>
                  <w:noWrap w:val="0"/>
                  <w:vAlign w:val="center"/>
                </w:tcPr>
                <w:p w14:paraId="74A70BAB">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1679" w:type="dxa"/>
                  <w:vMerge w:val="continue"/>
                  <w:tcBorders>
                    <w:tl2br w:val="nil"/>
                    <w:tr2bl w:val="nil"/>
                  </w:tcBorders>
                  <w:noWrap w:val="0"/>
                  <w:vAlign w:val="center"/>
                </w:tcPr>
                <w:p w14:paraId="3497C982">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p>
              </w:tc>
              <w:tc>
                <w:tcPr>
                  <w:tcW w:w="2807" w:type="dxa"/>
                  <w:tcBorders>
                    <w:tl2br w:val="nil"/>
                    <w:tr2bl w:val="nil"/>
                  </w:tcBorders>
                  <w:noWrap w:val="0"/>
                  <w:vAlign w:val="center"/>
                </w:tcPr>
                <w:p w14:paraId="4F0DB11B">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2025年</w:t>
                  </w:r>
                  <w:r>
                    <w:rPr>
                      <w:rFonts w:hint="eastAsia" w:cs="Times New Roman"/>
                      <w:color w:val="auto"/>
                      <w:sz w:val="21"/>
                      <w:szCs w:val="21"/>
                      <w:highlight w:val="none"/>
                      <w:lang w:val="en-US" w:eastAsia="zh-CN"/>
                    </w:rPr>
                    <w:t>7</w:t>
                  </w:r>
                  <w:r>
                    <w:rPr>
                      <w:rFonts w:hint="eastAsia" w:cs="Times New Roman"/>
                      <w:color w:val="auto"/>
                      <w:sz w:val="21"/>
                      <w:szCs w:val="21"/>
                      <w:highlight w:val="none"/>
                      <w:lang w:eastAsia="zh-CN"/>
                    </w:rPr>
                    <w:t>月13日—</w:t>
                  </w:r>
                  <w:r>
                    <w:rPr>
                      <w:rFonts w:hint="eastAsia" w:ascii="Times New Roman" w:hAnsi="Times New Roman" w:eastAsia="宋体" w:cs="Times New Roman"/>
                      <w:color w:val="auto"/>
                      <w:sz w:val="21"/>
                      <w:szCs w:val="21"/>
                      <w:highlight w:val="none"/>
                      <w:lang w:val="en-US" w:eastAsia="zh-CN"/>
                    </w:rPr>
                    <w:t>14</w:t>
                  </w:r>
                  <w:r>
                    <w:rPr>
                      <w:rFonts w:hint="eastAsia" w:ascii="Times New Roman" w:hAnsi="Times New Roman" w:eastAsia="宋体" w:cs="Times New Roman"/>
                      <w:color w:val="auto"/>
                      <w:sz w:val="21"/>
                      <w:szCs w:val="21"/>
                      <w:highlight w:val="none"/>
                    </w:rPr>
                    <w:t>日</w:t>
                  </w:r>
                </w:p>
              </w:tc>
              <w:tc>
                <w:tcPr>
                  <w:tcW w:w="1591" w:type="dxa"/>
                  <w:tcBorders>
                    <w:tl2br w:val="nil"/>
                    <w:tr2bl w:val="nil"/>
                  </w:tcBorders>
                  <w:noWrap w:val="0"/>
                  <w:vAlign w:val="center"/>
                </w:tcPr>
                <w:p w14:paraId="28C49A37">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78</w:t>
                  </w:r>
                </w:p>
              </w:tc>
              <w:tc>
                <w:tcPr>
                  <w:tcW w:w="1206" w:type="dxa"/>
                  <w:vMerge w:val="continue"/>
                  <w:tcBorders>
                    <w:tl2br w:val="nil"/>
                    <w:tr2bl w:val="nil"/>
                  </w:tcBorders>
                  <w:noWrap w:val="0"/>
                  <w:vAlign w:val="center"/>
                </w:tcPr>
                <w:p w14:paraId="53E3C6D1">
                  <w:pPr>
                    <w:pStyle w:val="152"/>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auto"/>
                      <w:sz w:val="21"/>
                      <w:szCs w:val="21"/>
                      <w:highlight w:val="none"/>
                      <w:lang w:val="en-US" w:eastAsia="zh-CN"/>
                    </w:rPr>
                  </w:pPr>
                </w:p>
              </w:tc>
            </w:tr>
          </w:tbl>
          <w:p w14:paraId="4D1114FB">
            <w:pPr>
              <w:adjustRightInd w:val="0"/>
              <w:spacing w:line="360" w:lineRule="auto"/>
              <w:ind w:firstLine="480" w:firstLineChars="200"/>
              <w:contextualSpacing/>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根据表3.1-4可知，项目所在区域内特征污染因子颗粒物的现状监测点的浓度值可符合</w:t>
            </w:r>
            <w:r>
              <w:rPr>
                <w:rFonts w:hint="default" w:ascii="Times New Roman" w:hAnsi="Times New Roman" w:eastAsia="宋体" w:cs="Times New Roman"/>
                <w:color w:val="auto"/>
                <w:sz w:val="24"/>
                <w:highlight w:val="none"/>
              </w:rPr>
              <w:t>《环境空气质量标准》</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GB3095-2012</w:t>
            </w:r>
            <w:r>
              <w:rPr>
                <w:rFonts w:hint="eastAsia" w:cs="Times New Roman"/>
                <w:color w:val="auto"/>
                <w:sz w:val="24"/>
                <w:highlight w:val="none"/>
                <w:lang w:eastAsia="zh-CN"/>
              </w:rPr>
              <w:t>)</w:t>
            </w:r>
            <w:r>
              <w:rPr>
                <w:rFonts w:hint="default" w:ascii="Times New Roman" w:hAnsi="Times New Roman" w:eastAsia="宋体" w:cs="Times New Roman"/>
                <w:color w:val="auto"/>
                <w:sz w:val="24"/>
                <w:highlight w:val="none"/>
              </w:rPr>
              <w:t>及其修改单中的二级标准</w:t>
            </w:r>
            <w:r>
              <w:rPr>
                <w:rFonts w:hint="eastAsia" w:ascii="Times New Roman" w:hAnsi="Times New Roman" w:eastAsia="宋体" w:cs="Times New Roman"/>
                <w:color w:val="auto"/>
                <w:sz w:val="24"/>
                <w:highlight w:val="none"/>
                <w:lang w:val="en-US" w:eastAsia="zh-CN"/>
              </w:rPr>
              <w:t>要求。</w:t>
            </w:r>
          </w:p>
          <w:p w14:paraId="4B5D9E23">
            <w:pPr>
              <w:pStyle w:val="45"/>
              <w:spacing w:after="0"/>
              <w:ind w:left="0" w:leftChars="0" w:firstLine="0" w:firstLineChars="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引用数据的有效性分析</w:t>
            </w:r>
          </w:p>
          <w:p w14:paraId="75A32880">
            <w:pPr>
              <w:keepNext w:val="0"/>
              <w:keepLines w:val="0"/>
              <w:pageBreakBefore w:val="0"/>
              <w:widowControl/>
              <w:suppressLineNumbers w:val="0"/>
              <w:kinsoku/>
              <w:wordWrap/>
              <w:overflowPunct/>
              <w:topLinePunct w:val="0"/>
              <w:bidi w:val="0"/>
              <w:adjustRightInd/>
              <w:snapToGrid/>
              <w:spacing w:line="360" w:lineRule="auto"/>
              <w:ind w:firstLine="420" w:firstLineChars="200"/>
              <w:jc w:val="both"/>
              <w:textAlignment w:val="auto"/>
              <w:rPr>
                <w:rFonts w:hint="eastAsia"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highlight w:val="none"/>
              </w:rPr>
              <w:t>根据《环境影响评价技术导则 大气环境》</w:t>
            </w:r>
            <w:r>
              <w:rPr>
                <w:rFonts w:hint="eastAsia" w:cs="Times New Roman"/>
                <w:color w:val="auto"/>
                <w:highlight w:val="none"/>
                <w:lang w:eastAsia="zh-CN"/>
              </w:rPr>
              <w:t>(</w:t>
            </w:r>
            <w:r>
              <w:rPr>
                <w:rFonts w:hint="default" w:ascii="Times New Roman" w:hAnsi="Times New Roman" w:eastAsia="宋体" w:cs="Times New Roman"/>
                <w:color w:val="auto"/>
                <w:highlight w:val="none"/>
              </w:rPr>
              <w:t>HJ2.2-2018</w:t>
            </w:r>
            <w:r>
              <w:rPr>
                <w:rFonts w:hint="eastAsia" w:cs="Times New Roman"/>
                <w:color w:val="auto"/>
                <w:highlight w:val="none"/>
                <w:lang w:eastAsia="zh-CN"/>
              </w:rPr>
              <w:t>)</w:t>
            </w:r>
            <w:r>
              <w:rPr>
                <w:rFonts w:hint="default" w:ascii="Times New Roman" w:hAnsi="Times New Roman" w:eastAsia="宋体" w:cs="Times New Roman"/>
                <w:color w:val="auto"/>
                <w:highlight w:val="none"/>
              </w:rPr>
              <w:t>的6.2.1.1要求：“项目所在区域达标判定，优先采用国家或地方生态环境主管部门发布的评价基准年环境质量公告或环境质量报告中的数据或结论”，根据</w:t>
            </w:r>
            <w:r>
              <w:rPr>
                <w:rFonts w:hint="eastAsia" w:ascii="Times New Roman" w:hAnsi="Times New Roman" w:eastAsia="宋体" w:cs="Times New Roman"/>
                <w:color w:val="auto"/>
                <w:kern w:val="0"/>
                <w:sz w:val="24"/>
                <w:szCs w:val="24"/>
                <w:lang w:val="en-US" w:eastAsia="zh-CN" w:bidi="ar"/>
              </w:rPr>
              <w:t>《建设项目环境影响报告表编制技术指南（污染影响类）（试行）》（环办环评〔2020〕33号）的要求：“大气环境区域环境质量现状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w:t>
            </w:r>
          </w:p>
          <w:p w14:paraId="24AC076B">
            <w:pPr>
              <w:keepNext w:val="0"/>
              <w:keepLines w:val="0"/>
              <w:pageBreakBefore w:val="0"/>
              <w:widowControl/>
              <w:suppressLineNumbers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t>本次评价选取福建省生态环境厅</w:t>
            </w:r>
            <w:r>
              <w:rPr>
                <w:rFonts w:hint="eastAsia" w:ascii="Times New Roman" w:hAnsi="Times New Roman" w:eastAsia="宋体" w:cs="Times New Roman"/>
                <w:color w:val="auto"/>
                <w:kern w:val="0"/>
                <w:sz w:val="24"/>
                <w:szCs w:val="24"/>
                <w:lang w:val="en-US" w:eastAsia="zh-CN" w:bidi="ar"/>
              </w:rPr>
              <w:t>发</w:t>
            </w:r>
            <w:r>
              <w:rPr>
                <w:rFonts w:hint="default" w:ascii="Times New Roman" w:hAnsi="Times New Roman" w:eastAsia="宋体" w:cs="Times New Roman"/>
                <w:color w:val="auto"/>
                <w:kern w:val="0"/>
                <w:sz w:val="24"/>
                <w:szCs w:val="24"/>
                <w:lang w:val="en-US" w:eastAsia="zh-CN" w:bidi="ar"/>
              </w:rPr>
              <w:t>布的环境空气质量</w:t>
            </w:r>
            <w:r>
              <w:rPr>
                <w:rFonts w:hint="eastAsia" w:ascii="Times New Roman" w:hAnsi="Times New Roman" w:eastAsia="宋体" w:cs="Times New Roman"/>
                <w:color w:val="auto"/>
                <w:kern w:val="0"/>
                <w:sz w:val="24"/>
                <w:szCs w:val="24"/>
                <w:lang w:val="en-US" w:eastAsia="zh-CN" w:bidi="ar"/>
              </w:rPr>
              <w:t>数据</w:t>
            </w:r>
            <w:r>
              <w:rPr>
                <w:rFonts w:hint="default" w:ascii="Times New Roman" w:hAnsi="Times New Roman" w:eastAsia="宋体" w:cs="Times New Roman"/>
                <w:color w:val="auto"/>
                <w:kern w:val="0"/>
                <w:sz w:val="24"/>
                <w:szCs w:val="24"/>
                <w:lang w:val="en-US" w:eastAsia="zh-CN" w:bidi="ar"/>
              </w:rPr>
              <w:t>，符合《环境影响评价技术导则 大气环境》</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HJ2.2-2018</w:t>
            </w:r>
            <w:r>
              <w:rPr>
                <w:rFonts w:hint="eastAsia" w:cs="Times New Roman"/>
                <w:color w:val="auto"/>
                <w:kern w:val="0"/>
                <w:sz w:val="24"/>
                <w:szCs w:val="24"/>
                <w:lang w:val="en-US" w:eastAsia="zh-CN" w:bidi="ar"/>
              </w:rPr>
              <w:t>)</w:t>
            </w:r>
            <w:r>
              <w:rPr>
                <w:rFonts w:hint="default" w:ascii="Times New Roman" w:hAnsi="Times New Roman" w:eastAsia="宋体" w:cs="Times New Roman"/>
                <w:color w:val="auto"/>
                <w:kern w:val="0"/>
                <w:sz w:val="24"/>
                <w:szCs w:val="24"/>
                <w:lang w:val="en-US" w:eastAsia="zh-CN" w:bidi="ar"/>
              </w:rPr>
              <w:t>、《建设项目环境影响报告表编制技术指南（污染影响类）（试行）》的要求，环境现状监测数据可行。</w:t>
            </w:r>
          </w:p>
          <w:p w14:paraId="3A76BDA4">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声环境质量现状</w:t>
            </w:r>
          </w:p>
          <w:p w14:paraId="58C8A118">
            <w:pPr>
              <w:pStyle w:val="44"/>
              <w:numPr>
                <w:ilvl w:val="0"/>
                <w:numId w:val="12"/>
              </w:numPr>
              <w:autoSpaceDE w:val="0"/>
              <w:autoSpaceDN w:val="0"/>
              <w:spacing w:before="120" w:beforeLines="50"/>
              <w:ind w:left="425" w:leftChars="0" w:hanging="425" w:firstLineChars="0"/>
              <w:rPr>
                <w:rFonts w:hint="eastAsia"/>
                <w:color w:val="auto"/>
                <w:highlight w:val="none"/>
              </w:rPr>
            </w:pPr>
            <w:r>
              <w:rPr>
                <w:rFonts w:hint="eastAsia"/>
                <w:color w:val="auto"/>
                <w:highlight w:val="none"/>
              </w:rPr>
              <w:t>声环境功能区</w:t>
            </w:r>
          </w:p>
          <w:p w14:paraId="0BE7E0A4">
            <w:pPr>
              <w:pStyle w:val="44"/>
              <w:shd w:val="clear"/>
              <w:bidi w:val="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本项目位于</w:t>
            </w:r>
            <w:r>
              <w:rPr>
                <w:rFonts w:hint="eastAsia"/>
                <w:color w:val="auto"/>
                <w:lang w:val="en-US" w:eastAsia="zh-CN"/>
              </w:rPr>
              <w:t>福建省福州市福清市镜洋镇过洋39号（租赁福州清山压铸有限公司2#厂房、3#厂房）</w:t>
            </w:r>
            <w:r>
              <w:rPr>
                <w:rFonts w:hint="eastAsia" w:ascii="Times New Roman" w:hAnsi="Times New Roman" w:eastAsia="宋体" w:cs="宋体"/>
                <w:color w:val="auto"/>
                <w:highlight w:val="none"/>
                <w:lang w:val="en-US" w:eastAsia="zh-CN"/>
              </w:rPr>
              <w:t>，根据调查，</w:t>
            </w:r>
            <w:r>
              <w:rPr>
                <w:rFonts w:hint="eastAsia" w:cs="宋体"/>
                <w:color w:val="auto"/>
                <w:highlight w:val="none"/>
                <w:lang w:val="en-US" w:eastAsia="zh-CN"/>
              </w:rPr>
              <w:t>项目周边</w:t>
            </w:r>
            <w:r>
              <w:rPr>
                <w:rFonts w:hint="eastAsia" w:ascii="Times New Roman" w:hAnsi="Times New Roman" w:eastAsia="宋体" w:cs="宋体"/>
                <w:color w:val="auto"/>
                <w:highlight w:val="none"/>
                <w:lang w:val="en-US" w:eastAsia="zh-CN"/>
              </w:rPr>
              <w:t>以工业生产、仓储物流为主要功能，需要防止工业噪声对周围环境产生严重影响的区域。项目所在区域声环境为</w:t>
            </w:r>
            <w:r>
              <w:rPr>
                <w:rFonts w:hint="eastAsia" w:cs="宋体"/>
                <w:color w:val="auto"/>
                <w:highlight w:val="none"/>
                <w:lang w:val="en-US" w:eastAsia="zh-CN"/>
              </w:rPr>
              <w:t>3</w:t>
            </w:r>
            <w:r>
              <w:rPr>
                <w:rFonts w:hint="eastAsia" w:ascii="Times New Roman" w:hAnsi="Times New Roman" w:eastAsia="宋体" w:cs="宋体"/>
                <w:color w:val="auto"/>
                <w:highlight w:val="none"/>
                <w:lang w:val="en-US" w:eastAsia="zh-CN"/>
              </w:rPr>
              <w:t>类功能区，声环境功能执行《声环境质量标准》</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GB3096-2008</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表1中</w:t>
            </w:r>
            <w:r>
              <w:rPr>
                <w:rFonts w:hint="eastAsia" w:cs="宋体"/>
                <w:color w:val="auto"/>
                <w:highlight w:val="none"/>
                <w:lang w:val="en-US" w:eastAsia="zh-CN"/>
              </w:rPr>
              <w:t>3</w:t>
            </w:r>
            <w:r>
              <w:rPr>
                <w:rFonts w:hint="eastAsia" w:ascii="Times New Roman" w:hAnsi="Times New Roman" w:eastAsia="宋体" w:cs="宋体"/>
                <w:color w:val="auto"/>
                <w:highlight w:val="none"/>
                <w:lang w:val="en-US" w:eastAsia="zh-CN"/>
              </w:rPr>
              <w:t>类标准；</w:t>
            </w:r>
          </w:p>
          <w:p w14:paraId="2C471163">
            <w:pPr>
              <w:pStyle w:val="42"/>
              <w:keepNext/>
              <w:keepLines/>
              <w:pageBreakBefore w:val="0"/>
              <w:widowControl w:val="0"/>
              <w:numPr>
                <w:ilvl w:val="7"/>
                <w:numId w:val="11"/>
              </w:numPr>
              <w:tabs>
                <w:tab w:val="left" w:pos="0"/>
              </w:tabs>
              <w:kinsoku/>
              <w:wordWrap/>
              <w:overflowPunct/>
              <w:topLinePunct w:val="0"/>
              <w:autoSpaceDE/>
              <w:autoSpaceDN/>
              <w:bidi w:val="0"/>
              <w:adjustRightInd/>
              <w:snapToGrid/>
              <w:spacing w:before="0" w:after="0"/>
              <w:ind w:left="630" w:leftChars="0" w:firstLineChars="0"/>
              <w:textAlignment w:val="auto"/>
              <w:rPr>
                <w:rFonts w:hint="eastAsia" w:ascii="Times New Roman" w:hAnsi="Times New Roman" w:eastAsia="宋体"/>
                <w:color w:val="auto"/>
                <w:highlight w:val="none"/>
              </w:rPr>
            </w:pPr>
            <w:r>
              <w:rPr>
                <w:rFonts w:hint="eastAsia" w:ascii="Times New Roman" w:hAnsi="Times New Roman" w:eastAsia="宋体"/>
                <w:color w:val="auto"/>
                <w:highlight w:val="none"/>
              </w:rPr>
              <w:t>《声环境质量标准》</w:t>
            </w:r>
            <w:r>
              <w:rPr>
                <w:rFonts w:hint="eastAsia"/>
                <w:color w:val="auto"/>
                <w:highlight w:val="none"/>
                <w:lang w:eastAsia="zh-CN"/>
              </w:rPr>
              <w:t>(</w:t>
            </w:r>
            <w:r>
              <w:rPr>
                <w:rFonts w:hint="eastAsia" w:ascii="Times New Roman" w:hAnsi="Times New Roman" w:eastAsia="宋体"/>
                <w:color w:val="auto"/>
                <w:highlight w:val="none"/>
              </w:rPr>
              <w:t>GB3096-2008)</w:t>
            </w:r>
            <w:r>
              <w:rPr>
                <w:rFonts w:hint="eastAsia"/>
                <w:color w:val="auto"/>
                <w:highlight w:val="none"/>
                <w:lang w:eastAsia="zh-CN"/>
              </w:rPr>
              <w:t>(</w:t>
            </w:r>
            <w:r>
              <w:rPr>
                <w:rFonts w:hint="eastAsia" w:ascii="Times New Roman" w:hAnsi="Times New Roman" w:eastAsia="宋体"/>
                <w:color w:val="auto"/>
                <w:highlight w:val="none"/>
              </w:rPr>
              <w:t>摘录</w:t>
            </w:r>
            <w:r>
              <w:rPr>
                <w:rFonts w:hint="eastAsia"/>
                <w:color w:val="auto"/>
                <w:highlight w:val="none"/>
                <w:lang w:eastAsia="zh-CN"/>
              </w:rPr>
              <w:t>)</w:t>
            </w:r>
          </w:p>
          <w:tbl>
            <w:tblPr>
              <w:tblStyle w:val="33"/>
              <w:tblW w:w="5073" w:type="pct"/>
              <w:tblInd w:w="-79" w:type="dxa"/>
              <w:tblBorders>
                <w:top w:val="single" w:color="000000" w:sz="12" w:space="0"/>
                <w:left w:val="none" w:color="auto" w:sz="0" w:space="0"/>
                <w:bottom w:val="single" w:color="000000" w:sz="12" w:space="0"/>
                <w:right w:val="none" w:color="auto" w:sz="0" w:space="0"/>
                <w:insideH w:val="single" w:color="000000" w:sz="12" w:space="0"/>
                <w:insideV w:val="single" w:color="000000" w:sz="4" w:space="0"/>
              </w:tblBorders>
              <w:tblLayout w:type="autofit"/>
              <w:tblCellMar>
                <w:top w:w="0" w:type="dxa"/>
                <w:left w:w="0" w:type="dxa"/>
                <w:bottom w:w="0" w:type="dxa"/>
                <w:right w:w="0" w:type="dxa"/>
              </w:tblCellMar>
            </w:tblPr>
            <w:tblGrid>
              <w:gridCol w:w="1021"/>
              <w:gridCol w:w="4651"/>
              <w:gridCol w:w="1536"/>
              <w:gridCol w:w="1566"/>
            </w:tblGrid>
            <w:tr w14:paraId="5D6FD5DF">
              <w:tblPrEx>
                <w:tblBorders>
                  <w:top w:val="single" w:color="000000" w:sz="12" w:space="0"/>
                  <w:left w:val="none" w:color="auto" w:sz="0" w:space="0"/>
                  <w:bottom w:val="single" w:color="000000" w:sz="12" w:space="0"/>
                  <w:right w:val="none" w:color="auto" w:sz="0" w:space="0"/>
                  <w:insideH w:val="single" w:color="000000" w:sz="12" w:space="0"/>
                  <w:insideV w:val="single" w:color="000000" w:sz="4" w:space="0"/>
                </w:tblBorders>
                <w:tblCellMar>
                  <w:top w:w="0" w:type="dxa"/>
                  <w:left w:w="0" w:type="dxa"/>
                  <w:bottom w:w="0" w:type="dxa"/>
                  <w:right w:w="0" w:type="dxa"/>
                </w:tblCellMar>
              </w:tblPrEx>
              <w:trPr>
                <w:trHeight w:val="397" w:hRule="atLeast"/>
              </w:trPr>
              <w:tc>
                <w:tcPr>
                  <w:tcW w:w="582" w:type="pct"/>
                  <w:vMerge w:val="restart"/>
                  <w:tcBorders>
                    <w:bottom w:val="single" w:color="000000" w:sz="4" w:space="0"/>
                  </w:tcBorders>
                  <w:vAlign w:val="center"/>
                </w:tcPr>
                <w:p w14:paraId="2E0161BC">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1"/>
                    </w:rPr>
                  </w:pPr>
                  <w:r>
                    <w:rPr>
                      <w:rFonts w:ascii="Times New Roman" w:hAnsi="Times New Roman" w:eastAsia="宋体"/>
                      <w:color w:val="auto"/>
                      <w:spacing w:val="-6"/>
                      <w:sz w:val="21"/>
                    </w:rPr>
                    <w:t>标准</w:t>
                  </w:r>
                  <w:r>
                    <w:rPr>
                      <w:rFonts w:ascii="Times New Roman" w:hAnsi="Times New Roman" w:eastAsia="宋体"/>
                      <w:color w:val="auto"/>
                      <w:spacing w:val="-8"/>
                      <w:sz w:val="21"/>
                    </w:rPr>
                    <w:t>类别</w:t>
                  </w:r>
                </w:p>
              </w:tc>
              <w:tc>
                <w:tcPr>
                  <w:tcW w:w="2650" w:type="pct"/>
                  <w:vMerge w:val="restart"/>
                  <w:tcBorders>
                    <w:bottom w:val="single" w:color="000000" w:sz="4" w:space="0"/>
                  </w:tcBorders>
                  <w:vAlign w:val="center"/>
                </w:tcPr>
                <w:p w14:paraId="57C924E8">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z w:val="21"/>
                    </w:rPr>
                  </w:pPr>
                  <w:r>
                    <w:rPr>
                      <w:rFonts w:ascii="Times New Roman" w:hAnsi="Times New Roman" w:eastAsia="宋体"/>
                      <w:color w:val="auto"/>
                      <w:spacing w:val="-7"/>
                      <w:sz w:val="21"/>
                    </w:rPr>
                    <w:t>适用区域</w:t>
                  </w:r>
                </w:p>
              </w:tc>
              <w:tc>
                <w:tcPr>
                  <w:tcW w:w="1767" w:type="pct"/>
                  <w:gridSpan w:val="2"/>
                  <w:tcBorders>
                    <w:bottom w:val="single" w:color="000000" w:sz="4" w:space="0"/>
                  </w:tcBorders>
                  <w:vAlign w:val="center"/>
                </w:tcPr>
                <w:p w14:paraId="62B35395">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12"/>
                      <w:position w:val="2"/>
                      <w:sz w:val="21"/>
                    </w:rPr>
                  </w:pPr>
                  <w:r>
                    <w:rPr>
                      <w:rFonts w:ascii="Times New Roman" w:hAnsi="Times New Roman" w:eastAsia="宋体"/>
                      <w:color w:val="auto"/>
                      <w:spacing w:val="-12"/>
                      <w:position w:val="2"/>
                      <w:sz w:val="21"/>
                    </w:rPr>
                    <w:t xml:space="preserve">等效声级 </w:t>
                  </w:r>
                  <w:r>
                    <w:rPr>
                      <w:rFonts w:ascii="Times New Roman" w:hAnsi="Times New Roman" w:eastAsia="宋体"/>
                      <w:color w:val="auto"/>
                      <w:spacing w:val="-4"/>
                      <w:position w:val="2"/>
                      <w:sz w:val="21"/>
                    </w:rPr>
                    <w:t>L</w:t>
                  </w:r>
                  <w:r>
                    <w:rPr>
                      <w:rFonts w:ascii="Times New Roman" w:hAnsi="Times New Roman" w:eastAsia="宋体"/>
                      <w:color w:val="auto"/>
                      <w:spacing w:val="-4"/>
                      <w:sz w:val="13"/>
                    </w:rPr>
                    <w:t>eq</w:t>
                  </w:r>
                  <w:r>
                    <w:rPr>
                      <w:rFonts w:ascii="Times New Roman" w:hAnsi="Times New Roman" w:eastAsia="宋体"/>
                      <w:color w:val="auto"/>
                      <w:spacing w:val="-4"/>
                      <w:position w:val="2"/>
                      <w:sz w:val="21"/>
                    </w:rPr>
                    <w:t>(dB(A))</w:t>
                  </w:r>
                </w:p>
              </w:tc>
            </w:tr>
            <w:tr w14:paraId="7C3BD37A">
              <w:tblPrEx>
                <w:tblBorders>
                  <w:top w:val="single" w:color="000000" w:sz="12" w:space="0"/>
                  <w:left w:val="none" w:color="auto" w:sz="0" w:space="0"/>
                  <w:bottom w:val="single" w:color="000000" w:sz="12" w:space="0"/>
                  <w:right w:val="none" w:color="auto" w:sz="0" w:space="0"/>
                  <w:insideH w:val="single" w:color="000000" w:sz="12" w:space="0"/>
                  <w:insideV w:val="single" w:color="000000" w:sz="4" w:space="0"/>
                </w:tblBorders>
                <w:tblCellMar>
                  <w:top w:w="0" w:type="dxa"/>
                  <w:left w:w="0" w:type="dxa"/>
                  <w:bottom w:w="0" w:type="dxa"/>
                  <w:right w:w="0" w:type="dxa"/>
                </w:tblCellMar>
              </w:tblPrEx>
              <w:trPr>
                <w:trHeight w:val="397" w:hRule="atLeast"/>
              </w:trPr>
              <w:tc>
                <w:tcPr>
                  <w:tcW w:w="582" w:type="pct"/>
                  <w:vMerge w:val="continue"/>
                  <w:tcBorders>
                    <w:top w:val="single" w:color="000000" w:sz="4" w:space="0"/>
                    <w:tl2br w:val="nil"/>
                    <w:tr2bl w:val="nil"/>
                  </w:tcBorders>
                  <w:vAlign w:val="center"/>
                </w:tcPr>
                <w:p w14:paraId="54F5D50B">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
                      <w:szCs w:val="2"/>
                    </w:rPr>
                  </w:pPr>
                </w:p>
              </w:tc>
              <w:tc>
                <w:tcPr>
                  <w:tcW w:w="2650" w:type="pct"/>
                  <w:vMerge w:val="continue"/>
                  <w:tcBorders>
                    <w:top w:val="single" w:color="000000" w:sz="4" w:space="0"/>
                    <w:tl2br w:val="nil"/>
                    <w:tr2bl w:val="nil"/>
                  </w:tcBorders>
                  <w:vAlign w:val="center"/>
                </w:tcPr>
                <w:p w14:paraId="2C616C6C">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
                      <w:szCs w:val="2"/>
                    </w:rPr>
                  </w:pPr>
                </w:p>
              </w:tc>
              <w:tc>
                <w:tcPr>
                  <w:tcW w:w="875" w:type="pct"/>
                  <w:tcBorders>
                    <w:top w:val="single" w:color="000000" w:sz="4" w:space="0"/>
                    <w:tl2br w:val="nil"/>
                    <w:tr2bl w:val="nil"/>
                  </w:tcBorders>
                  <w:vAlign w:val="center"/>
                </w:tcPr>
                <w:p w14:paraId="7E6E641A">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z w:val="21"/>
                    </w:rPr>
                  </w:pPr>
                  <w:r>
                    <w:rPr>
                      <w:rFonts w:ascii="Times New Roman" w:hAnsi="Times New Roman" w:eastAsia="宋体"/>
                      <w:color w:val="auto"/>
                      <w:spacing w:val="-8"/>
                      <w:sz w:val="21"/>
                    </w:rPr>
                    <w:t>昼间</w:t>
                  </w:r>
                </w:p>
              </w:tc>
              <w:tc>
                <w:tcPr>
                  <w:tcW w:w="891" w:type="pct"/>
                  <w:tcBorders>
                    <w:top w:val="single" w:color="000000" w:sz="4" w:space="0"/>
                    <w:tl2br w:val="nil"/>
                    <w:tr2bl w:val="nil"/>
                  </w:tcBorders>
                  <w:vAlign w:val="center"/>
                </w:tcPr>
                <w:p w14:paraId="38EC9F72">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olor w:val="auto"/>
                      <w:spacing w:val="-8"/>
                      <w:sz w:val="21"/>
                      <w:lang w:val="en-US" w:eastAsia="zh-CN"/>
                    </w:rPr>
                  </w:pPr>
                  <w:r>
                    <w:rPr>
                      <w:rFonts w:hint="eastAsia" w:ascii="Times New Roman" w:hAnsi="Times New Roman" w:eastAsia="宋体"/>
                      <w:color w:val="auto"/>
                      <w:spacing w:val="-8"/>
                      <w:sz w:val="21"/>
                      <w:lang w:val="en-US" w:eastAsia="zh-CN"/>
                    </w:rPr>
                    <w:t>夜间</w:t>
                  </w:r>
                </w:p>
              </w:tc>
            </w:tr>
            <w:tr w14:paraId="11EB6D80">
              <w:tblPrEx>
                <w:tblBorders>
                  <w:top w:val="single" w:color="000000" w:sz="12" w:space="0"/>
                  <w:left w:val="none" w:color="auto" w:sz="0" w:space="0"/>
                  <w:bottom w:val="single" w:color="000000" w:sz="12" w:space="0"/>
                  <w:right w:val="none" w:color="auto" w:sz="0" w:space="0"/>
                  <w:insideH w:val="single" w:color="000000" w:sz="12" w:space="0"/>
                  <w:insideV w:val="single" w:color="000000" w:sz="4" w:space="0"/>
                </w:tblBorders>
                <w:tblCellMar>
                  <w:top w:w="0" w:type="dxa"/>
                  <w:left w:w="0" w:type="dxa"/>
                  <w:bottom w:w="0" w:type="dxa"/>
                  <w:right w:w="0" w:type="dxa"/>
                </w:tblCellMar>
              </w:tblPrEx>
              <w:trPr>
                <w:trHeight w:val="679" w:hRule="atLeast"/>
              </w:trPr>
              <w:tc>
                <w:tcPr>
                  <w:tcW w:w="582" w:type="pct"/>
                  <w:tcBorders>
                    <w:tl2br w:val="nil"/>
                    <w:tr2bl w:val="nil"/>
                  </w:tcBorders>
                  <w:vAlign w:val="center"/>
                </w:tcPr>
                <w:p w14:paraId="628451F7">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olor w:val="auto"/>
                      <w:spacing w:val="-10"/>
                      <w:sz w:val="21"/>
                      <w:lang w:val="en-US" w:eastAsia="zh-CN"/>
                    </w:rPr>
                  </w:pPr>
                  <w:r>
                    <w:rPr>
                      <w:rFonts w:hint="eastAsia" w:ascii="Times New Roman" w:hAnsi="Times New Roman"/>
                      <w:color w:val="auto"/>
                      <w:spacing w:val="-10"/>
                      <w:sz w:val="21"/>
                      <w:lang w:val="en-US" w:eastAsia="zh-CN"/>
                    </w:rPr>
                    <w:t>3</w:t>
                  </w:r>
                </w:p>
              </w:tc>
              <w:tc>
                <w:tcPr>
                  <w:tcW w:w="2650" w:type="pct"/>
                  <w:tcBorders>
                    <w:tl2br w:val="nil"/>
                    <w:tr2bl w:val="nil"/>
                  </w:tcBorders>
                  <w:vAlign w:val="center"/>
                </w:tcPr>
                <w:p w14:paraId="51906F0A">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3"/>
                      <w:sz w:val="21"/>
                    </w:rPr>
                  </w:pPr>
                  <w:r>
                    <w:rPr>
                      <w:rFonts w:hint="eastAsia" w:ascii="Times New Roman" w:hAnsi="Times New Roman" w:eastAsia="宋体"/>
                      <w:color w:val="auto"/>
                      <w:spacing w:val="-3"/>
                      <w:sz w:val="21"/>
                    </w:rPr>
                    <w:t>指</w:t>
                  </w:r>
                  <w:r>
                    <w:rPr>
                      <w:rFonts w:hint="eastAsia" w:ascii="Times New Roman" w:hAnsi="Times New Roman" w:eastAsia="宋体"/>
                      <w:color w:val="auto"/>
                      <w:spacing w:val="-3"/>
                      <w:sz w:val="21"/>
                      <w:lang w:val="en-US" w:eastAsia="zh-CN"/>
                    </w:rPr>
                    <w:t>以工业生产、仓储物流为主要功能，需要防止工业噪声对周围环境产生严重影响的区域。</w:t>
                  </w:r>
                </w:p>
              </w:tc>
              <w:tc>
                <w:tcPr>
                  <w:tcW w:w="875" w:type="pct"/>
                  <w:tcBorders>
                    <w:tl2br w:val="nil"/>
                    <w:tr2bl w:val="nil"/>
                  </w:tcBorders>
                  <w:vAlign w:val="center"/>
                </w:tcPr>
                <w:p w14:paraId="0990A5CE">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ascii="Times New Roman" w:hAnsi="Times New Roman" w:eastAsia="宋体"/>
                      <w:color w:val="auto"/>
                      <w:spacing w:val="-5"/>
                      <w:sz w:val="21"/>
                      <w:lang w:eastAsia="zh-CN"/>
                    </w:rPr>
                  </w:pPr>
                  <w:r>
                    <w:rPr>
                      <w:rFonts w:ascii="Times New Roman" w:hAnsi="Times New Roman" w:eastAsia="宋体"/>
                      <w:color w:val="auto"/>
                      <w:spacing w:val="-5"/>
                      <w:sz w:val="21"/>
                    </w:rPr>
                    <w:t>≤6</w:t>
                  </w:r>
                  <w:r>
                    <w:rPr>
                      <w:rFonts w:hint="eastAsia" w:ascii="Times New Roman" w:hAnsi="Times New Roman"/>
                      <w:color w:val="auto"/>
                      <w:spacing w:val="-5"/>
                      <w:sz w:val="21"/>
                      <w:lang w:val="en-US" w:eastAsia="zh-CN"/>
                    </w:rPr>
                    <w:t>5</w:t>
                  </w:r>
                </w:p>
              </w:tc>
              <w:tc>
                <w:tcPr>
                  <w:tcW w:w="891" w:type="pct"/>
                  <w:tcBorders>
                    <w:tl2br w:val="nil"/>
                    <w:tr2bl w:val="nil"/>
                  </w:tcBorders>
                  <w:vAlign w:val="center"/>
                </w:tcPr>
                <w:p w14:paraId="29B974EC">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olor w:val="auto"/>
                      <w:spacing w:val="-5"/>
                      <w:sz w:val="21"/>
                      <w:lang w:val="en-US" w:eastAsia="zh-CN"/>
                    </w:rPr>
                  </w:pPr>
                  <w:r>
                    <w:rPr>
                      <w:rFonts w:ascii="Times New Roman" w:hAnsi="Times New Roman" w:eastAsia="宋体"/>
                      <w:color w:val="auto"/>
                      <w:spacing w:val="-5"/>
                      <w:sz w:val="21"/>
                    </w:rPr>
                    <w:t>≤</w:t>
                  </w:r>
                  <w:r>
                    <w:rPr>
                      <w:rFonts w:hint="eastAsia" w:ascii="Times New Roman" w:hAnsi="Times New Roman" w:eastAsia="宋体"/>
                      <w:color w:val="auto"/>
                      <w:spacing w:val="-5"/>
                      <w:sz w:val="21"/>
                      <w:lang w:val="en-US" w:eastAsia="zh-CN"/>
                    </w:rPr>
                    <w:t>5</w:t>
                  </w:r>
                  <w:r>
                    <w:rPr>
                      <w:rFonts w:hint="eastAsia" w:ascii="Times New Roman" w:hAnsi="Times New Roman"/>
                      <w:color w:val="auto"/>
                      <w:spacing w:val="-5"/>
                      <w:sz w:val="21"/>
                      <w:lang w:val="en-US" w:eastAsia="zh-CN"/>
                    </w:rPr>
                    <w:t>5</w:t>
                  </w:r>
                </w:p>
              </w:tc>
            </w:tr>
          </w:tbl>
          <w:p w14:paraId="3DBA43BF">
            <w:pPr>
              <w:pStyle w:val="44"/>
              <w:numPr>
                <w:ilvl w:val="0"/>
                <w:numId w:val="12"/>
              </w:numPr>
              <w:autoSpaceDE w:val="0"/>
              <w:autoSpaceDN w:val="0"/>
              <w:spacing w:before="120" w:beforeLines="50"/>
              <w:ind w:left="425" w:leftChars="0" w:hanging="425" w:firstLineChars="0"/>
              <w:rPr>
                <w:rFonts w:hint="eastAsia"/>
                <w:color w:val="auto"/>
                <w:highlight w:val="none"/>
              </w:rPr>
            </w:pPr>
            <w:r>
              <w:rPr>
                <w:rFonts w:hint="eastAsia"/>
                <w:color w:val="auto"/>
                <w:highlight w:val="none"/>
              </w:rPr>
              <w:t>声环境质量现状</w:t>
            </w:r>
          </w:p>
          <w:p w14:paraId="269D43E3">
            <w:pPr>
              <w:pStyle w:val="44"/>
              <w:shd w:val="clear"/>
              <w:bidi w:val="0"/>
              <w:rPr>
                <w:rFonts w:hint="default" w:ascii="Times New Roman" w:hAnsi="Times New Roman" w:eastAsia="宋体" w:cs="宋体"/>
                <w:color w:val="auto"/>
                <w:highlight w:val="none"/>
                <w:lang w:val="en-US" w:eastAsia="zh-CN"/>
              </w:rPr>
            </w:pPr>
            <w:r>
              <w:rPr>
                <w:rFonts w:hint="default" w:ascii="Times New Roman" w:hAnsi="Times New Roman" w:eastAsia="宋体" w:cs="宋体"/>
                <w:color w:val="auto"/>
                <w:highlight w:val="none"/>
                <w:lang w:val="en-US" w:eastAsia="zh-CN"/>
              </w:rPr>
              <w:t>根据生态环境部环境工程评估中心《建设项目环境影响报告表》内容、格式及编制技术指南常见问题解答厂界外周边50米范围内存在声环境保护目标的建设项目，应监测声环境质量现状，监测点位为声环境保护目标处。厂界外周边50米范围内无声环境保护目标的建设项目，不再要求提供声环境质量现状监测数据。</w:t>
            </w:r>
          </w:p>
          <w:p w14:paraId="67CC1275">
            <w:pPr>
              <w:pStyle w:val="44"/>
              <w:shd w:val="clear"/>
              <w:bidi w:val="0"/>
              <w:rPr>
                <w:rFonts w:hint="default" w:ascii="Times New Roman" w:hAnsi="Times New Roman" w:eastAsia="宋体" w:cs="宋体"/>
                <w:color w:val="auto"/>
                <w:highlight w:val="none"/>
                <w:lang w:val="en-US" w:eastAsia="zh-CN"/>
              </w:rPr>
            </w:pPr>
            <w:r>
              <w:rPr>
                <w:rFonts w:hint="default" w:ascii="Times New Roman" w:hAnsi="Times New Roman" w:eastAsia="宋体" w:cs="宋体"/>
                <w:color w:val="auto"/>
                <w:highlight w:val="none"/>
                <w:lang w:val="en-US" w:eastAsia="zh-CN"/>
              </w:rPr>
              <w:t>根据现场踏勘可知，项目周边50米范围内无声环境保护目标，可不进行声环境质量现状的监测。</w:t>
            </w:r>
          </w:p>
          <w:p w14:paraId="056B7564">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生态环境</w:t>
            </w:r>
          </w:p>
          <w:p w14:paraId="06BE3C59">
            <w:pPr>
              <w:pStyle w:val="44"/>
              <w:keepNext w:val="0"/>
              <w:keepLines w:val="0"/>
              <w:pageBreakBefore w:val="0"/>
              <w:widowControl w:val="0"/>
              <w:kinsoku/>
              <w:wordWrap/>
              <w:overflowPunct/>
              <w:topLinePunct w:val="0"/>
              <w:autoSpaceDE w:val="0"/>
              <w:autoSpaceDN w:val="0"/>
              <w:bidi w:val="0"/>
              <w:adjustRightInd/>
              <w:snapToGrid/>
              <w:ind w:firstLine="480"/>
              <w:textAlignment w:val="auto"/>
              <w:rPr>
                <w:color w:val="auto"/>
                <w:highlight w:val="none"/>
              </w:rPr>
            </w:pPr>
            <w:r>
              <w:rPr>
                <w:rFonts w:hint="eastAsia"/>
                <w:color w:val="auto"/>
                <w:highlight w:val="none"/>
              </w:rPr>
              <w:t>根据《建设项目环境影响报告表编制技术指南（污染影响类）（试行）》</w:t>
            </w:r>
            <w:r>
              <w:rPr>
                <w:rFonts w:hint="eastAsia"/>
                <w:color w:val="auto"/>
                <w:highlight w:val="none"/>
                <w:lang w:eastAsia="zh-CN"/>
              </w:rPr>
              <w:t>，</w:t>
            </w:r>
            <w:r>
              <w:rPr>
                <w:rFonts w:hint="eastAsia"/>
                <w:color w:val="auto"/>
                <w:highlight w:val="none"/>
              </w:rPr>
              <w:t>“产业园区外建设项目新增用地且用地范围内含生态环境保护目标时，应进行生态现状调查”。本项目位于</w:t>
            </w:r>
            <w:r>
              <w:rPr>
                <w:rFonts w:hint="eastAsia"/>
                <w:color w:val="auto"/>
                <w:highlight w:val="none"/>
                <w:lang w:eastAsia="zh-CN"/>
              </w:rPr>
              <w:t>福清市镜洋镇过洋39号</w:t>
            </w:r>
            <w:r>
              <w:rPr>
                <w:rFonts w:hint="eastAsia"/>
                <w:color w:val="auto"/>
                <w:highlight w:val="none"/>
              </w:rPr>
              <w:t>，</w:t>
            </w:r>
            <w:r>
              <w:rPr>
                <w:rFonts w:hint="eastAsia"/>
                <w:color w:val="auto"/>
                <w:highlight w:val="none"/>
                <w:lang w:val="en-US" w:eastAsia="zh-CN"/>
              </w:rPr>
              <w:t>厂房已建设，</w:t>
            </w:r>
            <w:r>
              <w:rPr>
                <w:rFonts w:hint="eastAsia"/>
                <w:color w:val="auto"/>
                <w:highlight w:val="none"/>
              </w:rPr>
              <w:t>用地范围内无生态环境保护目标，无需进行生态现状调查。</w:t>
            </w:r>
          </w:p>
          <w:p w14:paraId="046D8D90">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地下水、土壤环境</w:t>
            </w:r>
          </w:p>
          <w:p w14:paraId="652060F2">
            <w:pPr>
              <w:pStyle w:val="44"/>
              <w:keepNext w:val="0"/>
              <w:keepLines w:val="0"/>
              <w:pageBreakBefore w:val="0"/>
              <w:widowControl w:val="0"/>
              <w:kinsoku/>
              <w:wordWrap/>
              <w:overflowPunct/>
              <w:topLinePunct w:val="0"/>
              <w:autoSpaceDE w:val="0"/>
              <w:autoSpaceDN w:val="0"/>
              <w:bidi w:val="0"/>
              <w:adjustRightInd/>
              <w:snapToGrid/>
              <w:ind w:firstLine="480"/>
              <w:textAlignment w:val="auto"/>
              <w:rPr>
                <w:color w:val="auto"/>
                <w:highlight w:val="none"/>
              </w:rPr>
            </w:pPr>
            <w:r>
              <w:rPr>
                <w:color w:val="auto"/>
                <w:highlight w:val="none"/>
              </w:rPr>
              <w:t>根据</w:t>
            </w:r>
            <w:r>
              <w:rPr>
                <w:rFonts w:hint="eastAsia"/>
                <w:color w:val="auto"/>
                <w:highlight w:val="none"/>
              </w:rPr>
              <w:t>《建设项目环境影响报告表编制技术指南（污染影响类）</w:t>
            </w:r>
            <w:r>
              <w:rPr>
                <w:rFonts w:hint="eastAsia"/>
                <w:color w:val="auto"/>
                <w:highlight w:val="none"/>
                <w:lang w:eastAsia="zh-CN"/>
              </w:rPr>
              <w:t>（试行）》</w:t>
            </w:r>
            <w:r>
              <w:rPr>
                <w:color w:val="auto"/>
                <w:highlight w:val="none"/>
              </w:rPr>
              <w:t>中表明：原则上不开展地下水、土壤环境质量现状调查</w:t>
            </w:r>
            <w:r>
              <w:rPr>
                <w:rFonts w:hint="eastAsia"/>
                <w:color w:val="auto"/>
                <w:highlight w:val="none"/>
              </w:rPr>
              <w:t>。本项目厂区车间经分区防渗后，项目基本不会对土壤、地下水产生影响。且项目</w:t>
            </w:r>
            <w:r>
              <w:rPr>
                <w:color w:val="auto"/>
                <w:highlight w:val="none"/>
              </w:rPr>
              <w:t>厂界外500</w:t>
            </w:r>
            <w:r>
              <w:rPr>
                <w:rFonts w:hint="eastAsia"/>
                <w:color w:val="auto"/>
                <w:highlight w:val="none"/>
              </w:rPr>
              <w:t>m</w:t>
            </w:r>
            <w:r>
              <w:rPr>
                <w:color w:val="auto"/>
                <w:highlight w:val="none"/>
              </w:rPr>
              <w:t>范围内无地下水集中式饮用水水源和热水、矿泉水、泉水等特殊地下水资源。因此，本项目不</w:t>
            </w:r>
            <w:r>
              <w:rPr>
                <w:rFonts w:hint="eastAsia"/>
                <w:color w:val="auto"/>
                <w:highlight w:val="none"/>
              </w:rPr>
              <w:t>开展</w:t>
            </w:r>
            <w:r>
              <w:rPr>
                <w:color w:val="auto"/>
                <w:highlight w:val="none"/>
              </w:rPr>
              <w:t>地下水、土壤环境质量现状</w:t>
            </w:r>
            <w:r>
              <w:rPr>
                <w:rFonts w:hint="eastAsia"/>
                <w:color w:val="auto"/>
                <w:highlight w:val="none"/>
              </w:rPr>
              <w:t>调查</w:t>
            </w:r>
            <w:r>
              <w:rPr>
                <w:color w:val="auto"/>
                <w:highlight w:val="none"/>
              </w:rPr>
              <w:t>。</w:t>
            </w:r>
          </w:p>
        </w:tc>
      </w:tr>
    </w:tbl>
    <w:p w14:paraId="0227D9CD">
      <w:pPr>
        <w:rPr>
          <w:color w:val="auto"/>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tbl>
      <w:tblPr>
        <w:tblStyle w:val="33"/>
        <w:tblW w:w="899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35"/>
      </w:tblGrid>
      <w:tr w14:paraId="3AFD3D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68" w:hRule="atLeast"/>
          <w:jc w:val="center"/>
        </w:trPr>
        <w:tc>
          <w:tcPr>
            <w:tcW w:w="800" w:type="dxa"/>
            <w:vAlign w:val="center"/>
          </w:tcPr>
          <w:p w14:paraId="3B37A838">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环境</w:t>
            </w:r>
          </w:p>
          <w:p w14:paraId="61B30899">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保护</w:t>
            </w:r>
          </w:p>
          <w:p w14:paraId="6B21EC77">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目标</w:t>
            </w:r>
          </w:p>
        </w:tc>
        <w:tc>
          <w:tcPr>
            <w:tcW w:w="8190" w:type="dxa"/>
            <w:vAlign w:val="center"/>
          </w:tcPr>
          <w:p w14:paraId="3D869A88">
            <w:pPr>
              <w:pStyle w:val="3"/>
              <w:numPr>
                <w:ilvl w:val="1"/>
                <w:numId w:val="1"/>
              </w:numPr>
              <w:bidi w:val="0"/>
              <w:ind w:left="0" w:leftChars="0" w:firstLine="0" w:firstLineChars="0"/>
              <w:rPr>
                <w:color w:val="auto"/>
                <w:highlight w:val="none"/>
              </w:rPr>
            </w:pPr>
            <w:bookmarkStart w:id="30" w:name="_Toc15528"/>
            <w:r>
              <w:rPr>
                <w:rFonts w:hint="eastAsia"/>
                <w:color w:val="auto"/>
                <w:highlight w:val="none"/>
              </w:rPr>
              <w:t>环境保护目标</w:t>
            </w:r>
            <w:bookmarkEnd w:id="30"/>
          </w:p>
          <w:p w14:paraId="4B4B6312">
            <w:pPr>
              <w:pStyle w:val="4"/>
              <w:bidi w:val="0"/>
              <w:rPr>
                <w:rFonts w:hint="default"/>
                <w:color w:val="auto"/>
                <w:highlight w:val="none"/>
                <w:lang w:val="en-US" w:eastAsia="zh-CN"/>
              </w:rPr>
            </w:pPr>
            <w:r>
              <w:rPr>
                <w:rFonts w:hint="eastAsia"/>
                <w:color w:val="auto"/>
                <w:highlight w:val="none"/>
                <w:lang w:val="en-US" w:eastAsia="zh-CN"/>
              </w:rPr>
              <w:t>环境敏感目标</w:t>
            </w:r>
          </w:p>
          <w:p w14:paraId="3D2FB0F1">
            <w:pPr>
              <w:pStyle w:val="44"/>
              <w:bidi w:val="0"/>
              <w:rPr>
                <w:color w:val="auto"/>
                <w:highlight w:val="none"/>
              </w:rPr>
            </w:pPr>
            <w:r>
              <w:rPr>
                <w:rFonts w:hint="default" w:ascii="Times New Roman" w:hAnsi="Times New Roman" w:cs="Times New Roman"/>
                <w:color w:val="auto"/>
                <w:highlight w:val="none"/>
                <w:lang w:val="en-US" w:eastAsia="zh-CN"/>
              </w:rPr>
              <w:t>本项目位于</w:t>
            </w:r>
            <w:r>
              <w:rPr>
                <w:rFonts w:hint="eastAsia"/>
                <w:color w:val="auto"/>
                <w:lang w:val="en-US" w:eastAsia="zh-CN"/>
              </w:rPr>
              <w:t>福建省福州市福清市镜洋镇过洋39号（租赁福州清山压铸有限公司2#厂房、3#厂房）</w:t>
            </w:r>
            <w:r>
              <w:rPr>
                <w:rFonts w:hint="eastAsia" w:ascii="Times New Roman" w:hAnsi="Times New Roman" w:cs="Times New Roman"/>
                <w:color w:val="auto"/>
                <w:highlight w:val="none"/>
                <w:lang w:val="en-US" w:eastAsia="zh-CN"/>
              </w:rPr>
              <w:t>，</w:t>
            </w:r>
            <w:r>
              <w:rPr>
                <w:rFonts w:hint="eastAsia"/>
                <w:color w:val="auto"/>
                <w:highlight w:val="none"/>
              </w:rPr>
              <w:t>项目评价范围内不涉及自然保护区、风景名胜区、文物古迹等敏感目标。本项目周边环境敏感目标详见</w:t>
            </w:r>
            <w:r>
              <w:rPr>
                <w:rFonts w:hint="eastAsia"/>
                <w:color w:val="auto"/>
                <w:highlight w:val="none"/>
                <w:lang w:val="en-US" w:eastAsia="zh-CN"/>
              </w:rPr>
              <w:t>下表</w:t>
            </w:r>
            <w:r>
              <w:rPr>
                <w:rFonts w:hint="eastAsia"/>
                <w:color w:val="auto"/>
                <w:highlight w:val="none"/>
              </w:rPr>
              <w:t>和附图2。</w:t>
            </w:r>
          </w:p>
          <w:p w14:paraId="085D1FE8">
            <w:pPr>
              <w:pStyle w:val="42"/>
              <w:keepNext/>
              <w:keepLines/>
              <w:pageBreakBefore w:val="0"/>
              <w:widowControl w:val="0"/>
              <w:numPr>
                <w:ilvl w:val="7"/>
                <w:numId w:val="1"/>
              </w:numPr>
              <w:kinsoku/>
              <w:wordWrap/>
              <w:overflowPunct/>
              <w:topLinePunct w:val="0"/>
              <w:autoSpaceDE/>
              <w:autoSpaceDN/>
              <w:bidi w:val="0"/>
              <w:adjustRightInd/>
              <w:snapToGrid/>
              <w:spacing w:before="0" w:after="0"/>
              <w:ind w:left="630" w:leftChars="0" w:firstLine="0" w:firstLineChars="0"/>
              <w:textAlignment w:val="auto"/>
              <w:rPr>
                <w:color w:val="auto"/>
                <w:highlight w:val="none"/>
              </w:rPr>
            </w:pPr>
            <w:bookmarkStart w:id="31" w:name="_Ref4901"/>
            <w:r>
              <w:rPr>
                <w:rFonts w:hint="eastAsia"/>
                <w:color w:val="auto"/>
                <w:highlight w:val="none"/>
              </w:rPr>
              <w:t>本项目周边环境敏感目标一览表</w:t>
            </w:r>
            <w:bookmarkEnd w:id="31"/>
          </w:p>
          <w:tbl>
            <w:tblPr>
              <w:tblStyle w:val="84"/>
              <w:tblW w:w="4998"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05"/>
              <w:gridCol w:w="1554"/>
              <w:gridCol w:w="1751"/>
              <w:gridCol w:w="1515"/>
              <w:gridCol w:w="2591"/>
            </w:tblGrid>
            <w:tr w14:paraId="171949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79" w:hRule="atLeast"/>
              </w:trPr>
              <w:tc>
                <w:tcPr>
                  <w:tcW w:w="597" w:type="pct"/>
                  <w:tcBorders>
                    <w:bottom w:val="single" w:color="000000" w:sz="12" w:space="0"/>
                  </w:tcBorders>
                  <w:vAlign w:val="center"/>
                </w:tcPr>
                <w:p w14:paraId="654E53FE">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环境要素</w:t>
                  </w:r>
                </w:p>
              </w:tc>
              <w:tc>
                <w:tcPr>
                  <w:tcW w:w="923" w:type="pct"/>
                  <w:tcBorders>
                    <w:bottom w:val="single" w:color="000000" w:sz="12" w:space="0"/>
                  </w:tcBorders>
                  <w:vAlign w:val="center"/>
                </w:tcPr>
                <w:p w14:paraId="63F06FA5">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环境保护对象名称</w:t>
                  </w:r>
                </w:p>
              </w:tc>
              <w:tc>
                <w:tcPr>
                  <w:tcW w:w="1040" w:type="pct"/>
                  <w:tcBorders>
                    <w:bottom w:val="single" w:color="000000" w:sz="12" w:space="0"/>
                  </w:tcBorders>
                  <w:vAlign w:val="center"/>
                </w:tcPr>
                <w:p w14:paraId="0B5721F3">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与项目厂界的方位和最近距离</w:t>
                  </w:r>
                </w:p>
              </w:tc>
              <w:tc>
                <w:tcPr>
                  <w:tcW w:w="900" w:type="pct"/>
                  <w:tcBorders>
                    <w:bottom w:val="single" w:color="000000" w:sz="12" w:space="0"/>
                  </w:tcBorders>
                  <w:vAlign w:val="center"/>
                </w:tcPr>
                <w:p w14:paraId="51651618">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基本特征</w:t>
                  </w:r>
                </w:p>
              </w:tc>
              <w:tc>
                <w:tcPr>
                  <w:tcW w:w="1539" w:type="pct"/>
                  <w:tcBorders>
                    <w:bottom w:val="single" w:color="000000" w:sz="12" w:space="0"/>
                  </w:tcBorders>
                  <w:vAlign w:val="center"/>
                </w:tcPr>
                <w:p w14:paraId="0403EE9E">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环境功能</w:t>
                  </w:r>
                </w:p>
              </w:tc>
            </w:tr>
            <w:tr w14:paraId="40F41AE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597" w:type="pct"/>
                  <w:vMerge w:val="restart"/>
                  <w:tcBorders>
                    <w:top w:val="single" w:color="000000" w:sz="12" w:space="0"/>
                    <w:tl2br w:val="nil"/>
                    <w:tr2bl w:val="nil"/>
                  </w:tcBorders>
                  <w:vAlign w:val="center"/>
                </w:tcPr>
                <w:p w14:paraId="3D8EAC53">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环境空气</w:t>
                  </w:r>
                </w:p>
              </w:tc>
              <w:tc>
                <w:tcPr>
                  <w:tcW w:w="923" w:type="pct"/>
                  <w:tcBorders>
                    <w:top w:val="single" w:color="000000" w:sz="12" w:space="0"/>
                    <w:tl2br w:val="nil"/>
                    <w:tr2bl w:val="nil"/>
                  </w:tcBorders>
                  <w:vAlign w:val="center"/>
                </w:tcPr>
                <w:p w14:paraId="40D6A38B">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cs="Times New Roman"/>
                      <w:snapToGrid/>
                      <w:color w:val="auto"/>
                      <w:kern w:val="2"/>
                      <w:sz w:val="21"/>
                      <w:szCs w:val="21"/>
                      <w:lang w:val="en-US" w:eastAsia="zh-CN"/>
                    </w:rPr>
                    <w:t>上井</w:t>
                  </w:r>
                </w:p>
              </w:tc>
              <w:tc>
                <w:tcPr>
                  <w:tcW w:w="1040" w:type="pct"/>
                  <w:tcBorders>
                    <w:top w:val="single" w:color="000000" w:sz="12" w:space="0"/>
                    <w:tl2br w:val="nil"/>
                    <w:tr2bl w:val="nil"/>
                  </w:tcBorders>
                  <w:vAlign w:val="center"/>
                </w:tcPr>
                <w:p w14:paraId="602198E9">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cs="Times New Roman"/>
                      <w:snapToGrid/>
                      <w:color w:val="auto"/>
                      <w:kern w:val="2"/>
                      <w:sz w:val="21"/>
                      <w:szCs w:val="21"/>
                      <w:lang w:val="en-US" w:eastAsia="zh-CN"/>
                    </w:rPr>
                    <w:t>北</w:t>
                  </w:r>
                  <w:r>
                    <w:rPr>
                      <w:rFonts w:hint="eastAsia" w:ascii="Times New Roman" w:hAnsi="Times New Roman" w:eastAsia="宋体" w:cs="Times New Roman"/>
                      <w:snapToGrid/>
                      <w:color w:val="auto"/>
                      <w:kern w:val="2"/>
                      <w:sz w:val="21"/>
                      <w:szCs w:val="21"/>
                      <w:lang w:val="en-US" w:eastAsia="zh-CN"/>
                    </w:rPr>
                    <w:t>侧</w:t>
                  </w:r>
                  <w:r>
                    <w:rPr>
                      <w:rFonts w:hint="eastAsia" w:cs="Times New Roman"/>
                      <w:snapToGrid/>
                      <w:color w:val="auto"/>
                      <w:kern w:val="2"/>
                      <w:sz w:val="21"/>
                      <w:szCs w:val="21"/>
                      <w:lang w:val="en-US" w:eastAsia="zh-CN"/>
                    </w:rPr>
                    <w:t>230</w:t>
                  </w:r>
                  <w:r>
                    <w:rPr>
                      <w:rFonts w:hint="eastAsia" w:ascii="Times New Roman" w:hAnsi="Times New Roman" w:eastAsia="宋体" w:cs="Times New Roman"/>
                      <w:snapToGrid/>
                      <w:color w:val="auto"/>
                      <w:kern w:val="2"/>
                      <w:sz w:val="21"/>
                      <w:szCs w:val="21"/>
                      <w:lang w:val="en-US" w:eastAsia="zh-CN"/>
                    </w:rPr>
                    <w:t>m</w:t>
                  </w:r>
                </w:p>
              </w:tc>
              <w:tc>
                <w:tcPr>
                  <w:tcW w:w="900" w:type="pct"/>
                  <w:tcBorders>
                    <w:top w:val="single" w:color="000000" w:sz="12" w:space="0"/>
                    <w:tl2br w:val="nil"/>
                    <w:tr2bl w:val="nil"/>
                  </w:tcBorders>
                  <w:vAlign w:val="center"/>
                </w:tcPr>
                <w:p w14:paraId="430C4825">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居民区</w:t>
                  </w:r>
                </w:p>
              </w:tc>
              <w:tc>
                <w:tcPr>
                  <w:tcW w:w="1539" w:type="pct"/>
                  <w:vMerge w:val="restart"/>
                  <w:tcBorders>
                    <w:top w:val="single" w:color="000000" w:sz="12" w:space="0"/>
                    <w:tl2br w:val="nil"/>
                    <w:tr2bl w:val="nil"/>
                  </w:tcBorders>
                  <w:vAlign w:val="center"/>
                </w:tcPr>
                <w:p w14:paraId="0FA103DC">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《环境空气质量标准》</w:t>
                  </w:r>
                </w:p>
                <w:p w14:paraId="42ED0780">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(GB3095-2012</w:t>
                  </w:r>
                  <w:r>
                    <w:rPr>
                      <w:rFonts w:hint="eastAsia" w:cs="Times New Roman"/>
                      <w:snapToGrid/>
                      <w:color w:val="auto"/>
                      <w:kern w:val="2"/>
                      <w:sz w:val="21"/>
                      <w:szCs w:val="21"/>
                      <w:lang w:val="en-US" w:eastAsia="zh-CN"/>
                    </w:rPr>
                    <w:t>)</w:t>
                  </w:r>
                  <w:r>
                    <w:rPr>
                      <w:rFonts w:hint="default" w:ascii="Times New Roman" w:hAnsi="Times New Roman" w:eastAsia="宋体" w:cs="Times New Roman"/>
                      <w:snapToGrid/>
                      <w:color w:val="auto"/>
                      <w:kern w:val="2"/>
                      <w:sz w:val="21"/>
                      <w:szCs w:val="21"/>
                      <w:lang w:val="en-US" w:eastAsia="zh-CN"/>
                    </w:rPr>
                    <w:t>及其修改单中的二级标准</w:t>
                  </w:r>
                </w:p>
              </w:tc>
            </w:tr>
            <w:tr w14:paraId="4989E7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597" w:type="pct"/>
                  <w:vMerge w:val="continue"/>
                  <w:tcBorders>
                    <w:tl2br w:val="nil"/>
                    <w:tr2bl w:val="nil"/>
                  </w:tcBorders>
                  <w:vAlign w:val="center"/>
                </w:tcPr>
                <w:p w14:paraId="7B4EA4B1">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p>
              </w:tc>
              <w:tc>
                <w:tcPr>
                  <w:tcW w:w="923" w:type="pct"/>
                  <w:tcBorders>
                    <w:tl2br w:val="nil"/>
                    <w:tr2bl w:val="nil"/>
                  </w:tcBorders>
                  <w:vAlign w:val="center"/>
                </w:tcPr>
                <w:p w14:paraId="3EF4AD6A">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cs="Times New Roman"/>
                      <w:snapToGrid/>
                      <w:color w:val="auto"/>
                      <w:kern w:val="2"/>
                      <w:sz w:val="21"/>
                      <w:szCs w:val="21"/>
                      <w:lang w:val="en-US" w:eastAsia="zh-CN"/>
                    </w:rPr>
                    <w:t>过洋</w:t>
                  </w:r>
                </w:p>
              </w:tc>
              <w:tc>
                <w:tcPr>
                  <w:tcW w:w="1040" w:type="pct"/>
                  <w:tcBorders>
                    <w:tl2br w:val="nil"/>
                    <w:tr2bl w:val="nil"/>
                  </w:tcBorders>
                  <w:vAlign w:val="center"/>
                </w:tcPr>
                <w:p w14:paraId="7EB9958B">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东侧</w:t>
                  </w:r>
                  <w:r>
                    <w:rPr>
                      <w:rFonts w:hint="eastAsia" w:cs="Times New Roman"/>
                      <w:snapToGrid/>
                      <w:color w:val="auto"/>
                      <w:kern w:val="2"/>
                      <w:sz w:val="21"/>
                      <w:szCs w:val="21"/>
                      <w:lang w:val="en-US" w:eastAsia="zh-CN"/>
                    </w:rPr>
                    <w:t>207</w:t>
                  </w:r>
                  <w:r>
                    <w:rPr>
                      <w:rFonts w:hint="eastAsia" w:ascii="Times New Roman" w:hAnsi="Times New Roman" w:eastAsia="宋体" w:cs="Times New Roman"/>
                      <w:snapToGrid/>
                      <w:color w:val="auto"/>
                      <w:kern w:val="2"/>
                      <w:sz w:val="21"/>
                      <w:szCs w:val="21"/>
                      <w:lang w:val="en-US" w:eastAsia="zh-CN"/>
                    </w:rPr>
                    <w:t>m</w:t>
                  </w:r>
                </w:p>
              </w:tc>
              <w:tc>
                <w:tcPr>
                  <w:tcW w:w="900" w:type="pct"/>
                  <w:tcBorders>
                    <w:tl2br w:val="nil"/>
                    <w:tr2bl w:val="nil"/>
                  </w:tcBorders>
                  <w:vAlign w:val="center"/>
                </w:tcPr>
                <w:p w14:paraId="49CFD92E">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居民区</w:t>
                  </w:r>
                </w:p>
              </w:tc>
              <w:tc>
                <w:tcPr>
                  <w:tcW w:w="1539" w:type="pct"/>
                  <w:vMerge w:val="continue"/>
                  <w:tcBorders>
                    <w:tl2br w:val="nil"/>
                    <w:tr2bl w:val="nil"/>
                  </w:tcBorders>
                  <w:vAlign w:val="center"/>
                </w:tcPr>
                <w:p w14:paraId="06216D3F">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p>
              </w:tc>
            </w:tr>
            <w:tr w14:paraId="387CFBC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9" w:hRule="atLeast"/>
              </w:trPr>
              <w:tc>
                <w:tcPr>
                  <w:tcW w:w="597" w:type="pct"/>
                  <w:vMerge w:val="continue"/>
                  <w:tcBorders>
                    <w:tl2br w:val="nil"/>
                    <w:tr2bl w:val="nil"/>
                  </w:tcBorders>
                  <w:vAlign w:val="center"/>
                </w:tcPr>
                <w:p w14:paraId="70440014">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p>
              </w:tc>
              <w:tc>
                <w:tcPr>
                  <w:tcW w:w="923" w:type="pct"/>
                  <w:tcBorders>
                    <w:tl2br w:val="nil"/>
                    <w:tr2bl w:val="nil"/>
                  </w:tcBorders>
                  <w:vAlign w:val="center"/>
                </w:tcPr>
                <w:p w14:paraId="73C72429">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cs="Times New Roman"/>
                      <w:snapToGrid/>
                      <w:color w:val="auto"/>
                      <w:kern w:val="2"/>
                      <w:sz w:val="21"/>
                      <w:szCs w:val="21"/>
                      <w:lang w:val="en-US" w:eastAsia="zh-CN"/>
                    </w:rPr>
                    <w:t>出水村</w:t>
                  </w:r>
                </w:p>
              </w:tc>
              <w:tc>
                <w:tcPr>
                  <w:tcW w:w="1040" w:type="pct"/>
                  <w:tcBorders>
                    <w:tl2br w:val="nil"/>
                    <w:tr2bl w:val="nil"/>
                  </w:tcBorders>
                  <w:vAlign w:val="center"/>
                </w:tcPr>
                <w:p w14:paraId="1101A636">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cs="Times New Roman"/>
                      <w:snapToGrid/>
                      <w:color w:val="auto"/>
                      <w:kern w:val="2"/>
                      <w:sz w:val="21"/>
                      <w:szCs w:val="21"/>
                      <w:lang w:val="en-US" w:eastAsia="zh-CN"/>
                    </w:rPr>
                    <w:t>南侧410m</w:t>
                  </w:r>
                </w:p>
              </w:tc>
              <w:tc>
                <w:tcPr>
                  <w:tcW w:w="900" w:type="pct"/>
                  <w:tcBorders>
                    <w:tl2br w:val="nil"/>
                    <w:tr2bl w:val="nil"/>
                  </w:tcBorders>
                  <w:vAlign w:val="center"/>
                </w:tcPr>
                <w:p w14:paraId="372B864C">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居民区</w:t>
                  </w:r>
                </w:p>
              </w:tc>
              <w:tc>
                <w:tcPr>
                  <w:tcW w:w="1539" w:type="pct"/>
                  <w:vMerge w:val="continue"/>
                  <w:tcBorders>
                    <w:tl2br w:val="nil"/>
                    <w:tr2bl w:val="nil"/>
                  </w:tcBorders>
                  <w:vAlign w:val="center"/>
                </w:tcPr>
                <w:p w14:paraId="3E39FC1E">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p>
              </w:tc>
            </w:tr>
            <w:tr w14:paraId="74EB3E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09" w:hRule="atLeast"/>
              </w:trPr>
              <w:tc>
                <w:tcPr>
                  <w:tcW w:w="597" w:type="pct"/>
                  <w:tcBorders>
                    <w:tl2br w:val="nil"/>
                    <w:tr2bl w:val="nil"/>
                  </w:tcBorders>
                  <w:vAlign w:val="center"/>
                </w:tcPr>
                <w:p w14:paraId="6938BC98">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地表水</w:t>
                  </w:r>
                </w:p>
              </w:tc>
              <w:tc>
                <w:tcPr>
                  <w:tcW w:w="923" w:type="pct"/>
                  <w:tcBorders>
                    <w:tl2br w:val="nil"/>
                    <w:tr2bl w:val="nil"/>
                  </w:tcBorders>
                  <w:vAlign w:val="center"/>
                </w:tcPr>
                <w:p w14:paraId="0A00CD1F">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cs="宋体"/>
                      <w:color w:val="auto"/>
                      <w:sz w:val="21"/>
                      <w:szCs w:val="21"/>
                      <w:lang w:val="en-US" w:eastAsia="zh-CN"/>
                    </w:rPr>
                    <w:t>太城溪</w:t>
                  </w:r>
                </w:p>
              </w:tc>
              <w:tc>
                <w:tcPr>
                  <w:tcW w:w="1040" w:type="pct"/>
                  <w:tcBorders>
                    <w:tl2br w:val="nil"/>
                    <w:tr2bl w:val="nil"/>
                  </w:tcBorders>
                  <w:vAlign w:val="center"/>
                </w:tcPr>
                <w:p w14:paraId="5CE0E02F">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东侧</w:t>
                  </w:r>
                  <w:r>
                    <w:rPr>
                      <w:rFonts w:hint="eastAsia" w:cs="Times New Roman"/>
                      <w:snapToGrid/>
                      <w:color w:val="auto"/>
                      <w:kern w:val="2"/>
                      <w:sz w:val="21"/>
                      <w:szCs w:val="21"/>
                      <w:lang w:val="en-US" w:eastAsia="zh-CN"/>
                    </w:rPr>
                    <w:t>166</w:t>
                  </w:r>
                  <w:r>
                    <w:rPr>
                      <w:rFonts w:hint="default" w:ascii="Times New Roman" w:hAnsi="Times New Roman" w:eastAsia="宋体" w:cs="Times New Roman"/>
                      <w:snapToGrid/>
                      <w:color w:val="auto"/>
                      <w:kern w:val="2"/>
                      <w:sz w:val="21"/>
                      <w:szCs w:val="21"/>
                      <w:lang w:val="en-US" w:eastAsia="zh-CN"/>
                    </w:rPr>
                    <w:t>m</w:t>
                  </w:r>
                </w:p>
              </w:tc>
              <w:tc>
                <w:tcPr>
                  <w:tcW w:w="900" w:type="pct"/>
                  <w:tcBorders>
                    <w:tl2br w:val="nil"/>
                    <w:tr2bl w:val="nil"/>
                  </w:tcBorders>
                  <w:vAlign w:val="center"/>
                </w:tcPr>
                <w:p w14:paraId="7F94F4C7">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小型河流</w:t>
                  </w:r>
                </w:p>
              </w:tc>
              <w:tc>
                <w:tcPr>
                  <w:tcW w:w="1539" w:type="pct"/>
                  <w:tcBorders>
                    <w:tl2br w:val="nil"/>
                    <w:tr2bl w:val="nil"/>
                  </w:tcBorders>
                  <w:vAlign w:val="center"/>
                </w:tcPr>
                <w:p w14:paraId="367104D6">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《地表水环境质量标准》</w:t>
                  </w:r>
                  <w:r>
                    <w:rPr>
                      <w:rFonts w:hint="eastAsia" w:cs="Times New Roman"/>
                      <w:snapToGrid/>
                      <w:color w:val="auto"/>
                      <w:kern w:val="2"/>
                      <w:sz w:val="21"/>
                      <w:szCs w:val="21"/>
                      <w:lang w:val="en-US" w:eastAsia="zh-CN"/>
                    </w:rPr>
                    <w:t>(</w:t>
                  </w:r>
                  <w:r>
                    <w:rPr>
                      <w:rFonts w:hint="default" w:ascii="Times New Roman" w:hAnsi="Times New Roman" w:eastAsia="宋体" w:cs="Times New Roman"/>
                      <w:snapToGrid/>
                      <w:color w:val="auto"/>
                      <w:kern w:val="2"/>
                      <w:sz w:val="21"/>
                      <w:szCs w:val="21"/>
                      <w:lang w:val="en-US" w:eastAsia="zh-CN"/>
                    </w:rPr>
                    <w:t>GB3838-2002)Ⅲ类标准</w:t>
                  </w:r>
                </w:p>
              </w:tc>
            </w:tr>
            <w:tr w14:paraId="1315A5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79" w:hRule="atLeast"/>
              </w:trPr>
              <w:tc>
                <w:tcPr>
                  <w:tcW w:w="597" w:type="pct"/>
                  <w:tcBorders>
                    <w:tl2br w:val="nil"/>
                    <w:tr2bl w:val="nil"/>
                  </w:tcBorders>
                  <w:vAlign w:val="center"/>
                </w:tcPr>
                <w:p w14:paraId="0B3355DF">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声环境</w:t>
                  </w:r>
                </w:p>
              </w:tc>
              <w:tc>
                <w:tcPr>
                  <w:tcW w:w="2863" w:type="pct"/>
                  <w:gridSpan w:val="3"/>
                  <w:tcBorders>
                    <w:tl2br w:val="nil"/>
                    <w:tr2bl w:val="nil"/>
                  </w:tcBorders>
                  <w:vAlign w:val="center"/>
                </w:tcPr>
                <w:p w14:paraId="0904D41F">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eastAsia" w:ascii="Times New Roman" w:hAnsi="Times New Roman" w:eastAsia="宋体" w:cs="Times New Roman"/>
                      <w:snapToGrid/>
                      <w:color w:val="auto"/>
                      <w:kern w:val="2"/>
                      <w:sz w:val="21"/>
                      <w:szCs w:val="21"/>
                      <w:lang w:val="en-US" w:eastAsia="zh-CN"/>
                    </w:rPr>
                    <w:t>厂界外50米范围内无声环境保护目标</w:t>
                  </w:r>
                </w:p>
              </w:tc>
              <w:tc>
                <w:tcPr>
                  <w:tcW w:w="1539" w:type="pct"/>
                  <w:tcBorders>
                    <w:tl2br w:val="nil"/>
                    <w:tr2bl w:val="nil"/>
                  </w:tcBorders>
                  <w:vAlign w:val="center"/>
                </w:tcPr>
                <w:p w14:paraId="1DE3554C">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both"/>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《声环境质量标准》（GB3096-2008）中</w:t>
                  </w:r>
                  <w:r>
                    <w:rPr>
                      <w:rFonts w:hint="eastAsia" w:cs="Times New Roman"/>
                      <w:snapToGrid/>
                      <w:color w:val="auto"/>
                      <w:kern w:val="2"/>
                      <w:sz w:val="21"/>
                      <w:szCs w:val="21"/>
                      <w:lang w:val="en-US" w:eastAsia="zh-CN"/>
                    </w:rPr>
                    <w:t>3</w:t>
                  </w:r>
                  <w:r>
                    <w:rPr>
                      <w:rFonts w:hint="default" w:ascii="Times New Roman" w:hAnsi="Times New Roman" w:eastAsia="宋体" w:cs="Times New Roman"/>
                      <w:snapToGrid/>
                      <w:color w:val="auto"/>
                      <w:kern w:val="2"/>
                      <w:sz w:val="21"/>
                      <w:szCs w:val="21"/>
                      <w:lang w:val="en-US" w:eastAsia="zh-CN"/>
                    </w:rPr>
                    <w:t>类功能区标准</w:t>
                  </w:r>
                </w:p>
              </w:tc>
            </w:tr>
            <w:tr w14:paraId="15CEC5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0" w:hRule="atLeast"/>
              </w:trPr>
              <w:tc>
                <w:tcPr>
                  <w:tcW w:w="597" w:type="pct"/>
                  <w:tcBorders>
                    <w:tl2br w:val="nil"/>
                    <w:tr2bl w:val="nil"/>
                  </w:tcBorders>
                  <w:vAlign w:val="center"/>
                </w:tcPr>
                <w:p w14:paraId="2DA1D866">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地下水</w:t>
                  </w:r>
                </w:p>
              </w:tc>
              <w:tc>
                <w:tcPr>
                  <w:tcW w:w="4402" w:type="pct"/>
                  <w:gridSpan w:val="4"/>
                  <w:tcBorders>
                    <w:tl2br w:val="nil"/>
                    <w:tr2bl w:val="nil"/>
                  </w:tcBorders>
                  <w:vAlign w:val="center"/>
                </w:tcPr>
                <w:p w14:paraId="4F2AF82D">
                  <w:pPr>
                    <w:pStyle w:val="46"/>
                    <w:keepNext w:val="0"/>
                    <w:keepLines w:val="0"/>
                    <w:pageBreakBefore w:val="0"/>
                    <w:widowControl w:val="0"/>
                    <w:suppressLineNumbers w:val="0"/>
                    <w:tabs>
                      <w:tab w:val="left" w:pos="0"/>
                    </w:tabs>
                    <w:kinsoku/>
                    <w:wordWrap/>
                    <w:overflowPunct/>
                    <w:topLinePunct w:val="0"/>
                    <w:autoSpaceDE/>
                    <w:autoSpaceDN/>
                    <w:bidi w:val="0"/>
                    <w:adjustRightInd/>
                    <w:snapToGrid/>
                    <w:spacing w:before="0" w:beforeAutospacing="0" w:after="0" w:afterAutospacing="0"/>
                    <w:ind w:right="0"/>
                    <w:jc w:val="center"/>
                    <w:textAlignment w:val="auto"/>
                    <w:rPr>
                      <w:rFonts w:hint="default" w:ascii="Times New Roman" w:hAnsi="Times New Roman" w:eastAsia="宋体" w:cs="Times New Roman"/>
                      <w:snapToGrid/>
                      <w:color w:val="auto"/>
                      <w:kern w:val="2"/>
                      <w:sz w:val="21"/>
                      <w:szCs w:val="21"/>
                      <w:lang w:val="en-US" w:eastAsia="zh-CN"/>
                    </w:rPr>
                  </w:pPr>
                  <w:r>
                    <w:rPr>
                      <w:rFonts w:hint="default" w:ascii="Times New Roman" w:hAnsi="Times New Roman" w:eastAsia="宋体" w:cs="Times New Roman"/>
                      <w:snapToGrid/>
                      <w:color w:val="auto"/>
                      <w:kern w:val="2"/>
                      <w:sz w:val="21"/>
                      <w:szCs w:val="21"/>
                      <w:lang w:val="en-US" w:eastAsia="zh-CN"/>
                    </w:rPr>
                    <w:t>项目厂界外500米范围内无地下水集中式饮用水水源和热水、矿泉水、温泉等特殊地下水资源</w:t>
                  </w:r>
                </w:p>
              </w:tc>
            </w:tr>
          </w:tbl>
          <w:p w14:paraId="3EE9C992">
            <w:pPr>
              <w:pStyle w:val="4"/>
              <w:bidi w:val="0"/>
              <w:rPr>
                <w:rFonts w:hint="default"/>
                <w:color w:val="auto"/>
                <w:lang w:val="en-US" w:eastAsia="zh-CN"/>
              </w:rPr>
            </w:pPr>
            <w:r>
              <w:rPr>
                <w:rFonts w:hint="eastAsia"/>
                <w:color w:val="auto"/>
                <w:lang w:val="en-US" w:eastAsia="zh-CN"/>
              </w:rPr>
              <w:t>生态环境保护目标</w:t>
            </w:r>
          </w:p>
          <w:p w14:paraId="7646F287">
            <w:pPr>
              <w:pStyle w:val="95"/>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ascii="宋体" w:hAnsi="宋体" w:cs="宋体"/>
                <w:color w:val="auto"/>
                <w:kern w:val="0"/>
                <w:szCs w:val="21"/>
                <w:highlight w:val="none"/>
              </w:rPr>
            </w:pPr>
            <w:r>
              <w:rPr>
                <w:rFonts w:hint="eastAsia" w:ascii="Times New Roman" w:hAnsi="Times New Roman" w:eastAsia="宋体" w:cs="宋体"/>
                <w:color w:val="auto"/>
                <w:kern w:val="0"/>
                <w:sz w:val="24"/>
                <w:szCs w:val="20"/>
                <w:highlight w:val="none"/>
                <w:lang w:val="en-US" w:eastAsia="zh-CN" w:bidi="ar-SA"/>
              </w:rPr>
              <w:t>根据《建设项目环境影响报告表编制技术指南</w:t>
            </w:r>
            <w:r>
              <w:rPr>
                <w:rFonts w:hint="eastAsia" w:ascii="Times New Roman" w:hAnsi="Times New Roman" w:cs="宋体"/>
                <w:color w:val="auto"/>
                <w:kern w:val="0"/>
                <w:sz w:val="24"/>
                <w:szCs w:val="20"/>
                <w:highlight w:val="none"/>
                <w:lang w:val="en-US" w:eastAsia="zh-CN" w:bidi="ar-SA"/>
              </w:rPr>
              <w:t>(</w:t>
            </w:r>
            <w:r>
              <w:rPr>
                <w:rFonts w:hint="eastAsia" w:ascii="Times New Roman" w:hAnsi="Times New Roman" w:eastAsia="宋体" w:cs="宋体"/>
                <w:color w:val="auto"/>
                <w:kern w:val="0"/>
                <w:sz w:val="24"/>
                <w:szCs w:val="20"/>
                <w:highlight w:val="none"/>
                <w:lang w:val="en-US" w:eastAsia="zh-CN" w:bidi="ar-SA"/>
              </w:rPr>
              <w:t>污染影响类</w:t>
            </w:r>
            <w:r>
              <w:rPr>
                <w:rFonts w:hint="eastAsia" w:ascii="Times New Roman" w:hAnsi="Times New Roman" w:cs="宋体"/>
                <w:color w:val="auto"/>
                <w:kern w:val="0"/>
                <w:sz w:val="24"/>
                <w:szCs w:val="20"/>
                <w:highlight w:val="none"/>
                <w:lang w:val="en-US" w:eastAsia="zh-CN" w:bidi="ar-SA"/>
              </w:rPr>
              <w:t>)(</w:t>
            </w:r>
            <w:r>
              <w:rPr>
                <w:rFonts w:hint="eastAsia" w:ascii="Times New Roman" w:hAnsi="Times New Roman" w:eastAsia="宋体" w:cs="宋体"/>
                <w:color w:val="auto"/>
                <w:kern w:val="0"/>
                <w:sz w:val="24"/>
                <w:szCs w:val="20"/>
                <w:highlight w:val="none"/>
                <w:lang w:val="en-US" w:eastAsia="zh-CN" w:bidi="ar-SA"/>
              </w:rPr>
              <w:t>试行</w:t>
            </w:r>
            <w:r>
              <w:rPr>
                <w:rFonts w:hint="eastAsia" w:ascii="Times New Roman" w:hAnsi="Times New Roman" w:cs="宋体"/>
                <w:color w:val="auto"/>
                <w:kern w:val="0"/>
                <w:sz w:val="24"/>
                <w:szCs w:val="20"/>
                <w:highlight w:val="none"/>
                <w:lang w:val="en-US" w:eastAsia="zh-CN" w:bidi="ar-SA"/>
              </w:rPr>
              <w:t>)</w:t>
            </w:r>
            <w:r>
              <w:rPr>
                <w:rFonts w:hint="eastAsia" w:ascii="Times New Roman" w:hAnsi="Times New Roman" w:eastAsia="宋体" w:cs="宋体"/>
                <w:color w:val="auto"/>
                <w:kern w:val="0"/>
                <w:sz w:val="24"/>
                <w:szCs w:val="20"/>
                <w:highlight w:val="none"/>
                <w:lang w:val="en-US" w:eastAsia="zh-CN" w:bidi="ar-SA"/>
              </w:rPr>
              <w:t>》</w:t>
            </w:r>
            <w:r>
              <w:rPr>
                <w:rFonts w:hint="eastAsia" w:ascii="Times New Roman" w:hAnsi="Times New Roman" w:cs="宋体"/>
                <w:color w:val="auto"/>
                <w:kern w:val="0"/>
                <w:sz w:val="24"/>
                <w:szCs w:val="20"/>
                <w:highlight w:val="none"/>
                <w:lang w:val="en-US" w:eastAsia="zh-CN" w:bidi="ar-SA"/>
              </w:rPr>
              <w:t>(</w:t>
            </w:r>
            <w:r>
              <w:rPr>
                <w:rFonts w:hint="eastAsia" w:ascii="Times New Roman" w:hAnsi="Times New Roman" w:eastAsia="宋体" w:cs="宋体"/>
                <w:color w:val="auto"/>
                <w:kern w:val="0"/>
                <w:sz w:val="24"/>
                <w:szCs w:val="20"/>
                <w:highlight w:val="none"/>
                <w:lang w:val="en-US" w:eastAsia="zh-CN" w:bidi="ar-SA"/>
              </w:rPr>
              <w:t>环办环评〔2020〕33号</w:t>
            </w:r>
            <w:r>
              <w:rPr>
                <w:rFonts w:hint="eastAsia" w:ascii="Times New Roman" w:hAnsi="Times New Roman" w:cs="宋体"/>
                <w:color w:val="auto"/>
                <w:kern w:val="0"/>
                <w:sz w:val="24"/>
                <w:szCs w:val="20"/>
                <w:highlight w:val="none"/>
                <w:lang w:val="en-US" w:eastAsia="zh-CN" w:bidi="ar-SA"/>
              </w:rPr>
              <w:t>)</w:t>
            </w:r>
            <w:r>
              <w:rPr>
                <w:rFonts w:hint="eastAsia" w:ascii="Times New Roman" w:hAnsi="Times New Roman" w:eastAsia="宋体" w:cs="宋体"/>
                <w:color w:val="auto"/>
                <w:kern w:val="0"/>
                <w:sz w:val="24"/>
                <w:szCs w:val="20"/>
                <w:highlight w:val="none"/>
                <w:lang w:val="en-US" w:eastAsia="zh-CN" w:bidi="ar-SA"/>
              </w:rPr>
              <w:t>“产业园区外建设项目新增用地的，应明确新增用地范围内生态环境保护目标”。本项目位于</w:t>
            </w:r>
            <w:r>
              <w:rPr>
                <w:rFonts w:hint="eastAsia" w:ascii="Times New Roman" w:hAnsi="Times New Roman" w:cs="宋体"/>
                <w:color w:val="auto"/>
                <w:kern w:val="0"/>
                <w:sz w:val="24"/>
                <w:szCs w:val="20"/>
                <w:highlight w:val="none"/>
                <w:lang w:val="en-US" w:eastAsia="zh-CN" w:bidi="ar-SA"/>
              </w:rPr>
              <w:t>福清融侨经济技术开发区</w:t>
            </w:r>
            <w:r>
              <w:rPr>
                <w:rFonts w:hint="eastAsia" w:ascii="Times New Roman" w:hAnsi="Times New Roman" w:eastAsia="宋体" w:cs="宋体"/>
                <w:color w:val="auto"/>
                <w:kern w:val="0"/>
                <w:sz w:val="24"/>
                <w:szCs w:val="20"/>
                <w:highlight w:val="none"/>
                <w:lang w:val="en-US" w:eastAsia="zh-CN" w:bidi="ar-SA"/>
              </w:rPr>
              <w:t>内，根据调查，项目评价区域主要植被为草坪、行道树等景观树种，主要动物为常见的蛙类、鸟类和昆虫类等，评价区域内无珍稀濒危物种、自然保护区、风景名胜区等生态敏感目标，调查区域也未发现国家重点保护的野生动植物等。</w:t>
            </w:r>
          </w:p>
        </w:tc>
      </w:tr>
      <w:tr w14:paraId="1A7452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800" w:type="dxa"/>
            <w:tcMar>
              <w:left w:w="28" w:type="dxa"/>
              <w:right w:w="28" w:type="dxa"/>
            </w:tcMar>
            <w:vAlign w:val="center"/>
          </w:tcPr>
          <w:p w14:paraId="08F9AB59">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污染</w:t>
            </w:r>
          </w:p>
          <w:p w14:paraId="617FF277">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物排</w:t>
            </w:r>
          </w:p>
          <w:p w14:paraId="112A3402">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放控</w:t>
            </w:r>
          </w:p>
          <w:p w14:paraId="5B9E51CE">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制标</w:t>
            </w:r>
          </w:p>
          <w:p w14:paraId="25665B8D">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准</w:t>
            </w:r>
          </w:p>
        </w:tc>
        <w:tc>
          <w:tcPr>
            <w:tcW w:w="8190" w:type="dxa"/>
            <w:vAlign w:val="center"/>
          </w:tcPr>
          <w:p w14:paraId="02EAEBCA">
            <w:pPr>
              <w:pStyle w:val="3"/>
              <w:numPr>
                <w:ilvl w:val="1"/>
                <w:numId w:val="1"/>
              </w:numPr>
              <w:bidi w:val="0"/>
              <w:ind w:left="0" w:leftChars="0" w:firstLine="0" w:firstLineChars="0"/>
              <w:rPr>
                <w:rFonts w:hint="eastAsia"/>
                <w:color w:val="auto"/>
                <w:highlight w:val="none"/>
              </w:rPr>
            </w:pPr>
            <w:r>
              <w:rPr>
                <w:rFonts w:hint="eastAsia"/>
                <w:color w:val="auto"/>
                <w:highlight w:val="none"/>
              </w:rPr>
              <w:t>污染物排放控制标准</w:t>
            </w:r>
          </w:p>
          <w:p w14:paraId="6BDF4A0B">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废气排放标准</w:t>
            </w:r>
          </w:p>
          <w:p w14:paraId="3B37CE1A">
            <w:pPr>
              <w:pStyle w:val="44"/>
              <w:keepNext w:val="0"/>
              <w:keepLines w:val="0"/>
              <w:pageBreakBefore w:val="0"/>
              <w:widowControl w:val="0"/>
              <w:kinsoku/>
              <w:wordWrap/>
              <w:overflowPunct/>
              <w:topLinePunct w:val="0"/>
              <w:autoSpaceDE w:val="0"/>
              <w:autoSpaceDN w:val="0"/>
              <w:bidi w:val="0"/>
              <w:adjustRightInd/>
              <w:snapToGrid/>
              <w:spacing w:before="157" w:beforeLines="50"/>
              <w:textAlignment w:val="auto"/>
              <w:rPr>
                <w:rFonts w:hint="default" w:ascii="Times New Roman" w:hAnsi="Times New Roman" w:eastAsia="宋体" w:cs="宋体"/>
                <w:color w:val="auto"/>
                <w:kern w:val="0"/>
                <w:sz w:val="24"/>
                <w:szCs w:val="20"/>
                <w:highlight w:val="none"/>
                <w:lang w:val="en-US" w:eastAsia="zh-CN" w:bidi="ar-SA"/>
              </w:rPr>
            </w:pPr>
            <w:bookmarkStart w:id="32" w:name="_Ref11732"/>
            <w:r>
              <w:rPr>
                <w:rFonts w:hint="default" w:ascii="Times New Roman" w:hAnsi="Times New Roman" w:eastAsia="宋体" w:cs="宋体"/>
                <w:color w:val="auto"/>
                <w:kern w:val="0"/>
                <w:sz w:val="24"/>
                <w:szCs w:val="20"/>
                <w:highlight w:val="none"/>
                <w:lang w:val="en-US" w:eastAsia="zh-CN" w:bidi="ar-SA"/>
              </w:rPr>
              <w:t>焊接工序颗粒物排放执行《大气污染物综合排放标准》（GB 16297-1996）表2标准；电泳和烘干工序非甲烷总烃有组织排放执行《工业涂装工序挥发性有机物排放标准》(DB35/1783-2018)中表1标准限值</w:t>
            </w:r>
            <w:r>
              <w:rPr>
                <w:rFonts w:hint="eastAsia" w:cs="宋体"/>
                <w:color w:val="auto"/>
                <w:kern w:val="0"/>
                <w:sz w:val="24"/>
                <w:szCs w:val="20"/>
                <w:highlight w:val="none"/>
                <w:lang w:val="en-US" w:eastAsia="zh-CN" w:bidi="ar-SA"/>
              </w:rPr>
              <w:t>，</w:t>
            </w:r>
            <w:r>
              <w:rPr>
                <w:rFonts w:hint="default" w:ascii="Times New Roman" w:hAnsi="Times New Roman" w:eastAsia="宋体" w:cs="宋体"/>
                <w:color w:val="auto"/>
                <w:kern w:val="0"/>
                <w:sz w:val="24"/>
                <w:szCs w:val="20"/>
                <w:highlight w:val="none"/>
                <w:lang w:val="en-US" w:eastAsia="zh-CN" w:bidi="ar-SA"/>
              </w:rPr>
              <w:t>同时，无组织排放的非甲烷总烃执行《工业涂装工序挥发性有机物排放标准》(DB35/1783-2018)中表3、表4标准限值及《挥发性有机物无组织排放控制标准》(GB 37822-2019)中附录 A表A.1标准限值；烟（粉）尘、二氧化硫、氮氧化物排放标准执行《福建省工业炉窑大气污染综合治理方案》（闽环保大气〔2019〕10号）中明确规定的重点区域限值；氨、硫化氢和臭气浓度排放执行《恶臭污染物排放标准》（GB14554-93）表1标准，详见下表。</w:t>
            </w:r>
          </w:p>
          <w:p w14:paraId="772CAF5E">
            <w:pPr>
              <w:pStyle w:val="42"/>
              <w:keepNext/>
              <w:keepLines/>
              <w:pageBreakBefore w:val="0"/>
              <w:widowControl w:val="0"/>
              <w:numPr>
                <w:ilvl w:val="7"/>
                <w:numId w:val="1"/>
              </w:numPr>
              <w:kinsoku/>
              <w:wordWrap/>
              <w:overflowPunct/>
              <w:topLinePunct w:val="0"/>
              <w:autoSpaceDE/>
              <w:autoSpaceDN/>
              <w:bidi w:val="0"/>
              <w:adjustRightInd/>
              <w:snapToGrid/>
              <w:spacing w:before="0" w:after="0"/>
              <w:ind w:left="630" w:leftChars="0" w:firstLine="0" w:firstLineChars="0"/>
              <w:textAlignment w:val="auto"/>
              <w:rPr>
                <w:rFonts w:hint="default" w:ascii="Times New Roman" w:hAnsi="Times New Roman" w:eastAsia="宋体" w:cs="宋体"/>
                <w:color w:val="auto"/>
                <w:lang w:val="en-US" w:eastAsia="zh-CN"/>
              </w:rPr>
            </w:pPr>
            <w:r>
              <w:rPr>
                <w:rFonts w:hint="default" w:ascii="Times New Roman" w:hAnsi="Times New Roman" w:eastAsia="宋体" w:cs="宋体"/>
                <w:color w:val="auto"/>
                <w:lang w:val="en-US" w:eastAsia="zh-CN"/>
              </w:rPr>
              <w:t>大气污染物排放限值</w:t>
            </w:r>
          </w:p>
          <w:tbl>
            <w:tblPr>
              <w:tblStyle w:val="3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1009"/>
              <w:gridCol w:w="1275"/>
              <w:gridCol w:w="1231"/>
              <w:gridCol w:w="1780"/>
              <w:gridCol w:w="2120"/>
            </w:tblGrid>
            <w:tr w14:paraId="0A3EB8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tcBorders>
                    <w:bottom w:val="single" w:color="auto" w:sz="12" w:space="0"/>
                  </w:tcBorders>
                  <w:shd w:val="clear" w:color="auto" w:fill="auto"/>
                  <w:vAlign w:val="center"/>
                </w:tcPr>
                <w:p w14:paraId="78DB26C5">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b w:val="0"/>
                      <w:bCs w:val="0"/>
                      <w:color w:val="auto"/>
                      <w:kern w:val="2"/>
                      <w:sz w:val="21"/>
                      <w:szCs w:val="24"/>
                      <w:lang w:val="en-US" w:eastAsia="zh-CN" w:bidi="ar-SA"/>
                    </w:rPr>
                  </w:pPr>
                  <w:r>
                    <w:rPr>
                      <w:rFonts w:ascii="Times New Roman" w:hAnsi="Times New Roman" w:eastAsia="宋体"/>
                      <w:b w:val="0"/>
                      <w:bCs w:val="0"/>
                      <w:color w:val="auto"/>
                      <w:spacing w:val="6"/>
                      <w:sz w:val="21"/>
                    </w:rPr>
                    <w:t>产污环节</w:t>
                  </w:r>
                </w:p>
              </w:tc>
              <w:tc>
                <w:tcPr>
                  <w:tcW w:w="599" w:type="pct"/>
                  <w:tcBorders>
                    <w:bottom w:val="single" w:color="auto" w:sz="12" w:space="0"/>
                  </w:tcBorders>
                  <w:shd w:val="clear" w:color="auto" w:fill="auto"/>
                  <w:vAlign w:val="center"/>
                </w:tcPr>
                <w:p w14:paraId="7B22BD6F">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b w:val="0"/>
                      <w:bCs w:val="0"/>
                      <w:color w:val="auto"/>
                      <w:kern w:val="2"/>
                      <w:sz w:val="21"/>
                      <w:szCs w:val="24"/>
                      <w:lang w:val="en-US" w:eastAsia="zh-CN" w:bidi="ar-SA"/>
                    </w:rPr>
                  </w:pPr>
                  <w:r>
                    <w:rPr>
                      <w:rFonts w:ascii="Times New Roman" w:hAnsi="Times New Roman" w:eastAsia="宋体"/>
                      <w:b w:val="0"/>
                      <w:bCs w:val="0"/>
                      <w:color w:val="auto"/>
                      <w:spacing w:val="5"/>
                      <w:sz w:val="21"/>
                    </w:rPr>
                    <w:t>污染物</w:t>
                  </w:r>
                </w:p>
              </w:tc>
              <w:tc>
                <w:tcPr>
                  <w:tcW w:w="757" w:type="pct"/>
                  <w:tcBorders>
                    <w:bottom w:val="single" w:color="auto" w:sz="12" w:space="0"/>
                  </w:tcBorders>
                  <w:shd w:val="clear" w:color="auto" w:fill="auto"/>
                  <w:vAlign w:val="center"/>
                </w:tcPr>
                <w:p w14:paraId="2B497E0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b w:val="0"/>
                      <w:bCs w:val="0"/>
                      <w:color w:val="auto"/>
                      <w:sz w:val="21"/>
                    </w:rPr>
                  </w:pPr>
                  <w:r>
                    <w:rPr>
                      <w:rFonts w:ascii="Times New Roman" w:hAnsi="Times New Roman" w:eastAsia="宋体"/>
                      <w:b w:val="0"/>
                      <w:bCs w:val="0"/>
                      <w:color w:val="auto"/>
                      <w:spacing w:val="5"/>
                      <w:sz w:val="21"/>
                    </w:rPr>
                    <w:t>最高允许</w:t>
                  </w:r>
                </w:p>
                <w:p w14:paraId="081D5D0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b w:val="0"/>
                      <w:bCs w:val="0"/>
                      <w:color w:val="auto"/>
                      <w:sz w:val="21"/>
                    </w:rPr>
                  </w:pPr>
                  <w:r>
                    <w:rPr>
                      <w:rFonts w:ascii="Times New Roman" w:hAnsi="Times New Roman" w:eastAsia="宋体"/>
                      <w:b w:val="0"/>
                      <w:bCs w:val="0"/>
                      <w:color w:val="auto"/>
                      <w:spacing w:val="6"/>
                      <w:sz w:val="21"/>
                    </w:rPr>
                    <w:t>排放浓度</w:t>
                  </w:r>
                </w:p>
                <w:p w14:paraId="7E4AC496">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b w:val="0"/>
                      <w:bCs w:val="0"/>
                      <w:color w:val="auto"/>
                      <w:kern w:val="2"/>
                      <w:sz w:val="21"/>
                      <w:szCs w:val="24"/>
                      <w:lang w:val="en-US" w:eastAsia="zh-CN" w:bidi="ar-SA"/>
                    </w:rPr>
                  </w:pPr>
                  <w:r>
                    <w:rPr>
                      <w:rFonts w:hint="eastAsia" w:ascii="Times New Roman" w:hAnsi="Times New Roman"/>
                      <w:b w:val="0"/>
                      <w:bCs w:val="0"/>
                      <w:color w:val="auto"/>
                      <w:spacing w:val="2"/>
                      <w:sz w:val="21"/>
                      <w:lang w:eastAsia="zh-CN"/>
                    </w:rPr>
                    <w:t>（</w:t>
                  </w:r>
                  <w:r>
                    <w:rPr>
                      <w:rFonts w:ascii="Times New Roman" w:hAnsi="Times New Roman" w:eastAsia="宋体" w:cs="Times New Roman"/>
                      <w:b w:val="0"/>
                      <w:bCs w:val="0"/>
                      <w:color w:val="auto"/>
                      <w:sz w:val="21"/>
                    </w:rPr>
                    <w:t>mg</w:t>
                  </w:r>
                  <w:r>
                    <w:rPr>
                      <w:rFonts w:ascii="Times New Roman" w:hAnsi="Times New Roman" w:eastAsia="宋体" w:cs="Times New Roman"/>
                      <w:b w:val="0"/>
                      <w:bCs w:val="0"/>
                      <w:color w:val="auto"/>
                      <w:spacing w:val="2"/>
                      <w:sz w:val="21"/>
                    </w:rPr>
                    <w:t>/m</w:t>
                  </w:r>
                  <w:r>
                    <w:rPr>
                      <w:rFonts w:hint="eastAsia" w:ascii="Times New Roman" w:hAnsi="Times New Roman" w:eastAsia="宋体" w:cs="Times New Roman"/>
                      <w:b w:val="0"/>
                      <w:bCs w:val="0"/>
                      <w:color w:val="auto"/>
                      <w:spacing w:val="2"/>
                      <w:sz w:val="21"/>
                      <w:vertAlign w:val="superscript"/>
                      <w:lang w:val="en-US" w:eastAsia="zh-CN"/>
                    </w:rPr>
                    <w:t>3</w:t>
                  </w:r>
                  <w:r>
                    <w:rPr>
                      <w:rFonts w:hint="eastAsia" w:ascii="Times New Roman" w:hAnsi="Times New Roman" w:cs="Times New Roman"/>
                      <w:b w:val="0"/>
                      <w:bCs w:val="0"/>
                      <w:color w:val="auto"/>
                      <w:spacing w:val="2"/>
                      <w:sz w:val="21"/>
                      <w:vertAlign w:val="superscript"/>
                      <w:lang w:val="en-US" w:eastAsia="zh-CN"/>
                    </w:rPr>
                    <w:t>）</w:t>
                  </w:r>
                </w:p>
              </w:tc>
              <w:tc>
                <w:tcPr>
                  <w:tcW w:w="731" w:type="pct"/>
                  <w:tcBorders>
                    <w:bottom w:val="single" w:color="auto" w:sz="12" w:space="0"/>
                  </w:tcBorders>
                  <w:shd w:val="clear" w:color="auto" w:fill="auto"/>
                  <w:vAlign w:val="center"/>
                </w:tcPr>
                <w:p w14:paraId="3F682C1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宋体"/>
                      <w:b w:val="0"/>
                      <w:bCs w:val="0"/>
                      <w:color w:val="auto"/>
                      <w:kern w:val="2"/>
                      <w:sz w:val="21"/>
                      <w:szCs w:val="24"/>
                      <w:lang w:val="en-US" w:eastAsia="zh-CN" w:bidi="ar-SA"/>
                    </w:rPr>
                  </w:pPr>
                  <w:r>
                    <w:rPr>
                      <w:rFonts w:ascii="Times New Roman" w:hAnsi="Times New Roman" w:eastAsia="宋体"/>
                      <w:b w:val="0"/>
                      <w:bCs w:val="0"/>
                      <w:color w:val="auto"/>
                      <w:spacing w:val="6"/>
                      <w:sz w:val="21"/>
                    </w:rPr>
                    <w:t>排气筒高</w:t>
                  </w:r>
                  <w:r>
                    <w:rPr>
                      <w:rFonts w:ascii="Times New Roman" w:hAnsi="Times New Roman" w:eastAsia="宋体"/>
                      <w:b w:val="0"/>
                      <w:bCs w:val="0"/>
                      <w:color w:val="auto"/>
                      <w:spacing w:val="-6"/>
                      <w:sz w:val="21"/>
                    </w:rPr>
                    <w:t>度（</w:t>
                  </w:r>
                  <w:r>
                    <w:rPr>
                      <w:rFonts w:ascii="Times New Roman" w:hAnsi="Times New Roman" w:eastAsia="宋体" w:cs="Times New Roman"/>
                      <w:b w:val="0"/>
                      <w:bCs w:val="0"/>
                      <w:color w:val="auto"/>
                      <w:spacing w:val="-6"/>
                      <w:sz w:val="21"/>
                    </w:rPr>
                    <w:t>m</w:t>
                  </w:r>
                  <w:r>
                    <w:rPr>
                      <w:rFonts w:ascii="Times New Roman" w:hAnsi="Times New Roman" w:eastAsia="宋体"/>
                      <w:b w:val="0"/>
                      <w:bCs w:val="0"/>
                      <w:color w:val="auto"/>
                      <w:spacing w:val="-6"/>
                      <w:sz w:val="21"/>
                    </w:rPr>
                    <w:t>）</w:t>
                  </w:r>
                </w:p>
              </w:tc>
              <w:tc>
                <w:tcPr>
                  <w:tcW w:w="1057" w:type="pct"/>
                  <w:tcBorders>
                    <w:bottom w:val="single" w:color="auto" w:sz="12" w:space="0"/>
                  </w:tcBorders>
                  <w:shd w:val="clear" w:color="auto" w:fill="auto"/>
                  <w:vAlign w:val="center"/>
                </w:tcPr>
                <w:p w14:paraId="1A7E7E12">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宋体"/>
                      <w:b w:val="0"/>
                      <w:bCs w:val="0"/>
                      <w:color w:val="auto"/>
                      <w:kern w:val="2"/>
                      <w:sz w:val="21"/>
                      <w:szCs w:val="24"/>
                      <w:lang w:val="en-US" w:eastAsia="zh-CN" w:bidi="ar-SA"/>
                    </w:rPr>
                  </w:pPr>
                  <w:r>
                    <w:rPr>
                      <w:rFonts w:ascii="Times New Roman" w:hAnsi="Times New Roman" w:eastAsia="宋体"/>
                      <w:b w:val="0"/>
                      <w:bCs w:val="0"/>
                      <w:color w:val="auto"/>
                      <w:spacing w:val="6"/>
                      <w:sz w:val="21"/>
                    </w:rPr>
                    <w:t>最高允许排放</w:t>
                  </w:r>
                  <w:r>
                    <w:rPr>
                      <w:rFonts w:ascii="Times New Roman" w:hAnsi="Times New Roman" w:eastAsia="宋体"/>
                      <w:b w:val="0"/>
                      <w:bCs w:val="0"/>
                      <w:color w:val="auto"/>
                      <w:spacing w:val="5"/>
                      <w:sz w:val="21"/>
                    </w:rPr>
                    <w:t>速率（</w:t>
                  </w:r>
                  <w:r>
                    <w:rPr>
                      <w:rFonts w:ascii="Times New Roman" w:hAnsi="Times New Roman" w:eastAsia="宋体" w:cs="Times New Roman"/>
                      <w:b w:val="0"/>
                      <w:bCs w:val="0"/>
                      <w:color w:val="auto"/>
                      <w:sz w:val="21"/>
                    </w:rPr>
                    <w:t>kg</w:t>
                  </w:r>
                  <w:r>
                    <w:rPr>
                      <w:rFonts w:ascii="Times New Roman" w:hAnsi="Times New Roman" w:eastAsia="宋体" w:cs="Times New Roman"/>
                      <w:b w:val="0"/>
                      <w:bCs w:val="0"/>
                      <w:color w:val="auto"/>
                      <w:spacing w:val="5"/>
                      <w:sz w:val="21"/>
                    </w:rPr>
                    <w:t>/h</w:t>
                  </w:r>
                  <w:r>
                    <w:rPr>
                      <w:rFonts w:ascii="Times New Roman" w:hAnsi="Times New Roman" w:eastAsia="宋体"/>
                      <w:b w:val="0"/>
                      <w:bCs w:val="0"/>
                      <w:color w:val="auto"/>
                      <w:spacing w:val="5"/>
                      <w:sz w:val="21"/>
                    </w:rPr>
                    <w:t>）</w:t>
                  </w:r>
                </w:p>
              </w:tc>
              <w:tc>
                <w:tcPr>
                  <w:tcW w:w="1257" w:type="pct"/>
                  <w:tcBorders>
                    <w:bottom w:val="single" w:color="auto" w:sz="12" w:space="0"/>
                  </w:tcBorders>
                  <w:shd w:val="clear" w:color="auto" w:fill="auto"/>
                  <w:vAlign w:val="center"/>
                </w:tcPr>
                <w:p w14:paraId="5481728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b w:val="0"/>
                      <w:bCs w:val="0"/>
                      <w:color w:val="auto"/>
                      <w:sz w:val="21"/>
                    </w:rPr>
                  </w:pPr>
                  <w:r>
                    <w:rPr>
                      <w:rFonts w:ascii="Times New Roman" w:hAnsi="Times New Roman" w:eastAsia="宋体"/>
                      <w:b w:val="0"/>
                      <w:bCs w:val="0"/>
                      <w:color w:val="auto"/>
                      <w:spacing w:val="7"/>
                      <w:sz w:val="21"/>
                    </w:rPr>
                    <w:t>厂界大气污染物监控点浓度限制</w:t>
                  </w:r>
                </w:p>
                <w:p w14:paraId="04EEB5F3">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b w:val="0"/>
                      <w:bCs w:val="0"/>
                      <w:color w:val="auto"/>
                      <w:kern w:val="2"/>
                      <w:sz w:val="21"/>
                      <w:szCs w:val="24"/>
                      <w:lang w:val="en-US" w:eastAsia="zh-CN" w:bidi="ar-SA"/>
                    </w:rPr>
                  </w:pPr>
                  <w:r>
                    <w:rPr>
                      <w:rFonts w:hint="eastAsia" w:ascii="Times New Roman" w:hAnsi="Times New Roman"/>
                      <w:b w:val="0"/>
                      <w:bCs w:val="0"/>
                      <w:color w:val="auto"/>
                      <w:spacing w:val="3"/>
                      <w:sz w:val="21"/>
                      <w:lang w:eastAsia="zh-CN"/>
                    </w:rPr>
                    <w:t>（</w:t>
                  </w:r>
                  <w:r>
                    <w:rPr>
                      <w:rFonts w:ascii="Times New Roman" w:hAnsi="Times New Roman" w:eastAsia="宋体" w:cs="Times New Roman"/>
                      <w:b w:val="0"/>
                      <w:bCs w:val="0"/>
                      <w:color w:val="auto"/>
                      <w:sz w:val="21"/>
                    </w:rPr>
                    <w:t>mg</w:t>
                  </w:r>
                  <w:r>
                    <w:rPr>
                      <w:rFonts w:ascii="Times New Roman" w:hAnsi="Times New Roman" w:eastAsia="宋体" w:cs="Times New Roman"/>
                      <w:b w:val="0"/>
                      <w:bCs w:val="0"/>
                      <w:color w:val="auto"/>
                      <w:spacing w:val="3"/>
                      <w:sz w:val="21"/>
                    </w:rPr>
                    <w:t>/m</w:t>
                  </w:r>
                  <w:r>
                    <w:rPr>
                      <w:rFonts w:hint="eastAsia" w:ascii="Times New Roman" w:hAnsi="Times New Roman" w:eastAsia="宋体" w:cs="Times New Roman"/>
                      <w:b w:val="0"/>
                      <w:bCs w:val="0"/>
                      <w:color w:val="auto"/>
                      <w:spacing w:val="3"/>
                      <w:sz w:val="21"/>
                      <w:vertAlign w:val="superscript"/>
                      <w:lang w:val="en-US" w:eastAsia="zh-CN"/>
                    </w:rPr>
                    <w:t>3</w:t>
                  </w:r>
                  <w:r>
                    <w:rPr>
                      <w:rFonts w:hint="eastAsia" w:ascii="Times New Roman" w:hAnsi="Times New Roman" w:cs="Times New Roman"/>
                      <w:b w:val="0"/>
                      <w:bCs w:val="0"/>
                      <w:color w:val="auto"/>
                      <w:spacing w:val="3"/>
                      <w:sz w:val="21"/>
                      <w:vertAlign w:val="superscript"/>
                      <w:lang w:val="en-US" w:eastAsia="zh-CN"/>
                    </w:rPr>
                    <w:t>）</w:t>
                  </w:r>
                </w:p>
              </w:tc>
            </w:tr>
            <w:tr w14:paraId="445838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tcBorders>
                    <w:top w:val="single" w:color="auto" w:sz="12" w:space="0"/>
                    <w:tl2br w:val="nil"/>
                    <w:tr2bl w:val="nil"/>
                  </w:tcBorders>
                  <w:shd w:val="clear" w:color="auto" w:fill="auto"/>
                  <w:vAlign w:val="center"/>
                </w:tcPr>
                <w:p w14:paraId="1F20067B">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焊接工序</w:t>
                  </w:r>
                </w:p>
              </w:tc>
              <w:tc>
                <w:tcPr>
                  <w:tcW w:w="599" w:type="pct"/>
                  <w:tcBorders>
                    <w:top w:val="single" w:color="auto" w:sz="12" w:space="0"/>
                    <w:tl2br w:val="nil"/>
                    <w:tr2bl w:val="nil"/>
                  </w:tcBorders>
                  <w:shd w:val="clear" w:color="auto" w:fill="auto"/>
                  <w:vAlign w:val="center"/>
                </w:tcPr>
                <w:p w14:paraId="708E56BB">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颗粒物</w:t>
                  </w:r>
                </w:p>
              </w:tc>
              <w:tc>
                <w:tcPr>
                  <w:tcW w:w="757" w:type="pct"/>
                  <w:tcBorders>
                    <w:top w:val="single" w:color="auto" w:sz="12" w:space="0"/>
                    <w:tl2br w:val="nil"/>
                    <w:tr2bl w:val="nil"/>
                  </w:tcBorders>
                  <w:shd w:val="clear" w:color="auto" w:fill="auto"/>
                  <w:vAlign w:val="center"/>
                </w:tcPr>
                <w:p w14:paraId="079C8C0E">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3"/>
                      <w:position w:val="2"/>
                      <w:sz w:val="21"/>
                      <w:szCs w:val="20"/>
                    </w:rPr>
                    <w:t>120</w:t>
                  </w:r>
                </w:p>
              </w:tc>
              <w:tc>
                <w:tcPr>
                  <w:tcW w:w="731" w:type="pct"/>
                  <w:tcBorders>
                    <w:top w:val="single" w:color="auto" w:sz="12" w:space="0"/>
                    <w:tl2br w:val="nil"/>
                    <w:tr2bl w:val="nil"/>
                  </w:tcBorders>
                  <w:shd w:val="clear" w:color="auto" w:fill="auto"/>
                  <w:vAlign w:val="center"/>
                </w:tcPr>
                <w:p w14:paraId="5229D81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2"/>
                      <w:sz w:val="21"/>
                      <w:szCs w:val="20"/>
                    </w:rPr>
                    <w:t>20</w:t>
                  </w:r>
                </w:p>
              </w:tc>
              <w:tc>
                <w:tcPr>
                  <w:tcW w:w="1057" w:type="pct"/>
                  <w:tcBorders>
                    <w:top w:val="single" w:color="auto" w:sz="12" w:space="0"/>
                    <w:tl2br w:val="nil"/>
                    <w:tr2bl w:val="nil"/>
                  </w:tcBorders>
                  <w:shd w:val="clear" w:color="auto" w:fill="auto"/>
                  <w:vAlign w:val="center"/>
                </w:tcPr>
                <w:p w14:paraId="1965CAD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position w:val="2"/>
                      <w:sz w:val="21"/>
                      <w:szCs w:val="20"/>
                    </w:rPr>
                    <w:t>5.9</w:t>
                  </w:r>
                </w:p>
              </w:tc>
              <w:tc>
                <w:tcPr>
                  <w:tcW w:w="1257" w:type="pct"/>
                  <w:tcBorders>
                    <w:top w:val="single" w:color="auto" w:sz="12" w:space="0"/>
                    <w:tl2br w:val="nil"/>
                    <w:tr2bl w:val="nil"/>
                  </w:tcBorders>
                  <w:shd w:val="clear" w:color="auto" w:fill="auto"/>
                  <w:vAlign w:val="center"/>
                </w:tcPr>
                <w:p w14:paraId="748DBE6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4"/>
                      <w:position w:val="2"/>
                      <w:sz w:val="21"/>
                      <w:szCs w:val="20"/>
                    </w:rPr>
                    <w:t>1.0</w:t>
                  </w:r>
                </w:p>
              </w:tc>
            </w:tr>
            <w:tr w14:paraId="759BB2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tcBorders>
                    <w:tl2br w:val="nil"/>
                    <w:tr2bl w:val="nil"/>
                  </w:tcBorders>
                  <w:shd w:val="clear" w:color="auto" w:fill="auto"/>
                  <w:vAlign w:val="center"/>
                </w:tcPr>
                <w:p w14:paraId="028B9A4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z w:val="21"/>
                    </w:rPr>
                    <w:t>电泳、烘干</w:t>
                  </w:r>
                  <w:r>
                    <w:rPr>
                      <w:rFonts w:ascii="Times New Roman" w:hAnsi="Times New Roman" w:eastAsia="宋体"/>
                      <w:color w:val="auto"/>
                      <w:spacing w:val="3"/>
                      <w:sz w:val="21"/>
                    </w:rPr>
                    <w:t>工序</w:t>
                  </w:r>
                </w:p>
              </w:tc>
              <w:tc>
                <w:tcPr>
                  <w:tcW w:w="599" w:type="pct"/>
                  <w:tcBorders>
                    <w:tl2br w:val="nil"/>
                    <w:tr2bl w:val="nil"/>
                  </w:tcBorders>
                  <w:shd w:val="clear" w:color="auto" w:fill="auto"/>
                  <w:vAlign w:val="center"/>
                </w:tcPr>
                <w:p w14:paraId="13AEED19">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5"/>
                      <w:sz w:val="21"/>
                    </w:rPr>
                    <w:t>非甲烷</w:t>
                  </w:r>
                  <w:r>
                    <w:rPr>
                      <w:rFonts w:ascii="Times New Roman" w:hAnsi="Times New Roman" w:eastAsia="宋体"/>
                      <w:color w:val="auto"/>
                      <w:spacing w:val="3"/>
                      <w:sz w:val="21"/>
                    </w:rPr>
                    <w:t>总烃</w:t>
                  </w:r>
                </w:p>
              </w:tc>
              <w:tc>
                <w:tcPr>
                  <w:tcW w:w="757" w:type="pct"/>
                  <w:tcBorders>
                    <w:tl2br w:val="nil"/>
                    <w:tr2bl w:val="nil"/>
                  </w:tcBorders>
                  <w:shd w:val="clear" w:color="auto" w:fill="auto"/>
                  <w:vAlign w:val="center"/>
                </w:tcPr>
                <w:p w14:paraId="2F55189B">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hint="eastAsia" w:cs="Times New Roman"/>
                      <w:color w:val="auto"/>
                      <w:spacing w:val="-3"/>
                      <w:position w:val="2"/>
                      <w:sz w:val="21"/>
                      <w:szCs w:val="20"/>
                      <w:lang w:val="en-US" w:eastAsia="zh-CN"/>
                    </w:rPr>
                    <w:t>60</w:t>
                  </w:r>
                </w:p>
              </w:tc>
              <w:tc>
                <w:tcPr>
                  <w:tcW w:w="731" w:type="pct"/>
                  <w:tcBorders>
                    <w:tl2br w:val="nil"/>
                    <w:tr2bl w:val="nil"/>
                  </w:tcBorders>
                  <w:shd w:val="clear" w:color="auto" w:fill="auto"/>
                  <w:vAlign w:val="center"/>
                </w:tcPr>
                <w:p w14:paraId="066AF615">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2"/>
                      <w:sz w:val="21"/>
                      <w:szCs w:val="20"/>
                    </w:rPr>
                    <w:t>23</w:t>
                  </w:r>
                </w:p>
              </w:tc>
              <w:tc>
                <w:tcPr>
                  <w:tcW w:w="1057" w:type="pct"/>
                  <w:tcBorders>
                    <w:tl2br w:val="nil"/>
                    <w:tr2bl w:val="nil"/>
                  </w:tcBorders>
                  <w:shd w:val="clear" w:color="auto" w:fill="auto"/>
                  <w:vAlign w:val="center"/>
                </w:tcPr>
                <w:p w14:paraId="6A4F5DC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hint="eastAsia" w:cs="Times New Roman"/>
                      <w:color w:val="auto"/>
                      <w:spacing w:val="3"/>
                      <w:position w:val="2"/>
                      <w:sz w:val="21"/>
                      <w:szCs w:val="20"/>
                      <w:lang w:val="en-US" w:eastAsia="zh-CN"/>
                    </w:rPr>
                    <w:t>5.33*</w:t>
                  </w:r>
                </w:p>
              </w:tc>
              <w:tc>
                <w:tcPr>
                  <w:tcW w:w="1257" w:type="pct"/>
                  <w:tcBorders>
                    <w:tl2br w:val="nil"/>
                    <w:tr2bl w:val="nil"/>
                  </w:tcBorders>
                  <w:shd w:val="clear" w:color="auto" w:fill="auto"/>
                  <w:vAlign w:val="center"/>
                </w:tcPr>
                <w:p w14:paraId="6304819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hint="eastAsia" w:cs="Times New Roman"/>
                      <w:color w:val="auto"/>
                      <w:kern w:val="2"/>
                      <w:sz w:val="21"/>
                      <w:szCs w:val="20"/>
                      <w:lang w:val="en-US" w:eastAsia="zh-CN" w:bidi="ar-SA"/>
                    </w:rPr>
                    <w:t>/</w:t>
                  </w:r>
                </w:p>
              </w:tc>
            </w:tr>
            <w:tr w14:paraId="58F508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vMerge w:val="restart"/>
                  <w:tcBorders>
                    <w:tl2br w:val="nil"/>
                    <w:tr2bl w:val="nil"/>
                  </w:tcBorders>
                  <w:shd w:val="clear" w:color="auto" w:fill="auto"/>
                  <w:vAlign w:val="center"/>
                </w:tcPr>
                <w:p w14:paraId="2763FEF2">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sz w:val="21"/>
                      <w:vertAlign w:val="baseline"/>
                      <w:lang w:val="en-US" w:eastAsia="zh-CN"/>
                    </w:rPr>
                  </w:pPr>
                  <w:r>
                    <w:rPr>
                      <w:rFonts w:ascii="Times New Roman" w:hAnsi="Times New Roman" w:eastAsia="宋体"/>
                      <w:color w:val="auto"/>
                      <w:spacing w:val="7"/>
                      <w:sz w:val="21"/>
                    </w:rPr>
                    <w:t>燃烧工序</w:t>
                  </w:r>
                </w:p>
              </w:tc>
              <w:tc>
                <w:tcPr>
                  <w:tcW w:w="599" w:type="pct"/>
                  <w:tcBorders>
                    <w:tl2br w:val="nil"/>
                    <w:tr2bl w:val="nil"/>
                  </w:tcBorders>
                  <w:shd w:val="clear" w:color="auto" w:fill="auto"/>
                  <w:vAlign w:val="center"/>
                </w:tcPr>
                <w:p w14:paraId="4BD6BE9E">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颗粒物</w:t>
                  </w:r>
                </w:p>
              </w:tc>
              <w:tc>
                <w:tcPr>
                  <w:tcW w:w="757" w:type="pct"/>
                  <w:tcBorders>
                    <w:tl2br w:val="nil"/>
                    <w:tr2bl w:val="nil"/>
                  </w:tcBorders>
                  <w:shd w:val="clear" w:color="auto" w:fill="auto"/>
                  <w:vAlign w:val="center"/>
                </w:tcPr>
                <w:p w14:paraId="10DEB79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position w:val="1"/>
                      <w:sz w:val="21"/>
                      <w:szCs w:val="20"/>
                    </w:rPr>
                    <w:t>30</w:t>
                  </w:r>
                </w:p>
              </w:tc>
              <w:tc>
                <w:tcPr>
                  <w:tcW w:w="731" w:type="pct"/>
                  <w:tcBorders>
                    <w:tl2br w:val="nil"/>
                    <w:tr2bl w:val="nil"/>
                  </w:tcBorders>
                  <w:shd w:val="clear" w:color="auto" w:fill="auto"/>
                  <w:vAlign w:val="center"/>
                </w:tcPr>
                <w:p w14:paraId="73F31EC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c>
                <w:tcPr>
                  <w:tcW w:w="1057" w:type="pct"/>
                  <w:tcBorders>
                    <w:tl2br w:val="nil"/>
                    <w:tr2bl w:val="nil"/>
                  </w:tcBorders>
                  <w:shd w:val="clear" w:color="auto" w:fill="auto"/>
                  <w:vAlign w:val="center"/>
                </w:tcPr>
                <w:p w14:paraId="52CC929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c>
                <w:tcPr>
                  <w:tcW w:w="1257" w:type="pct"/>
                  <w:tcBorders>
                    <w:tl2br w:val="nil"/>
                    <w:tr2bl w:val="nil"/>
                  </w:tcBorders>
                  <w:shd w:val="clear" w:color="auto" w:fill="auto"/>
                  <w:vAlign w:val="center"/>
                </w:tcPr>
                <w:p w14:paraId="1360DD28">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r>
            <w:tr w14:paraId="505697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vMerge w:val="continue"/>
                  <w:tcBorders>
                    <w:tl2br w:val="nil"/>
                    <w:tr2bl w:val="nil"/>
                  </w:tcBorders>
                  <w:vAlign w:val="center"/>
                </w:tcPr>
                <w:p w14:paraId="373FD9C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sz w:val="21"/>
                      <w:vertAlign w:val="baseline"/>
                      <w:lang w:val="en-US" w:eastAsia="zh-CN"/>
                    </w:rPr>
                  </w:pPr>
                </w:p>
              </w:tc>
              <w:tc>
                <w:tcPr>
                  <w:tcW w:w="599" w:type="pct"/>
                  <w:tcBorders>
                    <w:tl2br w:val="nil"/>
                    <w:tr2bl w:val="nil"/>
                  </w:tcBorders>
                  <w:shd w:val="clear" w:color="auto" w:fill="auto"/>
                  <w:vAlign w:val="center"/>
                </w:tcPr>
                <w:p w14:paraId="4757B5B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13"/>
                      <w:lang w:val="en-US" w:eastAsia="zh-CN" w:bidi="ar-SA"/>
                    </w:rPr>
                  </w:pPr>
                  <w:r>
                    <w:rPr>
                      <w:rFonts w:ascii="Times New Roman" w:hAnsi="Times New Roman" w:eastAsia="宋体" w:cs="Times New Roman"/>
                      <w:color w:val="auto"/>
                      <w:sz w:val="21"/>
                      <w:szCs w:val="20"/>
                    </w:rPr>
                    <w:t>SO</w:t>
                  </w:r>
                  <w:r>
                    <w:rPr>
                      <w:rFonts w:ascii="Times New Roman" w:hAnsi="Times New Roman" w:eastAsia="宋体" w:cs="Times New Roman"/>
                      <w:color w:val="auto"/>
                      <w:spacing w:val="1"/>
                      <w:sz w:val="21"/>
                      <w:szCs w:val="13"/>
                      <w:vertAlign w:val="subscript"/>
                    </w:rPr>
                    <w:t>2</w:t>
                  </w:r>
                </w:p>
              </w:tc>
              <w:tc>
                <w:tcPr>
                  <w:tcW w:w="757" w:type="pct"/>
                  <w:tcBorders>
                    <w:tl2br w:val="nil"/>
                    <w:tr2bl w:val="nil"/>
                  </w:tcBorders>
                  <w:shd w:val="clear" w:color="auto" w:fill="auto"/>
                  <w:vAlign w:val="center"/>
                </w:tcPr>
                <w:p w14:paraId="1994D03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3"/>
                      <w:sz w:val="21"/>
                      <w:szCs w:val="20"/>
                    </w:rPr>
                    <w:t>200</w:t>
                  </w:r>
                </w:p>
              </w:tc>
              <w:tc>
                <w:tcPr>
                  <w:tcW w:w="731" w:type="pct"/>
                  <w:tcBorders>
                    <w:tl2br w:val="nil"/>
                    <w:tr2bl w:val="nil"/>
                  </w:tcBorders>
                  <w:shd w:val="clear" w:color="auto" w:fill="auto"/>
                  <w:vAlign w:val="center"/>
                </w:tcPr>
                <w:p w14:paraId="5E5F6C2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sz w:val="21"/>
                      <w:szCs w:val="20"/>
                    </w:rPr>
                    <w:t>/</w:t>
                  </w:r>
                </w:p>
              </w:tc>
              <w:tc>
                <w:tcPr>
                  <w:tcW w:w="1057" w:type="pct"/>
                  <w:tcBorders>
                    <w:tl2br w:val="nil"/>
                    <w:tr2bl w:val="nil"/>
                  </w:tcBorders>
                  <w:shd w:val="clear" w:color="auto" w:fill="auto"/>
                  <w:vAlign w:val="center"/>
                </w:tcPr>
                <w:p w14:paraId="3086B68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sz w:val="21"/>
                      <w:szCs w:val="20"/>
                    </w:rPr>
                    <w:t>/</w:t>
                  </w:r>
                </w:p>
              </w:tc>
              <w:tc>
                <w:tcPr>
                  <w:tcW w:w="1257" w:type="pct"/>
                  <w:tcBorders>
                    <w:tl2br w:val="nil"/>
                    <w:tr2bl w:val="nil"/>
                  </w:tcBorders>
                  <w:shd w:val="clear" w:color="auto" w:fill="auto"/>
                  <w:vAlign w:val="center"/>
                </w:tcPr>
                <w:p w14:paraId="49456BF0">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sz w:val="21"/>
                      <w:szCs w:val="20"/>
                    </w:rPr>
                    <w:t>/</w:t>
                  </w:r>
                </w:p>
              </w:tc>
            </w:tr>
            <w:tr w14:paraId="0FE0A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vMerge w:val="continue"/>
                  <w:tcBorders>
                    <w:tl2br w:val="nil"/>
                    <w:tr2bl w:val="nil"/>
                  </w:tcBorders>
                  <w:vAlign w:val="center"/>
                </w:tcPr>
                <w:p w14:paraId="529DC43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sz w:val="21"/>
                      <w:vertAlign w:val="baseline"/>
                      <w:lang w:val="en-US" w:eastAsia="zh-CN"/>
                    </w:rPr>
                  </w:pPr>
                </w:p>
              </w:tc>
              <w:tc>
                <w:tcPr>
                  <w:tcW w:w="599" w:type="pct"/>
                  <w:tcBorders>
                    <w:tl2br w:val="nil"/>
                    <w:tr2bl w:val="nil"/>
                  </w:tcBorders>
                  <w:shd w:val="clear" w:color="auto" w:fill="auto"/>
                  <w:vAlign w:val="center"/>
                </w:tcPr>
                <w:p w14:paraId="21C1ED7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6"/>
                      <w:sz w:val="21"/>
                      <w:szCs w:val="20"/>
                    </w:rPr>
                    <w:t>NOx</w:t>
                  </w:r>
                </w:p>
              </w:tc>
              <w:tc>
                <w:tcPr>
                  <w:tcW w:w="757" w:type="pct"/>
                  <w:tcBorders>
                    <w:tl2br w:val="nil"/>
                    <w:tr2bl w:val="nil"/>
                  </w:tcBorders>
                  <w:shd w:val="clear" w:color="auto" w:fill="auto"/>
                  <w:vAlign w:val="center"/>
                </w:tcPr>
                <w:p w14:paraId="3C861B17">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sz w:val="21"/>
                      <w:szCs w:val="20"/>
                    </w:rPr>
                    <w:t>300</w:t>
                  </w:r>
                </w:p>
              </w:tc>
              <w:tc>
                <w:tcPr>
                  <w:tcW w:w="731" w:type="pct"/>
                  <w:tcBorders>
                    <w:tl2br w:val="nil"/>
                    <w:tr2bl w:val="nil"/>
                  </w:tcBorders>
                  <w:shd w:val="clear" w:color="auto" w:fill="auto"/>
                  <w:vAlign w:val="center"/>
                </w:tcPr>
                <w:p w14:paraId="1B81159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sz w:val="21"/>
                      <w:szCs w:val="20"/>
                    </w:rPr>
                    <w:t>/</w:t>
                  </w:r>
                </w:p>
              </w:tc>
              <w:tc>
                <w:tcPr>
                  <w:tcW w:w="1057" w:type="pct"/>
                  <w:tcBorders>
                    <w:tl2br w:val="nil"/>
                    <w:tr2bl w:val="nil"/>
                  </w:tcBorders>
                  <w:shd w:val="clear" w:color="auto" w:fill="auto"/>
                  <w:vAlign w:val="center"/>
                </w:tcPr>
                <w:p w14:paraId="646FB93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sz w:val="21"/>
                      <w:szCs w:val="20"/>
                    </w:rPr>
                    <w:t>/</w:t>
                  </w:r>
                </w:p>
              </w:tc>
              <w:tc>
                <w:tcPr>
                  <w:tcW w:w="1257" w:type="pct"/>
                  <w:tcBorders>
                    <w:tl2br w:val="nil"/>
                    <w:tr2bl w:val="nil"/>
                  </w:tcBorders>
                  <w:shd w:val="clear" w:color="auto" w:fill="auto"/>
                  <w:vAlign w:val="center"/>
                </w:tcPr>
                <w:p w14:paraId="5F572FAE">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sz w:val="21"/>
                      <w:szCs w:val="20"/>
                    </w:rPr>
                    <w:t>/</w:t>
                  </w:r>
                </w:p>
              </w:tc>
            </w:tr>
            <w:tr w14:paraId="73988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vMerge w:val="restart"/>
                  <w:tcBorders>
                    <w:tl2br w:val="nil"/>
                    <w:tr2bl w:val="nil"/>
                  </w:tcBorders>
                  <w:shd w:val="clear" w:color="auto" w:fill="auto"/>
                  <w:vAlign w:val="center"/>
                </w:tcPr>
                <w:p w14:paraId="1193A97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sz w:val="21"/>
                      <w:vertAlign w:val="baseline"/>
                      <w:lang w:val="en-US" w:eastAsia="zh-CN"/>
                    </w:rPr>
                  </w:pPr>
                  <w:r>
                    <w:rPr>
                      <w:rFonts w:ascii="Times New Roman" w:hAnsi="Times New Roman" w:eastAsia="宋体"/>
                      <w:color w:val="auto"/>
                      <w:spacing w:val="7"/>
                      <w:sz w:val="21"/>
                    </w:rPr>
                    <w:t>废水处理</w:t>
                  </w:r>
                  <w:r>
                    <w:rPr>
                      <w:rFonts w:ascii="Times New Roman" w:hAnsi="Times New Roman" w:eastAsia="宋体"/>
                      <w:color w:val="auto"/>
                      <w:spacing w:val="3"/>
                      <w:sz w:val="21"/>
                    </w:rPr>
                    <w:t>设施</w:t>
                  </w:r>
                </w:p>
              </w:tc>
              <w:tc>
                <w:tcPr>
                  <w:tcW w:w="599" w:type="pct"/>
                  <w:tcBorders>
                    <w:tl2br w:val="nil"/>
                    <w:tr2bl w:val="nil"/>
                  </w:tcBorders>
                  <w:shd w:val="clear" w:color="auto" w:fill="auto"/>
                  <w:vAlign w:val="center"/>
                </w:tcPr>
                <w:p w14:paraId="4CCD3C0B">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z w:val="21"/>
                    </w:rPr>
                    <w:t>氨</w:t>
                  </w:r>
                </w:p>
              </w:tc>
              <w:tc>
                <w:tcPr>
                  <w:tcW w:w="757" w:type="pct"/>
                  <w:tcBorders>
                    <w:tl2br w:val="nil"/>
                    <w:tr2bl w:val="nil"/>
                  </w:tcBorders>
                  <w:shd w:val="clear" w:color="auto" w:fill="auto"/>
                  <w:vAlign w:val="center"/>
                </w:tcPr>
                <w:p w14:paraId="0D178DB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c>
                <w:tcPr>
                  <w:tcW w:w="731" w:type="pct"/>
                  <w:vMerge w:val="restart"/>
                  <w:tcBorders>
                    <w:tl2br w:val="nil"/>
                    <w:tr2bl w:val="nil"/>
                  </w:tcBorders>
                  <w:shd w:val="clear" w:color="auto" w:fill="auto"/>
                  <w:vAlign w:val="center"/>
                </w:tcPr>
                <w:p w14:paraId="5204689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olor w:val="auto"/>
                      <w:sz w:val="21"/>
                      <w:vertAlign w:val="baseline"/>
                      <w:lang w:val="en-US" w:eastAsia="zh-CN"/>
                    </w:rPr>
                  </w:pPr>
                  <w:r>
                    <w:rPr>
                      <w:rFonts w:ascii="Times New Roman" w:hAnsi="Times New Roman" w:eastAsia="宋体" w:cs="Times New Roman"/>
                      <w:color w:val="auto"/>
                      <w:spacing w:val="2"/>
                      <w:position w:val="1"/>
                      <w:sz w:val="21"/>
                      <w:szCs w:val="20"/>
                    </w:rPr>
                    <w:t>/</w:t>
                  </w:r>
                </w:p>
              </w:tc>
              <w:tc>
                <w:tcPr>
                  <w:tcW w:w="1057" w:type="pct"/>
                  <w:tcBorders>
                    <w:tl2br w:val="nil"/>
                    <w:tr2bl w:val="nil"/>
                  </w:tcBorders>
                  <w:shd w:val="clear" w:color="auto" w:fill="auto"/>
                  <w:vAlign w:val="center"/>
                </w:tcPr>
                <w:p w14:paraId="484E0EE2">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c>
                <w:tcPr>
                  <w:tcW w:w="1257" w:type="pct"/>
                  <w:tcBorders>
                    <w:tl2br w:val="nil"/>
                    <w:tr2bl w:val="nil"/>
                  </w:tcBorders>
                  <w:shd w:val="clear" w:color="auto" w:fill="auto"/>
                  <w:vAlign w:val="center"/>
                </w:tcPr>
                <w:p w14:paraId="08354C99">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4"/>
                      <w:position w:val="1"/>
                      <w:sz w:val="21"/>
                      <w:szCs w:val="20"/>
                    </w:rPr>
                    <w:t>1.5</w:t>
                  </w:r>
                </w:p>
              </w:tc>
            </w:tr>
            <w:tr w14:paraId="65FBAE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vMerge w:val="continue"/>
                  <w:tcBorders>
                    <w:tl2br w:val="nil"/>
                    <w:tr2bl w:val="nil"/>
                  </w:tcBorders>
                  <w:vAlign w:val="center"/>
                </w:tcPr>
                <w:p w14:paraId="10D4B34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sz w:val="21"/>
                      <w:vertAlign w:val="baseline"/>
                      <w:lang w:val="en-US" w:eastAsia="zh-CN"/>
                    </w:rPr>
                  </w:pPr>
                </w:p>
              </w:tc>
              <w:tc>
                <w:tcPr>
                  <w:tcW w:w="599" w:type="pct"/>
                  <w:tcBorders>
                    <w:tl2br w:val="nil"/>
                    <w:tr2bl w:val="nil"/>
                  </w:tcBorders>
                  <w:shd w:val="clear" w:color="auto" w:fill="auto"/>
                  <w:vAlign w:val="center"/>
                </w:tcPr>
                <w:p w14:paraId="68363B92">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硫化氢</w:t>
                  </w:r>
                </w:p>
              </w:tc>
              <w:tc>
                <w:tcPr>
                  <w:tcW w:w="757" w:type="pct"/>
                  <w:tcBorders>
                    <w:tl2br w:val="nil"/>
                    <w:tr2bl w:val="nil"/>
                  </w:tcBorders>
                  <w:shd w:val="clear" w:color="auto" w:fill="auto"/>
                  <w:vAlign w:val="center"/>
                </w:tcPr>
                <w:p w14:paraId="62E33244">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c>
                <w:tcPr>
                  <w:tcW w:w="731" w:type="pct"/>
                  <w:vMerge w:val="continue"/>
                  <w:tcBorders>
                    <w:tl2br w:val="nil"/>
                    <w:tr2bl w:val="nil"/>
                  </w:tcBorders>
                  <w:vAlign w:val="center"/>
                </w:tcPr>
                <w:p w14:paraId="229CEED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sz w:val="21"/>
                      <w:vertAlign w:val="baseline"/>
                      <w:lang w:val="en-US" w:eastAsia="zh-CN"/>
                    </w:rPr>
                  </w:pPr>
                </w:p>
              </w:tc>
              <w:tc>
                <w:tcPr>
                  <w:tcW w:w="1057" w:type="pct"/>
                  <w:tcBorders>
                    <w:tl2br w:val="nil"/>
                    <w:tr2bl w:val="nil"/>
                  </w:tcBorders>
                  <w:shd w:val="clear" w:color="auto" w:fill="auto"/>
                  <w:vAlign w:val="center"/>
                </w:tcPr>
                <w:p w14:paraId="29BD0FE3">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c>
                <w:tcPr>
                  <w:tcW w:w="1257" w:type="pct"/>
                  <w:tcBorders>
                    <w:tl2br w:val="nil"/>
                    <w:tr2bl w:val="nil"/>
                  </w:tcBorders>
                  <w:shd w:val="clear" w:color="auto" w:fill="auto"/>
                  <w:vAlign w:val="center"/>
                </w:tcPr>
                <w:p w14:paraId="255CEF25">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0.06</w:t>
                  </w:r>
                </w:p>
              </w:tc>
            </w:tr>
            <w:tr w14:paraId="4AB7DA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97" w:type="pct"/>
                  <w:vMerge w:val="continue"/>
                  <w:tcBorders>
                    <w:tl2br w:val="nil"/>
                    <w:tr2bl w:val="nil"/>
                  </w:tcBorders>
                  <w:vAlign w:val="center"/>
                </w:tcPr>
                <w:p w14:paraId="461E9B2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sz w:val="21"/>
                      <w:vertAlign w:val="baseline"/>
                      <w:lang w:val="en-US" w:eastAsia="zh-CN"/>
                    </w:rPr>
                  </w:pPr>
                </w:p>
              </w:tc>
              <w:tc>
                <w:tcPr>
                  <w:tcW w:w="599" w:type="pct"/>
                  <w:tcBorders>
                    <w:tl2br w:val="nil"/>
                    <w:tr2bl w:val="nil"/>
                  </w:tcBorders>
                  <w:shd w:val="clear" w:color="auto" w:fill="auto"/>
                  <w:vAlign w:val="center"/>
                </w:tcPr>
                <w:p w14:paraId="3C603A9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6"/>
                      <w:sz w:val="21"/>
                    </w:rPr>
                    <w:t>臭气浓</w:t>
                  </w:r>
                </w:p>
                <w:p w14:paraId="669CB22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4"/>
                      <w:sz w:val="21"/>
                    </w:rPr>
                    <w:t>度（无量</w:t>
                  </w:r>
                </w:p>
                <w:p w14:paraId="6084A317">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2"/>
                      <w:sz w:val="21"/>
                    </w:rPr>
                    <w:t>纲）</w:t>
                  </w:r>
                </w:p>
              </w:tc>
              <w:tc>
                <w:tcPr>
                  <w:tcW w:w="757" w:type="pct"/>
                  <w:tcBorders>
                    <w:tl2br w:val="nil"/>
                    <w:tr2bl w:val="nil"/>
                  </w:tcBorders>
                  <w:shd w:val="clear" w:color="auto" w:fill="auto"/>
                  <w:vAlign w:val="center"/>
                </w:tcPr>
                <w:p w14:paraId="6AE8B1EA">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c>
                <w:tcPr>
                  <w:tcW w:w="731" w:type="pct"/>
                  <w:vMerge w:val="continue"/>
                  <w:tcBorders>
                    <w:tl2br w:val="nil"/>
                    <w:tr2bl w:val="nil"/>
                  </w:tcBorders>
                  <w:vAlign w:val="center"/>
                </w:tcPr>
                <w:p w14:paraId="535EE71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olor w:val="auto"/>
                      <w:sz w:val="21"/>
                      <w:vertAlign w:val="baseline"/>
                      <w:lang w:val="en-US" w:eastAsia="zh-CN"/>
                    </w:rPr>
                  </w:pPr>
                </w:p>
              </w:tc>
              <w:tc>
                <w:tcPr>
                  <w:tcW w:w="1057" w:type="pct"/>
                  <w:tcBorders>
                    <w:tl2br w:val="nil"/>
                    <w:tr2bl w:val="nil"/>
                  </w:tcBorders>
                  <w:shd w:val="clear" w:color="auto" w:fill="auto"/>
                  <w:vAlign w:val="center"/>
                </w:tcPr>
                <w:p w14:paraId="01D89E27">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1"/>
                      <w:sz w:val="21"/>
                      <w:szCs w:val="20"/>
                    </w:rPr>
                    <w:t>/</w:t>
                  </w:r>
                </w:p>
              </w:tc>
              <w:tc>
                <w:tcPr>
                  <w:tcW w:w="1257" w:type="pct"/>
                  <w:tcBorders>
                    <w:tl2br w:val="nil"/>
                    <w:tr2bl w:val="nil"/>
                  </w:tcBorders>
                  <w:shd w:val="clear" w:color="auto" w:fill="auto"/>
                  <w:vAlign w:val="center"/>
                </w:tcPr>
                <w:p w14:paraId="5503ACED">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2"/>
                      <w:sz w:val="21"/>
                      <w:szCs w:val="20"/>
                    </w:rPr>
                    <w:t>20</w:t>
                  </w:r>
                </w:p>
              </w:tc>
            </w:tr>
            <w:tr w14:paraId="6FD6F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6"/>
                  <w:tcBorders>
                    <w:tl2br w:val="nil"/>
                    <w:tr2bl w:val="nil"/>
                  </w:tcBorders>
                  <w:vAlign w:val="center"/>
                </w:tcPr>
                <w:p w14:paraId="6E2BBBBC">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left"/>
                    <w:textAlignment w:val="auto"/>
                    <w:rPr>
                      <w:rFonts w:ascii="Times New Roman" w:hAnsi="Times New Roman" w:eastAsia="宋体" w:cs="Times New Roman"/>
                      <w:color w:val="auto"/>
                      <w:spacing w:val="2"/>
                      <w:position w:val="2"/>
                      <w:sz w:val="21"/>
                      <w:szCs w:val="20"/>
                    </w:rPr>
                  </w:pPr>
                  <w:r>
                    <w:rPr>
                      <w:rFonts w:hint="eastAsia" w:cs="Times New Roman"/>
                      <w:color w:val="auto"/>
                      <w:spacing w:val="2"/>
                      <w:position w:val="2"/>
                      <w:sz w:val="21"/>
                      <w:szCs w:val="20"/>
                      <w:lang w:val="en-US" w:eastAsia="zh-CN"/>
                    </w:rPr>
                    <w:t>注*</w:t>
                  </w:r>
                  <w:r>
                    <w:rPr>
                      <w:rFonts w:ascii="Times New Roman" w:hAnsi="Times New Roman" w:eastAsia="宋体" w:cs="Times New Roman"/>
                      <w:color w:val="auto"/>
                      <w:spacing w:val="2"/>
                      <w:position w:val="2"/>
                      <w:sz w:val="21"/>
                      <w:szCs w:val="20"/>
                    </w:rPr>
                    <w:t>本项目电泳、烘干工序拟建排气筒高度为2</w:t>
                  </w:r>
                  <w:r>
                    <w:rPr>
                      <w:rFonts w:hint="eastAsia" w:cs="Times New Roman"/>
                      <w:color w:val="auto"/>
                      <w:spacing w:val="2"/>
                      <w:position w:val="2"/>
                      <w:sz w:val="21"/>
                      <w:szCs w:val="20"/>
                      <w:lang w:val="en-US" w:eastAsia="zh-CN"/>
                    </w:rPr>
                    <w:t>3</w:t>
                  </w:r>
                  <w:r>
                    <w:rPr>
                      <w:rFonts w:ascii="Times New Roman" w:hAnsi="Times New Roman" w:eastAsia="宋体" w:cs="Times New Roman"/>
                      <w:color w:val="auto"/>
                      <w:spacing w:val="2"/>
                      <w:position w:val="2"/>
                      <w:sz w:val="21"/>
                      <w:szCs w:val="20"/>
                    </w:rPr>
                    <w:t>m，根据《工业企业挥发性有机物排放标准》（DB35/1782-2018）附录A的内插法计算可得，排气筒2</w:t>
                  </w:r>
                  <w:r>
                    <w:rPr>
                      <w:rFonts w:hint="eastAsia" w:cs="Times New Roman"/>
                      <w:color w:val="auto"/>
                      <w:spacing w:val="2"/>
                      <w:position w:val="2"/>
                      <w:sz w:val="21"/>
                      <w:szCs w:val="20"/>
                      <w:lang w:val="en-US" w:eastAsia="zh-CN"/>
                    </w:rPr>
                    <w:t>3</w:t>
                  </w:r>
                  <w:r>
                    <w:rPr>
                      <w:rFonts w:ascii="Times New Roman" w:hAnsi="Times New Roman" w:eastAsia="宋体" w:cs="Times New Roman"/>
                      <w:color w:val="auto"/>
                      <w:spacing w:val="2"/>
                      <w:position w:val="2"/>
                      <w:sz w:val="21"/>
                      <w:szCs w:val="20"/>
                    </w:rPr>
                    <w:t>m对应最高允许排放速率为</w:t>
                  </w:r>
                  <w:r>
                    <w:rPr>
                      <w:rFonts w:hint="eastAsia" w:cs="Times New Roman"/>
                      <w:color w:val="auto"/>
                      <w:spacing w:val="2"/>
                      <w:position w:val="2"/>
                      <w:sz w:val="21"/>
                      <w:szCs w:val="20"/>
                      <w:lang w:val="en-US" w:eastAsia="zh-CN"/>
                    </w:rPr>
                    <w:t>5.33</w:t>
                  </w:r>
                  <w:r>
                    <w:rPr>
                      <w:rFonts w:ascii="Times New Roman" w:hAnsi="Times New Roman" w:eastAsia="宋体" w:cs="Times New Roman"/>
                      <w:color w:val="auto"/>
                      <w:spacing w:val="2"/>
                      <w:position w:val="2"/>
                      <w:sz w:val="21"/>
                      <w:szCs w:val="20"/>
                    </w:rPr>
                    <w:t>kg/h。</w:t>
                  </w:r>
                </w:p>
              </w:tc>
            </w:tr>
          </w:tbl>
          <w:p w14:paraId="18818582">
            <w:pPr>
              <w:rPr>
                <w:rFonts w:hint="default"/>
                <w:color w:val="auto"/>
                <w:lang w:val="en-US" w:eastAsia="zh-CN"/>
              </w:rPr>
            </w:pPr>
          </w:p>
          <w:p w14:paraId="0A61241E">
            <w:pPr>
              <w:pStyle w:val="42"/>
              <w:keepNext/>
              <w:keepLines/>
              <w:pageBreakBefore w:val="0"/>
              <w:widowControl w:val="0"/>
              <w:numPr>
                <w:ilvl w:val="7"/>
                <w:numId w:val="1"/>
              </w:numPr>
              <w:kinsoku/>
              <w:wordWrap/>
              <w:overflowPunct/>
              <w:topLinePunct w:val="0"/>
              <w:autoSpaceDE/>
              <w:autoSpaceDN/>
              <w:bidi w:val="0"/>
              <w:adjustRightInd/>
              <w:snapToGrid/>
              <w:spacing w:before="0" w:after="0"/>
              <w:ind w:left="630" w:leftChars="0" w:firstLine="0" w:firstLineChars="0"/>
              <w:textAlignment w:val="auto"/>
              <w:rPr>
                <w:rFonts w:hint="default" w:ascii="Times New Roman" w:hAnsi="Times New Roman" w:eastAsia="宋体" w:cs="宋体"/>
                <w:color w:val="auto"/>
                <w:lang w:val="en-US" w:eastAsia="zh-CN"/>
              </w:rPr>
            </w:pPr>
            <w:r>
              <w:rPr>
                <w:rFonts w:hint="default" w:ascii="Times New Roman" w:hAnsi="Times New Roman" w:eastAsia="宋体" w:cs="宋体"/>
                <w:color w:val="auto"/>
                <w:lang w:val="en-US" w:eastAsia="zh-CN"/>
              </w:rPr>
              <w:t>厂区内VOCs无组织排放限制</w:t>
            </w:r>
          </w:p>
          <w:tbl>
            <w:tblPr>
              <w:tblStyle w:val="33"/>
              <w:tblW w:w="4979"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940"/>
              <w:gridCol w:w="951"/>
              <w:gridCol w:w="2659"/>
              <w:gridCol w:w="3804"/>
            </w:tblGrid>
            <w:tr w14:paraId="2E43E6B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563" w:type="pct"/>
                  <w:vMerge w:val="restart"/>
                  <w:tcBorders>
                    <w:left w:val="nil"/>
                    <w:bottom w:val="single" w:color="000000" w:sz="4" w:space="0"/>
                    <w:right w:val="single" w:color="000000" w:sz="4" w:space="0"/>
                  </w:tcBorders>
                  <w:vAlign w:val="center"/>
                </w:tcPr>
                <w:p w14:paraId="1B415E42">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p w14:paraId="7A20C1AC">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污染物</w:t>
                  </w:r>
                </w:p>
              </w:tc>
              <w:tc>
                <w:tcPr>
                  <w:tcW w:w="2160" w:type="pct"/>
                  <w:gridSpan w:val="2"/>
                  <w:tcBorders>
                    <w:left w:val="single" w:color="000000" w:sz="4" w:space="0"/>
                    <w:bottom w:val="single" w:color="000000" w:sz="4" w:space="0"/>
                    <w:right w:val="single" w:color="000000" w:sz="4" w:space="0"/>
                  </w:tcBorders>
                  <w:vAlign w:val="center"/>
                </w:tcPr>
                <w:p w14:paraId="53AEE3BE">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无组织排放监控浓度限值</w:t>
                  </w:r>
                </w:p>
              </w:tc>
              <w:tc>
                <w:tcPr>
                  <w:tcW w:w="2276" w:type="pct"/>
                  <w:vMerge w:val="restart"/>
                  <w:tcBorders>
                    <w:left w:val="single" w:color="000000" w:sz="4" w:space="0"/>
                    <w:bottom w:val="single" w:color="000000" w:sz="4" w:space="0"/>
                    <w:right w:val="nil"/>
                  </w:tcBorders>
                  <w:vAlign w:val="center"/>
                </w:tcPr>
                <w:p w14:paraId="6410E1EA">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p w14:paraId="2F15EE00">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标准依据</w:t>
                  </w:r>
                </w:p>
              </w:tc>
            </w:tr>
            <w:tr w14:paraId="57AC2D0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6" w:hRule="atLeast"/>
              </w:trPr>
              <w:tc>
                <w:tcPr>
                  <w:tcW w:w="563" w:type="pct"/>
                  <w:vMerge w:val="continue"/>
                  <w:tcBorders>
                    <w:top w:val="nil"/>
                    <w:left w:val="nil"/>
                    <w:bottom w:val="single" w:color="000000" w:sz="4" w:space="0"/>
                    <w:right w:val="single" w:color="000000" w:sz="4" w:space="0"/>
                  </w:tcBorders>
                  <w:vAlign w:val="center"/>
                </w:tcPr>
                <w:p w14:paraId="1D79C53B">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tc>
              <w:tc>
                <w:tcPr>
                  <w:tcW w:w="569" w:type="pct"/>
                  <w:tcBorders>
                    <w:top w:val="single" w:color="000000" w:sz="4" w:space="0"/>
                    <w:left w:val="single" w:color="000000" w:sz="4" w:space="0"/>
                    <w:bottom w:val="single" w:color="000000" w:sz="4" w:space="0"/>
                    <w:right w:val="single" w:color="000000" w:sz="4" w:space="0"/>
                  </w:tcBorders>
                  <w:vAlign w:val="center"/>
                </w:tcPr>
                <w:p w14:paraId="51581DE7">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监控点</w:t>
                  </w:r>
                </w:p>
              </w:tc>
              <w:tc>
                <w:tcPr>
                  <w:tcW w:w="1591" w:type="pct"/>
                  <w:tcBorders>
                    <w:top w:val="single" w:color="000000" w:sz="4" w:space="0"/>
                    <w:left w:val="single" w:color="000000" w:sz="4" w:space="0"/>
                    <w:bottom w:val="single" w:color="000000" w:sz="4" w:space="0"/>
                    <w:right w:val="single" w:color="000000" w:sz="4" w:space="0"/>
                  </w:tcBorders>
                  <w:vAlign w:val="center"/>
                </w:tcPr>
                <w:p w14:paraId="6BAABB19">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浓度</w:t>
                  </w:r>
                </w:p>
              </w:tc>
              <w:tc>
                <w:tcPr>
                  <w:tcW w:w="2276" w:type="pct"/>
                  <w:vMerge w:val="continue"/>
                  <w:tcBorders>
                    <w:top w:val="nil"/>
                    <w:left w:val="single" w:color="000000" w:sz="4" w:space="0"/>
                    <w:bottom w:val="single" w:color="000000" w:sz="4" w:space="0"/>
                    <w:right w:val="nil"/>
                  </w:tcBorders>
                  <w:vAlign w:val="center"/>
                </w:tcPr>
                <w:p w14:paraId="0B9BDEB4">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tc>
            </w:tr>
            <w:tr w14:paraId="3D68481C">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563" w:type="pct"/>
                  <w:vMerge w:val="restart"/>
                  <w:tcBorders>
                    <w:top w:val="single" w:color="000000" w:sz="4" w:space="0"/>
                    <w:left w:val="nil"/>
                    <w:bottom w:val="single" w:color="000000" w:sz="4" w:space="0"/>
                    <w:right w:val="single" w:color="000000" w:sz="4" w:space="0"/>
                  </w:tcBorders>
                  <w:vAlign w:val="center"/>
                </w:tcPr>
                <w:p w14:paraId="6C647BBD">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p w14:paraId="05E753E9">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p w14:paraId="7B590FAD">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非甲烷总烃</w:t>
                  </w:r>
                </w:p>
              </w:tc>
              <w:tc>
                <w:tcPr>
                  <w:tcW w:w="569" w:type="pct"/>
                  <w:tcBorders>
                    <w:top w:val="single" w:color="000000" w:sz="4" w:space="0"/>
                    <w:left w:val="single" w:color="000000" w:sz="4" w:space="0"/>
                    <w:bottom w:val="single" w:color="000000" w:sz="4" w:space="0"/>
                    <w:right w:val="single" w:color="000000" w:sz="4" w:space="0"/>
                  </w:tcBorders>
                  <w:vAlign w:val="center"/>
                </w:tcPr>
                <w:p w14:paraId="5A58FC95">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企业边界</w:t>
                  </w:r>
                </w:p>
              </w:tc>
              <w:tc>
                <w:tcPr>
                  <w:tcW w:w="1591" w:type="pct"/>
                  <w:tcBorders>
                    <w:top w:val="single" w:color="000000" w:sz="4" w:space="0"/>
                    <w:left w:val="single" w:color="000000" w:sz="4" w:space="0"/>
                    <w:bottom w:val="single" w:color="000000" w:sz="4" w:space="0"/>
                    <w:right w:val="single" w:color="000000" w:sz="4" w:space="0"/>
                  </w:tcBorders>
                  <w:vAlign w:val="center"/>
                </w:tcPr>
                <w:p w14:paraId="7AE951D8">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≤2.0mg/m</w:t>
                  </w:r>
                  <w:r>
                    <w:rPr>
                      <w:rFonts w:ascii="Times New Roman" w:hAnsi="Times New Roman" w:eastAsia="宋体"/>
                      <w:color w:val="auto"/>
                      <w:spacing w:val="-5"/>
                      <w:sz w:val="21"/>
                      <w:vertAlign w:val="superscript"/>
                    </w:rPr>
                    <w:t>3</w:t>
                  </w:r>
                </w:p>
              </w:tc>
              <w:tc>
                <w:tcPr>
                  <w:tcW w:w="2276" w:type="pct"/>
                  <w:tcBorders>
                    <w:top w:val="nil"/>
                    <w:left w:val="single" w:color="000000" w:sz="4" w:space="0"/>
                    <w:bottom w:val="single" w:color="000000" w:sz="4" w:space="0"/>
                    <w:right w:val="nil"/>
                  </w:tcBorders>
                  <w:vAlign w:val="center"/>
                </w:tcPr>
                <w:p w14:paraId="742D58FD">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《工业涂装工序挥发性有机物排放标准》</w:t>
                  </w:r>
                </w:p>
                <w:p w14:paraId="25A24234">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(DB35/1783-2018)表4</w:t>
                  </w:r>
                </w:p>
              </w:tc>
            </w:tr>
            <w:tr w14:paraId="186DE2D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80" w:hRule="atLeast"/>
              </w:trPr>
              <w:tc>
                <w:tcPr>
                  <w:tcW w:w="563" w:type="pct"/>
                  <w:vMerge w:val="continue"/>
                  <w:tcBorders>
                    <w:top w:val="nil"/>
                    <w:left w:val="nil"/>
                    <w:bottom w:val="single" w:color="000000" w:sz="4" w:space="0"/>
                    <w:right w:val="single" w:color="000000" w:sz="4" w:space="0"/>
                  </w:tcBorders>
                  <w:vAlign w:val="center"/>
                </w:tcPr>
                <w:p w14:paraId="56C130B7">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tc>
              <w:tc>
                <w:tcPr>
                  <w:tcW w:w="569" w:type="pct"/>
                  <w:vMerge w:val="restart"/>
                  <w:tcBorders>
                    <w:top w:val="single" w:color="000000" w:sz="4" w:space="0"/>
                    <w:left w:val="single" w:color="000000" w:sz="4" w:space="0"/>
                    <w:bottom w:val="single" w:color="000000" w:sz="4" w:space="0"/>
                    <w:right w:val="single" w:color="000000" w:sz="4" w:space="0"/>
                  </w:tcBorders>
                  <w:vAlign w:val="center"/>
                </w:tcPr>
                <w:p w14:paraId="117FA047">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p w14:paraId="63036CD1">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p w14:paraId="2B373A9D">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厂区内</w:t>
                  </w:r>
                </w:p>
              </w:tc>
              <w:tc>
                <w:tcPr>
                  <w:tcW w:w="1591" w:type="pct"/>
                  <w:tcBorders>
                    <w:top w:val="single" w:color="000000" w:sz="4" w:space="0"/>
                    <w:left w:val="single" w:color="000000" w:sz="4" w:space="0"/>
                    <w:bottom w:val="single" w:color="000000" w:sz="4" w:space="0"/>
                    <w:right w:val="single" w:color="000000" w:sz="4" w:space="0"/>
                  </w:tcBorders>
                  <w:vAlign w:val="center"/>
                </w:tcPr>
                <w:p w14:paraId="0D7AF54D">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厂内监控点1h平均浓度值</w:t>
                  </w:r>
                </w:p>
                <w:p w14:paraId="2489FE04">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≤8.0mg/m</w:t>
                  </w:r>
                  <w:r>
                    <w:rPr>
                      <w:rFonts w:ascii="Times New Roman" w:hAnsi="Times New Roman" w:eastAsia="宋体"/>
                      <w:color w:val="auto"/>
                      <w:spacing w:val="-5"/>
                      <w:sz w:val="21"/>
                      <w:vertAlign w:val="superscript"/>
                    </w:rPr>
                    <w:t>3</w:t>
                  </w:r>
                </w:p>
              </w:tc>
              <w:tc>
                <w:tcPr>
                  <w:tcW w:w="2276" w:type="pct"/>
                  <w:tcBorders>
                    <w:top w:val="single" w:color="000000" w:sz="4" w:space="0"/>
                    <w:left w:val="single" w:color="000000" w:sz="4" w:space="0"/>
                    <w:bottom w:val="single" w:color="000000" w:sz="4" w:space="0"/>
                    <w:right w:val="nil"/>
                  </w:tcBorders>
                  <w:vAlign w:val="center"/>
                </w:tcPr>
                <w:p w14:paraId="69D46BF3">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《工业涂装工序挥发性有机物排放标准》</w:t>
                  </w:r>
                </w:p>
                <w:p w14:paraId="45797B46">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(DB35/1783-2018)表3</w:t>
                  </w:r>
                </w:p>
              </w:tc>
            </w:tr>
            <w:tr w14:paraId="33A28D1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80" w:hRule="atLeast"/>
              </w:trPr>
              <w:tc>
                <w:tcPr>
                  <w:tcW w:w="563" w:type="pct"/>
                  <w:vMerge w:val="continue"/>
                  <w:tcBorders>
                    <w:top w:val="nil"/>
                    <w:left w:val="nil"/>
                    <w:bottom w:val="single" w:color="000000" w:sz="12" w:space="0"/>
                    <w:right w:val="single" w:color="000000" w:sz="4" w:space="0"/>
                  </w:tcBorders>
                  <w:vAlign w:val="center"/>
                </w:tcPr>
                <w:p w14:paraId="56FD861F">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tc>
              <w:tc>
                <w:tcPr>
                  <w:tcW w:w="569" w:type="pct"/>
                  <w:vMerge w:val="continue"/>
                  <w:tcBorders>
                    <w:top w:val="nil"/>
                    <w:left w:val="single" w:color="000000" w:sz="4" w:space="0"/>
                    <w:bottom w:val="single" w:color="000000" w:sz="12" w:space="0"/>
                    <w:right w:val="single" w:color="000000" w:sz="4" w:space="0"/>
                  </w:tcBorders>
                  <w:vAlign w:val="center"/>
                </w:tcPr>
                <w:p w14:paraId="1799E59B">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p>
              </w:tc>
              <w:tc>
                <w:tcPr>
                  <w:tcW w:w="1591" w:type="pct"/>
                  <w:tcBorders>
                    <w:top w:val="single" w:color="000000" w:sz="4" w:space="0"/>
                    <w:left w:val="single" w:color="000000" w:sz="4" w:space="0"/>
                    <w:bottom w:val="single" w:color="000000" w:sz="12" w:space="0"/>
                    <w:right w:val="single" w:color="000000" w:sz="4" w:space="0"/>
                  </w:tcBorders>
                  <w:vAlign w:val="center"/>
                </w:tcPr>
                <w:p w14:paraId="56004FA4">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厂内监控点任意一次浓度值≤30mg/m</w:t>
                  </w:r>
                  <w:r>
                    <w:rPr>
                      <w:rFonts w:ascii="Times New Roman" w:hAnsi="Times New Roman" w:eastAsia="宋体"/>
                      <w:color w:val="auto"/>
                      <w:spacing w:val="-5"/>
                      <w:sz w:val="21"/>
                      <w:vertAlign w:val="superscript"/>
                    </w:rPr>
                    <w:t>3</w:t>
                  </w:r>
                </w:p>
              </w:tc>
              <w:tc>
                <w:tcPr>
                  <w:tcW w:w="2276" w:type="pct"/>
                  <w:tcBorders>
                    <w:top w:val="single" w:color="000000" w:sz="4" w:space="0"/>
                    <w:left w:val="single" w:color="000000" w:sz="4" w:space="0"/>
                    <w:bottom w:val="single" w:color="000000" w:sz="12" w:space="0"/>
                    <w:right w:val="nil"/>
                  </w:tcBorders>
                  <w:vAlign w:val="center"/>
                </w:tcPr>
                <w:p w14:paraId="78BDEBBA">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《挥发性有机物无组织排放控制标准》</w:t>
                  </w:r>
                </w:p>
                <w:p w14:paraId="3315BEBD">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pacing w:val="-5"/>
                      <w:sz w:val="21"/>
                    </w:rPr>
                  </w:pPr>
                  <w:r>
                    <w:rPr>
                      <w:rFonts w:ascii="Times New Roman" w:hAnsi="Times New Roman" w:eastAsia="宋体"/>
                      <w:color w:val="auto"/>
                      <w:spacing w:val="-5"/>
                      <w:sz w:val="21"/>
                    </w:rPr>
                    <w:t>(GB37822-2019)附录A表A.1</w:t>
                  </w:r>
                </w:p>
              </w:tc>
            </w:tr>
          </w:tbl>
          <w:p w14:paraId="559128A3">
            <w:pPr>
              <w:rPr>
                <w:rFonts w:hint="default"/>
                <w:color w:val="auto"/>
                <w:lang w:val="en-US" w:eastAsia="zh-CN"/>
              </w:rPr>
            </w:pPr>
          </w:p>
          <w:bookmarkEnd w:id="32"/>
          <w:p w14:paraId="70CE6D32">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废水排放标准</w:t>
            </w:r>
          </w:p>
          <w:p w14:paraId="477D34B1">
            <w:pPr>
              <w:pStyle w:val="44"/>
              <w:ind w:firstLine="480"/>
              <w:rPr>
                <w:rFonts w:hint="eastAsia" w:ascii="Times New Roman" w:hAnsi="Times New Roman" w:eastAsia="宋体" w:cs="宋体"/>
                <w:color w:val="auto"/>
                <w:highlight w:val="none"/>
              </w:rPr>
            </w:pPr>
            <w:r>
              <w:rPr>
                <w:rFonts w:hint="eastAsia" w:cs="宋体"/>
                <w:color w:val="auto"/>
                <w:highlight w:val="none"/>
                <w:lang w:eastAsia="zh-CN"/>
              </w:rPr>
              <w:t>(</w:t>
            </w:r>
            <w:r>
              <w:rPr>
                <w:rFonts w:hint="eastAsia" w:ascii="Times New Roman" w:hAnsi="Times New Roman" w:eastAsia="宋体" w:cs="宋体"/>
                <w:color w:val="auto"/>
                <w:highlight w:val="none"/>
              </w:rPr>
              <w:t>1</w:t>
            </w:r>
            <w:r>
              <w:rPr>
                <w:rFonts w:hint="eastAsia" w:cs="宋体"/>
                <w:color w:val="auto"/>
                <w:highlight w:val="none"/>
                <w:lang w:eastAsia="zh-CN"/>
              </w:rPr>
              <w:t>)</w:t>
            </w:r>
            <w:r>
              <w:rPr>
                <w:rFonts w:hint="eastAsia" w:ascii="Times New Roman" w:hAnsi="Times New Roman" w:eastAsia="宋体" w:cs="宋体"/>
                <w:color w:val="auto"/>
                <w:highlight w:val="none"/>
              </w:rPr>
              <w:t>项目水污染物排放标准</w:t>
            </w:r>
          </w:p>
          <w:p w14:paraId="1098DEE2">
            <w:pPr>
              <w:pStyle w:val="44"/>
              <w:ind w:firstLine="480"/>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rPr>
              <w:t>项目生产废水经自建污水处理设施处理后排入市政污水管网送往</w:t>
            </w:r>
            <w:r>
              <w:rPr>
                <w:rFonts w:hint="eastAsia" w:ascii="Times New Roman" w:hAnsi="Times New Roman" w:eastAsia="宋体" w:cs="宋体"/>
                <w:color w:val="auto"/>
                <w:highlight w:val="none"/>
                <w:lang w:eastAsia="zh-CN"/>
              </w:rPr>
              <w:t>福清市第二污水处理厂</w:t>
            </w:r>
            <w:r>
              <w:rPr>
                <w:rFonts w:hint="eastAsia" w:ascii="Times New Roman" w:hAnsi="Times New Roman" w:eastAsia="宋体" w:cs="宋体"/>
                <w:color w:val="auto"/>
                <w:highlight w:val="none"/>
              </w:rPr>
              <w:t>集中处理，生活污水依托出租方化粪池处理后排入市政污水管网送往</w:t>
            </w:r>
            <w:r>
              <w:rPr>
                <w:rFonts w:hint="eastAsia" w:ascii="Times New Roman" w:hAnsi="Times New Roman" w:eastAsia="宋体" w:cs="宋体"/>
                <w:color w:val="auto"/>
                <w:highlight w:val="none"/>
                <w:lang w:eastAsia="zh-CN"/>
              </w:rPr>
              <w:t>福清市第二污水处理厂</w:t>
            </w:r>
            <w:r>
              <w:rPr>
                <w:rFonts w:hint="eastAsia" w:ascii="Times New Roman" w:hAnsi="Times New Roman" w:eastAsia="宋体" w:cs="宋体"/>
                <w:color w:val="auto"/>
                <w:highlight w:val="none"/>
              </w:rPr>
              <w:t>集中处理；</w:t>
            </w:r>
            <w:r>
              <w:rPr>
                <w:rFonts w:hint="eastAsia" w:cs="宋体"/>
                <w:color w:val="auto"/>
                <w:highlight w:val="none"/>
                <w:lang w:val="en-US" w:eastAsia="zh-CN"/>
              </w:rPr>
              <w:t>项目</w:t>
            </w:r>
            <w:r>
              <w:rPr>
                <w:rFonts w:hint="eastAsia" w:ascii="Times New Roman" w:hAnsi="Times New Roman" w:eastAsia="宋体" w:cs="宋体"/>
                <w:color w:val="auto"/>
                <w:highlight w:val="none"/>
              </w:rPr>
              <w:t>外排污水执行《污水综合排放标准》</w:t>
            </w:r>
            <w:r>
              <w:rPr>
                <w:rFonts w:hint="eastAsia" w:cs="宋体"/>
                <w:color w:val="auto"/>
                <w:highlight w:val="none"/>
                <w:lang w:eastAsia="zh-CN"/>
              </w:rPr>
              <w:t>(</w:t>
            </w:r>
            <w:r>
              <w:rPr>
                <w:rFonts w:hint="eastAsia" w:ascii="Times New Roman" w:hAnsi="Times New Roman" w:eastAsia="宋体" w:cs="宋体"/>
                <w:color w:val="auto"/>
                <w:highlight w:val="none"/>
              </w:rPr>
              <w:t>GB8978-1996</w:t>
            </w:r>
            <w:r>
              <w:rPr>
                <w:rFonts w:hint="eastAsia" w:cs="宋体"/>
                <w:color w:val="auto"/>
                <w:highlight w:val="none"/>
                <w:lang w:eastAsia="zh-CN"/>
              </w:rPr>
              <w:t>)</w:t>
            </w:r>
            <w:r>
              <w:rPr>
                <w:rFonts w:hint="eastAsia" w:ascii="Times New Roman" w:hAnsi="Times New Roman" w:eastAsia="宋体" w:cs="宋体"/>
                <w:color w:val="auto"/>
                <w:highlight w:val="none"/>
              </w:rPr>
              <w:t>表4中的三级标准，氨氮参照执行《污水排入城镇下水道水质标准》</w:t>
            </w:r>
            <w:r>
              <w:rPr>
                <w:rFonts w:hint="eastAsia" w:cs="宋体"/>
                <w:color w:val="auto"/>
                <w:highlight w:val="none"/>
                <w:lang w:eastAsia="zh-CN"/>
              </w:rPr>
              <w:t>(</w:t>
            </w:r>
            <w:r>
              <w:rPr>
                <w:rFonts w:hint="eastAsia" w:ascii="Times New Roman" w:hAnsi="Times New Roman" w:eastAsia="宋体" w:cs="宋体"/>
                <w:color w:val="auto"/>
                <w:highlight w:val="none"/>
              </w:rPr>
              <w:t>GB/T 31962-2015</w:t>
            </w:r>
            <w:r>
              <w:rPr>
                <w:rFonts w:hint="eastAsia" w:cs="宋体"/>
                <w:color w:val="auto"/>
                <w:highlight w:val="none"/>
                <w:lang w:eastAsia="zh-CN"/>
              </w:rPr>
              <w:t>)</w:t>
            </w:r>
            <w:r>
              <w:rPr>
                <w:rFonts w:hint="eastAsia" w:ascii="Times New Roman" w:hAnsi="Times New Roman" w:eastAsia="宋体" w:cs="宋体"/>
                <w:color w:val="auto"/>
                <w:highlight w:val="none"/>
              </w:rPr>
              <w:t>表1中B级标准，详见表3.</w:t>
            </w:r>
            <w:r>
              <w:rPr>
                <w:rFonts w:hint="eastAsia" w:ascii="Times New Roman" w:hAnsi="Times New Roman" w:eastAsia="宋体" w:cs="宋体"/>
                <w:color w:val="auto"/>
                <w:highlight w:val="none"/>
                <w:lang w:val="en-US" w:eastAsia="zh-CN"/>
              </w:rPr>
              <w:t>3</w:t>
            </w:r>
            <w:r>
              <w:rPr>
                <w:rFonts w:hint="eastAsia" w:ascii="Times New Roman" w:hAnsi="Times New Roman" w:eastAsia="宋体" w:cs="宋体"/>
                <w:color w:val="auto"/>
                <w:highlight w:val="none"/>
              </w:rPr>
              <w:t>-</w:t>
            </w:r>
            <w:r>
              <w:rPr>
                <w:rFonts w:hint="eastAsia" w:ascii="Times New Roman" w:hAnsi="Times New Roman" w:eastAsia="宋体" w:cs="宋体"/>
                <w:color w:val="auto"/>
                <w:highlight w:val="none"/>
                <w:lang w:val="en-US" w:eastAsia="zh-CN"/>
              </w:rPr>
              <w:t>3</w:t>
            </w:r>
            <w:r>
              <w:rPr>
                <w:rFonts w:hint="eastAsia" w:ascii="Times New Roman" w:hAnsi="Times New Roman" w:eastAsia="宋体" w:cs="宋体"/>
                <w:color w:val="auto"/>
                <w:highlight w:val="none"/>
              </w:rPr>
              <w:t>。</w:t>
            </w:r>
          </w:p>
          <w:p w14:paraId="7E0F7AB6">
            <w:pPr>
              <w:pStyle w:val="42"/>
              <w:keepNext/>
              <w:keepLines/>
              <w:pageBreakBefore w:val="0"/>
              <w:widowControl w:val="0"/>
              <w:numPr>
                <w:ilvl w:val="7"/>
                <w:numId w:val="1"/>
              </w:numPr>
              <w:kinsoku/>
              <w:wordWrap/>
              <w:overflowPunct/>
              <w:topLinePunct w:val="0"/>
              <w:autoSpaceDE/>
              <w:autoSpaceDN/>
              <w:bidi w:val="0"/>
              <w:adjustRightInd/>
              <w:snapToGrid/>
              <w:spacing w:before="0" w:after="0"/>
              <w:ind w:left="630" w:leftChars="0" w:firstLine="0" w:firstLineChars="0"/>
              <w:textAlignment w:val="auto"/>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项目污水排放标准限值一览表</w:t>
            </w:r>
          </w:p>
          <w:tbl>
            <w:tblPr>
              <w:tblStyle w:val="33"/>
              <w:tblW w:w="0" w:type="auto"/>
              <w:tblInd w:w="68"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802"/>
              <w:gridCol w:w="1958"/>
              <w:gridCol w:w="4211"/>
            </w:tblGrid>
            <w:tr w14:paraId="37724E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02" w:type="dxa"/>
                  <w:tcBorders>
                    <w:bottom w:val="single" w:color="000000" w:sz="12" w:space="0"/>
                  </w:tcBorders>
                  <w:vAlign w:val="center"/>
                </w:tcPr>
                <w:p w14:paraId="20750038">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rPr>
                  </w:pPr>
                  <w:r>
                    <w:rPr>
                      <w:color w:val="auto"/>
                      <w:spacing w:val="-4"/>
                      <w:sz w:val="21"/>
                    </w:rPr>
                    <w:t>污染物名称</w:t>
                  </w:r>
                </w:p>
              </w:tc>
              <w:tc>
                <w:tcPr>
                  <w:tcW w:w="1958" w:type="dxa"/>
                  <w:tcBorders>
                    <w:bottom w:val="single" w:color="000000" w:sz="12" w:space="0"/>
                  </w:tcBorders>
                  <w:vAlign w:val="center"/>
                </w:tcPr>
                <w:p w14:paraId="63F83A6E">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rPr>
                  </w:pPr>
                  <w:r>
                    <w:rPr>
                      <w:color w:val="auto"/>
                      <w:spacing w:val="-4"/>
                      <w:sz w:val="21"/>
                    </w:rPr>
                    <w:t>三级标准值</w:t>
                  </w:r>
                </w:p>
              </w:tc>
              <w:tc>
                <w:tcPr>
                  <w:tcW w:w="4211" w:type="dxa"/>
                  <w:tcBorders>
                    <w:bottom w:val="single" w:color="000000" w:sz="12" w:space="0"/>
                  </w:tcBorders>
                  <w:vAlign w:val="center"/>
                </w:tcPr>
                <w:p w14:paraId="1A519FF5">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rPr>
                  </w:pPr>
                  <w:r>
                    <w:rPr>
                      <w:color w:val="auto"/>
                      <w:spacing w:val="-7"/>
                      <w:sz w:val="21"/>
                    </w:rPr>
                    <w:t>标准来源</w:t>
                  </w:r>
                </w:p>
              </w:tc>
            </w:tr>
            <w:tr w14:paraId="632691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02" w:type="dxa"/>
                  <w:tcBorders>
                    <w:top w:val="single" w:color="000000" w:sz="12" w:space="0"/>
                    <w:tl2br w:val="nil"/>
                    <w:tr2bl w:val="nil"/>
                  </w:tcBorders>
                  <w:vAlign w:val="center"/>
                </w:tcPr>
                <w:p w14:paraId="1C181E68">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color w:val="auto"/>
                      <w:sz w:val="21"/>
                    </w:rPr>
                  </w:pPr>
                  <w:r>
                    <w:rPr>
                      <w:rFonts w:ascii="Times New Roman"/>
                      <w:color w:val="auto"/>
                      <w:spacing w:val="-5"/>
                      <w:sz w:val="21"/>
                    </w:rPr>
                    <w:t>pH</w:t>
                  </w:r>
                </w:p>
              </w:tc>
              <w:tc>
                <w:tcPr>
                  <w:tcW w:w="1958" w:type="dxa"/>
                  <w:tcBorders>
                    <w:top w:val="single" w:color="000000" w:sz="12" w:space="0"/>
                    <w:tl2br w:val="nil"/>
                    <w:tr2bl w:val="nil"/>
                  </w:tcBorders>
                  <w:vAlign w:val="center"/>
                </w:tcPr>
                <w:p w14:paraId="7A64D5B0">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eastAsia="Times New Roman"/>
                      <w:color w:val="auto"/>
                      <w:sz w:val="21"/>
                    </w:rPr>
                  </w:pPr>
                  <w:r>
                    <w:rPr>
                      <w:rFonts w:ascii="Times New Roman" w:eastAsia="Times New Roman"/>
                      <w:color w:val="auto"/>
                      <w:spacing w:val="-2"/>
                      <w:sz w:val="21"/>
                    </w:rPr>
                    <w:t>6</w:t>
                  </w:r>
                  <w:r>
                    <w:rPr>
                      <w:color w:val="auto"/>
                      <w:spacing w:val="-2"/>
                      <w:sz w:val="21"/>
                    </w:rPr>
                    <w:t>～</w:t>
                  </w:r>
                  <w:r>
                    <w:rPr>
                      <w:rFonts w:ascii="Times New Roman" w:eastAsia="Times New Roman"/>
                      <w:color w:val="auto"/>
                      <w:spacing w:val="-2"/>
                      <w:sz w:val="21"/>
                    </w:rPr>
                    <w:t>9</w:t>
                  </w:r>
                  <w:r>
                    <w:rPr>
                      <w:rFonts w:hint="eastAsia" w:ascii="Times New Roman" w:eastAsia="宋体"/>
                      <w:color w:val="auto"/>
                      <w:spacing w:val="-2"/>
                      <w:sz w:val="21"/>
                      <w:lang w:eastAsia="zh-CN"/>
                    </w:rPr>
                    <w:t>(</w:t>
                  </w:r>
                  <w:r>
                    <w:rPr>
                      <w:color w:val="auto"/>
                      <w:spacing w:val="-2"/>
                      <w:sz w:val="21"/>
                    </w:rPr>
                    <w:t>无量纲</w:t>
                  </w:r>
                  <w:r>
                    <w:rPr>
                      <w:rFonts w:hint="eastAsia"/>
                      <w:color w:val="auto"/>
                      <w:spacing w:val="-2"/>
                      <w:sz w:val="21"/>
                      <w:lang w:eastAsia="zh-CN"/>
                    </w:rPr>
                    <w:t>)</w:t>
                  </w:r>
                </w:p>
              </w:tc>
              <w:tc>
                <w:tcPr>
                  <w:tcW w:w="4211" w:type="dxa"/>
                  <w:vMerge w:val="restart"/>
                  <w:tcBorders>
                    <w:top w:val="single" w:color="000000" w:sz="12" w:space="0"/>
                    <w:tl2br w:val="nil"/>
                    <w:tr2bl w:val="nil"/>
                  </w:tcBorders>
                  <w:vAlign w:val="center"/>
                </w:tcPr>
                <w:p w14:paraId="2BF0691D">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rPr>
                  </w:pPr>
                </w:p>
                <w:p w14:paraId="6716B71C">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rPr>
                  </w:pPr>
                  <w:r>
                    <w:rPr>
                      <w:color w:val="auto"/>
                      <w:spacing w:val="-3"/>
                      <w:sz w:val="21"/>
                    </w:rPr>
                    <w:t>《污水综合排放标准》</w:t>
                  </w:r>
                </w:p>
                <w:p w14:paraId="0EDA8CF3">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eastAsia="Times New Roman"/>
                      <w:color w:val="auto"/>
                      <w:sz w:val="21"/>
                    </w:rPr>
                  </w:pPr>
                  <w:r>
                    <w:rPr>
                      <w:rFonts w:ascii="Times New Roman" w:eastAsia="Times New Roman"/>
                      <w:color w:val="auto"/>
                      <w:spacing w:val="-2"/>
                      <w:sz w:val="21"/>
                    </w:rPr>
                    <w:t>(GB8978-1996</w:t>
                  </w:r>
                  <w:r>
                    <w:rPr>
                      <w:rFonts w:hint="eastAsia" w:ascii="Times New Roman" w:eastAsia="宋体"/>
                      <w:color w:val="auto"/>
                      <w:spacing w:val="-2"/>
                      <w:sz w:val="21"/>
                      <w:lang w:eastAsia="zh-CN"/>
                    </w:rPr>
                    <w:t>)</w:t>
                  </w:r>
                  <w:r>
                    <w:rPr>
                      <w:color w:val="auto"/>
                      <w:spacing w:val="-13"/>
                      <w:sz w:val="21"/>
                    </w:rPr>
                    <w:t>中表</w:t>
                  </w:r>
                  <w:r>
                    <w:rPr>
                      <w:rFonts w:ascii="Times New Roman" w:eastAsia="Times New Roman"/>
                      <w:color w:val="auto"/>
                      <w:spacing w:val="-10"/>
                      <w:sz w:val="21"/>
                    </w:rPr>
                    <w:t>4</w:t>
                  </w:r>
                </w:p>
              </w:tc>
            </w:tr>
            <w:tr w14:paraId="43C4EE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02" w:type="dxa"/>
                  <w:tcBorders>
                    <w:tl2br w:val="nil"/>
                    <w:tr2bl w:val="nil"/>
                  </w:tcBorders>
                  <w:vAlign w:val="center"/>
                </w:tcPr>
                <w:p w14:paraId="709E05F5">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color w:val="auto"/>
                      <w:sz w:val="21"/>
                    </w:rPr>
                  </w:pPr>
                  <w:r>
                    <w:rPr>
                      <w:rFonts w:ascii="Times New Roman"/>
                      <w:color w:val="auto"/>
                      <w:spacing w:val="-5"/>
                      <w:sz w:val="21"/>
                    </w:rPr>
                    <w:t>COD</w:t>
                  </w:r>
                </w:p>
              </w:tc>
              <w:tc>
                <w:tcPr>
                  <w:tcW w:w="1958" w:type="dxa"/>
                  <w:tcBorders>
                    <w:tl2br w:val="nil"/>
                    <w:tr2bl w:val="nil"/>
                  </w:tcBorders>
                  <w:vAlign w:val="center"/>
                </w:tcPr>
                <w:p w14:paraId="15846153">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color w:val="auto"/>
                      <w:sz w:val="21"/>
                    </w:rPr>
                  </w:pPr>
                  <w:r>
                    <w:rPr>
                      <w:rFonts w:ascii="Times New Roman"/>
                      <w:color w:val="auto"/>
                      <w:spacing w:val="-2"/>
                      <w:sz w:val="21"/>
                    </w:rPr>
                    <w:t>500mg/L</w:t>
                  </w:r>
                </w:p>
              </w:tc>
              <w:tc>
                <w:tcPr>
                  <w:tcW w:w="4211" w:type="dxa"/>
                  <w:vMerge w:val="continue"/>
                  <w:tcBorders>
                    <w:tl2br w:val="nil"/>
                    <w:tr2bl w:val="nil"/>
                  </w:tcBorders>
                  <w:vAlign w:val="center"/>
                </w:tcPr>
                <w:p w14:paraId="4914EC66">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
                      <w:szCs w:val="2"/>
                    </w:rPr>
                  </w:pPr>
                </w:p>
              </w:tc>
            </w:tr>
            <w:tr w14:paraId="36C7E6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02" w:type="dxa"/>
                  <w:tcBorders>
                    <w:tl2br w:val="nil"/>
                    <w:tr2bl w:val="nil"/>
                  </w:tcBorders>
                  <w:vAlign w:val="center"/>
                </w:tcPr>
                <w:p w14:paraId="0564B453">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color w:val="auto"/>
                      <w:sz w:val="13"/>
                    </w:rPr>
                  </w:pPr>
                  <w:r>
                    <w:rPr>
                      <w:rFonts w:ascii="Times New Roman"/>
                      <w:color w:val="auto"/>
                      <w:spacing w:val="-4"/>
                      <w:position w:val="2"/>
                      <w:sz w:val="21"/>
                    </w:rPr>
                    <w:t>BOD</w:t>
                  </w:r>
                  <w:r>
                    <w:rPr>
                      <w:rFonts w:ascii="Times New Roman"/>
                      <w:color w:val="auto"/>
                      <w:spacing w:val="-4"/>
                      <w:sz w:val="13"/>
                    </w:rPr>
                    <w:t>5</w:t>
                  </w:r>
                </w:p>
              </w:tc>
              <w:tc>
                <w:tcPr>
                  <w:tcW w:w="1958" w:type="dxa"/>
                  <w:tcBorders>
                    <w:tl2br w:val="nil"/>
                    <w:tr2bl w:val="nil"/>
                  </w:tcBorders>
                  <w:vAlign w:val="center"/>
                </w:tcPr>
                <w:p w14:paraId="5B67FAD4">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color w:val="auto"/>
                      <w:sz w:val="21"/>
                    </w:rPr>
                  </w:pPr>
                  <w:r>
                    <w:rPr>
                      <w:rFonts w:ascii="Times New Roman"/>
                      <w:color w:val="auto"/>
                      <w:spacing w:val="-2"/>
                      <w:sz w:val="21"/>
                    </w:rPr>
                    <w:t>300mg/L</w:t>
                  </w:r>
                </w:p>
              </w:tc>
              <w:tc>
                <w:tcPr>
                  <w:tcW w:w="4211" w:type="dxa"/>
                  <w:vMerge w:val="continue"/>
                  <w:tcBorders>
                    <w:tl2br w:val="nil"/>
                    <w:tr2bl w:val="nil"/>
                  </w:tcBorders>
                  <w:vAlign w:val="center"/>
                </w:tcPr>
                <w:p w14:paraId="594FFB0B">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
                      <w:szCs w:val="2"/>
                    </w:rPr>
                  </w:pPr>
                </w:p>
              </w:tc>
            </w:tr>
            <w:tr w14:paraId="44142E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02" w:type="dxa"/>
                  <w:tcBorders>
                    <w:tl2br w:val="nil"/>
                    <w:tr2bl w:val="nil"/>
                  </w:tcBorders>
                  <w:vAlign w:val="center"/>
                </w:tcPr>
                <w:p w14:paraId="093D6312">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color w:val="auto"/>
                      <w:sz w:val="21"/>
                    </w:rPr>
                  </w:pPr>
                  <w:r>
                    <w:rPr>
                      <w:rFonts w:ascii="Times New Roman"/>
                      <w:color w:val="auto"/>
                      <w:spacing w:val="-5"/>
                      <w:sz w:val="21"/>
                    </w:rPr>
                    <w:t>SS</w:t>
                  </w:r>
                </w:p>
              </w:tc>
              <w:tc>
                <w:tcPr>
                  <w:tcW w:w="1958" w:type="dxa"/>
                  <w:tcBorders>
                    <w:tl2br w:val="nil"/>
                    <w:tr2bl w:val="nil"/>
                  </w:tcBorders>
                  <w:vAlign w:val="center"/>
                </w:tcPr>
                <w:p w14:paraId="36D3CE08">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color w:val="auto"/>
                      <w:sz w:val="21"/>
                    </w:rPr>
                  </w:pPr>
                  <w:r>
                    <w:rPr>
                      <w:rFonts w:ascii="Times New Roman"/>
                      <w:color w:val="auto"/>
                      <w:spacing w:val="-2"/>
                      <w:sz w:val="21"/>
                    </w:rPr>
                    <w:t>400mg/L</w:t>
                  </w:r>
                </w:p>
              </w:tc>
              <w:tc>
                <w:tcPr>
                  <w:tcW w:w="4211" w:type="dxa"/>
                  <w:vMerge w:val="continue"/>
                  <w:tcBorders>
                    <w:tl2br w:val="nil"/>
                    <w:tr2bl w:val="nil"/>
                  </w:tcBorders>
                  <w:vAlign w:val="center"/>
                </w:tcPr>
                <w:p w14:paraId="6B50C622">
                  <w:pPr>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
                      <w:szCs w:val="2"/>
                    </w:rPr>
                  </w:pPr>
                </w:p>
              </w:tc>
            </w:tr>
            <w:tr w14:paraId="717538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1802" w:type="dxa"/>
                  <w:tcBorders>
                    <w:tl2br w:val="nil"/>
                    <w:tr2bl w:val="nil"/>
                  </w:tcBorders>
                  <w:vAlign w:val="center"/>
                </w:tcPr>
                <w:p w14:paraId="05C0DB03">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color w:val="auto"/>
                      <w:sz w:val="21"/>
                    </w:rPr>
                  </w:pPr>
                  <w:r>
                    <w:rPr>
                      <w:color w:val="auto"/>
                      <w:spacing w:val="-8"/>
                      <w:sz w:val="21"/>
                    </w:rPr>
                    <w:t>氨氮</w:t>
                  </w:r>
                </w:p>
              </w:tc>
              <w:tc>
                <w:tcPr>
                  <w:tcW w:w="1958" w:type="dxa"/>
                  <w:tcBorders>
                    <w:tl2br w:val="nil"/>
                    <w:tr2bl w:val="nil"/>
                  </w:tcBorders>
                  <w:vAlign w:val="center"/>
                </w:tcPr>
                <w:p w14:paraId="75679722">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color w:val="auto"/>
                      <w:sz w:val="21"/>
                    </w:rPr>
                  </w:pPr>
                  <w:r>
                    <w:rPr>
                      <w:rFonts w:ascii="Times New Roman"/>
                      <w:color w:val="auto"/>
                      <w:spacing w:val="-2"/>
                      <w:sz w:val="21"/>
                    </w:rPr>
                    <w:t>45mg/L</w:t>
                  </w:r>
                </w:p>
              </w:tc>
              <w:tc>
                <w:tcPr>
                  <w:tcW w:w="4211" w:type="dxa"/>
                  <w:tcBorders>
                    <w:tl2br w:val="nil"/>
                    <w:tr2bl w:val="nil"/>
                  </w:tcBorders>
                  <w:vAlign w:val="center"/>
                </w:tcPr>
                <w:p w14:paraId="6C37A2C6">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rPr>
                  </w:pPr>
                  <w:r>
                    <w:rPr>
                      <w:color w:val="auto"/>
                      <w:spacing w:val="-3"/>
                      <w:sz w:val="21"/>
                    </w:rPr>
                    <w:t>《污水排入城镇下水道水质标准》</w:t>
                  </w:r>
                </w:p>
                <w:p w14:paraId="56418496">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color w:val="auto"/>
                      <w:sz w:val="21"/>
                    </w:rPr>
                  </w:pPr>
                  <w:r>
                    <w:rPr>
                      <w:rFonts w:ascii="Times New Roman" w:eastAsia="Times New Roman"/>
                      <w:color w:val="auto"/>
                      <w:sz w:val="21"/>
                    </w:rPr>
                    <w:t>(GB/T</w:t>
                  </w:r>
                  <w:r>
                    <w:rPr>
                      <w:rFonts w:ascii="Times New Roman" w:eastAsia="Times New Roman"/>
                      <w:color w:val="auto"/>
                      <w:spacing w:val="-14"/>
                      <w:sz w:val="21"/>
                    </w:rPr>
                    <w:t xml:space="preserve"> </w:t>
                  </w:r>
                  <w:r>
                    <w:rPr>
                      <w:rFonts w:ascii="Times New Roman" w:eastAsia="Times New Roman"/>
                      <w:color w:val="auto"/>
                      <w:sz w:val="21"/>
                    </w:rPr>
                    <w:t>31962-2015</w:t>
                  </w:r>
                  <w:r>
                    <w:rPr>
                      <w:rFonts w:hint="eastAsia" w:ascii="Times New Roman" w:eastAsia="宋体"/>
                      <w:color w:val="auto"/>
                      <w:sz w:val="21"/>
                      <w:lang w:eastAsia="zh-CN"/>
                    </w:rPr>
                    <w:t>)</w:t>
                  </w:r>
                  <w:r>
                    <w:rPr>
                      <w:color w:val="auto"/>
                      <w:spacing w:val="-27"/>
                      <w:sz w:val="21"/>
                    </w:rPr>
                    <w:t>表</w:t>
                  </w:r>
                  <w:r>
                    <w:rPr>
                      <w:rFonts w:ascii="Times New Roman" w:eastAsia="Times New Roman"/>
                      <w:color w:val="auto"/>
                      <w:sz w:val="21"/>
                    </w:rPr>
                    <w:t>1</w:t>
                  </w:r>
                  <w:r>
                    <w:rPr>
                      <w:color w:val="auto"/>
                      <w:spacing w:val="-27"/>
                      <w:sz w:val="21"/>
                    </w:rPr>
                    <w:t>中</w:t>
                  </w:r>
                  <w:r>
                    <w:rPr>
                      <w:rFonts w:ascii="Times New Roman" w:eastAsia="Times New Roman"/>
                      <w:color w:val="auto"/>
                      <w:sz w:val="21"/>
                    </w:rPr>
                    <w:t>B</w:t>
                  </w:r>
                  <w:r>
                    <w:rPr>
                      <w:color w:val="auto"/>
                      <w:spacing w:val="-4"/>
                      <w:sz w:val="21"/>
                    </w:rPr>
                    <w:t>级标准</w:t>
                  </w:r>
                </w:p>
              </w:tc>
            </w:tr>
          </w:tbl>
          <w:p w14:paraId="65015323">
            <w:pPr>
              <w:pStyle w:val="95"/>
              <w:numPr>
                <w:ilvl w:val="3"/>
                <w:numId w:val="0"/>
              </w:numPr>
              <w:tabs>
                <w:tab w:val="left" w:pos="767"/>
              </w:tabs>
              <w:spacing w:before="0" w:after="0" w:line="240" w:lineRule="auto"/>
              <w:ind w:left="767" w:leftChars="0" w:right="0" w:rightChars="0" w:hanging="277" w:firstLineChars="0"/>
              <w:jc w:val="left"/>
              <w:rPr>
                <w:color w:val="auto"/>
                <w:sz w:val="24"/>
              </w:rPr>
            </w:pPr>
            <w:r>
              <w:rPr>
                <w:rFonts w:hint="eastAsia" w:ascii="Times New Roman" w:hAnsi="Times New Roman" w:eastAsia="Times New Roman" w:cs="Times New Roman"/>
                <w:b w:val="0"/>
                <w:bCs w:val="0"/>
                <w:i w:val="0"/>
                <w:iCs w:val="0"/>
                <w:color w:val="auto"/>
                <w:spacing w:val="-1"/>
                <w:w w:val="100"/>
                <w:kern w:val="2"/>
                <w:sz w:val="22"/>
                <w:szCs w:val="22"/>
                <w:lang w:val="en-US" w:eastAsia="zh-CN" w:bidi="ar-SA"/>
              </w:rPr>
              <w:t>(2)</w:t>
            </w:r>
            <w:r>
              <w:rPr>
                <w:rFonts w:hint="eastAsia"/>
                <w:color w:val="auto"/>
                <w:spacing w:val="-2"/>
                <w:sz w:val="24"/>
                <w:lang w:eastAsia="zh-CN"/>
              </w:rPr>
              <w:t>污水处理厂</w:t>
            </w:r>
            <w:r>
              <w:rPr>
                <w:color w:val="auto"/>
                <w:spacing w:val="-2"/>
                <w:sz w:val="24"/>
              </w:rPr>
              <w:t>排放标准</w:t>
            </w:r>
          </w:p>
          <w:p w14:paraId="5FDF4494">
            <w:pPr>
              <w:pStyle w:val="95"/>
              <w:spacing w:before="158" w:line="364" w:lineRule="auto"/>
              <w:ind w:left="10" w:right="87" w:firstLine="480"/>
              <w:jc w:val="both"/>
              <w:rPr>
                <w:color w:val="auto"/>
                <w:spacing w:val="-2"/>
                <w:sz w:val="24"/>
              </w:rPr>
            </w:pPr>
            <w:r>
              <w:rPr>
                <w:color w:val="auto"/>
                <w:spacing w:val="-2"/>
                <w:sz w:val="24"/>
              </w:rPr>
              <w:t>根据调查，</w:t>
            </w:r>
            <w:r>
              <w:rPr>
                <w:rFonts w:hint="eastAsia"/>
                <w:color w:val="auto"/>
                <w:spacing w:val="-2"/>
                <w:sz w:val="24"/>
                <w:lang w:eastAsia="zh-CN"/>
              </w:rPr>
              <w:t>福清市第二污水处理厂</w:t>
            </w:r>
            <w:r>
              <w:rPr>
                <w:color w:val="auto"/>
                <w:spacing w:val="-2"/>
                <w:sz w:val="24"/>
              </w:rPr>
              <w:t>尾水排放执行《城镇污水处理厂污染物排放标准》</w:t>
            </w:r>
            <w:r>
              <w:rPr>
                <w:rFonts w:hint="eastAsia"/>
                <w:color w:val="auto"/>
                <w:spacing w:val="-2"/>
                <w:sz w:val="24"/>
                <w:lang w:val="en-US" w:eastAsia="zh-CN"/>
              </w:rPr>
              <w:t xml:space="preserve"> </w:t>
            </w:r>
            <w:r>
              <w:rPr>
                <w:rFonts w:ascii="Times New Roman" w:eastAsia="Times New Roman"/>
                <w:color w:val="auto"/>
                <w:spacing w:val="-2"/>
                <w:sz w:val="24"/>
              </w:rPr>
              <w:t>(GB18918-2002</w:t>
            </w:r>
            <w:r>
              <w:rPr>
                <w:rFonts w:hint="eastAsia" w:ascii="Times New Roman" w:eastAsia="宋体"/>
                <w:color w:val="auto"/>
                <w:spacing w:val="-2"/>
                <w:sz w:val="24"/>
                <w:lang w:eastAsia="zh-CN"/>
              </w:rPr>
              <w:t>)</w:t>
            </w:r>
            <w:r>
              <w:rPr>
                <w:color w:val="auto"/>
                <w:spacing w:val="-6"/>
                <w:sz w:val="24"/>
              </w:rPr>
              <w:t>及其修改单表</w:t>
            </w:r>
            <w:r>
              <w:rPr>
                <w:rFonts w:ascii="Times New Roman" w:eastAsia="Times New Roman"/>
                <w:color w:val="auto"/>
                <w:spacing w:val="-2"/>
                <w:sz w:val="24"/>
              </w:rPr>
              <w:t>1</w:t>
            </w:r>
            <w:r>
              <w:rPr>
                <w:color w:val="auto"/>
                <w:spacing w:val="-9"/>
                <w:sz w:val="24"/>
              </w:rPr>
              <w:t>的一级</w:t>
            </w:r>
            <w:r>
              <w:rPr>
                <w:rFonts w:ascii="Times New Roman" w:eastAsia="Times New Roman"/>
                <w:color w:val="auto"/>
                <w:spacing w:val="-2"/>
                <w:sz w:val="24"/>
              </w:rPr>
              <w:t>A</w:t>
            </w:r>
            <w:r>
              <w:rPr>
                <w:color w:val="auto"/>
                <w:spacing w:val="-2"/>
                <w:sz w:val="24"/>
              </w:rPr>
              <w:t>标准，具体详见表</w:t>
            </w:r>
            <w:r>
              <w:rPr>
                <w:rFonts w:ascii="Times New Roman" w:eastAsia="Times New Roman"/>
                <w:color w:val="auto"/>
                <w:spacing w:val="-2"/>
                <w:sz w:val="24"/>
              </w:rPr>
              <w:t>3.</w:t>
            </w:r>
            <w:r>
              <w:rPr>
                <w:rFonts w:hint="eastAsia" w:ascii="Times New Roman" w:eastAsia="宋体"/>
                <w:color w:val="auto"/>
                <w:spacing w:val="-2"/>
                <w:sz w:val="24"/>
                <w:lang w:val="en-US" w:eastAsia="zh-CN"/>
              </w:rPr>
              <w:t>3</w:t>
            </w:r>
            <w:r>
              <w:rPr>
                <w:rFonts w:ascii="Times New Roman" w:eastAsia="Times New Roman"/>
                <w:color w:val="auto"/>
                <w:spacing w:val="-2"/>
                <w:sz w:val="24"/>
              </w:rPr>
              <w:t>-</w:t>
            </w:r>
            <w:r>
              <w:rPr>
                <w:rFonts w:hint="eastAsia" w:ascii="Times New Roman" w:eastAsia="宋体"/>
                <w:color w:val="auto"/>
                <w:spacing w:val="-2"/>
                <w:sz w:val="24"/>
                <w:lang w:val="en-US" w:eastAsia="zh-CN"/>
              </w:rPr>
              <w:t>4</w:t>
            </w:r>
            <w:r>
              <w:rPr>
                <w:color w:val="auto"/>
                <w:spacing w:val="-2"/>
                <w:sz w:val="24"/>
              </w:rPr>
              <w:t>。</w:t>
            </w:r>
          </w:p>
          <w:p w14:paraId="6C736048">
            <w:pPr>
              <w:pStyle w:val="42"/>
              <w:keepNext/>
              <w:keepLines/>
              <w:pageBreakBefore w:val="0"/>
              <w:widowControl w:val="0"/>
              <w:numPr>
                <w:ilvl w:val="7"/>
                <w:numId w:val="1"/>
              </w:numPr>
              <w:kinsoku/>
              <w:wordWrap/>
              <w:overflowPunct/>
              <w:topLinePunct w:val="0"/>
              <w:autoSpaceDE/>
              <w:autoSpaceDN/>
              <w:bidi w:val="0"/>
              <w:adjustRightInd/>
              <w:snapToGrid/>
              <w:spacing w:before="0" w:after="0"/>
              <w:ind w:left="630" w:leftChars="0" w:firstLine="0" w:firstLineChars="0"/>
              <w:textAlignment w:val="auto"/>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污水处理厂尾水排放标准一览表</w:t>
            </w:r>
          </w:p>
          <w:tbl>
            <w:tblPr>
              <w:tblStyle w:val="34"/>
              <w:tblW w:w="0" w:type="auto"/>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990"/>
              <w:gridCol w:w="1991"/>
              <w:gridCol w:w="1992"/>
              <w:gridCol w:w="1991"/>
            </w:tblGrid>
            <w:tr w14:paraId="3DBA3F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1990" w:type="dxa"/>
                  <w:tcBorders>
                    <w:bottom w:val="single" w:color="000000" w:sz="12" w:space="0"/>
                  </w:tcBorders>
                  <w:vAlign w:val="center"/>
                </w:tcPr>
                <w:p w14:paraId="056C263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8"/>
                      <w:sz w:val="21"/>
                    </w:rPr>
                    <w:t>序号</w:t>
                  </w:r>
                </w:p>
              </w:tc>
              <w:tc>
                <w:tcPr>
                  <w:tcW w:w="1991" w:type="dxa"/>
                  <w:tcBorders>
                    <w:bottom w:val="single" w:color="000000" w:sz="12" w:space="0"/>
                  </w:tcBorders>
                  <w:vAlign w:val="center"/>
                </w:tcPr>
                <w:p w14:paraId="39708421">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4"/>
                      <w:sz w:val="21"/>
                    </w:rPr>
                    <w:t>污染物名称</w:t>
                  </w:r>
                </w:p>
              </w:tc>
              <w:tc>
                <w:tcPr>
                  <w:tcW w:w="1992" w:type="dxa"/>
                  <w:tcBorders>
                    <w:bottom w:val="single" w:color="000000" w:sz="12" w:space="0"/>
                  </w:tcBorders>
                  <w:vAlign w:val="center"/>
                </w:tcPr>
                <w:p w14:paraId="35F27593">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11"/>
                      <w:sz w:val="21"/>
                    </w:rPr>
                    <w:t>一级标准</w:t>
                  </w:r>
                  <w:r>
                    <w:rPr>
                      <w:rFonts w:ascii="Times New Roman" w:hAnsi="Times New Roman" w:eastAsia="宋体"/>
                      <w:color w:val="auto"/>
                      <w:sz w:val="21"/>
                    </w:rPr>
                    <w:t>A</w:t>
                  </w:r>
                  <w:r>
                    <w:rPr>
                      <w:rFonts w:ascii="Times New Roman" w:hAnsi="Times New Roman" w:eastAsia="宋体"/>
                      <w:color w:val="auto"/>
                      <w:spacing w:val="-5"/>
                      <w:sz w:val="21"/>
                    </w:rPr>
                    <w:t>标准</w:t>
                  </w:r>
                </w:p>
              </w:tc>
              <w:tc>
                <w:tcPr>
                  <w:tcW w:w="1991" w:type="dxa"/>
                  <w:tcBorders>
                    <w:bottom w:val="single" w:color="000000" w:sz="12" w:space="0"/>
                  </w:tcBorders>
                  <w:vAlign w:val="center"/>
                </w:tcPr>
                <w:p w14:paraId="4082D8E5">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4"/>
                      <w:vertAlign w:val="baseline"/>
                    </w:rPr>
                  </w:pPr>
                  <w:r>
                    <w:rPr>
                      <w:rFonts w:ascii="Times New Roman" w:hAnsi="Times New Roman" w:eastAsia="宋体"/>
                      <w:color w:val="auto"/>
                      <w:spacing w:val="-7"/>
                      <w:sz w:val="21"/>
                    </w:rPr>
                    <w:t>标准来源</w:t>
                  </w:r>
                </w:p>
              </w:tc>
            </w:tr>
            <w:tr w14:paraId="0863CC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1990" w:type="dxa"/>
                  <w:tcBorders>
                    <w:top w:val="single" w:color="000000" w:sz="12" w:space="0"/>
                    <w:tl2br w:val="nil"/>
                    <w:tr2bl w:val="nil"/>
                  </w:tcBorders>
                  <w:vAlign w:val="center"/>
                </w:tcPr>
                <w:p w14:paraId="7F0592C2">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10"/>
                      <w:sz w:val="21"/>
                    </w:rPr>
                    <w:t>1</w:t>
                  </w:r>
                </w:p>
              </w:tc>
              <w:tc>
                <w:tcPr>
                  <w:tcW w:w="1991" w:type="dxa"/>
                  <w:tcBorders>
                    <w:top w:val="single" w:color="000000" w:sz="12" w:space="0"/>
                    <w:tl2br w:val="nil"/>
                    <w:tr2bl w:val="nil"/>
                  </w:tcBorders>
                  <w:vAlign w:val="center"/>
                </w:tcPr>
                <w:p w14:paraId="28E1F116">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5"/>
                      <w:sz w:val="21"/>
                    </w:rPr>
                    <w:t>pH</w:t>
                  </w:r>
                </w:p>
              </w:tc>
              <w:tc>
                <w:tcPr>
                  <w:tcW w:w="1992" w:type="dxa"/>
                  <w:tcBorders>
                    <w:top w:val="single" w:color="000000" w:sz="12" w:space="0"/>
                    <w:tl2br w:val="nil"/>
                    <w:tr2bl w:val="nil"/>
                  </w:tcBorders>
                  <w:vAlign w:val="center"/>
                </w:tcPr>
                <w:p w14:paraId="21D0F8F2">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2"/>
                      <w:sz w:val="21"/>
                    </w:rPr>
                    <w:t>6～9</w:t>
                  </w:r>
                  <w:r>
                    <w:rPr>
                      <w:rFonts w:hint="eastAsia" w:ascii="Times New Roman" w:hAnsi="Times New Roman"/>
                      <w:color w:val="auto"/>
                      <w:spacing w:val="-2"/>
                      <w:sz w:val="21"/>
                      <w:lang w:eastAsia="zh-CN"/>
                    </w:rPr>
                    <w:t>(</w:t>
                  </w:r>
                  <w:r>
                    <w:rPr>
                      <w:rFonts w:ascii="Times New Roman" w:hAnsi="Times New Roman" w:eastAsia="宋体"/>
                      <w:color w:val="auto"/>
                      <w:spacing w:val="-2"/>
                      <w:sz w:val="21"/>
                    </w:rPr>
                    <w:t>无量纲</w:t>
                  </w:r>
                  <w:r>
                    <w:rPr>
                      <w:rFonts w:hint="eastAsia" w:ascii="Times New Roman" w:hAnsi="Times New Roman"/>
                      <w:color w:val="auto"/>
                      <w:spacing w:val="-2"/>
                      <w:sz w:val="21"/>
                      <w:lang w:eastAsia="zh-CN"/>
                    </w:rPr>
                    <w:t>)</w:t>
                  </w:r>
                </w:p>
              </w:tc>
              <w:tc>
                <w:tcPr>
                  <w:tcW w:w="1991" w:type="dxa"/>
                  <w:vMerge w:val="restart"/>
                  <w:tcBorders>
                    <w:top w:val="single" w:color="000000" w:sz="12" w:space="0"/>
                    <w:tl2br w:val="nil"/>
                    <w:tr2bl w:val="nil"/>
                  </w:tcBorders>
                  <w:vAlign w:val="center"/>
                </w:tcPr>
                <w:p w14:paraId="189CBA3E">
                  <w:pPr>
                    <w:pStyle w:val="95"/>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2"/>
                      <w:sz w:val="21"/>
                    </w:rPr>
                    <w:t>《城镇污水处理厂污染物排放标准》</w:t>
                  </w:r>
                  <w:r>
                    <w:rPr>
                      <w:rFonts w:hint="eastAsia" w:ascii="Times New Roman" w:hAnsi="Times New Roman"/>
                      <w:color w:val="auto"/>
                      <w:spacing w:val="-2"/>
                      <w:sz w:val="21"/>
                      <w:lang w:eastAsia="zh-CN"/>
                    </w:rPr>
                    <w:t>(</w:t>
                  </w:r>
                  <w:r>
                    <w:rPr>
                      <w:rFonts w:ascii="Times New Roman" w:hAnsi="Times New Roman" w:eastAsia="宋体"/>
                      <w:color w:val="auto"/>
                      <w:spacing w:val="-2"/>
                      <w:sz w:val="21"/>
                    </w:rPr>
                    <w:t>GB18918-2002</w:t>
                  </w:r>
                  <w:r>
                    <w:rPr>
                      <w:rFonts w:hint="eastAsia" w:ascii="Times New Roman" w:hAnsi="Times New Roman"/>
                      <w:color w:val="auto"/>
                      <w:spacing w:val="-2"/>
                      <w:sz w:val="21"/>
                      <w:lang w:eastAsia="zh-CN"/>
                    </w:rPr>
                    <w:t>)</w:t>
                  </w:r>
                  <w:r>
                    <w:rPr>
                      <w:rFonts w:ascii="Times New Roman" w:hAnsi="Times New Roman" w:eastAsia="宋体"/>
                      <w:color w:val="auto"/>
                      <w:spacing w:val="-2"/>
                      <w:sz w:val="21"/>
                    </w:rPr>
                    <w:t>及其修</w:t>
                  </w:r>
                  <w:r>
                    <w:rPr>
                      <w:rFonts w:ascii="Times New Roman" w:hAnsi="Times New Roman" w:eastAsia="宋体"/>
                      <w:color w:val="auto"/>
                      <w:spacing w:val="-14"/>
                      <w:sz w:val="21"/>
                    </w:rPr>
                    <w:t>改单表</w:t>
                  </w:r>
                  <w:r>
                    <w:rPr>
                      <w:rFonts w:ascii="Times New Roman" w:hAnsi="Times New Roman" w:eastAsia="宋体"/>
                      <w:color w:val="auto"/>
                      <w:spacing w:val="-10"/>
                      <w:sz w:val="21"/>
                    </w:rPr>
                    <w:t>1</w:t>
                  </w:r>
                </w:p>
              </w:tc>
            </w:tr>
            <w:tr w14:paraId="438E9F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1990" w:type="dxa"/>
                  <w:tcBorders>
                    <w:tl2br w:val="nil"/>
                    <w:tr2bl w:val="nil"/>
                  </w:tcBorders>
                  <w:vAlign w:val="center"/>
                </w:tcPr>
                <w:p w14:paraId="133BC03D">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10"/>
                      <w:sz w:val="21"/>
                    </w:rPr>
                    <w:t>2</w:t>
                  </w:r>
                </w:p>
              </w:tc>
              <w:tc>
                <w:tcPr>
                  <w:tcW w:w="1991" w:type="dxa"/>
                  <w:tcBorders>
                    <w:tl2br w:val="nil"/>
                    <w:tr2bl w:val="nil"/>
                  </w:tcBorders>
                  <w:vAlign w:val="center"/>
                </w:tcPr>
                <w:p w14:paraId="34B049BA">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5"/>
                      <w:sz w:val="21"/>
                    </w:rPr>
                    <w:t>COD</w:t>
                  </w:r>
                </w:p>
              </w:tc>
              <w:tc>
                <w:tcPr>
                  <w:tcW w:w="1992" w:type="dxa"/>
                  <w:tcBorders>
                    <w:tl2br w:val="nil"/>
                    <w:tr2bl w:val="nil"/>
                  </w:tcBorders>
                  <w:vAlign w:val="center"/>
                </w:tcPr>
                <w:p w14:paraId="31664D0E">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2"/>
                      <w:sz w:val="21"/>
                    </w:rPr>
                    <w:t>50mg/L</w:t>
                  </w:r>
                </w:p>
              </w:tc>
              <w:tc>
                <w:tcPr>
                  <w:tcW w:w="1991" w:type="dxa"/>
                  <w:vMerge w:val="continue"/>
                  <w:tcBorders>
                    <w:tl2br w:val="nil"/>
                    <w:tr2bl w:val="nil"/>
                  </w:tcBorders>
                  <w:vAlign w:val="center"/>
                </w:tcPr>
                <w:p w14:paraId="7BB34EFD">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4"/>
                      <w:vertAlign w:val="baseline"/>
                    </w:rPr>
                  </w:pPr>
                </w:p>
              </w:tc>
            </w:tr>
            <w:tr w14:paraId="7EB7FB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1990" w:type="dxa"/>
                  <w:tcBorders>
                    <w:tl2br w:val="nil"/>
                    <w:tr2bl w:val="nil"/>
                  </w:tcBorders>
                  <w:vAlign w:val="center"/>
                </w:tcPr>
                <w:p w14:paraId="2574A864">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10"/>
                      <w:sz w:val="21"/>
                    </w:rPr>
                    <w:t>3</w:t>
                  </w:r>
                </w:p>
              </w:tc>
              <w:tc>
                <w:tcPr>
                  <w:tcW w:w="1991" w:type="dxa"/>
                  <w:tcBorders>
                    <w:tl2br w:val="nil"/>
                    <w:tr2bl w:val="nil"/>
                  </w:tcBorders>
                  <w:vAlign w:val="center"/>
                </w:tcPr>
                <w:p w14:paraId="1BC2D291">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4"/>
                      <w:position w:val="2"/>
                      <w:sz w:val="21"/>
                    </w:rPr>
                    <w:t>BOD</w:t>
                  </w:r>
                  <w:r>
                    <w:rPr>
                      <w:rFonts w:ascii="Times New Roman" w:hAnsi="Times New Roman" w:eastAsia="宋体"/>
                      <w:color w:val="auto"/>
                      <w:spacing w:val="-4"/>
                      <w:sz w:val="13"/>
                    </w:rPr>
                    <w:t>5</w:t>
                  </w:r>
                </w:p>
              </w:tc>
              <w:tc>
                <w:tcPr>
                  <w:tcW w:w="1992" w:type="dxa"/>
                  <w:tcBorders>
                    <w:tl2br w:val="nil"/>
                    <w:tr2bl w:val="nil"/>
                  </w:tcBorders>
                  <w:vAlign w:val="center"/>
                </w:tcPr>
                <w:p w14:paraId="0412D071">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2"/>
                      <w:sz w:val="21"/>
                    </w:rPr>
                    <w:t>10mg/L</w:t>
                  </w:r>
                </w:p>
              </w:tc>
              <w:tc>
                <w:tcPr>
                  <w:tcW w:w="1991" w:type="dxa"/>
                  <w:vMerge w:val="continue"/>
                  <w:tcBorders>
                    <w:tl2br w:val="nil"/>
                    <w:tr2bl w:val="nil"/>
                  </w:tcBorders>
                  <w:vAlign w:val="center"/>
                </w:tcPr>
                <w:p w14:paraId="2FC913ED">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4"/>
                      <w:vertAlign w:val="baseline"/>
                    </w:rPr>
                  </w:pPr>
                </w:p>
              </w:tc>
            </w:tr>
            <w:tr w14:paraId="3FA6D3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1990" w:type="dxa"/>
                  <w:tcBorders>
                    <w:tl2br w:val="nil"/>
                    <w:tr2bl w:val="nil"/>
                  </w:tcBorders>
                  <w:vAlign w:val="center"/>
                </w:tcPr>
                <w:p w14:paraId="45E6E13B">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10"/>
                      <w:sz w:val="21"/>
                    </w:rPr>
                    <w:t>4</w:t>
                  </w:r>
                </w:p>
              </w:tc>
              <w:tc>
                <w:tcPr>
                  <w:tcW w:w="1991" w:type="dxa"/>
                  <w:tcBorders>
                    <w:tl2br w:val="nil"/>
                    <w:tr2bl w:val="nil"/>
                  </w:tcBorders>
                  <w:vAlign w:val="center"/>
                </w:tcPr>
                <w:p w14:paraId="1B08D5D3">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5"/>
                      <w:sz w:val="21"/>
                    </w:rPr>
                    <w:t>SS</w:t>
                  </w:r>
                </w:p>
              </w:tc>
              <w:tc>
                <w:tcPr>
                  <w:tcW w:w="1992" w:type="dxa"/>
                  <w:tcBorders>
                    <w:tl2br w:val="nil"/>
                    <w:tr2bl w:val="nil"/>
                  </w:tcBorders>
                  <w:vAlign w:val="center"/>
                </w:tcPr>
                <w:p w14:paraId="51F2162B">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2"/>
                      <w:sz w:val="21"/>
                    </w:rPr>
                    <w:t>10mg/L</w:t>
                  </w:r>
                </w:p>
              </w:tc>
              <w:tc>
                <w:tcPr>
                  <w:tcW w:w="1991" w:type="dxa"/>
                  <w:vMerge w:val="continue"/>
                  <w:tcBorders>
                    <w:tl2br w:val="nil"/>
                    <w:tr2bl w:val="nil"/>
                  </w:tcBorders>
                  <w:vAlign w:val="center"/>
                </w:tcPr>
                <w:p w14:paraId="2B80050E">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4"/>
                      <w:vertAlign w:val="baseline"/>
                    </w:rPr>
                  </w:pPr>
                </w:p>
              </w:tc>
            </w:tr>
            <w:tr w14:paraId="67334F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1990" w:type="dxa"/>
                  <w:tcBorders>
                    <w:tl2br w:val="nil"/>
                    <w:tr2bl w:val="nil"/>
                  </w:tcBorders>
                  <w:vAlign w:val="center"/>
                </w:tcPr>
                <w:p w14:paraId="0ECE83F0">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10"/>
                      <w:sz w:val="21"/>
                    </w:rPr>
                    <w:t>5</w:t>
                  </w:r>
                </w:p>
              </w:tc>
              <w:tc>
                <w:tcPr>
                  <w:tcW w:w="1991" w:type="dxa"/>
                  <w:tcBorders>
                    <w:tl2br w:val="nil"/>
                    <w:tr2bl w:val="nil"/>
                  </w:tcBorders>
                  <w:vAlign w:val="center"/>
                </w:tcPr>
                <w:p w14:paraId="4A496AB5">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2"/>
                      <w:position w:val="2"/>
                      <w:sz w:val="21"/>
                    </w:rPr>
                    <w:t>NH</w:t>
                  </w:r>
                  <w:r>
                    <w:rPr>
                      <w:rFonts w:ascii="Times New Roman" w:hAnsi="Times New Roman" w:eastAsia="宋体"/>
                      <w:color w:val="auto"/>
                      <w:spacing w:val="-2"/>
                      <w:sz w:val="13"/>
                    </w:rPr>
                    <w:t>3</w:t>
                  </w:r>
                  <w:r>
                    <w:rPr>
                      <w:rFonts w:ascii="Times New Roman" w:hAnsi="Times New Roman" w:eastAsia="宋体"/>
                      <w:color w:val="auto"/>
                      <w:spacing w:val="-2"/>
                      <w:position w:val="2"/>
                      <w:sz w:val="21"/>
                    </w:rPr>
                    <w:t>-</w:t>
                  </w:r>
                  <w:r>
                    <w:rPr>
                      <w:rFonts w:ascii="Times New Roman" w:hAnsi="Times New Roman" w:eastAsia="宋体"/>
                      <w:color w:val="auto"/>
                      <w:spacing w:val="-10"/>
                      <w:position w:val="2"/>
                      <w:sz w:val="21"/>
                    </w:rPr>
                    <w:t>N</w:t>
                  </w:r>
                </w:p>
              </w:tc>
              <w:tc>
                <w:tcPr>
                  <w:tcW w:w="1992" w:type="dxa"/>
                  <w:tcBorders>
                    <w:tl2br w:val="nil"/>
                    <w:tr2bl w:val="nil"/>
                  </w:tcBorders>
                  <w:vAlign w:val="center"/>
                </w:tcPr>
                <w:p w14:paraId="3A0CE827">
                  <w:pPr>
                    <w:pStyle w:val="95"/>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ascii="Times New Roman" w:hAnsi="Times New Roman" w:eastAsia="宋体"/>
                      <w:color w:val="auto"/>
                      <w:sz w:val="24"/>
                      <w:vertAlign w:val="baseline"/>
                    </w:rPr>
                  </w:pPr>
                  <w:r>
                    <w:rPr>
                      <w:rFonts w:ascii="Times New Roman" w:hAnsi="Times New Roman" w:eastAsia="宋体"/>
                      <w:color w:val="auto"/>
                      <w:spacing w:val="-2"/>
                      <w:sz w:val="21"/>
                    </w:rPr>
                    <w:t>5mg/L</w:t>
                  </w:r>
                </w:p>
              </w:tc>
              <w:tc>
                <w:tcPr>
                  <w:tcW w:w="1991" w:type="dxa"/>
                  <w:vMerge w:val="continue"/>
                  <w:tcBorders>
                    <w:tl2br w:val="nil"/>
                    <w:tr2bl w:val="nil"/>
                  </w:tcBorders>
                  <w:vAlign w:val="center"/>
                </w:tcPr>
                <w:p w14:paraId="49C533DD">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4"/>
                      <w:vertAlign w:val="baseline"/>
                    </w:rPr>
                  </w:pPr>
                </w:p>
              </w:tc>
            </w:tr>
            <w:tr w14:paraId="1D92AE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1990" w:type="dxa"/>
                  <w:tcBorders>
                    <w:tl2br w:val="nil"/>
                    <w:tr2bl w:val="nil"/>
                  </w:tcBorders>
                  <w:vAlign w:val="center"/>
                </w:tcPr>
                <w:p w14:paraId="67305678">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hint="eastAsia" w:ascii="Times New Roman" w:hAnsi="Times New Roman" w:eastAsia="宋体"/>
                      <w:color w:val="auto"/>
                      <w:sz w:val="24"/>
                      <w:vertAlign w:val="baseline"/>
                      <w:lang w:val="en-US" w:eastAsia="zh-CN"/>
                    </w:rPr>
                  </w:pPr>
                  <w:r>
                    <w:rPr>
                      <w:rFonts w:hint="eastAsia" w:ascii="Times New Roman" w:hAnsi="Times New Roman" w:eastAsia="宋体"/>
                      <w:color w:val="auto"/>
                      <w:sz w:val="24"/>
                      <w:vertAlign w:val="baseline"/>
                      <w:lang w:val="en-US" w:eastAsia="zh-CN"/>
                    </w:rPr>
                    <w:t>6</w:t>
                  </w:r>
                </w:p>
              </w:tc>
              <w:tc>
                <w:tcPr>
                  <w:tcW w:w="1991" w:type="dxa"/>
                  <w:tcBorders>
                    <w:tl2br w:val="nil"/>
                    <w:tr2bl w:val="nil"/>
                  </w:tcBorders>
                  <w:vAlign w:val="center"/>
                </w:tcPr>
                <w:p w14:paraId="5AA544E3">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hint="default" w:ascii="Times New Roman" w:hAnsi="Times New Roman" w:eastAsia="宋体"/>
                      <w:color w:val="auto"/>
                      <w:sz w:val="24"/>
                      <w:vertAlign w:val="baseline"/>
                      <w:lang w:val="en-US" w:eastAsia="zh-CN"/>
                    </w:rPr>
                  </w:pPr>
                  <w:r>
                    <w:rPr>
                      <w:rFonts w:hint="eastAsia" w:ascii="Times New Roman" w:hAnsi="Times New Roman" w:eastAsia="宋体"/>
                      <w:color w:val="auto"/>
                      <w:sz w:val="24"/>
                      <w:vertAlign w:val="baseline"/>
                      <w:lang w:val="en-US" w:eastAsia="zh-CN"/>
                    </w:rPr>
                    <w:t>动植物油</w:t>
                  </w:r>
                </w:p>
              </w:tc>
              <w:tc>
                <w:tcPr>
                  <w:tcW w:w="1992" w:type="dxa"/>
                  <w:tcBorders>
                    <w:tl2br w:val="nil"/>
                    <w:tr2bl w:val="nil"/>
                  </w:tcBorders>
                  <w:vAlign w:val="center"/>
                </w:tcPr>
                <w:p w14:paraId="07848B75">
                  <w:pPr>
                    <w:keepNext w:val="0"/>
                    <w:keepLines w:val="0"/>
                    <w:pageBreakBefore w:val="0"/>
                    <w:widowControl w:val="0"/>
                    <w:tabs>
                      <w:tab w:val="left" w:pos="3741"/>
                      <w:tab w:val="left" w:pos="5726"/>
                    </w:tabs>
                    <w:kinsoku/>
                    <w:wordWrap/>
                    <w:overflowPunct/>
                    <w:topLinePunct w:val="0"/>
                    <w:autoSpaceDE/>
                    <w:autoSpaceDN/>
                    <w:bidi w:val="0"/>
                    <w:adjustRightInd/>
                    <w:snapToGrid/>
                    <w:spacing w:line="240" w:lineRule="auto"/>
                    <w:ind w:right="0"/>
                    <w:jc w:val="center"/>
                    <w:textAlignment w:val="auto"/>
                    <w:rPr>
                      <w:rFonts w:hint="eastAsia" w:ascii="Times New Roman" w:hAnsi="Times New Roman" w:eastAsia="宋体"/>
                      <w:color w:val="auto"/>
                      <w:sz w:val="24"/>
                      <w:vertAlign w:val="baseline"/>
                      <w:lang w:val="en-US" w:eastAsia="zh-CN"/>
                    </w:rPr>
                  </w:pPr>
                  <w:r>
                    <w:rPr>
                      <w:rFonts w:ascii="Times New Roman" w:hAnsi="Times New Roman" w:eastAsia="宋体"/>
                      <w:color w:val="auto"/>
                      <w:spacing w:val="-4"/>
                      <w:sz w:val="21"/>
                    </w:rPr>
                    <w:t>1mg/L</w:t>
                  </w:r>
                </w:p>
              </w:tc>
              <w:tc>
                <w:tcPr>
                  <w:tcW w:w="1991" w:type="dxa"/>
                  <w:vMerge w:val="continue"/>
                  <w:tcBorders>
                    <w:tl2br w:val="nil"/>
                    <w:tr2bl w:val="nil"/>
                  </w:tcBorders>
                  <w:vAlign w:val="center"/>
                </w:tcPr>
                <w:p w14:paraId="1B225702">
                  <w:pPr>
                    <w:pStyle w:val="95"/>
                    <w:keepNext w:val="0"/>
                    <w:keepLines w:val="0"/>
                    <w:pageBreakBefore w:val="0"/>
                    <w:widowControl w:val="0"/>
                    <w:kinsoku/>
                    <w:wordWrap/>
                    <w:overflowPunct/>
                    <w:topLinePunct w:val="0"/>
                    <w:autoSpaceDE/>
                    <w:autoSpaceDN/>
                    <w:bidi w:val="0"/>
                    <w:adjustRightInd/>
                    <w:snapToGrid/>
                    <w:spacing w:line="240" w:lineRule="auto"/>
                    <w:ind w:left="0" w:right="0"/>
                    <w:textAlignment w:val="auto"/>
                    <w:rPr>
                      <w:rFonts w:ascii="Times New Roman" w:hAnsi="Times New Roman" w:eastAsia="宋体"/>
                      <w:color w:val="auto"/>
                      <w:sz w:val="24"/>
                      <w:vertAlign w:val="baseline"/>
                    </w:rPr>
                  </w:pPr>
                </w:p>
              </w:tc>
            </w:tr>
          </w:tbl>
          <w:p w14:paraId="4B072030">
            <w:pPr>
              <w:pStyle w:val="95"/>
              <w:rPr>
                <w:color w:val="auto"/>
                <w:sz w:val="24"/>
              </w:rPr>
            </w:pPr>
          </w:p>
          <w:p w14:paraId="785D5A0D">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噪声排放标准</w:t>
            </w:r>
          </w:p>
          <w:p w14:paraId="438C7F4D">
            <w:pPr>
              <w:pStyle w:val="4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leftChars="0" w:right="0" w:firstLine="480"/>
              <w:textAlignment w:val="auto"/>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运营期</w:t>
            </w:r>
            <w:r>
              <w:rPr>
                <w:rFonts w:hint="default" w:ascii="Times New Roman" w:hAnsi="Times New Roman" w:cs="Times New Roman"/>
                <w:color w:val="auto"/>
                <w:highlight w:val="none"/>
              </w:rPr>
              <w:t>厂界噪声执行《工业企业厂界环境噪声排放标准》</w:t>
            </w:r>
            <w:r>
              <w:rPr>
                <w:rFonts w:hint="eastAsia" w:cs="Times New Roman"/>
                <w:color w:val="auto"/>
                <w:highlight w:val="none"/>
                <w:lang w:eastAsia="zh-CN"/>
              </w:rPr>
              <w:t>（</w:t>
            </w:r>
            <w:r>
              <w:rPr>
                <w:rFonts w:hint="default" w:ascii="Times New Roman" w:hAnsi="Times New Roman" w:cs="Times New Roman"/>
                <w:color w:val="auto"/>
                <w:highlight w:val="none"/>
              </w:rPr>
              <w:t>GB12348-2008</w:t>
            </w:r>
            <w:r>
              <w:rPr>
                <w:rFonts w:hint="eastAsia" w:cs="Times New Roman"/>
                <w:color w:val="auto"/>
                <w:highlight w:val="none"/>
                <w:lang w:eastAsia="zh-CN"/>
              </w:rPr>
              <w:t>）</w:t>
            </w:r>
            <w:r>
              <w:rPr>
                <w:rFonts w:hint="default" w:ascii="Times New Roman" w:hAnsi="Times New Roman" w:cs="Times New Roman"/>
                <w:color w:val="auto"/>
                <w:highlight w:val="none"/>
              </w:rPr>
              <w:t>中</w:t>
            </w:r>
            <w:r>
              <w:rPr>
                <w:rFonts w:hint="eastAsia" w:cs="Times New Roman"/>
                <w:color w:val="auto"/>
                <w:highlight w:val="none"/>
                <w:lang w:val="en-US" w:eastAsia="zh-CN"/>
              </w:rPr>
              <w:t>3</w:t>
            </w:r>
            <w:r>
              <w:rPr>
                <w:rFonts w:hint="default" w:ascii="Times New Roman" w:hAnsi="Times New Roman" w:cs="Times New Roman"/>
                <w:color w:val="auto"/>
                <w:highlight w:val="none"/>
              </w:rPr>
              <w:t>类标准。</w:t>
            </w:r>
          </w:p>
          <w:p w14:paraId="07D01956">
            <w:pPr>
              <w:pStyle w:val="42"/>
              <w:keepNext/>
              <w:keepLines/>
              <w:pageBreakBefore w:val="0"/>
              <w:widowControl w:val="0"/>
              <w:numPr>
                <w:ilvl w:val="7"/>
                <w:numId w:val="1"/>
              </w:numPr>
              <w:kinsoku/>
              <w:wordWrap/>
              <w:overflowPunct/>
              <w:topLinePunct w:val="0"/>
              <w:autoSpaceDE/>
              <w:autoSpaceDN/>
              <w:bidi w:val="0"/>
              <w:adjustRightInd/>
              <w:snapToGrid/>
              <w:spacing w:before="0" w:after="0"/>
              <w:ind w:left="630" w:leftChars="0" w:firstLine="0" w:firstLineChars="0"/>
              <w:textAlignment w:val="auto"/>
              <w:rPr>
                <w:rFonts w:hint="default" w:ascii="Times New Roman" w:hAnsi="Times New Roman" w:eastAsia="宋体" w:cs="宋体"/>
                <w:color w:val="auto"/>
                <w:highlight w:val="none"/>
                <w:lang w:val="en-US" w:eastAsia="zh-CN"/>
              </w:rPr>
            </w:pPr>
            <w:r>
              <w:rPr>
                <w:rFonts w:hint="default" w:ascii="Times New Roman" w:hAnsi="Times New Roman" w:eastAsia="宋体" w:cs="宋体"/>
                <w:color w:val="auto"/>
                <w:highlight w:val="none"/>
                <w:lang w:val="en-US" w:eastAsia="zh-CN"/>
              </w:rPr>
              <w:t>工业企业厂界环境噪声</w:t>
            </w:r>
            <w:r>
              <w:rPr>
                <w:rFonts w:hint="eastAsia" w:ascii="Times New Roman" w:hAnsi="Times New Roman" w:eastAsia="宋体" w:cs="宋体"/>
                <w:color w:val="auto"/>
                <w:highlight w:val="none"/>
                <w:lang w:val="en-US" w:eastAsia="zh-CN"/>
              </w:rPr>
              <w:t>排放限值</w:t>
            </w:r>
          </w:p>
          <w:tbl>
            <w:tblPr>
              <w:tblStyle w:val="33"/>
              <w:tblW w:w="7971" w:type="dxa"/>
              <w:jc w:val="center"/>
              <w:tblBorders>
                <w:top w:val="single" w:color="000000" w:sz="12" w:space="0"/>
                <w:left w:val="none" w:color="auto" w:sz="0" w:space="0"/>
                <w:bottom w:val="single" w:color="000000" w:sz="12" w:space="0"/>
                <w:right w:val="none" w:color="auto" w:sz="0" w:space="0"/>
                <w:insideH w:val="single" w:color="000000" w:sz="12" w:space="0"/>
                <w:insideV w:val="single" w:color="auto" w:sz="4" w:space="0"/>
              </w:tblBorders>
              <w:tblLayout w:type="autofit"/>
              <w:tblCellMar>
                <w:top w:w="0" w:type="dxa"/>
                <w:left w:w="108" w:type="dxa"/>
                <w:bottom w:w="0" w:type="dxa"/>
                <w:right w:w="108" w:type="dxa"/>
              </w:tblCellMar>
            </w:tblPr>
            <w:tblGrid>
              <w:gridCol w:w="2658"/>
              <w:gridCol w:w="2658"/>
              <w:gridCol w:w="2655"/>
            </w:tblGrid>
            <w:tr w14:paraId="76EBF5A6">
              <w:tblPrEx>
                <w:tblBorders>
                  <w:top w:val="single" w:color="000000" w:sz="12" w:space="0"/>
                  <w:left w:val="none" w:color="auto" w:sz="0" w:space="0"/>
                  <w:bottom w:val="single" w:color="000000" w:sz="12" w:space="0"/>
                  <w:right w:val="none" w:color="auto" w:sz="0" w:space="0"/>
                  <w:insideH w:val="single" w:color="000000" w:sz="12" w:space="0"/>
                  <w:insideV w:val="single" w:color="auto" w:sz="4" w:space="0"/>
                </w:tblBorders>
                <w:tblCellMar>
                  <w:top w:w="0" w:type="dxa"/>
                  <w:left w:w="108" w:type="dxa"/>
                  <w:bottom w:w="0" w:type="dxa"/>
                  <w:right w:w="108" w:type="dxa"/>
                </w:tblCellMar>
              </w:tblPrEx>
              <w:trPr>
                <w:cantSplit/>
                <w:trHeight w:val="340" w:hRule="atLeast"/>
                <w:jc w:val="center"/>
              </w:trPr>
              <w:tc>
                <w:tcPr>
                  <w:tcW w:w="2658" w:type="dxa"/>
                  <w:tcBorders>
                    <w:tl2br w:val="nil"/>
                    <w:tr2bl w:val="nil"/>
                  </w:tcBorders>
                  <w:vAlign w:val="center"/>
                </w:tcPr>
                <w:p w14:paraId="5DB5F022">
                  <w:pPr>
                    <w:pStyle w:val="46"/>
                    <w:keepNext w:val="0"/>
                    <w:keepLines w:val="0"/>
                    <w:suppressLineNumbers w:val="0"/>
                    <w:tabs>
                      <w:tab w:val="left" w:pos="0"/>
                    </w:tabs>
                    <w:bidi w:val="0"/>
                    <w:spacing w:before="0" w:beforeAutospacing="0" w:after="0" w:afterAutospacing="0"/>
                    <w:ind w:right="0"/>
                    <w:rPr>
                      <w:rFonts w:hint="default"/>
                      <w:color w:val="auto"/>
                    </w:rPr>
                  </w:pPr>
                  <w:r>
                    <w:rPr>
                      <w:rFonts w:hint="default"/>
                      <w:color w:val="auto"/>
                    </w:rPr>
                    <w:t>类别</w:t>
                  </w:r>
                </w:p>
              </w:tc>
              <w:tc>
                <w:tcPr>
                  <w:tcW w:w="2658" w:type="dxa"/>
                  <w:tcBorders>
                    <w:tl2br w:val="nil"/>
                    <w:tr2bl w:val="nil"/>
                  </w:tcBorders>
                  <w:vAlign w:val="center"/>
                </w:tcPr>
                <w:p w14:paraId="41697707">
                  <w:pPr>
                    <w:pStyle w:val="46"/>
                    <w:keepNext w:val="0"/>
                    <w:keepLines w:val="0"/>
                    <w:suppressLineNumbers w:val="0"/>
                    <w:tabs>
                      <w:tab w:val="left" w:pos="0"/>
                    </w:tabs>
                    <w:bidi w:val="0"/>
                    <w:spacing w:before="0" w:beforeAutospacing="0" w:after="0" w:afterAutospacing="0"/>
                    <w:ind w:right="0"/>
                    <w:rPr>
                      <w:rFonts w:hint="default"/>
                      <w:color w:val="auto"/>
                    </w:rPr>
                  </w:pPr>
                  <w:r>
                    <w:rPr>
                      <w:rFonts w:hint="default"/>
                      <w:color w:val="auto"/>
                    </w:rPr>
                    <w:t>昼间</w:t>
                  </w:r>
                </w:p>
              </w:tc>
              <w:tc>
                <w:tcPr>
                  <w:tcW w:w="2655" w:type="dxa"/>
                  <w:tcBorders>
                    <w:tl2br w:val="nil"/>
                    <w:tr2bl w:val="nil"/>
                  </w:tcBorders>
                  <w:vAlign w:val="center"/>
                </w:tcPr>
                <w:p w14:paraId="1675DECE">
                  <w:pPr>
                    <w:pStyle w:val="46"/>
                    <w:keepNext w:val="0"/>
                    <w:keepLines w:val="0"/>
                    <w:suppressLineNumbers w:val="0"/>
                    <w:tabs>
                      <w:tab w:val="left" w:pos="0"/>
                    </w:tabs>
                    <w:bidi w:val="0"/>
                    <w:spacing w:before="0" w:beforeAutospacing="0" w:after="0" w:afterAutospacing="0"/>
                    <w:ind w:right="0"/>
                    <w:rPr>
                      <w:rFonts w:hint="default"/>
                      <w:color w:val="auto"/>
                    </w:rPr>
                  </w:pPr>
                  <w:r>
                    <w:rPr>
                      <w:rFonts w:hint="default"/>
                      <w:color w:val="auto"/>
                    </w:rPr>
                    <w:t>夜间</w:t>
                  </w:r>
                </w:p>
              </w:tc>
            </w:tr>
            <w:tr w14:paraId="2E5CCEC7">
              <w:tblPrEx>
                <w:tblBorders>
                  <w:top w:val="single" w:color="000000" w:sz="12" w:space="0"/>
                  <w:left w:val="none" w:color="auto" w:sz="0" w:space="0"/>
                  <w:bottom w:val="single" w:color="000000" w:sz="12" w:space="0"/>
                  <w:right w:val="none" w:color="auto" w:sz="0" w:space="0"/>
                  <w:insideH w:val="single" w:color="000000" w:sz="12" w:space="0"/>
                  <w:insideV w:val="single" w:color="auto" w:sz="4" w:space="0"/>
                </w:tblBorders>
                <w:tblCellMar>
                  <w:top w:w="0" w:type="dxa"/>
                  <w:left w:w="108" w:type="dxa"/>
                  <w:bottom w:w="0" w:type="dxa"/>
                  <w:right w:w="108" w:type="dxa"/>
                </w:tblCellMar>
              </w:tblPrEx>
              <w:trPr>
                <w:cantSplit/>
                <w:trHeight w:val="340" w:hRule="atLeast"/>
                <w:jc w:val="center"/>
              </w:trPr>
              <w:tc>
                <w:tcPr>
                  <w:tcW w:w="2658" w:type="dxa"/>
                  <w:tcBorders>
                    <w:tl2br w:val="nil"/>
                    <w:tr2bl w:val="nil"/>
                  </w:tcBorders>
                  <w:vAlign w:val="center"/>
                </w:tcPr>
                <w:p w14:paraId="1951F023">
                  <w:pPr>
                    <w:pStyle w:val="46"/>
                    <w:keepNext w:val="0"/>
                    <w:keepLines w:val="0"/>
                    <w:suppressLineNumbers w:val="0"/>
                    <w:tabs>
                      <w:tab w:val="left" w:pos="0"/>
                    </w:tabs>
                    <w:bidi w:val="0"/>
                    <w:spacing w:before="0" w:beforeAutospacing="0" w:after="0" w:afterAutospacing="0"/>
                    <w:ind w:left="0" w:leftChars="0" w:right="0" w:rightChars="0" w:firstLine="0" w:firstLineChars="0"/>
                    <w:rPr>
                      <w:rFonts w:hint="default"/>
                      <w:color w:val="auto"/>
                    </w:rPr>
                  </w:pPr>
                  <w:r>
                    <w:rPr>
                      <w:rFonts w:hint="eastAsia"/>
                      <w:color w:val="auto"/>
                      <w:lang w:val="en-US" w:eastAsia="zh-CN"/>
                    </w:rPr>
                    <w:t>3</w:t>
                  </w:r>
                  <w:r>
                    <w:rPr>
                      <w:rFonts w:hint="default"/>
                      <w:color w:val="auto"/>
                    </w:rPr>
                    <w:t>类</w:t>
                  </w:r>
                </w:p>
              </w:tc>
              <w:tc>
                <w:tcPr>
                  <w:tcW w:w="2658" w:type="dxa"/>
                  <w:tcBorders>
                    <w:tl2br w:val="nil"/>
                    <w:tr2bl w:val="nil"/>
                  </w:tcBorders>
                  <w:vAlign w:val="center"/>
                </w:tcPr>
                <w:p w14:paraId="0A790555">
                  <w:pPr>
                    <w:pStyle w:val="46"/>
                    <w:keepNext w:val="0"/>
                    <w:keepLines w:val="0"/>
                    <w:suppressLineNumbers w:val="0"/>
                    <w:tabs>
                      <w:tab w:val="left" w:pos="0"/>
                    </w:tabs>
                    <w:bidi w:val="0"/>
                    <w:spacing w:before="0" w:beforeAutospacing="0" w:after="0" w:afterAutospacing="0"/>
                    <w:ind w:left="0" w:leftChars="0" w:right="0" w:rightChars="0" w:firstLine="0" w:firstLineChars="0"/>
                    <w:rPr>
                      <w:rFonts w:hint="default" w:eastAsia="宋体"/>
                      <w:color w:val="auto"/>
                      <w:lang w:val="en-US" w:eastAsia="zh-CN"/>
                    </w:rPr>
                  </w:pPr>
                  <w:r>
                    <w:rPr>
                      <w:rFonts w:ascii="Times New Roman" w:hAnsi="Times New Roman"/>
                      <w:color w:val="auto"/>
                      <w:spacing w:val="-5"/>
                      <w:sz w:val="21"/>
                    </w:rPr>
                    <w:t>≤</w:t>
                  </w:r>
                  <w:r>
                    <w:rPr>
                      <w:rFonts w:hint="default"/>
                      <w:color w:val="auto"/>
                    </w:rPr>
                    <w:t>6</w:t>
                  </w:r>
                  <w:r>
                    <w:rPr>
                      <w:rFonts w:hint="eastAsia"/>
                      <w:color w:val="auto"/>
                      <w:lang w:val="en-US" w:eastAsia="zh-CN"/>
                    </w:rPr>
                    <w:t>5dB（A）</w:t>
                  </w:r>
                </w:p>
              </w:tc>
              <w:tc>
                <w:tcPr>
                  <w:tcW w:w="2655" w:type="dxa"/>
                  <w:tcBorders>
                    <w:tl2br w:val="nil"/>
                    <w:tr2bl w:val="nil"/>
                  </w:tcBorders>
                  <w:vAlign w:val="center"/>
                </w:tcPr>
                <w:p w14:paraId="07D89E6B">
                  <w:pPr>
                    <w:pStyle w:val="46"/>
                    <w:keepNext w:val="0"/>
                    <w:keepLines w:val="0"/>
                    <w:suppressLineNumbers w:val="0"/>
                    <w:tabs>
                      <w:tab w:val="left" w:pos="0"/>
                    </w:tabs>
                    <w:bidi w:val="0"/>
                    <w:spacing w:before="0" w:beforeAutospacing="0" w:after="0" w:afterAutospacing="0"/>
                    <w:ind w:left="0" w:leftChars="0" w:right="0" w:rightChars="0" w:firstLine="0" w:firstLineChars="0"/>
                    <w:rPr>
                      <w:rFonts w:hint="default"/>
                      <w:color w:val="auto"/>
                    </w:rPr>
                  </w:pPr>
                  <w:r>
                    <w:rPr>
                      <w:rFonts w:ascii="Times New Roman" w:hAnsi="Times New Roman"/>
                      <w:color w:val="auto"/>
                      <w:spacing w:val="-5"/>
                      <w:sz w:val="21"/>
                    </w:rPr>
                    <w:t>≤</w:t>
                  </w:r>
                  <w:r>
                    <w:rPr>
                      <w:rFonts w:hint="default"/>
                      <w:color w:val="auto"/>
                    </w:rPr>
                    <w:t>5</w:t>
                  </w:r>
                  <w:r>
                    <w:rPr>
                      <w:rFonts w:hint="eastAsia"/>
                      <w:color w:val="auto"/>
                      <w:lang w:val="en-US" w:eastAsia="zh-CN"/>
                    </w:rPr>
                    <w:t>5dB（A）</w:t>
                  </w:r>
                </w:p>
              </w:tc>
            </w:tr>
          </w:tbl>
          <w:p w14:paraId="7A60291F">
            <w:pPr>
              <w:pStyle w:val="4"/>
              <w:numPr>
                <w:ilvl w:val="2"/>
                <w:numId w:val="1"/>
              </w:numPr>
              <w:bidi w:val="0"/>
              <w:ind w:left="720" w:leftChars="0" w:hanging="720" w:firstLineChars="0"/>
              <w:rPr>
                <w:rFonts w:hint="eastAsia"/>
                <w:color w:val="auto"/>
                <w:highlight w:val="none"/>
                <w:lang w:val="en-US" w:eastAsia="zh-CN"/>
              </w:rPr>
            </w:pPr>
            <w:r>
              <w:rPr>
                <w:rFonts w:hint="eastAsia"/>
                <w:color w:val="auto"/>
                <w:highlight w:val="none"/>
                <w:lang w:val="en-US" w:eastAsia="zh-CN"/>
              </w:rPr>
              <w:t>固体废物执行标准</w:t>
            </w:r>
          </w:p>
          <w:p w14:paraId="21C2F379">
            <w:pPr>
              <w:pStyle w:val="44"/>
              <w:ind w:firstLine="480"/>
              <w:rPr>
                <w:rFonts w:ascii="宋体" w:hAnsi="宋体" w:cs="宋体"/>
                <w:color w:val="auto"/>
                <w:kern w:val="0"/>
                <w:szCs w:val="21"/>
                <w:highlight w:val="none"/>
              </w:rPr>
            </w:pPr>
            <w:r>
              <w:rPr>
                <w:rFonts w:hint="eastAsia"/>
                <w:color w:val="auto"/>
                <w:highlight w:val="none"/>
              </w:rPr>
              <w:t>本项目运营期项目生活垃圾处置执行《中华人民共和国固体废物污染环境防治法》</w:t>
            </w:r>
            <w:r>
              <w:rPr>
                <w:rFonts w:hint="eastAsia"/>
                <w:color w:val="auto"/>
                <w:highlight w:val="none"/>
                <w:lang w:eastAsia="zh-CN"/>
              </w:rPr>
              <w:t>(</w:t>
            </w:r>
            <w:r>
              <w:rPr>
                <w:rFonts w:hint="eastAsia"/>
                <w:color w:val="auto"/>
                <w:highlight w:val="none"/>
              </w:rPr>
              <w:t>2020 年修订</w:t>
            </w:r>
            <w:r>
              <w:rPr>
                <w:rFonts w:hint="eastAsia"/>
                <w:color w:val="auto"/>
                <w:highlight w:val="none"/>
                <w:lang w:eastAsia="zh-CN"/>
              </w:rPr>
              <w:t>)</w:t>
            </w:r>
            <w:r>
              <w:rPr>
                <w:rFonts w:hint="eastAsia"/>
                <w:color w:val="auto"/>
                <w:highlight w:val="none"/>
              </w:rPr>
              <w:t>的相关规定；产生的一般工业固废应按照《一般工业固体废物贮存和填埋污染控制标准》</w:t>
            </w:r>
            <w:r>
              <w:rPr>
                <w:rFonts w:hint="eastAsia"/>
                <w:color w:val="auto"/>
                <w:highlight w:val="none"/>
                <w:lang w:eastAsia="zh-CN"/>
              </w:rPr>
              <w:t>(</w:t>
            </w:r>
            <w:r>
              <w:rPr>
                <w:rFonts w:hint="eastAsia"/>
                <w:color w:val="auto"/>
                <w:highlight w:val="none"/>
              </w:rPr>
              <w:t>GB18599-2020</w:t>
            </w:r>
            <w:r>
              <w:rPr>
                <w:rFonts w:hint="eastAsia"/>
                <w:color w:val="auto"/>
                <w:highlight w:val="none"/>
                <w:lang w:eastAsia="zh-CN"/>
              </w:rPr>
              <w:t>)</w:t>
            </w:r>
            <w:r>
              <w:rPr>
                <w:rFonts w:hint="eastAsia"/>
                <w:color w:val="auto"/>
                <w:highlight w:val="none"/>
              </w:rPr>
              <w:t>进行处理处置。项目内产生的危险废物应按照《危险废物贮存污染控制标准》</w:t>
            </w:r>
            <w:r>
              <w:rPr>
                <w:rFonts w:hint="eastAsia"/>
                <w:color w:val="auto"/>
                <w:highlight w:val="none"/>
                <w:lang w:eastAsia="zh-CN"/>
              </w:rPr>
              <w:t>(</w:t>
            </w:r>
            <w:r>
              <w:rPr>
                <w:rFonts w:hint="eastAsia"/>
                <w:color w:val="auto"/>
                <w:highlight w:val="none"/>
              </w:rPr>
              <w:t>GB 18597-2023</w:t>
            </w:r>
            <w:r>
              <w:rPr>
                <w:rFonts w:hint="eastAsia"/>
                <w:color w:val="auto"/>
                <w:highlight w:val="none"/>
                <w:lang w:eastAsia="zh-CN"/>
              </w:rPr>
              <w:t>)</w:t>
            </w:r>
            <w:r>
              <w:rPr>
                <w:rFonts w:hint="eastAsia"/>
                <w:color w:val="auto"/>
                <w:highlight w:val="none"/>
              </w:rPr>
              <w:t>的要求进行贮存，并委托有资质单位处理。</w:t>
            </w:r>
          </w:p>
        </w:tc>
      </w:tr>
      <w:tr w14:paraId="39D865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10" w:hRule="atLeast"/>
          <w:jc w:val="center"/>
        </w:trPr>
        <w:tc>
          <w:tcPr>
            <w:tcW w:w="800" w:type="dxa"/>
            <w:vAlign w:val="center"/>
          </w:tcPr>
          <w:p w14:paraId="45F3509D">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总量</w:t>
            </w:r>
          </w:p>
          <w:p w14:paraId="4A639103">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控制</w:t>
            </w:r>
          </w:p>
          <w:p w14:paraId="12EF64B0">
            <w:pPr>
              <w:adjustRightInd w:val="0"/>
              <w:snapToGrid w:val="0"/>
              <w:jc w:val="center"/>
              <w:rPr>
                <w:rFonts w:ascii="宋体" w:hAnsi="宋体" w:cs="宋体"/>
                <w:color w:val="auto"/>
                <w:kern w:val="0"/>
                <w:szCs w:val="21"/>
                <w:highlight w:val="none"/>
              </w:rPr>
            </w:pPr>
            <w:r>
              <w:rPr>
                <w:rFonts w:hint="eastAsia" w:ascii="宋体" w:hAnsi="宋体" w:cs="宋体"/>
                <w:color w:val="auto"/>
                <w:kern w:val="0"/>
                <w:szCs w:val="21"/>
                <w:highlight w:val="none"/>
              </w:rPr>
              <w:t>指标</w:t>
            </w:r>
          </w:p>
        </w:tc>
        <w:tc>
          <w:tcPr>
            <w:tcW w:w="8190" w:type="dxa"/>
            <w:vAlign w:val="center"/>
          </w:tcPr>
          <w:p w14:paraId="34D84ECE">
            <w:pPr>
              <w:pStyle w:val="3"/>
              <w:numPr>
                <w:ilvl w:val="1"/>
                <w:numId w:val="1"/>
              </w:numPr>
              <w:bidi w:val="0"/>
              <w:ind w:left="0" w:leftChars="0" w:firstLine="0" w:firstLineChars="0"/>
              <w:rPr>
                <w:rFonts w:hint="eastAsia" w:ascii="Times New Roman" w:hAnsi="Times New Roman" w:eastAsia="宋体" w:cs="Times New Roman"/>
                <w:color w:val="auto"/>
                <w:highlight w:val="none"/>
              </w:rPr>
            </w:pPr>
            <w:bookmarkStart w:id="33" w:name="_Toc22536"/>
            <w:bookmarkStart w:id="34" w:name="_Toc24101"/>
            <w:bookmarkStart w:id="35" w:name="_Toc18142"/>
            <w:bookmarkStart w:id="36" w:name="_Toc551"/>
            <w:r>
              <w:rPr>
                <w:rFonts w:hint="eastAsia" w:ascii="Times New Roman" w:hAnsi="Times New Roman" w:eastAsia="宋体" w:cs="Times New Roman"/>
                <w:color w:val="auto"/>
                <w:highlight w:val="none"/>
              </w:rPr>
              <w:t>总量控制分析</w:t>
            </w:r>
          </w:p>
          <w:p w14:paraId="2A0AE6E5">
            <w:pPr>
              <w:pStyle w:val="4"/>
              <w:numPr>
                <w:ilvl w:val="2"/>
                <w:numId w:val="1"/>
              </w:numPr>
              <w:bidi w:val="0"/>
              <w:ind w:left="720" w:leftChars="0" w:hanging="72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总量控制因子</w:t>
            </w:r>
            <w:bookmarkEnd w:id="33"/>
            <w:bookmarkEnd w:id="34"/>
            <w:bookmarkEnd w:id="35"/>
            <w:bookmarkEnd w:id="36"/>
          </w:p>
          <w:p w14:paraId="70190A8D">
            <w:pPr>
              <w:pStyle w:val="44"/>
              <w:ind w:firstLine="480"/>
              <w:rPr>
                <w:color w:val="auto"/>
                <w:highlight w:val="none"/>
              </w:rPr>
            </w:pPr>
            <w:r>
              <w:rPr>
                <w:rFonts w:hint="eastAsia" w:ascii="Times New Roman" w:hAnsi="Times New Roman"/>
                <w:color w:val="auto"/>
              </w:rPr>
              <w:t>根据</w:t>
            </w:r>
            <w:r>
              <w:rPr>
                <w:rFonts w:ascii="Times New Roman" w:hAnsi="Times New Roman"/>
                <w:color w:val="auto"/>
              </w:rPr>
              <w:t>国家</w:t>
            </w:r>
            <w:r>
              <w:rPr>
                <w:rFonts w:hint="eastAsia" w:ascii="Times New Roman" w:hAnsi="Times New Roman"/>
                <w:color w:val="auto"/>
              </w:rPr>
              <w:t>“</w:t>
            </w:r>
            <w:r>
              <w:rPr>
                <w:rFonts w:ascii="Times New Roman" w:hAnsi="Times New Roman"/>
                <w:color w:val="auto"/>
              </w:rPr>
              <w:t>十</w:t>
            </w:r>
            <w:r>
              <w:rPr>
                <w:rFonts w:hint="eastAsia" w:ascii="Times New Roman" w:hAnsi="Times New Roman"/>
                <w:color w:val="auto"/>
              </w:rPr>
              <w:t>四</w:t>
            </w:r>
            <w:r>
              <w:rPr>
                <w:rFonts w:ascii="Times New Roman" w:hAnsi="Times New Roman"/>
                <w:color w:val="auto"/>
              </w:rPr>
              <w:t>五</w:t>
            </w:r>
            <w:r>
              <w:rPr>
                <w:rFonts w:hint="eastAsia" w:ascii="Times New Roman" w:hAnsi="Times New Roman"/>
                <w:color w:val="auto"/>
              </w:rPr>
              <w:t>”</w:t>
            </w:r>
            <w:r>
              <w:rPr>
                <w:rFonts w:ascii="Times New Roman" w:hAnsi="Times New Roman"/>
                <w:color w:val="auto"/>
              </w:rPr>
              <w:t>期间污染物</w:t>
            </w:r>
            <w:r>
              <w:rPr>
                <w:rFonts w:hint="eastAsia" w:ascii="Times New Roman" w:hAnsi="Times New Roman"/>
                <w:color w:val="auto"/>
              </w:rPr>
              <w:t>总量</w:t>
            </w:r>
            <w:r>
              <w:rPr>
                <w:rFonts w:ascii="Times New Roman" w:hAnsi="Times New Roman"/>
                <w:color w:val="auto"/>
              </w:rPr>
              <w:t>控制</w:t>
            </w:r>
            <w:r>
              <w:rPr>
                <w:rFonts w:hint="eastAsia" w:ascii="Times New Roman" w:hAnsi="Times New Roman"/>
                <w:color w:val="auto"/>
              </w:rPr>
              <w:t>要求及</w:t>
            </w:r>
            <w:r>
              <w:rPr>
                <w:rFonts w:ascii="Times New Roman" w:hAnsi="Times New Roman"/>
                <w:color w:val="auto"/>
              </w:rPr>
              <w:t>《福建省“十四五”生态环境保护专项规划》（闽政办〔2021〕59号）</w:t>
            </w:r>
            <w:r>
              <w:rPr>
                <w:rFonts w:hint="eastAsia" w:ascii="Times New Roman" w:hAnsi="Times New Roman"/>
                <w:color w:val="auto"/>
              </w:rPr>
              <w:t>、</w:t>
            </w:r>
            <w:r>
              <w:rPr>
                <w:rFonts w:ascii="Times New Roman" w:hAnsi="Times New Roman"/>
                <w:color w:val="auto"/>
              </w:rPr>
              <w:t>《福建省人民政府关于推进排污权有偿使用和交易工作的意见</w:t>
            </w:r>
            <w:r>
              <w:rPr>
                <w:rFonts w:hint="eastAsia"/>
                <w:color w:val="auto"/>
                <w:lang w:eastAsia="zh-CN"/>
              </w:rPr>
              <w:t>(</w:t>
            </w:r>
            <w:r>
              <w:rPr>
                <w:rFonts w:ascii="Times New Roman" w:hAnsi="Times New Roman"/>
                <w:color w:val="auto"/>
              </w:rPr>
              <w:t>试行</w:t>
            </w:r>
            <w:r>
              <w:rPr>
                <w:rFonts w:hint="eastAsia"/>
                <w:color w:val="auto"/>
                <w:lang w:eastAsia="zh-CN"/>
              </w:rPr>
              <w:t>)</w:t>
            </w:r>
            <w:r>
              <w:rPr>
                <w:rFonts w:ascii="Times New Roman" w:hAnsi="Times New Roman"/>
                <w:color w:val="auto"/>
              </w:rPr>
              <w:t>》</w:t>
            </w:r>
            <w:r>
              <w:rPr>
                <w:rFonts w:hint="eastAsia" w:ascii="Times New Roman" w:hAnsi="Times New Roman"/>
                <w:color w:val="auto"/>
              </w:rPr>
              <w:t>（</w:t>
            </w:r>
            <w:r>
              <w:rPr>
                <w:rFonts w:ascii="Times New Roman" w:hAnsi="Times New Roman"/>
                <w:color w:val="auto"/>
              </w:rPr>
              <w:t>闽政</w:t>
            </w:r>
            <w:r>
              <w:rPr>
                <w:rFonts w:hint="eastAsia" w:ascii="Times New Roman" w:hAnsi="Times New Roman"/>
                <w:color w:val="auto"/>
                <w:lang w:eastAsia="zh-CN"/>
              </w:rPr>
              <w:t>〔2014〕</w:t>
            </w:r>
            <w:r>
              <w:rPr>
                <w:rFonts w:ascii="Times New Roman" w:hAnsi="Times New Roman"/>
                <w:color w:val="auto"/>
              </w:rPr>
              <w:t>24号</w:t>
            </w:r>
            <w:r>
              <w:rPr>
                <w:rFonts w:hint="eastAsia" w:ascii="Times New Roman" w:hAnsi="Times New Roman"/>
                <w:color w:val="auto"/>
              </w:rPr>
              <w:t>）</w:t>
            </w:r>
            <w:r>
              <w:rPr>
                <w:rFonts w:ascii="Times New Roman" w:hAnsi="Times New Roman"/>
                <w:color w:val="auto"/>
              </w:rPr>
              <w:t>、《福建省环保厅关于贯彻落实</w:t>
            </w:r>
            <w:r>
              <w:rPr>
                <w:rFonts w:hint="eastAsia"/>
                <w:color w:val="auto"/>
                <w:lang w:eastAsia="zh-CN"/>
              </w:rPr>
              <w:t>〈</w:t>
            </w:r>
            <w:r>
              <w:rPr>
                <w:rFonts w:ascii="Times New Roman" w:hAnsi="Times New Roman"/>
                <w:color w:val="auto"/>
              </w:rPr>
              <w:t>推进排污权有偿使用和交易工作的意见</w:t>
            </w:r>
            <w:r>
              <w:rPr>
                <w:rFonts w:hint="eastAsia" w:ascii="Times New Roman" w:hAnsi="Times New Roman"/>
                <w:color w:val="auto"/>
              </w:rPr>
              <w:t>（</w:t>
            </w:r>
            <w:r>
              <w:rPr>
                <w:rFonts w:ascii="Times New Roman" w:hAnsi="Times New Roman"/>
                <w:color w:val="auto"/>
              </w:rPr>
              <w:t>试行</w:t>
            </w:r>
            <w:r>
              <w:rPr>
                <w:rFonts w:hint="eastAsia" w:ascii="Times New Roman" w:hAnsi="Times New Roman"/>
                <w:color w:val="auto"/>
              </w:rPr>
              <w:t>）</w:t>
            </w:r>
            <w:r>
              <w:rPr>
                <w:rFonts w:hint="eastAsia"/>
                <w:color w:val="auto"/>
                <w:lang w:eastAsia="zh-CN"/>
              </w:rPr>
              <w:t>〉</w:t>
            </w:r>
            <w:r>
              <w:rPr>
                <w:rFonts w:ascii="Times New Roman" w:hAnsi="Times New Roman"/>
                <w:color w:val="auto"/>
              </w:rPr>
              <w:t>的通知》</w:t>
            </w:r>
            <w:r>
              <w:rPr>
                <w:rFonts w:hint="eastAsia" w:ascii="Times New Roman" w:hAnsi="Times New Roman"/>
                <w:color w:val="auto"/>
              </w:rPr>
              <w:t>（</w:t>
            </w:r>
            <w:r>
              <w:rPr>
                <w:rFonts w:ascii="Times New Roman" w:hAnsi="Times New Roman"/>
                <w:color w:val="auto"/>
              </w:rPr>
              <w:t>闽环发</w:t>
            </w:r>
            <w:r>
              <w:rPr>
                <w:rFonts w:hint="eastAsia" w:ascii="Times New Roman" w:hAnsi="Times New Roman"/>
                <w:color w:val="auto"/>
                <w:lang w:eastAsia="zh-CN"/>
              </w:rPr>
              <w:t>〔2014〕</w:t>
            </w:r>
            <w:r>
              <w:rPr>
                <w:rFonts w:ascii="Times New Roman" w:hAnsi="Times New Roman"/>
                <w:color w:val="auto"/>
              </w:rPr>
              <w:t>9号</w:t>
            </w:r>
            <w:r>
              <w:rPr>
                <w:rFonts w:hint="eastAsia" w:ascii="Times New Roman" w:hAnsi="Times New Roman"/>
                <w:color w:val="auto"/>
              </w:rPr>
              <w:t>）</w:t>
            </w:r>
            <w:r>
              <w:rPr>
                <w:rFonts w:ascii="Times New Roman" w:hAnsi="Times New Roman"/>
                <w:color w:val="auto"/>
              </w:rPr>
              <w:t>、《福建省环保厅关于环评审批中落实排污权交易工作要求的通知》</w:t>
            </w:r>
            <w:r>
              <w:rPr>
                <w:rFonts w:hint="eastAsia" w:ascii="Times New Roman" w:hAnsi="Times New Roman"/>
                <w:color w:val="auto"/>
              </w:rPr>
              <w:t>（</w:t>
            </w:r>
            <w:r>
              <w:rPr>
                <w:rFonts w:ascii="Times New Roman" w:hAnsi="Times New Roman"/>
                <w:color w:val="auto"/>
              </w:rPr>
              <w:t>闽环保评</w:t>
            </w:r>
            <w:r>
              <w:rPr>
                <w:rFonts w:hint="eastAsia" w:ascii="Times New Roman" w:hAnsi="Times New Roman"/>
                <w:color w:val="auto"/>
                <w:lang w:eastAsia="zh-CN"/>
              </w:rPr>
              <w:t>〔2014〕</w:t>
            </w:r>
            <w:r>
              <w:rPr>
                <w:rFonts w:ascii="Times New Roman" w:hAnsi="Times New Roman"/>
                <w:color w:val="auto"/>
              </w:rPr>
              <w:t>43号</w:t>
            </w:r>
            <w:r>
              <w:rPr>
                <w:rFonts w:hint="eastAsia" w:ascii="Times New Roman" w:hAnsi="Times New Roman"/>
                <w:color w:val="auto"/>
              </w:rPr>
              <w:t>）</w:t>
            </w:r>
            <w:r>
              <w:rPr>
                <w:rFonts w:ascii="Times New Roman" w:hAnsi="Times New Roman"/>
                <w:color w:val="auto"/>
              </w:rPr>
              <w:t>等有关文件要求，</w:t>
            </w:r>
            <w:r>
              <w:rPr>
                <w:color w:val="auto"/>
                <w:highlight w:val="none"/>
              </w:rPr>
              <w:t>结合本项目排污特征，确定本项目总量控制因子为挥发性有机物（以非甲烷总烃计）。</w:t>
            </w:r>
          </w:p>
          <w:p w14:paraId="4BE57541">
            <w:pPr>
              <w:pStyle w:val="4"/>
              <w:numPr>
                <w:ilvl w:val="2"/>
                <w:numId w:val="1"/>
              </w:numPr>
              <w:bidi w:val="0"/>
              <w:ind w:left="720" w:leftChars="0" w:hanging="720" w:firstLineChars="0"/>
              <w:rPr>
                <w:rFonts w:hint="eastAsia" w:ascii="Times New Roman" w:hAnsi="Times New Roman" w:eastAsia="宋体" w:cs="Times New Roman"/>
                <w:color w:val="auto"/>
                <w:highlight w:val="none"/>
                <w:lang w:val="en-US" w:eastAsia="zh-CN"/>
              </w:rPr>
            </w:pPr>
            <w:bookmarkStart w:id="37" w:name="_Toc26157"/>
            <w:bookmarkStart w:id="38" w:name="_Toc17857"/>
            <w:bookmarkStart w:id="39" w:name="_Toc32260"/>
            <w:bookmarkStart w:id="40" w:name="_Toc9744"/>
            <w:r>
              <w:rPr>
                <w:rFonts w:hint="eastAsia" w:ascii="Times New Roman" w:hAnsi="Times New Roman" w:eastAsia="宋体" w:cs="Times New Roman"/>
                <w:color w:val="auto"/>
                <w:highlight w:val="none"/>
                <w:lang w:val="en-US" w:eastAsia="zh-CN"/>
              </w:rPr>
              <w:t>污染物总量控制指标</w:t>
            </w:r>
            <w:bookmarkEnd w:id="37"/>
            <w:bookmarkEnd w:id="38"/>
            <w:bookmarkEnd w:id="39"/>
            <w:bookmarkEnd w:id="40"/>
          </w:p>
          <w:p w14:paraId="26433885">
            <w:pPr>
              <w:pStyle w:val="5"/>
              <w:numPr>
                <w:ilvl w:val="3"/>
                <w:numId w:val="13"/>
              </w:numPr>
              <w:tabs>
                <w:tab w:val="left" w:pos="0"/>
              </w:tabs>
              <w:bidi w:val="0"/>
              <w:ind w:left="864" w:leftChars="0" w:hanging="864" w:firstLineChars="0"/>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水污染物排放总量控制</w:t>
            </w:r>
          </w:p>
          <w:p w14:paraId="6F7591EF">
            <w:pPr>
              <w:pStyle w:val="44"/>
              <w:ind w:firstLine="480"/>
              <w:rPr>
                <w:rFonts w:hint="default"/>
                <w:color w:val="auto"/>
                <w:highlight w:val="none"/>
              </w:rPr>
            </w:pPr>
            <w:r>
              <w:rPr>
                <w:rFonts w:hint="eastAsia"/>
                <w:color w:val="auto"/>
                <w:highlight w:val="none"/>
                <w:lang w:eastAsia="zh-CN"/>
              </w:rPr>
              <w:t>福清市第二污水处理厂</w:t>
            </w:r>
            <w:r>
              <w:rPr>
                <w:rFonts w:hint="default"/>
                <w:color w:val="auto"/>
                <w:highlight w:val="none"/>
              </w:rPr>
              <w:t>出水排放执行《城镇污水处理厂污染物排放标准》（GB18918-2002）中一级</w:t>
            </w:r>
            <w:r>
              <w:rPr>
                <w:rFonts w:hint="default"/>
                <w:color w:val="auto"/>
                <w:highlight w:val="none"/>
                <w:lang w:val="en-US" w:eastAsia="zh-CN"/>
              </w:rPr>
              <w:t>A</w:t>
            </w:r>
            <w:r>
              <w:rPr>
                <w:rFonts w:hint="default"/>
                <w:color w:val="auto"/>
                <w:highlight w:val="none"/>
              </w:rPr>
              <w:t>排放标准：COD</w:t>
            </w:r>
            <w:r>
              <w:rPr>
                <w:rFonts w:hint="eastAsia"/>
                <w:color w:val="auto"/>
                <w:highlight w:val="none"/>
                <w:lang w:eastAsia="zh-CN"/>
              </w:rPr>
              <w:t>为</w:t>
            </w:r>
            <w:r>
              <w:rPr>
                <w:rFonts w:hint="default"/>
                <w:color w:val="auto"/>
                <w:highlight w:val="none"/>
                <w:lang w:val="en-US" w:eastAsia="zh-CN"/>
              </w:rPr>
              <w:t>50</w:t>
            </w:r>
            <w:r>
              <w:rPr>
                <w:rFonts w:hint="default"/>
                <w:color w:val="auto"/>
                <w:highlight w:val="none"/>
              </w:rPr>
              <w:t>mg/L、氨氮</w:t>
            </w:r>
            <w:r>
              <w:rPr>
                <w:rFonts w:hint="eastAsia"/>
                <w:color w:val="auto"/>
                <w:highlight w:val="none"/>
                <w:lang w:eastAsia="zh-CN"/>
              </w:rPr>
              <w:t>为</w:t>
            </w:r>
            <w:r>
              <w:rPr>
                <w:rFonts w:hint="default"/>
                <w:color w:val="auto"/>
                <w:highlight w:val="none"/>
                <w:lang w:val="en-US" w:eastAsia="zh-CN"/>
              </w:rPr>
              <w:t>5</w:t>
            </w:r>
            <w:r>
              <w:rPr>
                <w:rFonts w:hint="default"/>
                <w:color w:val="auto"/>
                <w:highlight w:val="none"/>
              </w:rPr>
              <w:t>mg/L，统一处理后项目污染物排放总量详见表</w:t>
            </w:r>
            <w:r>
              <w:rPr>
                <w:rFonts w:hint="default"/>
                <w:color w:val="auto"/>
                <w:highlight w:val="none"/>
                <w:lang w:val="en-US" w:eastAsia="zh-CN"/>
              </w:rPr>
              <w:t>3.8</w:t>
            </w:r>
            <w:r>
              <w:rPr>
                <w:rFonts w:hint="default"/>
                <w:color w:val="auto"/>
                <w:highlight w:val="none"/>
              </w:rPr>
              <w:t>-1。</w:t>
            </w:r>
          </w:p>
          <w:p w14:paraId="72034C5D">
            <w:pPr>
              <w:pStyle w:val="42"/>
              <w:keepNext/>
              <w:keepLines/>
              <w:pageBreakBefore w:val="0"/>
              <w:widowControl w:val="0"/>
              <w:numPr>
                <w:ilvl w:val="7"/>
                <w:numId w:val="1"/>
              </w:numPr>
              <w:kinsoku/>
              <w:wordWrap/>
              <w:overflowPunct/>
              <w:topLinePunct w:val="0"/>
              <w:autoSpaceDE/>
              <w:autoSpaceDN/>
              <w:bidi w:val="0"/>
              <w:adjustRightInd/>
              <w:snapToGrid/>
              <w:spacing w:before="0" w:after="0"/>
              <w:ind w:left="630" w:leftChars="0" w:firstLine="0" w:firstLineChars="0"/>
              <w:textAlignment w:val="auto"/>
              <w:rPr>
                <w:rFonts w:hint="default" w:ascii="Times New Roman" w:hAnsi="Times New Roman" w:eastAsia="宋体" w:cs="宋体"/>
                <w:color w:val="auto"/>
                <w:highlight w:val="none"/>
                <w:lang w:val="en-US" w:eastAsia="zh-CN"/>
              </w:rPr>
            </w:pPr>
            <w:r>
              <w:rPr>
                <w:rFonts w:hint="default" w:ascii="Times New Roman" w:hAnsi="Times New Roman" w:eastAsia="宋体" w:cs="宋体"/>
                <w:color w:val="auto"/>
                <w:highlight w:val="none"/>
                <w:lang w:val="en-US" w:eastAsia="zh-CN"/>
              </w:rPr>
              <w:t>本项目水污染物排放总量指标</w:t>
            </w:r>
          </w:p>
          <w:tbl>
            <w:tblPr>
              <w:tblStyle w:val="33"/>
              <w:tblW w:w="8419" w:type="dxa"/>
              <w:jc w:val="center"/>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858"/>
              <w:gridCol w:w="915"/>
              <w:gridCol w:w="989"/>
              <w:gridCol w:w="1295"/>
              <w:gridCol w:w="1198"/>
              <w:gridCol w:w="3164"/>
            </w:tblGrid>
            <w:tr w14:paraId="56C936DA">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858" w:type="dxa"/>
                  <w:tcBorders>
                    <w:top w:val="single" w:color="auto" w:sz="12" w:space="0"/>
                    <w:left w:val="nil"/>
                    <w:bottom w:val="single" w:color="auto" w:sz="4" w:space="0"/>
                    <w:right w:val="single" w:color="auto" w:sz="4" w:space="0"/>
                  </w:tcBorders>
                  <w:noWrap w:val="0"/>
                  <w:vAlign w:val="center"/>
                </w:tcPr>
                <w:p w14:paraId="1C9FA6C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项目</w:t>
                  </w:r>
                </w:p>
              </w:tc>
              <w:tc>
                <w:tcPr>
                  <w:tcW w:w="4397" w:type="dxa"/>
                  <w:gridSpan w:val="4"/>
                  <w:tcBorders>
                    <w:top w:val="single" w:color="auto" w:sz="12" w:space="0"/>
                    <w:left w:val="single" w:color="auto" w:sz="4" w:space="0"/>
                    <w:bottom w:val="single" w:color="auto" w:sz="4" w:space="0"/>
                    <w:right w:val="single" w:color="auto" w:sz="4" w:space="0"/>
                  </w:tcBorders>
                  <w:noWrap w:val="0"/>
                  <w:vAlign w:val="center"/>
                </w:tcPr>
                <w:p w14:paraId="0E1ED0D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color w:val="auto"/>
                      <w:sz w:val="21"/>
                      <w:szCs w:val="21"/>
                      <w:highlight w:val="none"/>
                    </w:rPr>
                    <w:t>建议最终排入环境控制指标</w:t>
                  </w:r>
                </w:p>
              </w:tc>
              <w:tc>
                <w:tcPr>
                  <w:tcW w:w="3164" w:type="dxa"/>
                  <w:tcBorders>
                    <w:top w:val="single" w:color="auto" w:sz="12" w:space="0"/>
                    <w:left w:val="single" w:color="auto" w:sz="4" w:space="0"/>
                    <w:bottom w:val="single" w:color="auto" w:sz="4" w:space="0"/>
                    <w:right w:val="nil"/>
                  </w:tcBorders>
                  <w:noWrap w:val="0"/>
                  <w:vAlign w:val="center"/>
                </w:tcPr>
                <w:p w14:paraId="0A9702A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建议申报指标t/a</w:t>
                  </w:r>
                </w:p>
              </w:tc>
            </w:tr>
            <w:tr w14:paraId="6E7143D3">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858" w:type="dxa"/>
                  <w:tcBorders>
                    <w:top w:val="single" w:color="auto" w:sz="4" w:space="0"/>
                    <w:left w:val="nil"/>
                    <w:bottom w:val="single" w:color="auto" w:sz="4" w:space="0"/>
                    <w:right w:val="single" w:color="auto" w:sz="4" w:space="0"/>
                  </w:tcBorders>
                  <w:noWrap w:val="0"/>
                  <w:vAlign w:val="center"/>
                </w:tcPr>
                <w:p w14:paraId="37E04A5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污染物名称</w:t>
                  </w:r>
                </w:p>
              </w:tc>
              <w:tc>
                <w:tcPr>
                  <w:tcW w:w="915" w:type="dxa"/>
                  <w:tcBorders>
                    <w:top w:val="single" w:color="auto" w:sz="4" w:space="0"/>
                    <w:left w:val="single" w:color="auto" w:sz="4" w:space="0"/>
                    <w:bottom w:val="single" w:color="auto" w:sz="4" w:space="0"/>
                    <w:right w:val="single" w:color="auto" w:sz="4" w:space="0"/>
                  </w:tcBorders>
                  <w:noWrap w:val="0"/>
                  <w:vAlign w:val="center"/>
                </w:tcPr>
                <w:p w14:paraId="276D34F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排放浓度mg/L</w:t>
                  </w:r>
                </w:p>
              </w:tc>
              <w:tc>
                <w:tcPr>
                  <w:tcW w:w="989" w:type="dxa"/>
                  <w:tcBorders>
                    <w:top w:val="single" w:color="auto" w:sz="4" w:space="0"/>
                    <w:left w:val="single" w:color="auto" w:sz="4" w:space="0"/>
                    <w:bottom w:val="single" w:color="auto" w:sz="4" w:space="0"/>
                    <w:right w:val="single" w:color="auto" w:sz="4" w:space="0"/>
                  </w:tcBorders>
                  <w:noWrap w:val="0"/>
                  <w:vAlign w:val="center"/>
                </w:tcPr>
                <w:p w14:paraId="1F714314">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总排放量t/a</w:t>
                  </w:r>
                </w:p>
              </w:tc>
              <w:tc>
                <w:tcPr>
                  <w:tcW w:w="1295" w:type="dxa"/>
                  <w:tcBorders>
                    <w:top w:val="single" w:color="auto" w:sz="4" w:space="0"/>
                    <w:left w:val="single" w:color="auto" w:sz="4" w:space="0"/>
                    <w:bottom w:val="single" w:color="auto" w:sz="4" w:space="0"/>
                    <w:right w:val="single" w:color="auto" w:sz="4" w:space="0"/>
                  </w:tcBorders>
                  <w:noWrap w:val="0"/>
                  <w:vAlign w:val="center"/>
                </w:tcPr>
                <w:p w14:paraId="0DEEDA13">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生产废水排放量t/a</w:t>
                  </w:r>
                </w:p>
              </w:tc>
              <w:tc>
                <w:tcPr>
                  <w:tcW w:w="1198" w:type="dxa"/>
                  <w:tcBorders>
                    <w:top w:val="single" w:color="auto" w:sz="4" w:space="0"/>
                    <w:left w:val="single" w:color="auto" w:sz="4" w:space="0"/>
                    <w:bottom w:val="single" w:color="auto" w:sz="4" w:space="0"/>
                    <w:right w:val="single" w:color="auto" w:sz="4" w:space="0"/>
                  </w:tcBorders>
                  <w:noWrap w:val="0"/>
                  <w:vAlign w:val="center"/>
                </w:tcPr>
                <w:p w14:paraId="734C6B9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生活污水排放量t/a</w:t>
                  </w:r>
                </w:p>
              </w:tc>
              <w:tc>
                <w:tcPr>
                  <w:tcW w:w="3164" w:type="dxa"/>
                  <w:tcBorders>
                    <w:top w:val="single" w:color="auto" w:sz="4" w:space="0"/>
                    <w:left w:val="single" w:color="auto" w:sz="4" w:space="0"/>
                    <w:bottom w:val="single" w:color="auto" w:sz="4" w:space="0"/>
                    <w:right w:val="nil"/>
                  </w:tcBorders>
                  <w:noWrap w:val="0"/>
                  <w:vAlign w:val="center"/>
                </w:tcPr>
                <w:p w14:paraId="4ACAA1C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由</w:t>
                  </w:r>
                  <w:r>
                    <w:rPr>
                      <w:rFonts w:hint="default" w:ascii="Times New Roman" w:hAnsi="Times New Roman" w:eastAsia="宋体" w:cs="Times New Roman"/>
                      <w:color w:val="auto"/>
                      <w:sz w:val="21"/>
                      <w:szCs w:val="21"/>
                      <w:highlight w:val="none"/>
                      <w:lang w:eastAsia="zh-CN"/>
                    </w:rPr>
                    <w:t>污水</w:t>
                  </w:r>
                  <w:r>
                    <w:rPr>
                      <w:rFonts w:hint="eastAsia" w:cs="Times New Roman"/>
                      <w:color w:val="auto"/>
                      <w:sz w:val="21"/>
                      <w:szCs w:val="21"/>
                      <w:highlight w:val="none"/>
                      <w:lang w:eastAsia="zh-CN"/>
                    </w:rPr>
                    <w:t>处理厂中</w:t>
                  </w:r>
                  <w:r>
                    <w:rPr>
                      <w:rFonts w:hint="default" w:ascii="Times New Roman" w:hAnsi="Times New Roman" w:eastAsia="宋体" w:cs="Times New Roman"/>
                      <w:color w:val="auto"/>
                      <w:sz w:val="21"/>
                      <w:szCs w:val="21"/>
                      <w:highlight w:val="none"/>
                    </w:rPr>
                    <w:t>调配</w:t>
                  </w:r>
                </w:p>
              </w:tc>
            </w:tr>
            <w:tr w14:paraId="534158B4">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58" w:type="dxa"/>
                  <w:tcBorders>
                    <w:top w:val="single" w:color="auto" w:sz="4" w:space="0"/>
                    <w:left w:val="nil"/>
                    <w:bottom w:val="single" w:color="auto" w:sz="4" w:space="0"/>
                    <w:right w:val="single" w:color="auto" w:sz="4" w:space="0"/>
                  </w:tcBorders>
                  <w:noWrap w:val="0"/>
                  <w:vAlign w:val="center"/>
                </w:tcPr>
                <w:p w14:paraId="5D8C7B51">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废水量</w:t>
                  </w:r>
                </w:p>
              </w:tc>
              <w:tc>
                <w:tcPr>
                  <w:tcW w:w="915" w:type="dxa"/>
                  <w:tcBorders>
                    <w:top w:val="single" w:color="auto" w:sz="4" w:space="0"/>
                    <w:left w:val="single" w:color="auto" w:sz="4" w:space="0"/>
                    <w:bottom w:val="single" w:color="auto" w:sz="4" w:space="0"/>
                    <w:right w:val="single" w:color="auto" w:sz="4" w:space="0"/>
                  </w:tcBorders>
                  <w:noWrap w:val="0"/>
                  <w:vAlign w:val="center"/>
                </w:tcPr>
                <w:p w14:paraId="2F54007C">
                  <w:pPr>
                    <w:pStyle w:val="154"/>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w:t>
                  </w:r>
                </w:p>
              </w:tc>
              <w:tc>
                <w:tcPr>
                  <w:tcW w:w="989" w:type="dxa"/>
                  <w:tcBorders>
                    <w:top w:val="single" w:color="auto" w:sz="4" w:space="0"/>
                    <w:left w:val="single" w:color="auto" w:sz="4" w:space="0"/>
                    <w:bottom w:val="single" w:color="auto" w:sz="4" w:space="0"/>
                    <w:right w:val="single" w:color="auto" w:sz="4" w:space="0"/>
                  </w:tcBorders>
                  <w:noWrap w:val="0"/>
                  <w:vAlign w:val="center"/>
                </w:tcPr>
                <w:p w14:paraId="21DE3C1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870</w:t>
                  </w:r>
                </w:p>
              </w:tc>
              <w:tc>
                <w:tcPr>
                  <w:tcW w:w="1295" w:type="dxa"/>
                  <w:tcBorders>
                    <w:top w:val="single" w:color="auto" w:sz="4" w:space="0"/>
                    <w:left w:val="single" w:color="auto" w:sz="4" w:space="0"/>
                    <w:bottom w:val="single" w:color="auto" w:sz="4" w:space="0"/>
                    <w:right w:val="single" w:color="auto" w:sz="4" w:space="0"/>
                  </w:tcBorders>
                  <w:noWrap w:val="0"/>
                  <w:vAlign w:val="center"/>
                </w:tcPr>
                <w:p w14:paraId="46461D96">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510</w:t>
                  </w:r>
                </w:p>
              </w:tc>
              <w:tc>
                <w:tcPr>
                  <w:tcW w:w="1198" w:type="dxa"/>
                  <w:tcBorders>
                    <w:top w:val="single" w:color="auto" w:sz="4" w:space="0"/>
                    <w:left w:val="single" w:color="auto" w:sz="4" w:space="0"/>
                    <w:bottom w:val="single" w:color="auto" w:sz="4" w:space="0"/>
                    <w:right w:val="single" w:color="auto" w:sz="4" w:space="0"/>
                  </w:tcBorders>
                  <w:noWrap w:val="0"/>
                  <w:vAlign w:val="center"/>
                </w:tcPr>
                <w:p w14:paraId="6286088E">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360</w:t>
                  </w:r>
                </w:p>
              </w:tc>
              <w:tc>
                <w:tcPr>
                  <w:tcW w:w="3164" w:type="dxa"/>
                  <w:tcBorders>
                    <w:top w:val="single" w:color="auto" w:sz="4" w:space="0"/>
                    <w:left w:val="single" w:color="auto" w:sz="4" w:space="0"/>
                    <w:bottom w:val="single" w:color="auto" w:sz="4" w:space="0"/>
                    <w:right w:val="nil"/>
                  </w:tcBorders>
                  <w:noWrap w:val="0"/>
                  <w:vAlign w:val="center"/>
                </w:tcPr>
                <w:p w14:paraId="0559DE37">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870</w:t>
                  </w:r>
                </w:p>
              </w:tc>
            </w:tr>
            <w:tr w14:paraId="708D486D">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858" w:type="dxa"/>
                  <w:tcBorders>
                    <w:top w:val="single" w:color="auto" w:sz="4" w:space="0"/>
                    <w:left w:val="nil"/>
                    <w:bottom w:val="single" w:color="auto" w:sz="4" w:space="0"/>
                    <w:right w:val="single" w:color="auto" w:sz="4" w:space="0"/>
                  </w:tcBorders>
                  <w:noWrap w:val="0"/>
                  <w:vAlign w:val="center"/>
                </w:tcPr>
                <w:p w14:paraId="22A79D2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COD</w:t>
                  </w:r>
                </w:p>
              </w:tc>
              <w:tc>
                <w:tcPr>
                  <w:tcW w:w="915" w:type="dxa"/>
                  <w:tcBorders>
                    <w:top w:val="single" w:color="auto" w:sz="4" w:space="0"/>
                    <w:left w:val="single" w:color="auto" w:sz="4" w:space="0"/>
                    <w:bottom w:val="single" w:color="auto" w:sz="4" w:space="0"/>
                    <w:right w:val="single" w:color="auto" w:sz="4" w:space="0"/>
                  </w:tcBorders>
                  <w:noWrap w:val="0"/>
                  <w:vAlign w:val="center"/>
                </w:tcPr>
                <w:p w14:paraId="1BCA7ECD">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c>
                <w:tcPr>
                  <w:tcW w:w="989" w:type="dxa"/>
                  <w:tcBorders>
                    <w:top w:val="single" w:color="auto" w:sz="4" w:space="0"/>
                    <w:left w:val="single" w:color="auto" w:sz="4" w:space="0"/>
                    <w:bottom w:val="single" w:color="auto" w:sz="4" w:space="0"/>
                    <w:right w:val="single" w:color="auto" w:sz="4" w:space="0"/>
                  </w:tcBorders>
                  <w:noWrap w:val="0"/>
                  <w:vAlign w:val="center"/>
                </w:tcPr>
                <w:p w14:paraId="39BDE73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0.2539</w:t>
                  </w:r>
                </w:p>
              </w:tc>
              <w:tc>
                <w:tcPr>
                  <w:tcW w:w="1295" w:type="dxa"/>
                  <w:tcBorders>
                    <w:top w:val="single" w:color="auto" w:sz="4" w:space="0"/>
                    <w:left w:val="single" w:color="auto" w:sz="4" w:space="0"/>
                    <w:bottom w:val="single" w:color="auto" w:sz="4" w:space="0"/>
                    <w:right w:val="single" w:color="auto" w:sz="4" w:space="0"/>
                  </w:tcBorders>
                  <w:noWrap w:val="0"/>
                  <w:vAlign w:val="center"/>
                </w:tcPr>
                <w:p w14:paraId="6C5350B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0.1008</w:t>
                  </w:r>
                </w:p>
              </w:tc>
              <w:tc>
                <w:tcPr>
                  <w:tcW w:w="1198" w:type="dxa"/>
                  <w:tcBorders>
                    <w:top w:val="single" w:color="auto" w:sz="4" w:space="0"/>
                    <w:left w:val="single" w:color="auto" w:sz="4" w:space="0"/>
                    <w:bottom w:val="single" w:color="auto" w:sz="4" w:space="0"/>
                    <w:right w:val="single" w:color="auto" w:sz="4" w:space="0"/>
                  </w:tcBorders>
                  <w:noWrap w:val="0"/>
                  <w:vAlign w:val="center"/>
                </w:tcPr>
                <w:p w14:paraId="74A58159">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0.00864</w:t>
                  </w:r>
                </w:p>
              </w:tc>
              <w:tc>
                <w:tcPr>
                  <w:tcW w:w="3164" w:type="dxa"/>
                  <w:tcBorders>
                    <w:top w:val="single" w:color="auto" w:sz="4" w:space="0"/>
                    <w:left w:val="single" w:color="auto" w:sz="4" w:space="0"/>
                    <w:bottom w:val="single" w:color="auto" w:sz="4" w:space="0"/>
                    <w:right w:val="nil"/>
                  </w:tcBorders>
                  <w:noWrap w:val="0"/>
                  <w:vAlign w:val="center"/>
                </w:tcPr>
                <w:p w14:paraId="328A90F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0.2539</w:t>
                  </w:r>
                </w:p>
              </w:tc>
            </w:tr>
            <w:tr w14:paraId="15078B06">
              <w:tblPrEx>
                <w:tblBorders>
                  <w:top w:val="single" w:color="auto" w:sz="12" w:space="0"/>
                  <w:left w:val="none" w:color="auto" w:sz="6" w:space="0"/>
                  <w:bottom w:val="single" w:color="auto" w:sz="12" w:space="0"/>
                  <w:right w:val="none" w:color="auto" w:sz="6"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858" w:type="dxa"/>
                  <w:tcBorders>
                    <w:top w:val="single" w:color="auto" w:sz="4" w:space="0"/>
                    <w:left w:val="nil"/>
                    <w:bottom w:val="single" w:color="auto" w:sz="12" w:space="0"/>
                    <w:right w:val="single" w:color="auto" w:sz="4" w:space="0"/>
                  </w:tcBorders>
                  <w:noWrap w:val="0"/>
                  <w:vAlign w:val="center"/>
                </w:tcPr>
                <w:p w14:paraId="3B0B29E8">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-N</w:t>
                  </w:r>
                </w:p>
              </w:tc>
              <w:tc>
                <w:tcPr>
                  <w:tcW w:w="915" w:type="dxa"/>
                  <w:tcBorders>
                    <w:top w:val="single" w:color="auto" w:sz="4" w:space="0"/>
                    <w:left w:val="single" w:color="auto" w:sz="4" w:space="0"/>
                    <w:bottom w:val="single" w:color="auto" w:sz="12" w:space="0"/>
                    <w:right w:val="single" w:color="auto" w:sz="4" w:space="0"/>
                  </w:tcBorders>
                  <w:noWrap w:val="0"/>
                  <w:vAlign w:val="center"/>
                </w:tcPr>
                <w:p w14:paraId="26211790">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5</w:t>
                  </w:r>
                </w:p>
              </w:tc>
              <w:tc>
                <w:tcPr>
                  <w:tcW w:w="989" w:type="dxa"/>
                  <w:tcBorders>
                    <w:top w:val="single" w:color="auto" w:sz="4" w:space="0"/>
                    <w:left w:val="single" w:color="auto" w:sz="4" w:space="0"/>
                    <w:bottom w:val="single" w:color="auto" w:sz="12" w:space="0"/>
                    <w:right w:val="single" w:color="auto" w:sz="4" w:space="0"/>
                  </w:tcBorders>
                  <w:noWrap w:val="0"/>
                  <w:vAlign w:val="center"/>
                </w:tcPr>
                <w:p w14:paraId="6555302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宋体"/>
                      <w:color w:val="auto"/>
                      <w:spacing w:val="7"/>
                      <w:sz w:val="21"/>
                      <w:highlight w:val="none"/>
                      <w:lang w:val="en-US" w:eastAsia="zh-CN"/>
                    </w:rPr>
                    <w:t>0.01174</w:t>
                  </w:r>
                </w:p>
              </w:tc>
              <w:tc>
                <w:tcPr>
                  <w:tcW w:w="1295" w:type="dxa"/>
                  <w:tcBorders>
                    <w:top w:val="single" w:color="auto" w:sz="4" w:space="0"/>
                    <w:left w:val="single" w:color="auto" w:sz="4" w:space="0"/>
                    <w:bottom w:val="single" w:color="auto" w:sz="12" w:space="0"/>
                    <w:right w:val="single" w:color="auto" w:sz="4" w:space="0"/>
                  </w:tcBorders>
                  <w:noWrap w:val="0"/>
                  <w:vAlign w:val="center"/>
                </w:tcPr>
                <w:p w14:paraId="7EF7E77F">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0.1531</w:t>
                  </w:r>
                </w:p>
              </w:tc>
              <w:tc>
                <w:tcPr>
                  <w:tcW w:w="1198" w:type="dxa"/>
                  <w:tcBorders>
                    <w:top w:val="single" w:color="auto" w:sz="4" w:space="0"/>
                    <w:left w:val="single" w:color="auto" w:sz="4" w:space="0"/>
                    <w:bottom w:val="single" w:color="auto" w:sz="12" w:space="0"/>
                    <w:right w:val="single" w:color="auto" w:sz="4" w:space="0"/>
                  </w:tcBorders>
                  <w:noWrap w:val="0"/>
                  <w:vAlign w:val="center"/>
                </w:tcPr>
                <w:p w14:paraId="0AE18AAB">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0.0031</w:t>
                  </w:r>
                </w:p>
              </w:tc>
              <w:tc>
                <w:tcPr>
                  <w:tcW w:w="3164" w:type="dxa"/>
                  <w:tcBorders>
                    <w:top w:val="single" w:color="auto" w:sz="4" w:space="0"/>
                    <w:left w:val="single" w:color="auto" w:sz="4" w:space="0"/>
                    <w:bottom w:val="single" w:color="auto" w:sz="12" w:space="0"/>
                    <w:right w:val="nil"/>
                  </w:tcBorders>
                  <w:noWrap w:val="0"/>
                  <w:vAlign w:val="center"/>
                </w:tcPr>
                <w:p w14:paraId="3F1AE05C">
                  <w:pPr>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宋体"/>
                      <w:color w:val="auto"/>
                      <w:spacing w:val="7"/>
                      <w:sz w:val="21"/>
                      <w:highlight w:val="none"/>
                      <w:lang w:val="en-US" w:eastAsia="zh-CN"/>
                    </w:rPr>
                    <w:t>0.01174</w:t>
                  </w:r>
                </w:p>
              </w:tc>
            </w:tr>
          </w:tbl>
          <w:p w14:paraId="6A80CAAD">
            <w:pPr>
              <w:rPr>
                <w:rFonts w:hint="default"/>
                <w:color w:val="auto"/>
                <w:lang w:val="en-US" w:eastAsia="zh-CN"/>
              </w:rPr>
            </w:pPr>
          </w:p>
          <w:p w14:paraId="7A7AE196">
            <w:pPr>
              <w:pStyle w:val="44"/>
              <w:ind w:firstLine="480"/>
              <w:rPr>
                <w:color w:val="auto"/>
                <w:highlight w:val="none"/>
              </w:rPr>
            </w:pPr>
            <w:r>
              <w:rPr>
                <w:color w:val="auto"/>
                <w:highlight w:val="none"/>
              </w:rPr>
              <w:t>根据《福建省环保厅关于进一步加快推进排污权有偿使用和交易工作的意见》（闽环发</w:t>
            </w:r>
            <w:r>
              <w:rPr>
                <w:rFonts w:hint="eastAsia"/>
                <w:color w:val="auto"/>
                <w:highlight w:val="none"/>
                <w:lang w:eastAsia="zh-CN"/>
              </w:rPr>
              <w:t>〔</w:t>
            </w:r>
            <w:r>
              <w:rPr>
                <w:color w:val="auto"/>
                <w:highlight w:val="none"/>
              </w:rPr>
              <w:t>2015</w:t>
            </w:r>
            <w:r>
              <w:rPr>
                <w:rFonts w:hint="eastAsia"/>
                <w:color w:val="auto"/>
                <w:highlight w:val="none"/>
                <w:lang w:eastAsia="zh-CN"/>
              </w:rPr>
              <w:t>〕</w:t>
            </w:r>
            <w:r>
              <w:rPr>
                <w:color w:val="auto"/>
                <w:highlight w:val="none"/>
              </w:rPr>
              <w:t>6号）中相关规定</w:t>
            </w:r>
            <w:r>
              <w:rPr>
                <w:rFonts w:hint="eastAsia"/>
                <w:color w:val="auto"/>
                <w:highlight w:val="none"/>
                <w:lang w:eastAsia="zh-CN"/>
              </w:rPr>
              <w:t>“</w:t>
            </w:r>
            <w:r>
              <w:rPr>
                <w:color w:val="auto"/>
                <w:highlight w:val="none"/>
              </w:rPr>
              <w:t>对于水污染物，仅核定工业废水部分</w:t>
            </w:r>
            <w:r>
              <w:rPr>
                <w:rFonts w:hint="eastAsia"/>
                <w:color w:val="auto"/>
                <w:highlight w:val="none"/>
                <w:lang w:eastAsia="zh-CN"/>
              </w:rPr>
              <w:t>”</w:t>
            </w:r>
            <w:r>
              <w:rPr>
                <w:color w:val="auto"/>
                <w:highlight w:val="none"/>
              </w:rPr>
              <w:t>，因此，本项目生活污水中COD、氨氮无需购买总量。</w:t>
            </w:r>
          </w:p>
          <w:p w14:paraId="7648FF11">
            <w:pPr>
              <w:pStyle w:val="44"/>
              <w:ind w:firstLine="480"/>
              <w:rPr>
                <w:rFonts w:hint="default" w:eastAsia="宋体"/>
                <w:color w:val="auto"/>
                <w:highlight w:val="none"/>
                <w:lang w:val="en-US" w:eastAsia="zh-CN"/>
              </w:rPr>
            </w:pPr>
            <w:r>
              <w:rPr>
                <w:color w:val="auto"/>
                <w:highlight w:val="none"/>
              </w:rPr>
              <w:t>项目建成实施后生产废水经污水处理设施处理后，排入</w:t>
            </w:r>
            <w:r>
              <w:rPr>
                <w:rFonts w:hint="eastAsia"/>
                <w:color w:val="auto"/>
                <w:highlight w:val="none"/>
                <w:lang w:eastAsia="zh-CN"/>
              </w:rPr>
              <w:t>福清市第二污水处理厂</w:t>
            </w:r>
            <w:r>
              <w:rPr>
                <w:color w:val="auto"/>
                <w:highlight w:val="none"/>
              </w:rPr>
              <w:t>处理；本项目生活污水经化粪池处理后排入</w:t>
            </w:r>
            <w:r>
              <w:rPr>
                <w:rFonts w:hint="eastAsia"/>
                <w:color w:val="auto"/>
                <w:highlight w:val="none"/>
                <w:lang w:eastAsia="zh-CN"/>
              </w:rPr>
              <w:t>福清市第二污水处理厂</w:t>
            </w:r>
            <w:r>
              <w:rPr>
                <w:color w:val="auto"/>
                <w:highlight w:val="none"/>
              </w:rPr>
              <w:t>处理，COD（化学需氧量）、NH</w:t>
            </w:r>
            <w:r>
              <w:rPr>
                <w:color w:val="auto"/>
                <w:highlight w:val="none"/>
                <w:vertAlign w:val="subscript"/>
              </w:rPr>
              <w:t>3</w:t>
            </w:r>
            <w:r>
              <w:rPr>
                <w:color w:val="auto"/>
                <w:highlight w:val="none"/>
              </w:rPr>
              <w:t>-N（氨氮）纳入污水处理厂总量指标，本项目不再单独申请。</w:t>
            </w:r>
          </w:p>
          <w:p w14:paraId="32656E41">
            <w:pPr>
              <w:pStyle w:val="5"/>
              <w:numPr>
                <w:ilvl w:val="3"/>
                <w:numId w:val="13"/>
              </w:numPr>
              <w:tabs>
                <w:tab w:val="left" w:pos="0"/>
              </w:tabs>
              <w:bidi w:val="0"/>
              <w:ind w:left="864" w:leftChars="0" w:hanging="864" w:firstLineChars="0"/>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大气污染物总量控制</w:t>
            </w:r>
          </w:p>
          <w:p w14:paraId="560962B2">
            <w:pPr>
              <w:pStyle w:val="142"/>
              <w:adjustRightInd/>
              <w:snapToGrid/>
              <w:ind w:firstLine="31680"/>
              <w:rPr>
                <w:rFonts w:ascii="Times New Roman" w:hAnsi="Times New Roman" w:eastAsia="宋体"/>
                <w:color w:val="auto"/>
                <w:szCs w:val="24"/>
                <w:highlight w:val="none"/>
              </w:rPr>
            </w:pPr>
            <w:r>
              <w:rPr>
                <w:rFonts w:hint="eastAsia" w:ascii="Times New Roman" w:hAnsi="Times New Roman" w:eastAsia="宋体"/>
                <w:color w:val="auto"/>
                <w:szCs w:val="24"/>
                <w:highlight w:val="none"/>
              </w:rPr>
              <w:t>本项目</w:t>
            </w:r>
            <w:r>
              <w:rPr>
                <w:rFonts w:hint="eastAsia" w:ascii="Times New Roman" w:hAnsi="Times New Roman" w:eastAsia="宋体"/>
                <w:color w:val="auto"/>
                <w:highlight w:val="none"/>
                <w:lang w:val="en-US" w:eastAsia="zh-CN"/>
              </w:rPr>
              <w:t>大气</w:t>
            </w:r>
            <w:r>
              <w:rPr>
                <w:rFonts w:hint="eastAsia" w:ascii="Times New Roman" w:hAnsi="Times New Roman" w:eastAsia="宋体"/>
                <w:color w:val="auto"/>
                <w:szCs w:val="24"/>
                <w:highlight w:val="none"/>
              </w:rPr>
              <w:t>污染物主要为</w:t>
            </w:r>
            <w:r>
              <w:rPr>
                <w:rFonts w:hint="eastAsia"/>
                <w:color w:val="auto"/>
                <w:szCs w:val="24"/>
                <w:highlight w:val="none"/>
                <w:lang w:val="en-US" w:eastAsia="zh-CN"/>
              </w:rPr>
              <w:t>电泳</w:t>
            </w:r>
            <w:r>
              <w:rPr>
                <w:rFonts w:hint="eastAsia" w:ascii="Times New Roman" w:hAnsi="Times New Roman" w:eastAsia="宋体"/>
                <w:color w:val="auto"/>
                <w:szCs w:val="24"/>
                <w:highlight w:val="none"/>
                <w:lang w:val="en-US" w:eastAsia="zh-CN"/>
              </w:rPr>
              <w:t>过程中产生VOCs</w:t>
            </w:r>
            <w:r>
              <w:rPr>
                <w:rFonts w:hint="eastAsia" w:ascii="Times New Roman" w:hAnsi="Times New Roman" w:eastAsia="宋体"/>
                <w:color w:val="auto"/>
                <w:szCs w:val="24"/>
                <w:highlight w:val="none"/>
              </w:rPr>
              <w:t>。项目总量控制指标见表</w:t>
            </w:r>
            <w:r>
              <w:rPr>
                <w:rFonts w:hint="eastAsia" w:ascii="Times New Roman" w:hAnsi="Times New Roman" w:eastAsia="宋体"/>
                <w:color w:val="auto"/>
                <w:szCs w:val="24"/>
                <w:highlight w:val="none"/>
                <w:lang w:val="en-US" w:eastAsia="zh-CN"/>
              </w:rPr>
              <w:t>3.4-1</w:t>
            </w:r>
            <w:r>
              <w:rPr>
                <w:rFonts w:hint="eastAsia" w:ascii="Times New Roman" w:hAnsi="Times New Roman" w:eastAsia="宋体"/>
                <w:color w:val="auto"/>
                <w:szCs w:val="24"/>
                <w:highlight w:val="none"/>
              </w:rPr>
              <w:t>。</w:t>
            </w:r>
          </w:p>
          <w:p w14:paraId="11F50C29">
            <w:pPr>
              <w:pStyle w:val="42"/>
              <w:keepNext/>
              <w:keepLines/>
              <w:pageBreakBefore w:val="0"/>
              <w:widowControl w:val="0"/>
              <w:numPr>
                <w:ilvl w:val="7"/>
                <w:numId w:val="1"/>
              </w:numPr>
              <w:kinsoku/>
              <w:wordWrap/>
              <w:overflowPunct/>
              <w:topLinePunct w:val="0"/>
              <w:autoSpaceDE/>
              <w:autoSpaceDN/>
              <w:bidi w:val="0"/>
              <w:adjustRightInd/>
              <w:snapToGrid/>
              <w:spacing w:before="0" w:after="0"/>
              <w:ind w:left="630" w:leftChars="0" w:firstLine="0" w:firstLineChars="0"/>
              <w:textAlignment w:val="auto"/>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项目废气总量控制指标</w:t>
            </w:r>
          </w:p>
          <w:tbl>
            <w:tblPr>
              <w:tblStyle w:val="84"/>
              <w:tblW w:w="4998"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206"/>
              <w:gridCol w:w="1681"/>
              <w:gridCol w:w="1841"/>
              <w:gridCol w:w="1841"/>
              <w:gridCol w:w="1847"/>
            </w:tblGrid>
            <w:tr w14:paraId="05085D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716" w:type="pct"/>
                  <w:tcBorders>
                    <w:bottom w:val="single" w:color="000000" w:sz="12" w:space="0"/>
                  </w:tcBorders>
                  <w:vAlign w:val="center"/>
                </w:tcPr>
                <w:p w14:paraId="48AAA661">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3"/>
                      <w:sz w:val="21"/>
                    </w:rPr>
                    <w:t>类别</w:t>
                  </w:r>
                </w:p>
              </w:tc>
              <w:tc>
                <w:tcPr>
                  <w:tcW w:w="998" w:type="pct"/>
                  <w:tcBorders>
                    <w:bottom w:val="single" w:color="000000" w:sz="12" w:space="0"/>
                  </w:tcBorders>
                  <w:vAlign w:val="center"/>
                </w:tcPr>
                <w:p w14:paraId="0E1DE1A6">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6"/>
                      <w:sz w:val="21"/>
                    </w:rPr>
                    <w:t>主要污染物</w:t>
                  </w:r>
                </w:p>
              </w:tc>
              <w:tc>
                <w:tcPr>
                  <w:tcW w:w="1093" w:type="pct"/>
                  <w:tcBorders>
                    <w:bottom w:val="single" w:color="000000" w:sz="12" w:space="0"/>
                  </w:tcBorders>
                  <w:vAlign w:val="center"/>
                </w:tcPr>
                <w:p w14:paraId="4C773A1C">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5"/>
                      <w:sz w:val="21"/>
                    </w:rPr>
                    <w:t>有组织</w:t>
                  </w:r>
                </w:p>
              </w:tc>
              <w:tc>
                <w:tcPr>
                  <w:tcW w:w="1093" w:type="pct"/>
                  <w:tcBorders>
                    <w:bottom w:val="single" w:color="000000" w:sz="12" w:space="0"/>
                  </w:tcBorders>
                  <w:vAlign w:val="center"/>
                </w:tcPr>
                <w:p w14:paraId="37A5CBC0">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5"/>
                      <w:sz w:val="21"/>
                    </w:rPr>
                    <w:t>无组织</w:t>
                  </w:r>
                </w:p>
              </w:tc>
              <w:tc>
                <w:tcPr>
                  <w:tcW w:w="1096" w:type="pct"/>
                  <w:tcBorders>
                    <w:bottom w:val="single" w:color="000000" w:sz="12" w:space="0"/>
                  </w:tcBorders>
                  <w:vAlign w:val="center"/>
                </w:tcPr>
                <w:p w14:paraId="5DF8FC01">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b/>
                      <w:bCs/>
                      <w:color w:val="auto"/>
                      <w:spacing w:val="6"/>
                      <w:sz w:val="21"/>
                    </w:rPr>
                    <w:t>全厂排放量</w:t>
                  </w:r>
                </w:p>
              </w:tc>
            </w:tr>
            <w:tr w14:paraId="2BA5FA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716" w:type="pct"/>
                  <w:vMerge w:val="restart"/>
                  <w:tcBorders>
                    <w:top w:val="single" w:color="000000" w:sz="12" w:space="0"/>
                    <w:tl2br w:val="nil"/>
                    <w:tr2bl w:val="nil"/>
                  </w:tcBorders>
                  <w:vAlign w:val="center"/>
                </w:tcPr>
                <w:p w14:paraId="675520F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p>
                <w:p w14:paraId="736D82CD">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r>
                    <w:rPr>
                      <w:rFonts w:ascii="Times New Roman" w:hAnsi="Times New Roman" w:eastAsia="宋体"/>
                      <w:color w:val="auto"/>
                      <w:spacing w:val="5"/>
                      <w:sz w:val="21"/>
                    </w:rPr>
                    <w:t>废气</w:t>
                  </w:r>
                </w:p>
              </w:tc>
              <w:tc>
                <w:tcPr>
                  <w:tcW w:w="998" w:type="pct"/>
                  <w:tcBorders>
                    <w:top w:val="single" w:color="000000" w:sz="12" w:space="0"/>
                    <w:tl2br w:val="nil"/>
                    <w:tr2bl w:val="nil"/>
                  </w:tcBorders>
                  <w:vAlign w:val="center"/>
                </w:tcPr>
                <w:p w14:paraId="14563FB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5"/>
                      <w:sz w:val="21"/>
                      <w:szCs w:val="20"/>
                    </w:rPr>
                    <w:t>VOCs</w:t>
                  </w:r>
                </w:p>
              </w:tc>
              <w:tc>
                <w:tcPr>
                  <w:tcW w:w="1841" w:type="dxa"/>
                  <w:tcBorders>
                    <w:top w:val="single" w:color="000000" w:sz="12" w:space="0"/>
                    <w:tl2br w:val="nil"/>
                    <w:tr2bl w:val="nil"/>
                  </w:tcBorders>
                  <w:vAlign w:val="top"/>
                </w:tcPr>
                <w:p w14:paraId="7667B56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3"/>
                      <w:sz w:val="21"/>
                      <w:szCs w:val="20"/>
                      <w:lang w:val="en-US" w:eastAsia="zh-CN"/>
                    </w:rPr>
                  </w:pPr>
                  <w:r>
                    <w:rPr>
                      <w:rFonts w:ascii="Times New Roman" w:hAnsi="Times New Roman" w:eastAsia="宋体" w:cs="Times New Roman"/>
                      <w:color w:val="auto"/>
                      <w:spacing w:val="3"/>
                      <w:sz w:val="21"/>
                      <w:szCs w:val="20"/>
                    </w:rPr>
                    <w:t>0.0847</w:t>
                  </w:r>
                </w:p>
              </w:tc>
              <w:tc>
                <w:tcPr>
                  <w:tcW w:w="1841" w:type="dxa"/>
                  <w:tcBorders>
                    <w:top w:val="single" w:color="000000" w:sz="12" w:space="0"/>
                    <w:tl2br w:val="nil"/>
                    <w:tr2bl w:val="nil"/>
                  </w:tcBorders>
                  <w:vAlign w:val="top"/>
                </w:tcPr>
                <w:p w14:paraId="7692CA2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pacing w:val="3"/>
                      <w:sz w:val="21"/>
                      <w:szCs w:val="20"/>
                    </w:rPr>
                  </w:pPr>
                  <w:r>
                    <w:rPr>
                      <w:rFonts w:ascii="Times New Roman" w:hAnsi="Times New Roman" w:eastAsia="宋体" w:cs="Times New Roman"/>
                      <w:color w:val="auto"/>
                      <w:spacing w:val="3"/>
                      <w:sz w:val="21"/>
                      <w:szCs w:val="20"/>
                    </w:rPr>
                    <w:t>0.0941</w:t>
                  </w:r>
                </w:p>
              </w:tc>
              <w:tc>
                <w:tcPr>
                  <w:tcW w:w="1847" w:type="dxa"/>
                  <w:tcBorders>
                    <w:top w:val="single" w:color="000000" w:sz="12" w:space="0"/>
                    <w:tl2br w:val="nil"/>
                    <w:tr2bl w:val="nil"/>
                  </w:tcBorders>
                  <w:vAlign w:val="top"/>
                </w:tcPr>
                <w:p w14:paraId="7D0AB26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pacing w:val="3"/>
                      <w:sz w:val="21"/>
                      <w:szCs w:val="20"/>
                      <w:lang w:val="en-US" w:eastAsia="zh-CN"/>
                    </w:rPr>
                  </w:pPr>
                  <w:r>
                    <w:rPr>
                      <w:rFonts w:ascii="Times New Roman" w:hAnsi="Times New Roman" w:eastAsia="宋体" w:cs="Times New Roman"/>
                      <w:color w:val="auto"/>
                      <w:spacing w:val="3"/>
                      <w:sz w:val="21"/>
                      <w:szCs w:val="20"/>
                    </w:rPr>
                    <w:t>0.1788</w:t>
                  </w:r>
                </w:p>
              </w:tc>
            </w:tr>
            <w:tr w14:paraId="69EFB3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6" w:hRule="atLeast"/>
              </w:trPr>
              <w:tc>
                <w:tcPr>
                  <w:tcW w:w="716" w:type="pct"/>
                  <w:vMerge w:val="continue"/>
                  <w:tcBorders>
                    <w:tl2br w:val="nil"/>
                    <w:tr2bl w:val="nil"/>
                  </w:tcBorders>
                  <w:vAlign w:val="center"/>
                </w:tcPr>
                <w:p w14:paraId="5A2C8B8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p>
              </w:tc>
              <w:tc>
                <w:tcPr>
                  <w:tcW w:w="998" w:type="pct"/>
                  <w:tcBorders>
                    <w:tl2br w:val="nil"/>
                    <w:tr2bl w:val="nil"/>
                  </w:tcBorders>
                  <w:vAlign w:val="center"/>
                </w:tcPr>
                <w:p w14:paraId="78E910C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13"/>
                    </w:rPr>
                  </w:pPr>
                  <w:r>
                    <w:rPr>
                      <w:rFonts w:ascii="Times New Roman" w:hAnsi="Times New Roman" w:eastAsia="宋体" w:cs="Times New Roman"/>
                      <w:color w:val="auto"/>
                      <w:sz w:val="21"/>
                      <w:szCs w:val="20"/>
                    </w:rPr>
                    <w:t>SO</w:t>
                  </w:r>
                  <w:r>
                    <w:rPr>
                      <w:rFonts w:ascii="Times New Roman" w:hAnsi="Times New Roman" w:eastAsia="宋体" w:cs="Times New Roman"/>
                      <w:color w:val="auto"/>
                      <w:spacing w:val="1"/>
                      <w:sz w:val="21"/>
                      <w:szCs w:val="13"/>
                      <w:vertAlign w:val="subscript"/>
                    </w:rPr>
                    <w:t>2</w:t>
                  </w:r>
                </w:p>
              </w:tc>
              <w:tc>
                <w:tcPr>
                  <w:tcW w:w="1093" w:type="pct"/>
                  <w:tcBorders>
                    <w:tl2br w:val="nil"/>
                    <w:tr2bl w:val="nil"/>
                  </w:tcBorders>
                  <w:vAlign w:val="center"/>
                </w:tcPr>
                <w:p w14:paraId="38E9D6B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3"/>
                      <w:sz w:val="21"/>
                      <w:szCs w:val="20"/>
                    </w:rPr>
                    <w:t>0.0018</w:t>
                  </w:r>
                </w:p>
              </w:tc>
              <w:tc>
                <w:tcPr>
                  <w:tcW w:w="1093" w:type="pct"/>
                  <w:tcBorders>
                    <w:tl2br w:val="nil"/>
                    <w:tr2bl w:val="nil"/>
                  </w:tcBorders>
                  <w:vAlign w:val="center"/>
                </w:tcPr>
                <w:p w14:paraId="095DF7B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3"/>
                      <w:sz w:val="21"/>
                      <w:szCs w:val="20"/>
                    </w:rPr>
                    <w:t>0.0002</w:t>
                  </w:r>
                </w:p>
              </w:tc>
              <w:tc>
                <w:tcPr>
                  <w:tcW w:w="1096" w:type="pct"/>
                  <w:tcBorders>
                    <w:tl2br w:val="nil"/>
                    <w:tr2bl w:val="nil"/>
                  </w:tcBorders>
                  <w:vAlign w:val="center"/>
                </w:tcPr>
                <w:p w14:paraId="714F9A0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2"/>
                      <w:sz w:val="21"/>
                      <w:szCs w:val="20"/>
                    </w:rPr>
                    <w:t>0.002</w:t>
                  </w:r>
                </w:p>
              </w:tc>
            </w:tr>
            <w:tr w14:paraId="03AC92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58" w:hRule="atLeast"/>
              </w:trPr>
              <w:tc>
                <w:tcPr>
                  <w:tcW w:w="716" w:type="pct"/>
                  <w:vMerge w:val="continue"/>
                  <w:tcBorders>
                    <w:tl2br w:val="nil"/>
                    <w:tr2bl w:val="nil"/>
                  </w:tcBorders>
                  <w:vAlign w:val="center"/>
                </w:tcPr>
                <w:p w14:paraId="7A20C79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rPr>
                  </w:pPr>
                </w:p>
              </w:tc>
              <w:tc>
                <w:tcPr>
                  <w:tcW w:w="998" w:type="pct"/>
                  <w:tcBorders>
                    <w:tl2br w:val="nil"/>
                    <w:tr2bl w:val="nil"/>
                  </w:tcBorders>
                  <w:vAlign w:val="center"/>
                </w:tcPr>
                <w:p w14:paraId="44E8BFA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rPr>
                  </w:pPr>
                  <w:r>
                    <w:rPr>
                      <w:rFonts w:ascii="Times New Roman" w:hAnsi="Times New Roman" w:eastAsia="宋体" w:cs="Times New Roman"/>
                      <w:color w:val="auto"/>
                      <w:spacing w:val="6"/>
                      <w:sz w:val="21"/>
                      <w:szCs w:val="20"/>
                    </w:rPr>
                    <w:t>NOx</w:t>
                  </w:r>
                </w:p>
              </w:tc>
              <w:tc>
                <w:tcPr>
                  <w:tcW w:w="1093" w:type="pct"/>
                  <w:tcBorders>
                    <w:tl2br w:val="nil"/>
                    <w:tr2bl w:val="nil"/>
                  </w:tcBorders>
                  <w:vAlign w:val="center"/>
                </w:tcPr>
                <w:p w14:paraId="7590CDE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cs="Times New Roman"/>
                      <w:color w:val="auto"/>
                      <w:spacing w:val="3"/>
                      <w:position w:val="1"/>
                      <w:sz w:val="21"/>
                      <w:szCs w:val="20"/>
                      <w:lang w:val="en-US" w:eastAsia="zh-CN"/>
                    </w:rPr>
                    <w:t>0.0168</w:t>
                  </w:r>
                </w:p>
              </w:tc>
              <w:tc>
                <w:tcPr>
                  <w:tcW w:w="1093" w:type="pct"/>
                  <w:tcBorders>
                    <w:tl2br w:val="nil"/>
                    <w:tr2bl w:val="nil"/>
                  </w:tcBorders>
                  <w:vAlign w:val="center"/>
                </w:tcPr>
                <w:p w14:paraId="589DADA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cs="Times New Roman"/>
                      <w:color w:val="auto"/>
                      <w:spacing w:val="3"/>
                      <w:position w:val="1"/>
                      <w:sz w:val="21"/>
                      <w:szCs w:val="20"/>
                      <w:lang w:val="en-US" w:eastAsia="zh-CN"/>
                    </w:rPr>
                    <w:t>0.0018</w:t>
                  </w:r>
                </w:p>
              </w:tc>
              <w:tc>
                <w:tcPr>
                  <w:tcW w:w="1096" w:type="pct"/>
                  <w:tcBorders>
                    <w:tl2br w:val="nil"/>
                    <w:tr2bl w:val="nil"/>
                  </w:tcBorders>
                  <w:vAlign w:val="center"/>
                </w:tcPr>
                <w:p w14:paraId="7256FD7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auto"/>
                      <w:sz w:val="21"/>
                      <w:szCs w:val="20"/>
                      <w:lang w:val="en-US" w:eastAsia="zh-CN"/>
                    </w:rPr>
                  </w:pPr>
                  <w:r>
                    <w:rPr>
                      <w:rFonts w:hint="eastAsia" w:cs="Times New Roman"/>
                      <w:color w:val="auto"/>
                      <w:spacing w:val="3"/>
                      <w:position w:val="1"/>
                      <w:sz w:val="21"/>
                      <w:szCs w:val="20"/>
                      <w:lang w:val="en-US" w:eastAsia="zh-CN"/>
                    </w:rPr>
                    <w:t>0.0186</w:t>
                  </w:r>
                </w:p>
              </w:tc>
            </w:tr>
          </w:tbl>
          <w:p w14:paraId="704C3F96">
            <w:pPr>
              <w:pStyle w:val="44"/>
              <w:ind w:firstLine="480"/>
              <w:rPr>
                <w:rFonts w:hint="default"/>
                <w:color w:val="auto"/>
                <w:highlight w:val="none"/>
                <w:lang w:val="en-US" w:eastAsia="zh-CN"/>
              </w:rPr>
            </w:pPr>
            <w:r>
              <w:rPr>
                <w:rFonts w:hint="eastAsia" w:ascii="Times New Roman" w:hAnsi="Times New Roman" w:eastAsia="宋体"/>
                <w:color w:val="auto"/>
                <w:highlight w:val="none"/>
                <w:lang w:val="en-US" w:eastAsia="zh-CN"/>
              </w:rPr>
              <w:t>根据上表可以看出，项目排放污染物总量控制指标为：VOCs</w:t>
            </w:r>
            <w:r>
              <w:rPr>
                <w:rFonts w:hint="eastAsia"/>
                <w:color w:val="auto"/>
                <w:highlight w:val="none"/>
                <w:lang w:val="en-US" w:eastAsia="zh-CN"/>
              </w:rPr>
              <w:t>0.1788</w:t>
            </w:r>
            <w:r>
              <w:rPr>
                <w:rFonts w:hint="eastAsia" w:ascii="Times New Roman" w:hAnsi="Times New Roman" w:eastAsia="宋体"/>
                <w:color w:val="auto"/>
                <w:highlight w:val="none"/>
                <w:lang w:val="en-US" w:eastAsia="zh-CN"/>
              </w:rPr>
              <w:t>t/a，SO</w:t>
            </w:r>
            <w:r>
              <w:rPr>
                <w:rFonts w:hint="eastAsia" w:ascii="Times New Roman" w:hAnsi="Times New Roman" w:eastAsia="宋体"/>
                <w:color w:val="auto"/>
                <w:highlight w:val="none"/>
                <w:vertAlign w:val="subscript"/>
                <w:lang w:val="en-US" w:eastAsia="zh-CN"/>
              </w:rPr>
              <w:t>2</w:t>
            </w:r>
            <w:r>
              <w:rPr>
                <w:rFonts w:hint="eastAsia" w:ascii="Times New Roman" w:hAnsi="Times New Roman" w:eastAsia="宋体"/>
                <w:color w:val="auto"/>
                <w:highlight w:val="none"/>
                <w:lang w:val="en-US" w:eastAsia="zh-CN"/>
              </w:rPr>
              <w:t>0.0018t/a，NOx0.01</w:t>
            </w:r>
            <w:r>
              <w:rPr>
                <w:rFonts w:hint="eastAsia"/>
                <w:color w:val="auto"/>
                <w:highlight w:val="none"/>
                <w:lang w:val="en-US" w:eastAsia="zh-CN"/>
              </w:rPr>
              <w:t>43</w:t>
            </w:r>
            <w:r>
              <w:rPr>
                <w:rFonts w:hint="eastAsia" w:ascii="Times New Roman" w:hAnsi="Times New Roman" w:eastAsia="宋体"/>
                <w:color w:val="auto"/>
                <w:highlight w:val="none"/>
                <w:lang w:val="en-US" w:eastAsia="zh-CN"/>
              </w:rPr>
              <w:t>t/a。拟按排放总量向</w:t>
            </w:r>
            <w:r>
              <w:rPr>
                <w:rFonts w:hint="eastAsia"/>
                <w:color w:val="auto"/>
                <w:highlight w:val="none"/>
                <w:lang w:val="en-US" w:eastAsia="zh-CN"/>
              </w:rPr>
              <w:t>福州市福清生态环境局</w:t>
            </w:r>
            <w:r>
              <w:rPr>
                <w:rFonts w:hint="eastAsia" w:ascii="Times New Roman" w:hAnsi="Times New Roman" w:eastAsia="宋体"/>
                <w:color w:val="auto"/>
                <w:highlight w:val="none"/>
                <w:lang w:val="en-US" w:eastAsia="zh-CN"/>
              </w:rPr>
              <w:t>进行总量调剂申请，企业承诺在项目投产前</w:t>
            </w:r>
            <w:r>
              <w:rPr>
                <w:rFonts w:hint="eastAsia"/>
                <w:color w:val="auto"/>
                <w:highlight w:val="none"/>
                <w:lang w:val="en-US" w:eastAsia="zh-CN"/>
              </w:rPr>
              <w:t>申请</w:t>
            </w:r>
            <w:r>
              <w:rPr>
                <w:rFonts w:hint="eastAsia" w:ascii="Times New Roman" w:hAnsi="Times New Roman" w:eastAsia="宋体"/>
                <w:color w:val="auto"/>
                <w:highlight w:val="none"/>
                <w:lang w:val="en-US" w:eastAsia="zh-CN"/>
              </w:rPr>
              <w:t>所需总量。</w:t>
            </w:r>
          </w:p>
        </w:tc>
      </w:tr>
    </w:tbl>
    <w:p w14:paraId="763E9539">
      <w:pPr>
        <w:pStyle w:val="2"/>
        <w:keepNext/>
        <w:keepLines w:val="0"/>
        <w:pageBreakBefore w:val="0"/>
        <w:widowControl w:val="0"/>
        <w:numPr>
          <w:ilvl w:val="0"/>
          <w:numId w:val="0"/>
        </w:numPr>
        <w:tabs>
          <w:tab w:val="left" w:pos="0"/>
        </w:tabs>
        <w:kinsoku/>
        <w:wordWrap/>
        <w:overflowPunct w:val="0"/>
        <w:topLinePunct w:val="0"/>
        <w:autoSpaceDE/>
        <w:autoSpaceDN/>
        <w:bidi w:val="0"/>
        <w:adjustRightInd/>
        <w:snapToGrid w:val="0"/>
        <w:spacing w:before="157" w:beforeLines="50"/>
        <w:ind w:left="431" w:leftChars="0" w:hanging="431" w:firstLineChars="0"/>
        <w:textAlignment w:val="auto"/>
        <w:outlineLvl w:val="9"/>
        <w:rPr>
          <w:rFonts w:ascii="黑体" w:hAnsi="黑体"/>
          <w:snapToGrid w:val="0"/>
          <w:color w:val="auto"/>
          <w:sz w:val="36"/>
          <w:szCs w:val="36"/>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14:paraId="217B2AE6">
      <w:pPr>
        <w:pStyle w:val="2"/>
        <w:numPr>
          <w:ilvl w:val="0"/>
          <w:numId w:val="1"/>
        </w:numPr>
        <w:bidi w:val="0"/>
        <w:ind w:left="432" w:leftChars="0" w:hanging="432" w:firstLineChars="0"/>
        <w:rPr>
          <w:rFonts w:hint="eastAsia"/>
          <w:color w:val="auto"/>
          <w:highlight w:val="none"/>
        </w:rPr>
      </w:pPr>
      <w:bookmarkStart w:id="41" w:name="_Toc31594"/>
      <w:bookmarkStart w:id="42" w:name="_Toc26442"/>
      <w:bookmarkStart w:id="43" w:name="_Toc4295"/>
      <w:bookmarkStart w:id="44" w:name="_Toc13712"/>
      <w:bookmarkStart w:id="45" w:name="_Toc8710"/>
      <w:r>
        <w:rPr>
          <w:rFonts w:hint="eastAsia"/>
          <w:color w:val="auto"/>
          <w:highlight w:val="none"/>
        </w:rPr>
        <w:t>主要环境影响和保护措施</w:t>
      </w:r>
      <w:bookmarkEnd w:id="41"/>
      <w:bookmarkEnd w:id="42"/>
      <w:bookmarkEnd w:id="43"/>
      <w:bookmarkEnd w:id="44"/>
      <w:bookmarkEnd w:id="45"/>
    </w:p>
    <w:p w14:paraId="7F4B45B8">
      <w:pPr>
        <w:rPr>
          <w:color w:val="auto"/>
        </w:rPr>
      </w:pPr>
    </w:p>
    <w:tbl>
      <w:tblPr>
        <w:tblStyle w:val="33"/>
        <w:tblW w:w="92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66"/>
        <w:gridCol w:w="8941"/>
      </w:tblGrid>
      <w:tr w14:paraId="7FF566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26" w:hRule="atLeast"/>
          <w:jc w:val="center"/>
        </w:trPr>
        <w:tc>
          <w:tcPr>
            <w:tcW w:w="240" w:type="dxa"/>
            <w:tcMar>
              <w:left w:w="28" w:type="dxa"/>
              <w:right w:w="28" w:type="dxa"/>
            </w:tcMar>
            <w:vAlign w:val="center"/>
          </w:tcPr>
          <w:p w14:paraId="261EF690">
            <w:pPr>
              <w:pStyle w:val="31"/>
              <w:adjustRightInd w:val="0"/>
              <w:snapToGrid w:val="0"/>
              <w:spacing w:before="0" w:beforeAutospacing="0" w:after="0" w:afterAutospacing="0"/>
              <w:jc w:val="center"/>
              <w:rPr>
                <w:rFonts w:cs="宋体"/>
                <w:color w:val="auto"/>
                <w:kern w:val="2"/>
                <w:sz w:val="21"/>
                <w:szCs w:val="21"/>
                <w:highlight w:val="none"/>
              </w:rPr>
            </w:pPr>
            <w:r>
              <w:rPr>
                <w:rFonts w:hint="eastAsia" w:cs="宋体"/>
                <w:color w:val="auto"/>
                <w:kern w:val="2"/>
                <w:sz w:val="21"/>
                <w:szCs w:val="21"/>
                <w:highlight w:val="none"/>
              </w:rPr>
              <w:t>施工</w:t>
            </w:r>
          </w:p>
          <w:p w14:paraId="2D9029E2">
            <w:pPr>
              <w:pStyle w:val="31"/>
              <w:adjustRightInd w:val="0"/>
              <w:snapToGrid w:val="0"/>
              <w:spacing w:before="0" w:beforeAutospacing="0" w:after="0" w:afterAutospacing="0"/>
              <w:jc w:val="center"/>
              <w:rPr>
                <w:rFonts w:cs="宋体"/>
                <w:color w:val="auto"/>
                <w:kern w:val="2"/>
                <w:sz w:val="21"/>
                <w:szCs w:val="21"/>
                <w:highlight w:val="none"/>
              </w:rPr>
            </w:pPr>
            <w:r>
              <w:rPr>
                <w:rFonts w:hint="eastAsia" w:cs="宋体"/>
                <w:color w:val="auto"/>
                <w:kern w:val="2"/>
                <w:sz w:val="21"/>
                <w:szCs w:val="21"/>
                <w:highlight w:val="none"/>
              </w:rPr>
              <w:t>期环</w:t>
            </w:r>
          </w:p>
          <w:p w14:paraId="1F8F33DC">
            <w:pPr>
              <w:pStyle w:val="31"/>
              <w:adjustRightInd w:val="0"/>
              <w:snapToGrid w:val="0"/>
              <w:spacing w:before="0" w:beforeAutospacing="0" w:after="0" w:afterAutospacing="0"/>
              <w:jc w:val="center"/>
              <w:rPr>
                <w:rFonts w:cs="宋体"/>
                <w:color w:val="auto"/>
                <w:kern w:val="2"/>
                <w:sz w:val="21"/>
                <w:szCs w:val="21"/>
                <w:highlight w:val="none"/>
              </w:rPr>
            </w:pPr>
            <w:r>
              <w:rPr>
                <w:rFonts w:hint="eastAsia" w:cs="宋体"/>
                <w:color w:val="auto"/>
                <w:kern w:val="2"/>
                <w:sz w:val="21"/>
                <w:szCs w:val="21"/>
                <w:highlight w:val="none"/>
              </w:rPr>
              <w:t>境保</w:t>
            </w:r>
          </w:p>
          <w:p w14:paraId="34610A4B">
            <w:pPr>
              <w:pStyle w:val="31"/>
              <w:adjustRightInd w:val="0"/>
              <w:snapToGrid w:val="0"/>
              <w:spacing w:before="0" w:beforeAutospacing="0" w:after="0" w:afterAutospacing="0"/>
              <w:jc w:val="center"/>
              <w:rPr>
                <w:rFonts w:hint="eastAsia" w:ascii="宋体" w:hAnsi="宋体" w:eastAsia="宋体" w:cs="宋体"/>
                <w:bCs/>
                <w:color w:val="auto"/>
                <w:szCs w:val="21"/>
                <w:highlight w:val="none"/>
                <w:lang w:val="en-US" w:eastAsia="zh-CN"/>
              </w:rPr>
            </w:pPr>
            <w:r>
              <w:rPr>
                <w:rFonts w:hint="eastAsia" w:cs="宋体"/>
                <w:color w:val="auto"/>
                <w:kern w:val="2"/>
                <w:sz w:val="21"/>
                <w:szCs w:val="21"/>
                <w:highlight w:val="none"/>
              </w:rPr>
              <w:t>护</w:t>
            </w:r>
            <w:r>
              <w:rPr>
                <w:rFonts w:hint="eastAsia" w:cs="宋体"/>
                <w:color w:val="auto"/>
                <w:kern w:val="2"/>
                <w:sz w:val="21"/>
                <w:szCs w:val="21"/>
                <w:highlight w:val="none"/>
                <w:lang w:val="en-US" w:eastAsia="zh-CN"/>
              </w:rPr>
              <w:t>措施</w:t>
            </w:r>
          </w:p>
        </w:tc>
        <w:tc>
          <w:tcPr>
            <w:tcW w:w="8967" w:type="dxa"/>
            <w:vAlign w:val="center"/>
          </w:tcPr>
          <w:p w14:paraId="739716E7">
            <w:pPr>
              <w:pStyle w:val="3"/>
              <w:numPr>
                <w:ilvl w:val="1"/>
                <w:numId w:val="1"/>
              </w:numPr>
              <w:bidi w:val="0"/>
              <w:ind w:left="0" w:leftChars="0" w:firstLine="0" w:firstLineChars="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施工期环境保护措施</w:t>
            </w:r>
          </w:p>
          <w:p w14:paraId="23CFEF67">
            <w:pPr>
              <w:pStyle w:val="95"/>
              <w:keepNext w:val="0"/>
              <w:keepLines w:val="0"/>
              <w:pageBreakBefore w:val="0"/>
              <w:widowControl w:val="0"/>
              <w:kinsoku/>
              <w:wordWrap/>
              <w:overflowPunct/>
              <w:topLinePunct w:val="0"/>
              <w:autoSpaceDE/>
              <w:autoSpaceDN/>
              <w:bidi w:val="0"/>
              <w:adjustRightInd/>
              <w:snapToGrid/>
              <w:spacing w:line="360" w:lineRule="auto"/>
              <w:ind w:left="0" w:right="0" w:firstLine="472" w:firstLineChars="200"/>
              <w:jc w:val="both"/>
              <w:textAlignment w:val="auto"/>
              <w:rPr>
                <w:rFonts w:hint="default" w:ascii="Times New Roman" w:hAnsi="Times New Roman" w:cs="Times New Roman"/>
                <w:color w:val="auto"/>
                <w:highlight w:val="none"/>
                <w:lang w:val="en-US" w:eastAsia="zh-CN"/>
              </w:rPr>
            </w:pPr>
            <w:r>
              <w:rPr>
                <w:color w:val="auto"/>
                <w:spacing w:val="-2"/>
                <w:sz w:val="24"/>
              </w:rPr>
              <w:t>本项目厂址位于</w:t>
            </w:r>
            <w:r>
              <w:rPr>
                <w:rFonts w:hint="eastAsia"/>
                <w:color w:val="auto"/>
                <w:spacing w:val="-2"/>
                <w:sz w:val="24"/>
                <w:lang w:val="en-US" w:eastAsia="zh-CN"/>
              </w:rPr>
              <w:t>福建省福州市福清市镜洋镇过洋39号（租赁福州清山压铸有限公司2#厂房、3#厂房）</w:t>
            </w:r>
            <w:r>
              <w:rPr>
                <w:color w:val="auto"/>
                <w:spacing w:val="-2"/>
                <w:sz w:val="24"/>
              </w:rPr>
              <w:t>，根据现场勘查，该厂房主体结构已经建成，因此不存在厂房等主体工程施工期环境影响。项目施工期主要为设备安装、调试阶段产生的环境问题，本项目设备安装、调试简单</w:t>
            </w:r>
            <w:r>
              <w:rPr>
                <w:rFonts w:hint="eastAsia"/>
                <w:color w:val="auto"/>
                <w:spacing w:val="-2"/>
                <w:sz w:val="24"/>
                <w:lang w:eastAsia="zh-CN"/>
              </w:rPr>
              <w:t>且</w:t>
            </w:r>
            <w:r>
              <w:rPr>
                <w:color w:val="auto"/>
                <w:spacing w:val="-2"/>
                <w:sz w:val="24"/>
              </w:rPr>
              <w:t>时间较</w:t>
            </w:r>
            <w:r>
              <w:rPr>
                <w:color w:val="auto"/>
                <w:spacing w:val="-1"/>
                <w:sz w:val="24"/>
              </w:rPr>
              <w:t>短，因此，随着设备安装、调试完毕后，项目施工期也将结束，施工期环境影响也随着消失，不会对周边环境噪声影响。</w:t>
            </w:r>
            <w:r>
              <w:rPr>
                <w:rFonts w:hint="eastAsia" w:ascii="Times New Roman" w:hAnsi="Times New Roman"/>
                <w:color w:val="auto"/>
                <w:sz w:val="24"/>
                <w:szCs w:val="24"/>
                <w:highlight w:val="none"/>
              </w:rPr>
              <w:t>本项目的施工活动主要为设备安装及调试等，施工期影响较小，因此本评价不再对施工期环境影响进行评价。</w:t>
            </w:r>
          </w:p>
        </w:tc>
      </w:tr>
      <w:tr w14:paraId="2C0056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6" w:hRule="atLeast"/>
          <w:jc w:val="center"/>
        </w:trPr>
        <w:tc>
          <w:tcPr>
            <w:tcW w:w="240" w:type="dxa"/>
            <w:tcMar>
              <w:left w:w="28" w:type="dxa"/>
              <w:right w:w="28" w:type="dxa"/>
            </w:tcMar>
            <w:vAlign w:val="center"/>
          </w:tcPr>
          <w:p w14:paraId="23E61934">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运营</w:t>
            </w:r>
          </w:p>
          <w:p w14:paraId="22DD3F90">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期环</w:t>
            </w:r>
          </w:p>
          <w:p w14:paraId="03C40610">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境影</w:t>
            </w:r>
          </w:p>
          <w:p w14:paraId="3872DBBB">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响和</w:t>
            </w:r>
          </w:p>
          <w:p w14:paraId="127E53C0">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保护</w:t>
            </w:r>
          </w:p>
          <w:p w14:paraId="168B8135">
            <w:pPr>
              <w:adjustRightInd w:val="0"/>
              <w:snapToGrid w:val="0"/>
              <w:jc w:val="center"/>
              <w:rPr>
                <w:rFonts w:ascii="宋体" w:hAnsi="宋体" w:cs="宋体"/>
                <w:bCs/>
                <w:color w:val="auto"/>
                <w:szCs w:val="21"/>
                <w:highlight w:val="none"/>
              </w:rPr>
            </w:pPr>
            <w:r>
              <w:rPr>
                <w:rFonts w:hint="eastAsia" w:ascii="宋体" w:hAnsi="宋体" w:cs="宋体"/>
                <w:bCs/>
                <w:color w:val="auto"/>
                <w:szCs w:val="21"/>
                <w:highlight w:val="none"/>
              </w:rPr>
              <w:t>措施</w:t>
            </w:r>
          </w:p>
        </w:tc>
        <w:tc>
          <w:tcPr>
            <w:tcW w:w="8967" w:type="dxa"/>
            <w:vAlign w:val="center"/>
          </w:tcPr>
          <w:p w14:paraId="03D5918A">
            <w:pPr>
              <w:pStyle w:val="3"/>
              <w:numPr>
                <w:ilvl w:val="1"/>
                <w:numId w:val="1"/>
              </w:numPr>
              <w:bidi w:val="0"/>
              <w:ind w:left="0" w:leftChars="0" w:firstLine="0" w:firstLineChars="0"/>
              <w:rPr>
                <w:rFonts w:hint="eastAsia"/>
                <w:color w:val="auto"/>
                <w:highlight w:val="none"/>
              </w:rPr>
            </w:pPr>
            <w:bookmarkStart w:id="46" w:name="_Toc17051"/>
            <w:r>
              <w:rPr>
                <w:rFonts w:hint="eastAsia"/>
                <w:color w:val="auto"/>
                <w:highlight w:val="none"/>
                <w:lang w:val="en-US" w:eastAsia="zh-CN"/>
              </w:rPr>
              <w:t>运营期</w:t>
            </w:r>
            <w:r>
              <w:rPr>
                <w:rFonts w:hint="eastAsia"/>
                <w:color w:val="auto"/>
                <w:highlight w:val="none"/>
              </w:rPr>
              <w:t>大气环境</w:t>
            </w:r>
            <w:r>
              <w:rPr>
                <w:rFonts w:hint="eastAsia"/>
                <w:color w:val="auto"/>
                <w:highlight w:val="none"/>
                <w:lang w:val="en-US" w:eastAsia="zh-CN"/>
              </w:rPr>
              <w:t>影响</w:t>
            </w:r>
            <w:bookmarkEnd w:id="46"/>
          </w:p>
          <w:p w14:paraId="2210FB96">
            <w:pPr>
              <w:pStyle w:val="4"/>
              <w:numPr>
                <w:ilvl w:val="2"/>
                <w:numId w:val="14"/>
              </w:numPr>
              <w:tabs>
                <w:tab w:val="left" w:pos="0"/>
              </w:tabs>
              <w:bidi w:val="0"/>
              <w:ind w:left="720" w:leftChars="0" w:hanging="720" w:firstLineChars="0"/>
              <w:rPr>
                <w:rFonts w:hint="default" w:ascii="Times New Roman" w:hAnsi="Times New Roman" w:eastAsia="宋体" w:cs="宋体"/>
                <w:color w:val="auto"/>
                <w:highlight w:val="none"/>
                <w:lang w:val="en-US" w:eastAsia="zh-CN"/>
              </w:rPr>
            </w:pPr>
            <w:r>
              <w:rPr>
                <w:rFonts w:hint="eastAsia"/>
                <w:color w:val="auto"/>
                <w:highlight w:val="none"/>
                <w:lang w:val="en-US" w:eastAsia="zh-CN"/>
              </w:rPr>
              <w:t>废气源强分析</w:t>
            </w:r>
          </w:p>
          <w:p w14:paraId="54F3A9B1">
            <w:pPr>
              <w:pStyle w:val="51"/>
              <w:spacing w:line="360" w:lineRule="auto"/>
              <w:ind w:firstLine="480" w:firstLineChars="200"/>
              <w:jc w:val="both"/>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本项目营运期产生的废气包括电泳废气、固化废气、焊接废气、天然气燃烧废气、废水处理废气。</w:t>
            </w:r>
          </w:p>
          <w:p w14:paraId="640751A7">
            <w:pPr>
              <w:pStyle w:val="51"/>
              <w:spacing w:line="360" w:lineRule="auto"/>
              <w:ind w:firstLine="480" w:firstLineChars="200"/>
              <w:jc w:val="both"/>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（1）污染物源强分析</w:t>
            </w:r>
          </w:p>
          <w:p w14:paraId="6D6DE16D">
            <w:pPr>
              <w:pStyle w:val="51"/>
              <w:spacing w:line="360" w:lineRule="auto"/>
              <w:ind w:firstLine="480" w:firstLineChars="200"/>
              <w:jc w:val="both"/>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①电泳废气、固化废气</w:t>
            </w:r>
          </w:p>
          <w:p w14:paraId="3FA7C4A4">
            <w:pPr>
              <w:pStyle w:val="51"/>
              <w:spacing w:line="360" w:lineRule="auto"/>
              <w:ind w:firstLine="480" w:firstLineChars="200"/>
              <w:jc w:val="both"/>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本项目电泳工序使用电泳涂料（包括电泳乳液、黑浆、助剂、中和剂）对工件进行电泳上漆以及后续固化，会产生有机废气（电泳废气、固化废气），根据电泳涂料成分分析，污染因子包括非甲烷总烃（NMHC）。</w:t>
            </w:r>
          </w:p>
          <w:p w14:paraId="4C76E944">
            <w:pPr>
              <w:pStyle w:val="51"/>
              <w:spacing w:line="360" w:lineRule="auto"/>
              <w:ind w:firstLine="480" w:firstLineChars="200"/>
              <w:jc w:val="both"/>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根据《污染源源强核算技术指南汽车制造（HJ1097-2020）》附录E，电泳过程中电泳涂料中挥发性有机物的挥发比例为：电泳35%、烘干65%。项目电泳线运行时间约为</w:t>
            </w:r>
            <w:r>
              <w:rPr>
                <w:rFonts w:hint="eastAsia" w:ascii="Times New Roman" w:hAnsi="Times New Roman"/>
                <w:color w:val="auto"/>
                <w:highlight w:val="none"/>
                <w:shd w:val="clear"/>
                <w:lang w:val="en-US" w:eastAsia="zh-CN"/>
              </w:rPr>
              <w:t>2400h/a，</w:t>
            </w:r>
            <w:r>
              <w:rPr>
                <w:rFonts w:hint="eastAsia" w:ascii="Times New Roman" w:hAnsi="Times New Roman"/>
                <w:color w:val="auto"/>
                <w:highlight w:val="none"/>
                <w:lang w:val="en-US" w:eastAsia="zh-CN"/>
              </w:rPr>
              <w:t>根据物料平衡核算，则电泳废气、固化废气产生情况见下表。</w:t>
            </w:r>
          </w:p>
          <w:p w14:paraId="430EEAB4">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120"/>
              <w:ind w:left="630" w:leftChars="0" w:firstLine="0" w:firstLineChars="0"/>
              <w:textAlignment w:val="auto"/>
              <w:rPr>
                <w:rFonts w:hint="eastAsia" w:eastAsia="宋体"/>
                <w:color w:val="auto"/>
                <w:highlight w:val="none"/>
                <w:lang w:val="en-US" w:eastAsia="zh-CN"/>
              </w:rPr>
            </w:pPr>
            <w:r>
              <w:rPr>
                <w:rFonts w:hint="eastAsia" w:eastAsia="宋体"/>
                <w:color w:val="auto"/>
                <w:highlight w:val="none"/>
                <w:lang w:val="en-US" w:eastAsia="zh-CN"/>
              </w:rPr>
              <w:t>电泳废气、固化废气产生情况一览表</w:t>
            </w:r>
          </w:p>
          <w:tbl>
            <w:tblPr>
              <w:tblStyle w:val="84"/>
              <w:tblW w:w="4998" w:type="pct"/>
              <w:tblInd w:w="2" w:type="dxa"/>
              <w:tblBorders>
                <w:top w:val="single" w:color="000000" w:sz="12" w:space="0"/>
                <w:left w:val="none" w:color="auto" w:sz="0" w:space="0"/>
                <w:bottom w:val="single" w:color="000000" w:sz="12" w:space="0"/>
                <w:right w:val="none" w:color="auto" w:sz="0" w:space="0"/>
                <w:insideH w:val="single" w:color="000000" w:sz="12" w:space="0"/>
                <w:insideV w:val="single" w:color="000000" w:sz="2" w:space="0"/>
              </w:tblBorders>
              <w:tblLayout w:type="autofit"/>
              <w:tblCellMar>
                <w:top w:w="0" w:type="dxa"/>
                <w:left w:w="0" w:type="dxa"/>
                <w:bottom w:w="0" w:type="dxa"/>
                <w:right w:w="0" w:type="dxa"/>
              </w:tblCellMar>
            </w:tblPr>
            <w:tblGrid>
              <w:gridCol w:w="1509"/>
              <w:gridCol w:w="2111"/>
              <w:gridCol w:w="2339"/>
              <w:gridCol w:w="2763"/>
            </w:tblGrid>
            <w:tr w14:paraId="60862923">
              <w:tblPrEx>
                <w:tblBorders>
                  <w:top w:val="single" w:color="000000" w:sz="12" w:space="0"/>
                  <w:left w:val="none" w:color="auto" w:sz="0" w:space="0"/>
                  <w:bottom w:val="single" w:color="000000" w:sz="12" w:space="0"/>
                  <w:right w:val="none" w:color="auto" w:sz="0" w:space="0"/>
                  <w:insideH w:val="single" w:color="000000" w:sz="12" w:space="0"/>
                  <w:insideV w:val="single" w:color="000000" w:sz="2" w:space="0"/>
                </w:tblBorders>
                <w:tblCellMar>
                  <w:top w:w="0" w:type="dxa"/>
                  <w:left w:w="0" w:type="dxa"/>
                  <w:bottom w:w="0" w:type="dxa"/>
                  <w:right w:w="0" w:type="dxa"/>
                </w:tblCellMar>
              </w:tblPrEx>
              <w:trPr>
                <w:trHeight w:val="337" w:hRule="atLeast"/>
              </w:trPr>
              <w:tc>
                <w:tcPr>
                  <w:tcW w:w="865" w:type="pct"/>
                  <w:tcBorders>
                    <w:tl2br w:val="nil"/>
                    <w:tr2bl w:val="nil"/>
                  </w:tcBorders>
                  <w:vAlign w:val="center"/>
                </w:tcPr>
                <w:p w14:paraId="227C4D8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工序</w:t>
                  </w:r>
                </w:p>
              </w:tc>
              <w:tc>
                <w:tcPr>
                  <w:tcW w:w="1210" w:type="pct"/>
                  <w:tcBorders>
                    <w:tl2br w:val="nil"/>
                    <w:tr2bl w:val="nil"/>
                  </w:tcBorders>
                  <w:vAlign w:val="center"/>
                </w:tcPr>
                <w:p w14:paraId="4ABE7D27">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污染物</w:t>
                  </w:r>
                </w:p>
              </w:tc>
              <w:tc>
                <w:tcPr>
                  <w:tcW w:w="1340" w:type="pct"/>
                  <w:tcBorders>
                    <w:tl2br w:val="nil"/>
                    <w:tr2bl w:val="nil"/>
                  </w:tcBorders>
                  <w:vAlign w:val="center"/>
                </w:tcPr>
                <w:p w14:paraId="01A1CB8D">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产生量（t/a）</w:t>
                  </w:r>
                </w:p>
              </w:tc>
              <w:tc>
                <w:tcPr>
                  <w:tcW w:w="1583" w:type="pct"/>
                  <w:tcBorders>
                    <w:tl2br w:val="nil"/>
                    <w:tr2bl w:val="nil"/>
                  </w:tcBorders>
                  <w:vAlign w:val="center"/>
                </w:tcPr>
                <w:p w14:paraId="1C369FF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产生速率（kg/h）</w:t>
                  </w:r>
                </w:p>
              </w:tc>
            </w:tr>
            <w:tr w14:paraId="69E4F8B1">
              <w:tblPrEx>
                <w:tblBorders>
                  <w:top w:val="single" w:color="000000" w:sz="12" w:space="0"/>
                  <w:left w:val="none" w:color="auto" w:sz="0" w:space="0"/>
                  <w:bottom w:val="single" w:color="000000" w:sz="12" w:space="0"/>
                  <w:right w:val="none" w:color="auto" w:sz="0" w:space="0"/>
                  <w:insideH w:val="single" w:color="000000" w:sz="12" w:space="0"/>
                  <w:insideV w:val="single" w:color="000000" w:sz="2" w:space="0"/>
                </w:tblBorders>
                <w:tblCellMar>
                  <w:top w:w="0" w:type="dxa"/>
                  <w:left w:w="0" w:type="dxa"/>
                  <w:bottom w:w="0" w:type="dxa"/>
                  <w:right w:w="0" w:type="dxa"/>
                </w:tblCellMar>
              </w:tblPrEx>
              <w:trPr>
                <w:trHeight w:val="332" w:hRule="atLeast"/>
              </w:trPr>
              <w:tc>
                <w:tcPr>
                  <w:tcW w:w="865" w:type="pct"/>
                  <w:tcBorders>
                    <w:bottom w:val="single" w:color="000000" w:sz="4" w:space="0"/>
                  </w:tcBorders>
                  <w:vAlign w:val="center"/>
                </w:tcPr>
                <w:p w14:paraId="2BE5DBF9">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电泳</w:t>
                  </w:r>
                </w:p>
              </w:tc>
              <w:tc>
                <w:tcPr>
                  <w:tcW w:w="1210" w:type="pct"/>
                  <w:tcBorders>
                    <w:bottom w:val="single" w:color="000000" w:sz="4" w:space="0"/>
                  </w:tcBorders>
                  <w:vAlign w:val="center"/>
                </w:tcPr>
                <w:p w14:paraId="4A04ACB4">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NMHC</w:t>
                  </w:r>
                </w:p>
              </w:tc>
              <w:tc>
                <w:tcPr>
                  <w:tcW w:w="1340" w:type="pct"/>
                  <w:tcBorders>
                    <w:bottom w:val="single" w:color="000000" w:sz="4" w:space="0"/>
                  </w:tcBorders>
                  <w:vAlign w:val="center"/>
                </w:tcPr>
                <w:p w14:paraId="6CA9CEB4">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0.32949</w:t>
                  </w:r>
                </w:p>
              </w:tc>
              <w:tc>
                <w:tcPr>
                  <w:tcW w:w="1583" w:type="pct"/>
                  <w:tcBorders>
                    <w:bottom w:val="single" w:color="000000" w:sz="4" w:space="0"/>
                  </w:tcBorders>
                  <w:vAlign w:val="center"/>
                </w:tcPr>
                <w:p w14:paraId="7D83136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0.1372</w:t>
                  </w:r>
                </w:p>
              </w:tc>
            </w:tr>
            <w:tr w14:paraId="1F6DB9FE">
              <w:tblPrEx>
                <w:tblBorders>
                  <w:top w:val="single" w:color="000000" w:sz="12" w:space="0"/>
                  <w:left w:val="none" w:color="auto" w:sz="0" w:space="0"/>
                  <w:bottom w:val="single" w:color="000000" w:sz="12" w:space="0"/>
                  <w:right w:val="none" w:color="auto" w:sz="0" w:space="0"/>
                  <w:insideH w:val="single" w:color="000000" w:sz="12" w:space="0"/>
                  <w:insideV w:val="single" w:color="000000" w:sz="2" w:space="0"/>
                </w:tblBorders>
                <w:tblCellMar>
                  <w:top w:w="0" w:type="dxa"/>
                  <w:left w:w="0" w:type="dxa"/>
                  <w:bottom w:w="0" w:type="dxa"/>
                  <w:right w:w="0" w:type="dxa"/>
                </w:tblCellMar>
              </w:tblPrEx>
              <w:trPr>
                <w:trHeight w:val="337" w:hRule="atLeast"/>
              </w:trPr>
              <w:tc>
                <w:tcPr>
                  <w:tcW w:w="865" w:type="pct"/>
                  <w:tcBorders>
                    <w:top w:val="single" w:color="000000" w:sz="4" w:space="0"/>
                    <w:tl2br w:val="nil"/>
                    <w:tr2bl w:val="nil"/>
                  </w:tcBorders>
                  <w:vAlign w:val="center"/>
                </w:tcPr>
                <w:p w14:paraId="6B71D029">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烘干固化</w:t>
                  </w:r>
                </w:p>
              </w:tc>
              <w:tc>
                <w:tcPr>
                  <w:tcW w:w="1210" w:type="pct"/>
                  <w:tcBorders>
                    <w:top w:val="single" w:color="000000" w:sz="4" w:space="0"/>
                    <w:tl2br w:val="nil"/>
                    <w:tr2bl w:val="nil"/>
                  </w:tcBorders>
                  <w:vAlign w:val="center"/>
                </w:tcPr>
                <w:p w14:paraId="0B58B58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NMHC</w:t>
                  </w:r>
                </w:p>
              </w:tc>
              <w:tc>
                <w:tcPr>
                  <w:tcW w:w="1340" w:type="pct"/>
                  <w:tcBorders>
                    <w:top w:val="single" w:color="000000" w:sz="4" w:space="0"/>
                    <w:tl2br w:val="nil"/>
                    <w:tr2bl w:val="nil"/>
                  </w:tcBorders>
                  <w:vAlign w:val="center"/>
                </w:tcPr>
                <w:p w14:paraId="64E3A5B8">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0.61191</w:t>
                  </w:r>
                </w:p>
              </w:tc>
              <w:tc>
                <w:tcPr>
                  <w:tcW w:w="1583" w:type="pct"/>
                  <w:tcBorders>
                    <w:top w:val="single" w:color="000000" w:sz="4" w:space="0"/>
                    <w:tl2br w:val="nil"/>
                    <w:tr2bl w:val="nil"/>
                  </w:tcBorders>
                  <w:vAlign w:val="center"/>
                </w:tcPr>
                <w:p w14:paraId="302F907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0.255</w:t>
                  </w:r>
                </w:p>
              </w:tc>
            </w:tr>
          </w:tbl>
          <w:p w14:paraId="2073391F">
            <w:pPr>
              <w:pStyle w:val="51"/>
              <w:spacing w:line="360" w:lineRule="auto"/>
              <w:ind w:firstLine="480" w:firstLineChars="200"/>
              <w:jc w:val="both"/>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②天然气烘干炉燃烧废气</w:t>
            </w:r>
          </w:p>
          <w:p w14:paraId="38AAB9CA">
            <w:pPr>
              <w:pStyle w:val="51"/>
              <w:spacing w:line="360" w:lineRule="auto"/>
              <w:ind w:firstLine="480" w:firstLineChars="200"/>
              <w:jc w:val="both"/>
              <w:rPr>
                <w:rFonts w:hint="eastAsia" w:ascii="Times New Roman" w:hAnsi="Times New Roman"/>
                <w:color w:val="auto"/>
                <w:highlight w:val="none"/>
                <w:lang w:val="en-US" w:eastAsia="zh-CN"/>
              </w:rPr>
            </w:pPr>
            <w:r>
              <w:rPr>
                <w:rFonts w:hint="eastAsia" w:ascii="Times New Roman" w:hAnsi="Times New Roman"/>
                <w:color w:val="auto"/>
                <w:highlight w:val="none"/>
                <w:lang w:val="en-US" w:eastAsia="zh-CN"/>
              </w:rPr>
              <w:t>烘道利用天然气为能源进行直接加热，在烘道进出口设置集气罩收集尾气（收集效率90%）。项目天然气燃烧产生的废气参照</w:t>
            </w:r>
            <w:r>
              <w:rPr>
                <w:color w:val="auto"/>
                <w:spacing w:val="-3"/>
                <w:sz w:val="24"/>
                <w:szCs w:val="24"/>
              </w:rPr>
              <w:t>《排放源统</w:t>
            </w:r>
            <w:r>
              <w:rPr>
                <w:color w:val="auto"/>
                <w:spacing w:val="-4"/>
                <w:sz w:val="24"/>
                <w:szCs w:val="24"/>
              </w:rPr>
              <w:t>计调查产</w:t>
            </w:r>
            <w:r>
              <w:rPr>
                <w:color w:val="auto"/>
                <w:spacing w:val="-1"/>
                <w:sz w:val="24"/>
                <w:szCs w:val="24"/>
              </w:rPr>
              <w:t>排污核算方法和系数手册》</w:t>
            </w:r>
            <w:r>
              <w:rPr>
                <w:rFonts w:ascii="Times New Roman" w:hAnsi="Times New Roman" w:eastAsia="Times New Roman" w:cs="Times New Roman"/>
                <w:color w:val="auto"/>
                <w:spacing w:val="-1"/>
                <w:sz w:val="24"/>
                <w:szCs w:val="24"/>
              </w:rPr>
              <w:t>(2021)</w:t>
            </w:r>
            <w:r>
              <w:rPr>
                <w:color w:val="auto"/>
                <w:spacing w:val="-1"/>
                <w:sz w:val="24"/>
                <w:szCs w:val="24"/>
              </w:rPr>
              <w:t>中</w:t>
            </w:r>
            <w:r>
              <w:rPr>
                <w:rFonts w:ascii="Times New Roman" w:hAnsi="Times New Roman" w:eastAsia="Times New Roman" w:cs="Times New Roman"/>
                <w:color w:val="auto"/>
                <w:spacing w:val="-1"/>
                <w:sz w:val="24"/>
                <w:szCs w:val="24"/>
              </w:rPr>
              <w:t>“33</w:t>
            </w:r>
            <w:r>
              <w:rPr>
                <w:color w:val="auto"/>
                <w:spacing w:val="-1"/>
                <w:sz w:val="24"/>
                <w:szCs w:val="24"/>
              </w:rPr>
              <w:t>金属制品业行</w:t>
            </w:r>
            <w:r>
              <w:rPr>
                <w:color w:val="auto"/>
                <w:spacing w:val="-2"/>
                <w:sz w:val="24"/>
                <w:szCs w:val="24"/>
              </w:rPr>
              <w:t>业系数表</w:t>
            </w:r>
            <w:r>
              <w:rPr>
                <w:rFonts w:ascii="Times New Roman" w:hAnsi="Times New Roman" w:eastAsia="Times New Roman" w:cs="Times New Roman"/>
                <w:color w:val="auto"/>
                <w:spacing w:val="-2"/>
                <w:sz w:val="24"/>
                <w:szCs w:val="24"/>
              </w:rPr>
              <w:t>-</w:t>
            </w:r>
            <w:r>
              <w:rPr>
                <w:rFonts w:ascii="Times New Roman" w:hAnsi="Times New Roman" w:eastAsia="Times New Roman" w:cs="Times New Roman"/>
                <w:b/>
                <w:bCs/>
                <w:color w:val="auto"/>
                <w:spacing w:val="-2"/>
                <w:sz w:val="24"/>
                <w:szCs w:val="24"/>
              </w:rPr>
              <w:t>14</w:t>
            </w:r>
            <w:r>
              <w:rPr>
                <w:b/>
                <w:bCs/>
                <w:color w:val="auto"/>
                <w:spacing w:val="-2"/>
                <w:sz w:val="24"/>
                <w:szCs w:val="24"/>
              </w:rPr>
              <w:t>涂装</w:t>
            </w:r>
            <w:r>
              <w:rPr>
                <w:rFonts w:hint="eastAsia" w:ascii="Times New Roman" w:hAnsi="Times New Roman"/>
                <w:color w:val="auto"/>
                <w:highlight w:val="none"/>
                <w:lang w:val="en-US" w:eastAsia="zh-CN"/>
              </w:rPr>
              <w:t>进行源强核算。项目天然气烘干炉采用低氮燃烧技术，低氮燃烧器通过分级燃烧和烟气再循环降低NOx产生。</w:t>
            </w:r>
          </w:p>
          <w:p w14:paraId="775A7C66">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120"/>
              <w:ind w:left="630" w:leftChars="0" w:firstLine="0" w:firstLineChars="0"/>
              <w:textAlignment w:val="auto"/>
              <w:rPr>
                <w:rFonts w:hint="eastAsia" w:eastAsia="宋体"/>
                <w:color w:val="auto"/>
                <w:highlight w:val="none"/>
                <w:lang w:val="en-US" w:eastAsia="zh-CN"/>
              </w:rPr>
            </w:pPr>
            <w:r>
              <w:rPr>
                <w:rFonts w:hint="eastAsia" w:eastAsia="宋体"/>
                <w:color w:val="auto"/>
                <w:highlight w:val="none"/>
                <w:lang w:val="en-US" w:eastAsia="zh-CN"/>
              </w:rPr>
              <w:t>天然气产污系数表</w:t>
            </w:r>
          </w:p>
          <w:tbl>
            <w:tblPr>
              <w:tblStyle w:val="84"/>
              <w:tblW w:w="4997" w:type="pct"/>
              <w:tblInd w:w="0" w:type="dxa"/>
              <w:tblBorders>
                <w:top w:val="single" w:color="000000" w:sz="12" w:space="0"/>
                <w:left w:val="none" w:color="auto" w:sz="0" w:space="0"/>
                <w:bottom w:val="single" w:color="000000" w:sz="1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748"/>
              <w:gridCol w:w="631"/>
              <w:gridCol w:w="623"/>
              <w:gridCol w:w="813"/>
              <w:gridCol w:w="691"/>
              <w:gridCol w:w="450"/>
              <w:gridCol w:w="851"/>
              <w:gridCol w:w="1153"/>
              <w:gridCol w:w="1200"/>
              <w:gridCol w:w="1557"/>
            </w:tblGrid>
            <w:tr w14:paraId="7F7A2C64">
              <w:tblPrEx>
                <w:tblBorders>
                  <w:top w:val="single" w:color="000000" w:sz="12" w:space="0"/>
                  <w:left w:val="none" w:color="auto" w:sz="0"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4" w:hRule="atLeast"/>
              </w:trPr>
              <w:tc>
                <w:tcPr>
                  <w:tcW w:w="429" w:type="pct"/>
                  <w:tcBorders>
                    <w:bottom w:val="single" w:color="000000" w:sz="12" w:space="0"/>
                  </w:tcBorders>
                  <w:vAlign w:val="top"/>
                </w:tcPr>
                <w:p w14:paraId="46C29F69">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工段</w:t>
                  </w:r>
                </w:p>
                <w:p w14:paraId="76313C67">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名称</w:t>
                  </w:r>
                </w:p>
              </w:tc>
              <w:tc>
                <w:tcPr>
                  <w:tcW w:w="362" w:type="pct"/>
                  <w:tcBorders>
                    <w:bottom w:val="single" w:color="000000" w:sz="12" w:space="0"/>
                  </w:tcBorders>
                  <w:vAlign w:val="top"/>
                </w:tcPr>
                <w:p w14:paraId="6433E78D">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产品</w:t>
                  </w:r>
                </w:p>
                <w:p w14:paraId="4552A91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名称</w:t>
                  </w:r>
                </w:p>
              </w:tc>
              <w:tc>
                <w:tcPr>
                  <w:tcW w:w="357" w:type="pct"/>
                  <w:tcBorders>
                    <w:bottom w:val="single" w:color="000000" w:sz="12" w:space="0"/>
                  </w:tcBorders>
                  <w:vAlign w:val="top"/>
                </w:tcPr>
                <w:p w14:paraId="0799937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原料</w:t>
                  </w:r>
                </w:p>
                <w:p w14:paraId="37A7A69D">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名称</w:t>
                  </w:r>
                </w:p>
              </w:tc>
              <w:tc>
                <w:tcPr>
                  <w:tcW w:w="466" w:type="pct"/>
                  <w:tcBorders>
                    <w:bottom w:val="single" w:color="000000" w:sz="12" w:space="0"/>
                  </w:tcBorders>
                  <w:vAlign w:val="top"/>
                </w:tcPr>
                <w:p w14:paraId="01A61125">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工艺</w:t>
                  </w:r>
                </w:p>
                <w:p w14:paraId="02CEA535">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名称</w:t>
                  </w:r>
                </w:p>
              </w:tc>
              <w:tc>
                <w:tcPr>
                  <w:tcW w:w="396" w:type="pct"/>
                  <w:tcBorders>
                    <w:bottom w:val="single" w:color="000000" w:sz="12" w:space="0"/>
                  </w:tcBorders>
                  <w:vAlign w:val="top"/>
                </w:tcPr>
                <w:p w14:paraId="16B57CD0">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规模</w:t>
                  </w:r>
                </w:p>
                <w:p w14:paraId="4003451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等级</w:t>
                  </w:r>
                </w:p>
              </w:tc>
              <w:tc>
                <w:tcPr>
                  <w:tcW w:w="746" w:type="pct"/>
                  <w:gridSpan w:val="2"/>
                  <w:tcBorders>
                    <w:bottom w:val="single" w:color="000000" w:sz="12" w:space="0"/>
                  </w:tcBorders>
                  <w:vAlign w:val="top"/>
                </w:tcPr>
                <w:p w14:paraId="373BE11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污染物指标</w:t>
                  </w:r>
                </w:p>
              </w:tc>
              <w:tc>
                <w:tcPr>
                  <w:tcW w:w="661" w:type="pct"/>
                  <w:tcBorders>
                    <w:bottom w:val="single" w:color="000000" w:sz="12" w:space="0"/>
                  </w:tcBorders>
                  <w:vAlign w:val="top"/>
                </w:tcPr>
                <w:p w14:paraId="5D415CC7">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单位</w:t>
                  </w:r>
                </w:p>
              </w:tc>
              <w:tc>
                <w:tcPr>
                  <w:tcW w:w="688" w:type="pct"/>
                  <w:tcBorders>
                    <w:bottom w:val="single" w:color="000000" w:sz="12" w:space="0"/>
                  </w:tcBorders>
                  <w:vAlign w:val="top"/>
                </w:tcPr>
                <w:p w14:paraId="57579CDD">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产污</w:t>
                  </w:r>
                </w:p>
                <w:p w14:paraId="15B87FB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系数</w:t>
                  </w:r>
                </w:p>
              </w:tc>
              <w:tc>
                <w:tcPr>
                  <w:tcW w:w="892" w:type="pct"/>
                  <w:tcBorders>
                    <w:bottom w:val="single" w:color="000000" w:sz="12" w:space="0"/>
                  </w:tcBorders>
                  <w:vAlign w:val="top"/>
                </w:tcPr>
                <w:p w14:paraId="35CEAE1F">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来源</w:t>
                  </w:r>
                </w:p>
              </w:tc>
            </w:tr>
            <w:tr w14:paraId="3782D8A4">
              <w:tblPrEx>
                <w:tblBorders>
                  <w:top w:val="single" w:color="000000" w:sz="12" w:space="0"/>
                  <w:left w:val="none" w:color="auto" w:sz="0"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trPr>
              <w:tc>
                <w:tcPr>
                  <w:tcW w:w="429" w:type="pct"/>
                  <w:vMerge w:val="restart"/>
                  <w:tcBorders>
                    <w:top w:val="single" w:color="000000" w:sz="12" w:space="0"/>
                    <w:tl2br w:val="nil"/>
                    <w:tr2bl w:val="nil"/>
                  </w:tcBorders>
                  <w:vAlign w:val="top"/>
                </w:tcPr>
                <w:p w14:paraId="600423E3">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12A2F5FE">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1611BF59">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4CF6C3D6">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47019AD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6FE85AD0">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涂装</w:t>
                  </w:r>
                </w:p>
              </w:tc>
              <w:tc>
                <w:tcPr>
                  <w:tcW w:w="362" w:type="pct"/>
                  <w:vMerge w:val="restart"/>
                  <w:tcBorders>
                    <w:top w:val="single" w:color="000000" w:sz="12" w:space="0"/>
                    <w:tl2br w:val="nil"/>
                    <w:tr2bl w:val="nil"/>
                  </w:tcBorders>
                  <w:vAlign w:val="top"/>
                </w:tcPr>
                <w:p w14:paraId="2DCBE33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4D4D45E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5453DAA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3E9EAAC6">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51F6D6D2">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涂装件</w:t>
                  </w:r>
                </w:p>
              </w:tc>
              <w:tc>
                <w:tcPr>
                  <w:tcW w:w="357" w:type="pct"/>
                  <w:vMerge w:val="restart"/>
                  <w:tcBorders>
                    <w:top w:val="single" w:color="000000" w:sz="12" w:space="0"/>
                    <w:tl2br w:val="nil"/>
                    <w:tr2bl w:val="nil"/>
                  </w:tcBorders>
                  <w:vAlign w:val="top"/>
                </w:tcPr>
                <w:p w14:paraId="7C1BFF0F">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2BEC51A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598B3038">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09AA50CF">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33047B8F">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天然气</w:t>
                  </w:r>
                </w:p>
              </w:tc>
              <w:tc>
                <w:tcPr>
                  <w:tcW w:w="466" w:type="pct"/>
                  <w:vMerge w:val="restart"/>
                  <w:tcBorders>
                    <w:top w:val="single" w:color="000000" w:sz="12" w:space="0"/>
                    <w:tl2br w:val="nil"/>
                    <w:tr2bl w:val="nil"/>
                  </w:tcBorders>
                  <w:vAlign w:val="top"/>
                </w:tcPr>
                <w:p w14:paraId="511A2430">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79102DCF">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59150615">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7415E1AD">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天然气</w:t>
                  </w:r>
                </w:p>
                <w:p w14:paraId="28157F0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工业炉</w:t>
                  </w:r>
                </w:p>
                <w:p w14:paraId="49A87547">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窑</w:t>
                  </w:r>
                </w:p>
              </w:tc>
              <w:tc>
                <w:tcPr>
                  <w:tcW w:w="396" w:type="pct"/>
                  <w:vMerge w:val="restart"/>
                  <w:tcBorders>
                    <w:top w:val="single" w:color="000000" w:sz="12" w:space="0"/>
                    <w:tl2br w:val="nil"/>
                    <w:tr2bl w:val="nil"/>
                  </w:tcBorders>
                  <w:vAlign w:val="top"/>
                </w:tcPr>
                <w:p w14:paraId="7F117764">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7325B0C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4DF33AF4">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0102081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7AB43F0F">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所有</w:t>
                  </w:r>
                </w:p>
                <w:p w14:paraId="15B22EA4">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规模</w:t>
                  </w:r>
                </w:p>
              </w:tc>
              <w:tc>
                <w:tcPr>
                  <w:tcW w:w="258" w:type="pct"/>
                  <w:vMerge w:val="restart"/>
                  <w:tcBorders>
                    <w:top w:val="single" w:color="000000" w:sz="12" w:space="0"/>
                    <w:tl2br w:val="nil"/>
                    <w:tr2bl w:val="nil"/>
                  </w:tcBorders>
                  <w:textDirection w:val="tbRlV"/>
                  <w:vAlign w:val="top"/>
                </w:tcPr>
                <w:p w14:paraId="294A762F">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废气</w:t>
                  </w:r>
                </w:p>
              </w:tc>
              <w:tc>
                <w:tcPr>
                  <w:tcW w:w="488" w:type="pct"/>
                  <w:tcBorders>
                    <w:top w:val="single" w:color="000000" w:sz="12" w:space="0"/>
                    <w:tl2br w:val="nil"/>
                    <w:tr2bl w:val="nil"/>
                  </w:tcBorders>
                  <w:vAlign w:val="top"/>
                </w:tcPr>
                <w:p w14:paraId="2A5D483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工业废气量</w:t>
                  </w:r>
                </w:p>
              </w:tc>
              <w:tc>
                <w:tcPr>
                  <w:tcW w:w="661" w:type="pct"/>
                  <w:tcBorders>
                    <w:top w:val="single" w:color="000000" w:sz="12" w:space="0"/>
                    <w:tl2br w:val="nil"/>
                    <w:tr2bl w:val="nil"/>
                  </w:tcBorders>
                  <w:vAlign w:val="top"/>
                </w:tcPr>
                <w:p w14:paraId="58AD07ED">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立方米/立</w:t>
                  </w:r>
                </w:p>
                <w:p w14:paraId="307FB215">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方米-原料</w:t>
                  </w:r>
                </w:p>
              </w:tc>
              <w:tc>
                <w:tcPr>
                  <w:tcW w:w="688" w:type="pct"/>
                  <w:tcBorders>
                    <w:top w:val="single" w:color="000000" w:sz="12" w:space="0"/>
                    <w:tl2br w:val="nil"/>
                    <w:tr2bl w:val="nil"/>
                  </w:tcBorders>
                  <w:vAlign w:val="top"/>
                </w:tcPr>
                <w:p w14:paraId="73793603">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16987A09">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13.6</w:t>
                  </w:r>
                </w:p>
              </w:tc>
              <w:tc>
                <w:tcPr>
                  <w:tcW w:w="892" w:type="pct"/>
                  <w:vMerge w:val="restart"/>
                  <w:tcBorders>
                    <w:top w:val="single" w:color="000000" w:sz="12" w:space="0"/>
                    <w:tl2br w:val="nil"/>
                    <w:tr2bl w:val="nil"/>
                  </w:tcBorders>
                  <w:vAlign w:val="top"/>
                </w:tcPr>
                <w:p w14:paraId="6759F8A6">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2AFB5177">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08A750A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637A6A3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《排放源统计</w:t>
                  </w:r>
                </w:p>
                <w:p w14:paraId="68EAD86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调查产排污核</w:t>
                  </w:r>
                </w:p>
                <w:p w14:paraId="3AB43A36">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算方法和系数手册》(2021)</w:t>
                  </w:r>
                </w:p>
              </w:tc>
            </w:tr>
            <w:tr w14:paraId="4C10AD99">
              <w:tblPrEx>
                <w:tblBorders>
                  <w:top w:val="single" w:color="000000" w:sz="12" w:space="0"/>
                  <w:left w:val="none" w:color="auto" w:sz="0"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trPr>
              <w:tc>
                <w:tcPr>
                  <w:tcW w:w="429" w:type="pct"/>
                  <w:vMerge w:val="continue"/>
                  <w:tcBorders>
                    <w:tl2br w:val="nil"/>
                    <w:tr2bl w:val="nil"/>
                  </w:tcBorders>
                  <w:vAlign w:val="top"/>
                </w:tcPr>
                <w:p w14:paraId="3C3AE962">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62" w:type="pct"/>
                  <w:vMerge w:val="continue"/>
                  <w:tcBorders>
                    <w:tl2br w:val="nil"/>
                    <w:tr2bl w:val="nil"/>
                  </w:tcBorders>
                  <w:vAlign w:val="top"/>
                </w:tcPr>
                <w:p w14:paraId="4353D894">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57" w:type="pct"/>
                  <w:vMerge w:val="continue"/>
                  <w:tcBorders>
                    <w:tl2br w:val="nil"/>
                    <w:tr2bl w:val="nil"/>
                  </w:tcBorders>
                  <w:vAlign w:val="top"/>
                </w:tcPr>
                <w:p w14:paraId="5C6BC660">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466" w:type="pct"/>
                  <w:vMerge w:val="continue"/>
                  <w:tcBorders>
                    <w:tl2br w:val="nil"/>
                    <w:tr2bl w:val="nil"/>
                  </w:tcBorders>
                  <w:vAlign w:val="top"/>
                </w:tcPr>
                <w:p w14:paraId="6D9B151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96" w:type="pct"/>
                  <w:vMerge w:val="continue"/>
                  <w:tcBorders>
                    <w:tl2br w:val="nil"/>
                    <w:tr2bl w:val="nil"/>
                  </w:tcBorders>
                  <w:vAlign w:val="top"/>
                </w:tcPr>
                <w:p w14:paraId="3B732D8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258" w:type="pct"/>
                  <w:vMerge w:val="continue"/>
                  <w:tcBorders>
                    <w:tl2br w:val="nil"/>
                    <w:tr2bl w:val="nil"/>
                  </w:tcBorders>
                  <w:textDirection w:val="tbRlV"/>
                  <w:vAlign w:val="top"/>
                </w:tcPr>
                <w:p w14:paraId="44BF9DF2">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488" w:type="pct"/>
                  <w:tcBorders>
                    <w:tl2br w:val="nil"/>
                    <w:tr2bl w:val="nil"/>
                  </w:tcBorders>
                  <w:vAlign w:val="top"/>
                </w:tcPr>
                <w:p w14:paraId="0D08D0FE">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颗粒物</w:t>
                  </w:r>
                </w:p>
              </w:tc>
              <w:tc>
                <w:tcPr>
                  <w:tcW w:w="661" w:type="pct"/>
                  <w:tcBorders>
                    <w:tl2br w:val="nil"/>
                    <w:tr2bl w:val="nil"/>
                  </w:tcBorders>
                  <w:vAlign w:val="top"/>
                </w:tcPr>
                <w:p w14:paraId="2518666E">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千克/立方米-原料</w:t>
                  </w:r>
                </w:p>
              </w:tc>
              <w:tc>
                <w:tcPr>
                  <w:tcW w:w="688" w:type="pct"/>
                  <w:tcBorders>
                    <w:tl2br w:val="nil"/>
                    <w:tr2bl w:val="nil"/>
                  </w:tcBorders>
                  <w:vAlign w:val="top"/>
                </w:tcPr>
                <w:p w14:paraId="719B1CD6">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6F2A00D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0.000286</w:t>
                  </w:r>
                </w:p>
              </w:tc>
              <w:tc>
                <w:tcPr>
                  <w:tcW w:w="892" w:type="pct"/>
                  <w:vMerge w:val="continue"/>
                  <w:tcBorders>
                    <w:tl2br w:val="nil"/>
                    <w:tr2bl w:val="nil"/>
                  </w:tcBorders>
                  <w:vAlign w:val="top"/>
                </w:tcPr>
                <w:p w14:paraId="3B4FAEE6">
                  <w:pPr>
                    <w:rPr>
                      <w:rFonts w:ascii="Arial"/>
                      <w:color w:val="auto"/>
                      <w:sz w:val="21"/>
                    </w:rPr>
                  </w:pPr>
                </w:p>
              </w:tc>
            </w:tr>
            <w:tr w14:paraId="32F56D0E">
              <w:tblPrEx>
                <w:tblBorders>
                  <w:top w:val="single" w:color="000000" w:sz="12" w:space="0"/>
                  <w:left w:val="none" w:color="auto" w:sz="0"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trPr>
              <w:tc>
                <w:tcPr>
                  <w:tcW w:w="429" w:type="pct"/>
                  <w:vMerge w:val="continue"/>
                  <w:tcBorders>
                    <w:tl2br w:val="nil"/>
                    <w:tr2bl w:val="nil"/>
                  </w:tcBorders>
                  <w:vAlign w:val="top"/>
                </w:tcPr>
                <w:p w14:paraId="3A8DF54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62" w:type="pct"/>
                  <w:vMerge w:val="continue"/>
                  <w:tcBorders>
                    <w:tl2br w:val="nil"/>
                    <w:tr2bl w:val="nil"/>
                  </w:tcBorders>
                  <w:vAlign w:val="top"/>
                </w:tcPr>
                <w:p w14:paraId="4E76B6A0">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57" w:type="pct"/>
                  <w:vMerge w:val="continue"/>
                  <w:tcBorders>
                    <w:tl2br w:val="nil"/>
                    <w:tr2bl w:val="nil"/>
                  </w:tcBorders>
                  <w:vAlign w:val="top"/>
                </w:tcPr>
                <w:p w14:paraId="297B9338">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466" w:type="pct"/>
                  <w:vMerge w:val="continue"/>
                  <w:tcBorders>
                    <w:tl2br w:val="nil"/>
                    <w:tr2bl w:val="nil"/>
                  </w:tcBorders>
                  <w:vAlign w:val="top"/>
                </w:tcPr>
                <w:p w14:paraId="6B436C3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96" w:type="pct"/>
                  <w:vMerge w:val="continue"/>
                  <w:tcBorders>
                    <w:tl2br w:val="nil"/>
                    <w:tr2bl w:val="nil"/>
                  </w:tcBorders>
                  <w:vAlign w:val="top"/>
                </w:tcPr>
                <w:p w14:paraId="01B9FC32">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258" w:type="pct"/>
                  <w:vMerge w:val="continue"/>
                  <w:tcBorders>
                    <w:tl2br w:val="nil"/>
                    <w:tr2bl w:val="nil"/>
                  </w:tcBorders>
                  <w:textDirection w:val="tbRlV"/>
                  <w:vAlign w:val="top"/>
                </w:tcPr>
                <w:p w14:paraId="7671B4AE">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488" w:type="pct"/>
                  <w:tcBorders>
                    <w:tl2br w:val="nil"/>
                    <w:tr2bl w:val="nil"/>
                  </w:tcBorders>
                  <w:vAlign w:val="top"/>
                </w:tcPr>
                <w:p w14:paraId="30644364">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二氧</w:t>
                  </w:r>
                </w:p>
                <w:p w14:paraId="3711A273">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化硫</w:t>
                  </w:r>
                </w:p>
              </w:tc>
              <w:tc>
                <w:tcPr>
                  <w:tcW w:w="661" w:type="pct"/>
                  <w:tcBorders>
                    <w:tl2br w:val="nil"/>
                    <w:tr2bl w:val="nil"/>
                  </w:tcBorders>
                  <w:vAlign w:val="top"/>
                </w:tcPr>
                <w:p w14:paraId="38404013">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千克/立方米-原料</w:t>
                  </w:r>
                </w:p>
              </w:tc>
              <w:tc>
                <w:tcPr>
                  <w:tcW w:w="688" w:type="pct"/>
                  <w:tcBorders>
                    <w:tl2br w:val="nil"/>
                    <w:tr2bl w:val="nil"/>
                  </w:tcBorders>
                  <w:vAlign w:val="top"/>
                </w:tcPr>
                <w:p w14:paraId="3A4D2191">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0.000002S</w:t>
                  </w:r>
                </w:p>
              </w:tc>
              <w:tc>
                <w:tcPr>
                  <w:tcW w:w="892" w:type="pct"/>
                  <w:vMerge w:val="continue"/>
                  <w:tcBorders>
                    <w:tl2br w:val="nil"/>
                    <w:tr2bl w:val="nil"/>
                  </w:tcBorders>
                  <w:vAlign w:val="top"/>
                </w:tcPr>
                <w:p w14:paraId="51200CE0">
                  <w:pPr>
                    <w:rPr>
                      <w:rFonts w:ascii="Arial"/>
                      <w:color w:val="auto"/>
                      <w:sz w:val="21"/>
                    </w:rPr>
                  </w:pPr>
                </w:p>
              </w:tc>
            </w:tr>
            <w:tr w14:paraId="25949A23">
              <w:tblPrEx>
                <w:tblBorders>
                  <w:top w:val="single" w:color="000000" w:sz="12" w:space="0"/>
                  <w:left w:val="none" w:color="auto" w:sz="0" w:space="0"/>
                  <w:bottom w:val="single" w:color="000000" w:sz="1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94" w:hRule="atLeast"/>
              </w:trPr>
              <w:tc>
                <w:tcPr>
                  <w:tcW w:w="429" w:type="pct"/>
                  <w:vMerge w:val="continue"/>
                  <w:tcBorders>
                    <w:tl2br w:val="nil"/>
                    <w:tr2bl w:val="nil"/>
                  </w:tcBorders>
                  <w:vAlign w:val="top"/>
                </w:tcPr>
                <w:p w14:paraId="548720C3">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62" w:type="pct"/>
                  <w:vMerge w:val="continue"/>
                  <w:tcBorders>
                    <w:tl2br w:val="nil"/>
                    <w:tr2bl w:val="nil"/>
                  </w:tcBorders>
                  <w:vAlign w:val="top"/>
                </w:tcPr>
                <w:p w14:paraId="2C5F4F40">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57" w:type="pct"/>
                  <w:vMerge w:val="continue"/>
                  <w:tcBorders>
                    <w:tl2br w:val="nil"/>
                    <w:tr2bl w:val="nil"/>
                  </w:tcBorders>
                  <w:vAlign w:val="top"/>
                </w:tcPr>
                <w:p w14:paraId="1AEC9BCB">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466" w:type="pct"/>
                  <w:vMerge w:val="continue"/>
                  <w:tcBorders>
                    <w:tl2br w:val="nil"/>
                    <w:tr2bl w:val="nil"/>
                  </w:tcBorders>
                  <w:vAlign w:val="top"/>
                </w:tcPr>
                <w:p w14:paraId="136C168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396" w:type="pct"/>
                  <w:vMerge w:val="continue"/>
                  <w:tcBorders>
                    <w:tl2br w:val="nil"/>
                    <w:tr2bl w:val="nil"/>
                  </w:tcBorders>
                  <w:vAlign w:val="top"/>
                </w:tcPr>
                <w:p w14:paraId="48D5AABA">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258" w:type="pct"/>
                  <w:vMerge w:val="continue"/>
                  <w:tcBorders>
                    <w:tl2br w:val="nil"/>
                    <w:tr2bl w:val="nil"/>
                  </w:tcBorders>
                  <w:textDirection w:val="tbRlV"/>
                  <w:vAlign w:val="top"/>
                </w:tcPr>
                <w:p w14:paraId="1EA08343">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tc>
              <w:tc>
                <w:tcPr>
                  <w:tcW w:w="488" w:type="pct"/>
                  <w:tcBorders>
                    <w:tl2br w:val="nil"/>
                    <w:tr2bl w:val="nil"/>
                  </w:tcBorders>
                  <w:vAlign w:val="top"/>
                </w:tcPr>
                <w:p w14:paraId="13B805B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氮氧</w:t>
                  </w:r>
                </w:p>
                <w:p w14:paraId="062F661C">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化物</w:t>
                  </w:r>
                </w:p>
              </w:tc>
              <w:tc>
                <w:tcPr>
                  <w:tcW w:w="661" w:type="pct"/>
                  <w:tcBorders>
                    <w:tl2br w:val="nil"/>
                    <w:tr2bl w:val="nil"/>
                  </w:tcBorders>
                  <w:vAlign w:val="top"/>
                </w:tcPr>
                <w:p w14:paraId="03A4F7F9">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千克/立方米-原料</w:t>
                  </w:r>
                </w:p>
              </w:tc>
              <w:tc>
                <w:tcPr>
                  <w:tcW w:w="688" w:type="pct"/>
                  <w:tcBorders>
                    <w:tl2br w:val="nil"/>
                    <w:tr2bl w:val="nil"/>
                  </w:tcBorders>
                  <w:vAlign w:val="top"/>
                </w:tcPr>
                <w:p w14:paraId="0B26EA69">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p>
                <w:p w14:paraId="2D716066">
                  <w:pPr>
                    <w:pStyle w:val="95"/>
                    <w:keepNext w:val="0"/>
                    <w:keepLines w:val="0"/>
                    <w:pageBreakBefore w:val="0"/>
                    <w:widowControl w:val="0"/>
                    <w:kinsoku/>
                    <w:wordWrap/>
                    <w:overflowPunct/>
                    <w:topLinePunct w:val="0"/>
                    <w:autoSpaceDE/>
                    <w:autoSpaceDN/>
                    <w:bidi w:val="0"/>
                    <w:adjustRightInd/>
                    <w:snapToGrid/>
                    <w:ind w:left="0" w:firstLine="0" w:firstLineChars="0"/>
                    <w:jc w:val="center"/>
                    <w:textAlignment w:val="auto"/>
                    <w:rPr>
                      <w:rFonts w:hint="eastAsia" w:ascii="Times New Roman" w:hAnsi="Times New Roman" w:eastAsia="宋体" w:cs="宋体"/>
                      <w:color w:val="auto"/>
                      <w:spacing w:val="-7"/>
                      <w:sz w:val="21"/>
                      <w:lang w:val="en-US" w:eastAsia="zh-CN"/>
                    </w:rPr>
                  </w:pPr>
                  <w:r>
                    <w:rPr>
                      <w:rFonts w:hint="eastAsia" w:ascii="Times New Roman" w:hAnsi="Times New Roman" w:eastAsia="宋体" w:cs="宋体"/>
                      <w:color w:val="auto"/>
                      <w:spacing w:val="-7"/>
                      <w:sz w:val="21"/>
                      <w:lang w:val="en-US" w:eastAsia="zh-CN"/>
                    </w:rPr>
                    <w:t>0.00187</w:t>
                  </w:r>
                </w:p>
              </w:tc>
              <w:tc>
                <w:tcPr>
                  <w:tcW w:w="892" w:type="pct"/>
                  <w:vMerge w:val="continue"/>
                  <w:tcBorders>
                    <w:tl2br w:val="nil"/>
                    <w:tr2bl w:val="nil"/>
                  </w:tcBorders>
                  <w:vAlign w:val="top"/>
                </w:tcPr>
                <w:p w14:paraId="065927E1">
                  <w:pPr>
                    <w:rPr>
                      <w:rFonts w:ascii="Arial"/>
                      <w:color w:val="auto"/>
                      <w:sz w:val="21"/>
                    </w:rPr>
                  </w:pPr>
                </w:p>
              </w:tc>
            </w:tr>
          </w:tbl>
          <w:p w14:paraId="2213A2AE">
            <w:pPr>
              <w:rPr>
                <w:rFonts w:hint="eastAsia"/>
                <w:color w:val="auto"/>
                <w:lang w:val="en-US" w:eastAsia="zh-CN"/>
              </w:rPr>
            </w:pPr>
          </w:p>
          <w:p w14:paraId="07A9E2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val="en-US" w:eastAsia="zh-CN"/>
              </w:rPr>
            </w:pPr>
            <w:r>
              <w:rPr>
                <w:rFonts w:hint="eastAsia"/>
                <w:color w:val="auto"/>
                <w:sz w:val="24"/>
                <w:lang w:val="en-US" w:eastAsia="zh-CN"/>
              </w:rPr>
              <w:t>根据《排放源统计调查产排污核算方法和系数手册》中4430工业锅炉（热力供应）行业系数手册、HJ953-2018《排污许可证申请与核发技术规范锅炉》，天然气工业炉窑颗粒物产污系数为0.000286kg/m</w:t>
            </w:r>
            <w:r>
              <w:rPr>
                <w:rFonts w:hint="eastAsia"/>
                <w:color w:val="auto"/>
                <w:sz w:val="24"/>
                <w:vertAlign w:val="superscript"/>
                <w:lang w:val="en-US" w:eastAsia="zh-CN"/>
              </w:rPr>
              <w:t>3</w:t>
            </w:r>
            <w:r>
              <w:rPr>
                <w:rFonts w:hint="eastAsia"/>
                <w:color w:val="auto"/>
                <w:sz w:val="24"/>
                <w:lang w:val="en-US" w:eastAsia="zh-CN"/>
              </w:rPr>
              <w:t>-原料；二氧化硫产污系数为0.000002Skg/m</w:t>
            </w:r>
            <w:r>
              <w:rPr>
                <w:rFonts w:hint="eastAsia"/>
                <w:color w:val="auto"/>
                <w:sz w:val="24"/>
                <w:vertAlign w:val="superscript"/>
                <w:lang w:val="en-US" w:eastAsia="zh-CN"/>
              </w:rPr>
              <w:t>3</w:t>
            </w:r>
            <w:r>
              <w:rPr>
                <w:rFonts w:hint="eastAsia"/>
                <w:color w:val="auto"/>
                <w:sz w:val="24"/>
                <w:lang w:val="en-US" w:eastAsia="zh-CN"/>
              </w:rPr>
              <w:t>-原料；氮氧化物产污系数为0.001587kg/m</w:t>
            </w:r>
            <w:r>
              <w:rPr>
                <w:rFonts w:hint="eastAsia"/>
                <w:color w:val="auto"/>
                <w:sz w:val="24"/>
                <w:vertAlign w:val="superscript"/>
                <w:lang w:val="en-US" w:eastAsia="zh-CN"/>
              </w:rPr>
              <w:t>3</w:t>
            </w:r>
            <w:r>
              <w:rPr>
                <w:rFonts w:hint="eastAsia"/>
                <w:color w:val="auto"/>
                <w:sz w:val="24"/>
                <w:lang w:val="en-US" w:eastAsia="zh-CN"/>
              </w:rPr>
              <w:t>-原料。该项目使用天然气量约为1万m</w:t>
            </w:r>
            <w:r>
              <w:rPr>
                <w:rFonts w:hint="eastAsia"/>
                <w:color w:val="auto"/>
                <w:sz w:val="24"/>
                <w:vertAlign w:val="superscript"/>
                <w:lang w:val="en-US" w:eastAsia="zh-CN"/>
              </w:rPr>
              <w:t>3</w:t>
            </w:r>
            <w:r>
              <w:rPr>
                <w:rFonts w:hint="eastAsia"/>
                <w:color w:val="auto"/>
                <w:sz w:val="24"/>
                <w:lang w:val="en-US" w:eastAsia="zh-CN"/>
              </w:rPr>
              <w:t>/a，收到基硫份S取最大值100。则天然气燃烧废气颗粒物产生量为2.86kg/a，二氧化硫产生量为2kg/a，氮氧化物产生量为18.7kg/a。天然气燃烧废气与烘干固化废气一起经喷淋＋二级活性炭吸附装置进行处理后由一根23m高排气筒高空排放。天然气燃烧废气颗粒物有组织排放量为0.0026t/a，无组织排放量为0.0003t/a；二氧化硫有组织排放量为0.0014t/a，无组织排放量为0.0002t/a；氮氧化物有组织排放量为0.0168t/a，无组织排放量为0.0018t/a。</w:t>
            </w:r>
          </w:p>
          <w:p w14:paraId="698B399D">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③焊接废气</w:t>
            </w:r>
          </w:p>
          <w:p w14:paraId="4A40FF29">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项目营运期对工件拼装时焊接工序会产生焊接烟尘。根据建设单位提供资料，本项目使用的焊接设备主要为二氧化碳保护焊，焊丝用量为20t/a。</w:t>
            </w:r>
          </w:p>
          <w:p w14:paraId="0D44DFE7">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根据《第二次全国污染源普查工业污染源产排污系数手册》（试用版）机械行业系数手册，药芯焊丝的CO</w:t>
            </w:r>
            <w:r>
              <w:rPr>
                <w:rFonts w:hint="eastAsia" w:ascii="Times New Roman" w:hAnsi="Times New Roman" w:eastAsia="宋体" w:cs="Times New Roman"/>
                <w:color w:val="auto"/>
                <w:kern w:val="2"/>
                <w:sz w:val="24"/>
                <w:szCs w:val="24"/>
                <w:highlight w:val="none"/>
                <w:vertAlign w:val="sub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气体保护焊颗粒物产污系数为20.5kg/t-原料。则焊接工序产生的焊接烟尘量约为0.41t/a，设风机收集焊接烟尘（收集效率90%）并经</w:t>
            </w:r>
            <w:r>
              <w:rPr>
                <w:rFonts w:hint="eastAsia" w:ascii="Times New Roman" w:cs="Times New Roman"/>
                <w:color w:val="auto"/>
                <w:kern w:val="2"/>
                <w:sz w:val="24"/>
                <w:szCs w:val="24"/>
                <w:highlight w:val="none"/>
                <w:lang w:val="en-US" w:eastAsia="zh-CN" w:bidi="ar-SA"/>
              </w:rPr>
              <w:t>布袋</w:t>
            </w:r>
            <w:r>
              <w:rPr>
                <w:rFonts w:hint="eastAsia" w:ascii="Times New Roman" w:hAnsi="Times New Roman" w:eastAsia="宋体" w:cs="Times New Roman"/>
                <w:color w:val="auto"/>
                <w:kern w:val="2"/>
                <w:sz w:val="24"/>
                <w:szCs w:val="24"/>
                <w:highlight w:val="none"/>
                <w:lang w:val="en-US" w:eastAsia="zh-CN" w:bidi="ar-SA"/>
              </w:rPr>
              <w:t>除尘器（根据《三废处理工程技术手册》（化工出版社）第二篇第五章第四节中对</w:t>
            </w:r>
            <w:r>
              <w:rPr>
                <w:rFonts w:hint="eastAsia" w:ascii="Times New Roman" w:cs="Times New Roman"/>
                <w:color w:val="auto"/>
                <w:kern w:val="2"/>
                <w:sz w:val="24"/>
                <w:szCs w:val="24"/>
                <w:highlight w:val="none"/>
                <w:lang w:val="en-US" w:eastAsia="zh-CN" w:bidi="ar-SA"/>
              </w:rPr>
              <w:t>布袋</w:t>
            </w:r>
            <w:r>
              <w:rPr>
                <w:rFonts w:hint="eastAsia" w:ascii="Times New Roman" w:hAnsi="Times New Roman" w:eastAsia="宋体" w:cs="Times New Roman"/>
                <w:color w:val="auto"/>
                <w:kern w:val="2"/>
                <w:sz w:val="24"/>
                <w:szCs w:val="24"/>
                <w:highlight w:val="none"/>
                <w:lang w:val="en-US" w:eastAsia="zh-CN" w:bidi="ar-SA"/>
              </w:rPr>
              <w:t>除尘器的除尘效率一般在95%～99%，本项目处理效率</w:t>
            </w:r>
            <w:r>
              <w:rPr>
                <w:rFonts w:hint="eastAsia" w:ascii="Times New Roman" w:cs="Times New Roman"/>
                <w:color w:val="auto"/>
                <w:kern w:val="2"/>
                <w:sz w:val="24"/>
                <w:szCs w:val="24"/>
                <w:highlight w:val="none"/>
                <w:lang w:val="en-US" w:eastAsia="zh-CN" w:bidi="ar-SA"/>
              </w:rPr>
              <w:t>取</w:t>
            </w:r>
            <w:r>
              <w:rPr>
                <w:rFonts w:hint="eastAsia" w:ascii="Times New Roman" w:hAnsi="Times New Roman" w:eastAsia="宋体" w:cs="Times New Roman"/>
                <w:color w:val="auto"/>
                <w:kern w:val="2"/>
                <w:sz w:val="24"/>
                <w:szCs w:val="24"/>
                <w:highlight w:val="none"/>
                <w:lang w:val="en-US" w:eastAsia="zh-CN" w:bidi="ar-SA"/>
              </w:rPr>
              <w:t>95%）处理后由一根20m高排气筒高空排放。焊接工序烟尘有组织排放量为0.018t/a，无组织排放量为0.041t/a。</w:t>
            </w:r>
          </w:p>
          <w:p w14:paraId="5473FD04">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④废水处理废气</w:t>
            </w:r>
          </w:p>
          <w:p w14:paraId="52B85E91">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本项目设有1座废水处理设施，处理工艺为“</w:t>
            </w:r>
            <w:r>
              <w:rPr>
                <w:rFonts w:hint="eastAsia" w:ascii="Times New Roman" w:cs="Times New Roman"/>
                <w:color w:val="auto"/>
                <w:kern w:val="2"/>
                <w:sz w:val="24"/>
                <w:szCs w:val="24"/>
                <w:highlight w:val="none"/>
                <w:lang w:val="en-US" w:eastAsia="zh-CN" w:bidi="ar-SA"/>
              </w:rPr>
              <w:t>气浮+A/O+沉淀</w:t>
            </w:r>
            <w:r>
              <w:rPr>
                <w:rFonts w:hint="eastAsia" w:ascii="Times New Roman" w:hAnsi="Times New Roman" w:eastAsia="宋体" w:cs="Times New Roman"/>
                <w:color w:val="auto"/>
                <w:kern w:val="2"/>
                <w:sz w:val="24"/>
                <w:szCs w:val="24"/>
                <w:highlight w:val="none"/>
                <w:lang w:val="en-US" w:eastAsia="zh-CN" w:bidi="ar-SA"/>
              </w:rPr>
              <w:t>”，废水处理过程中有废气产生。</w:t>
            </w:r>
          </w:p>
          <w:p w14:paraId="3E6E7936">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参考《城镇污水处理厂臭气处理技术规程》（CJJ/T243-2016），臭气浓度取NH</w:t>
            </w:r>
            <w:r>
              <w:rPr>
                <w:rFonts w:hint="eastAsia" w:ascii="Times New Roman" w:hAnsi="Times New Roman" w:eastAsia="宋体" w:cs="Times New Roman"/>
                <w:color w:val="auto"/>
                <w:kern w:val="2"/>
                <w:sz w:val="24"/>
                <w:szCs w:val="24"/>
                <w:highlight w:val="none"/>
                <w:vertAlign w:val="subscript"/>
                <w:lang w:val="en-US" w:eastAsia="zh-CN" w:bidi="ar-SA"/>
              </w:rPr>
              <w:t>3</w:t>
            </w:r>
            <w:r>
              <w:rPr>
                <w:rFonts w:hint="eastAsia" w:ascii="Times New Roman" w:cs="Times New Roman"/>
                <w:color w:val="auto"/>
                <w:kern w:val="2"/>
                <w:sz w:val="24"/>
                <w:szCs w:val="24"/>
                <w:highlight w:val="none"/>
                <w:vertAlign w:val="subscript"/>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2.5mg/m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r>
              <w:rPr>
                <w:rFonts w:hint="eastAsia" w:ascii="Times New Roman" w:hAnsi="Times New Roman" w:eastAsia="宋体" w:cs="Times New Roman"/>
                <w:color w:val="auto"/>
                <w:kern w:val="2"/>
                <w:sz w:val="24"/>
                <w:szCs w:val="24"/>
                <w:highlight w:val="none"/>
                <w:vertAlign w:val="sub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S：5.0mg/m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，臭气浓度：1000。本工程建设完成后，计算得到NH</w:t>
            </w:r>
            <w:r>
              <w:rPr>
                <w:rFonts w:hint="eastAsia" w:ascii="Times New Roman" w:hAnsi="Times New Roman" w:eastAsia="宋体" w:cs="Times New Roman"/>
                <w:color w:val="auto"/>
                <w:kern w:val="2"/>
                <w:sz w:val="24"/>
                <w:szCs w:val="24"/>
                <w:highlight w:val="none"/>
                <w:vertAlign w:val="sub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r>
              <w:rPr>
                <w:rFonts w:hint="eastAsia" w:ascii="Times New Roman" w:hAnsi="Times New Roman" w:eastAsia="宋体" w:cs="Times New Roman"/>
                <w:color w:val="auto"/>
                <w:kern w:val="2"/>
                <w:sz w:val="24"/>
                <w:szCs w:val="24"/>
                <w:highlight w:val="none"/>
                <w:vertAlign w:val="subscript"/>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S的最终产生总量分别为0.06t/a、0.12t/a。恶臭气体无组织排放，满足《恶臭污染物排放标准》（GB14554-93）中的限值要求。本项目废水处理设施规模较小，其产生的废气浓度较低。通过投加除臭剂并实施设施密闭加盖措施，可从源头有效减少废气的无组织排放。鉴于废水处理设施产生的废气对环境影响较小，因此采用无组织排放方式可行。</w:t>
            </w:r>
          </w:p>
          <w:p w14:paraId="26882C7A">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（2）防治措施</w:t>
            </w:r>
          </w:p>
          <w:p w14:paraId="5E47EC2E">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根据项目设计方案，针对本项目产生的废气，采取以下防治措施：</w:t>
            </w:r>
          </w:p>
          <w:p w14:paraId="33646E29">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①电泳废气、固化废气、天然气燃烧废气</w:t>
            </w:r>
          </w:p>
          <w:p w14:paraId="6DD72901">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本项目电泳废气、固化废气</w:t>
            </w:r>
            <w:r>
              <w:rPr>
                <w:rFonts w:hint="eastAsia" w:ascii="Times New Roman" w:cs="Times New Roman"/>
                <w:color w:val="auto"/>
                <w:kern w:val="2"/>
                <w:sz w:val="24"/>
                <w:szCs w:val="24"/>
                <w:highlight w:val="none"/>
                <w:lang w:val="en-US" w:eastAsia="zh-CN" w:bidi="ar-SA"/>
              </w:rPr>
              <w:t>经过负压</w:t>
            </w:r>
            <w:r>
              <w:rPr>
                <w:rFonts w:hint="eastAsia" w:ascii="Times New Roman" w:hAnsi="Times New Roman" w:eastAsia="宋体" w:cs="Times New Roman"/>
                <w:color w:val="auto"/>
                <w:kern w:val="2"/>
                <w:sz w:val="24"/>
                <w:szCs w:val="24"/>
                <w:highlight w:val="none"/>
                <w:lang w:val="en-US" w:eastAsia="zh-CN" w:bidi="ar-SA"/>
              </w:rPr>
              <w:t>收集后，经二级活性炭装置净化处理后，通过DA001排气筒排放（高度</w:t>
            </w:r>
            <w:r>
              <w:rPr>
                <w:rFonts w:hint="eastAsia" w:ascii="Times New Roman" w:cs="Times New Roman"/>
                <w:color w:val="auto"/>
                <w:kern w:val="2"/>
                <w:sz w:val="24"/>
                <w:szCs w:val="24"/>
                <w:highlight w:val="none"/>
                <w:lang w:val="en-US" w:eastAsia="zh-CN" w:bidi="ar-SA"/>
              </w:rPr>
              <w:t>23m</w:t>
            </w:r>
            <w:r>
              <w:rPr>
                <w:rFonts w:hint="eastAsia" w:ascii="Times New Roman" w:hAnsi="Times New Roman" w:eastAsia="宋体" w:cs="Times New Roman"/>
                <w:color w:val="auto"/>
                <w:kern w:val="2"/>
                <w:sz w:val="24"/>
                <w:szCs w:val="24"/>
                <w:highlight w:val="none"/>
                <w:lang w:val="en-US" w:eastAsia="zh-CN" w:bidi="ar-SA"/>
              </w:rPr>
              <w:t>），风机风量为10000m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/h。天然气燃烧废气与烘干固化废气一起经</w:t>
            </w:r>
            <w:r>
              <w:rPr>
                <w:rFonts w:hint="eastAsia" w:ascii="Times New Roman" w:cs="Times New Roman"/>
                <w:color w:val="auto"/>
                <w:kern w:val="2"/>
                <w:sz w:val="24"/>
                <w:szCs w:val="24"/>
                <w:highlight w:val="none"/>
                <w:lang w:val="en-US" w:eastAsia="zh-CN" w:bidi="ar-SA"/>
              </w:rPr>
              <w:t>喷淋＋二级活性炭吸附</w:t>
            </w:r>
            <w:r>
              <w:rPr>
                <w:rFonts w:hint="eastAsia" w:ascii="Times New Roman" w:hAnsi="Times New Roman" w:eastAsia="宋体" w:cs="Times New Roman"/>
                <w:color w:val="auto"/>
                <w:kern w:val="2"/>
                <w:sz w:val="24"/>
                <w:szCs w:val="24"/>
                <w:highlight w:val="none"/>
                <w:lang w:val="en-US" w:eastAsia="zh-CN" w:bidi="ar-SA"/>
              </w:rPr>
              <w:t>装置进行处理后达标排放。</w:t>
            </w:r>
          </w:p>
          <w:p w14:paraId="0A1979F7">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②焊接废气</w:t>
            </w:r>
          </w:p>
          <w:p w14:paraId="7C231D04">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本项目焊接工位产生的焊接烟尘经集气罩收集后，经</w:t>
            </w:r>
            <w:r>
              <w:rPr>
                <w:rFonts w:hint="eastAsia" w:ascii="Times New Roman" w:cs="Times New Roman"/>
                <w:color w:val="auto"/>
                <w:kern w:val="2"/>
                <w:sz w:val="24"/>
                <w:szCs w:val="24"/>
                <w:highlight w:val="none"/>
                <w:lang w:val="en-US" w:eastAsia="zh-CN" w:bidi="ar-SA"/>
              </w:rPr>
              <w:t>布袋</w:t>
            </w:r>
            <w:r>
              <w:rPr>
                <w:rFonts w:hint="eastAsia" w:ascii="Times New Roman" w:hAnsi="Times New Roman" w:eastAsia="宋体" w:cs="Times New Roman"/>
                <w:color w:val="auto"/>
                <w:kern w:val="2"/>
                <w:sz w:val="24"/>
                <w:szCs w:val="24"/>
                <w:highlight w:val="none"/>
                <w:lang w:val="en-US" w:eastAsia="zh-CN" w:bidi="ar-SA"/>
              </w:rPr>
              <w:t>除尘器（处理效率为95%）处理后由一根20m高排气筒（DA002）高空排放，风机风量为50000m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/h。</w:t>
            </w:r>
          </w:p>
          <w:p w14:paraId="29314734">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（3）项目污染物产生及排放情况</w:t>
            </w:r>
          </w:p>
          <w:p w14:paraId="7511DFA9">
            <w:pPr>
              <w:pStyle w:val="51"/>
              <w:spacing w:line="360" w:lineRule="auto"/>
              <w:ind w:firstLine="480" w:firstLineChars="200"/>
              <w:jc w:val="both"/>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由表4.2-2可知，DA001排气筒VOCs（以非甲烷总烃计）有组织排放量为0.0847t/a，排放速率为0.0353kg/h，排放浓度为3.53mg/m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，VOCs（以非甲烷总烃计）无组织排放量为0.0941t/a，排放速率为0.0392kg/h；颗粒物有组织排放量为0.0026t/a，排放速率为0.001kg/h，排放浓度为0.108mg/m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，颗粒物无组织排放量为0.0003t/a；SO</w:t>
            </w:r>
            <w:r>
              <w:rPr>
                <w:rFonts w:hint="eastAsia" w:ascii="Times New Roman" w:hAnsi="Times New Roman"/>
                <w:color w:val="auto"/>
                <w:highlight w:val="none"/>
                <w:vertAlign w:val="subscript"/>
                <w:lang w:val="en-US" w:eastAsia="zh-CN"/>
              </w:rPr>
              <w:t>2</w:t>
            </w:r>
            <w:r>
              <w:rPr>
                <w:rFonts w:hint="eastAsia" w:ascii="Times New Roman" w:hAnsi="Times New Roman"/>
                <w:color w:val="auto"/>
                <w:highlight w:val="none"/>
                <w:lang w:val="en-US" w:eastAsia="zh-CN"/>
              </w:rPr>
              <w:t>有组织排放量为0.0018t/a，排放速率为0.00074kg/h，排放浓度为0.075mg/m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，无组织排放量为0.0002t/a；NOx有组织排放量为0.0168t/a，排放速率为0.007kg/h，排放浓度为0.7mg/m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，无组织排放量为0.0018t/a；DA002排气筒颗粒物有组织排放量为0.0184t/a，排放速率为0.0076kg/h，排放浓度为0.152mg/m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，无组织排放量为0.041t/a。</w:t>
            </w:r>
          </w:p>
          <w:p w14:paraId="272B8C13">
            <w:pPr>
              <w:pStyle w:val="51"/>
              <w:spacing w:line="360" w:lineRule="auto"/>
              <w:ind w:firstLine="480" w:firstLineChars="200"/>
              <w:jc w:val="both"/>
              <w:rPr>
                <w:rFonts w:hint="default" w:ascii="Times New Roman" w:hAnsi="Times New Roman"/>
                <w:color w:val="auto"/>
                <w:highlight w:val="none"/>
                <w:lang w:val="en-US" w:eastAsia="zh-CN"/>
              </w:rPr>
            </w:pPr>
            <w:r>
              <w:rPr>
                <w:rFonts w:hint="eastAsia" w:ascii="Times New Roman" w:hAnsi="Times New Roman"/>
                <w:color w:val="auto"/>
                <w:highlight w:val="none"/>
                <w:lang w:val="en-US" w:eastAsia="zh-CN"/>
              </w:rPr>
              <w:t>DA001排气筒排放的非甲烷总烃能够满足《工业涂装工序挥发性有机物排放标准》(DB35/1783-2018)中表1标准限值（非甲烷总烃最高允许排放浓度为60mg/m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，最高允许排放速率为5.33kg/h）；同时，无组织排放的有机废气需满足</w:t>
            </w:r>
            <w:r>
              <w:rPr>
                <w:rFonts w:hint="default" w:ascii="Times New Roman" w:hAnsi="Times New Roman" w:eastAsia="宋体" w:cs="宋体"/>
                <w:color w:val="auto"/>
                <w:kern w:val="0"/>
                <w:sz w:val="24"/>
                <w:szCs w:val="20"/>
                <w:highlight w:val="none"/>
                <w:lang w:val="en-US" w:eastAsia="zh-CN" w:bidi="ar-SA"/>
              </w:rPr>
              <w:t>《工业涂装工序挥发性有机物排放标准》(DB35/1783-2018)中表3、表4标准限值及《挥发性有机物无组织排放控制标准》(GB 37822-2019)中附录A表A.1标准限值</w:t>
            </w:r>
            <w:r>
              <w:rPr>
                <w:rFonts w:hint="eastAsia" w:ascii="Times New Roman" w:hAnsi="Times New Roman"/>
                <w:color w:val="auto"/>
                <w:highlight w:val="none"/>
                <w:lang w:val="en-US" w:eastAsia="zh-CN"/>
              </w:rPr>
              <w:t>；颗粒物、SO</w:t>
            </w:r>
            <w:r>
              <w:rPr>
                <w:rFonts w:hint="eastAsia" w:ascii="Times New Roman" w:hAnsi="Times New Roman"/>
                <w:color w:val="auto"/>
                <w:highlight w:val="none"/>
                <w:vertAlign w:val="subscript"/>
                <w:lang w:val="en-US" w:eastAsia="zh-CN"/>
              </w:rPr>
              <w:t>2</w:t>
            </w:r>
            <w:r>
              <w:rPr>
                <w:rFonts w:hint="eastAsia" w:ascii="Times New Roman" w:hAnsi="Times New Roman"/>
                <w:color w:val="auto"/>
                <w:highlight w:val="none"/>
                <w:lang w:val="en-US" w:eastAsia="zh-CN"/>
              </w:rPr>
              <w:t>、NOx能够满足</w:t>
            </w:r>
            <w:r>
              <w:rPr>
                <w:rFonts w:hint="default" w:ascii="Times New Roman" w:hAnsi="Times New Roman" w:eastAsia="宋体" w:cs="宋体"/>
                <w:color w:val="auto"/>
                <w:kern w:val="0"/>
                <w:sz w:val="24"/>
                <w:szCs w:val="20"/>
                <w:highlight w:val="none"/>
                <w:lang w:val="en-US" w:eastAsia="zh-CN" w:bidi="ar-SA"/>
              </w:rPr>
              <w:t>《福建省工业炉窑大气污染综合治理方案》（闽环保大气〔2019〕10号）中明确规定的重点区域限值</w:t>
            </w:r>
            <w:r>
              <w:rPr>
                <w:rFonts w:hint="eastAsia" w:ascii="Times New Roman" w:hAnsi="Times New Roman"/>
                <w:color w:val="auto"/>
                <w:highlight w:val="none"/>
                <w:lang w:val="en-US" w:eastAsia="zh-CN"/>
              </w:rPr>
              <w:t>（颗粒物最高允许排放浓度为30mg/m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，SO</w:t>
            </w:r>
            <w:r>
              <w:rPr>
                <w:rFonts w:hint="eastAsia" w:ascii="Times New Roman" w:hAnsi="Times New Roman"/>
                <w:color w:val="auto"/>
                <w:highlight w:val="none"/>
                <w:vertAlign w:val="subscript"/>
                <w:lang w:val="en-US" w:eastAsia="zh-CN"/>
              </w:rPr>
              <w:t>2</w:t>
            </w:r>
            <w:r>
              <w:rPr>
                <w:rFonts w:hint="eastAsia" w:ascii="Times New Roman" w:hAnsi="Times New Roman"/>
                <w:color w:val="auto"/>
                <w:highlight w:val="none"/>
                <w:lang w:val="en-US" w:eastAsia="zh-CN"/>
              </w:rPr>
              <w:t>最高允许排放浓度为200mg/m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，NOx最高允许排放浓度为300mg/m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）；DA002排气筒排放的颗粒物能够满足《大气污染物综合排放标准》（GB 16297-1996）表2标准中最高允许排放浓度和最高允许排放速率限值（颗粒物最高允许排放浓度为120mg/m</w:t>
            </w:r>
            <w:r>
              <w:rPr>
                <w:rFonts w:hint="eastAsia" w:ascii="Times New Roman" w:hAnsi="Times New Roman"/>
                <w:color w:val="auto"/>
                <w:highlight w:val="none"/>
                <w:vertAlign w:val="superscript"/>
                <w:lang w:val="en-US" w:eastAsia="zh-CN"/>
              </w:rPr>
              <w:t>3</w:t>
            </w:r>
            <w:r>
              <w:rPr>
                <w:rFonts w:hint="eastAsia" w:ascii="Times New Roman" w:hAnsi="Times New Roman"/>
                <w:color w:val="auto"/>
                <w:highlight w:val="none"/>
                <w:lang w:val="en-US" w:eastAsia="zh-CN"/>
              </w:rPr>
              <w:t>，最高允许排放速率为5.9kg/h）。</w:t>
            </w:r>
          </w:p>
          <w:p w14:paraId="1EBB384A">
            <w:pPr>
              <w:pStyle w:val="53"/>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由表4.2-2可知，DA002排气筒排放的颗粒物颗粒物有组织排放量为0.0185t/a，排放速率为0.0077kg/h，排放浓度为0.77mg/m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，颗粒物无组织排放量为0.041t/a，排放速率为0.017kg/h；DA002排气筒排放的颗粒物排放执行《大气污染物综合排放标准》（GB 16297-1996）表2标准最高允许排放浓度为120mg/m</w:t>
            </w:r>
            <w:r>
              <w:rPr>
                <w:rFonts w:hint="eastAsia" w:ascii="Times New Roman" w:hAnsi="Times New Roman" w:eastAsia="宋体" w:cs="Times New Roman"/>
                <w:color w:val="auto"/>
                <w:kern w:val="2"/>
                <w:sz w:val="24"/>
                <w:szCs w:val="24"/>
                <w:highlight w:val="none"/>
                <w:vertAlign w:val="superscript"/>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，最高允许排放速率为5.9kg/h。</w:t>
            </w:r>
          </w:p>
          <w:p w14:paraId="25AF4791">
            <w:pPr>
              <w:pStyle w:val="51"/>
              <w:spacing w:line="360" w:lineRule="auto"/>
              <w:ind w:firstLine="480" w:firstLineChars="200"/>
              <w:jc w:val="both"/>
              <w:rPr>
                <w:rFonts w:hint="default" w:ascii="Times New Roman" w:hAnsi="Times New Roman" w:cs="Times New Roman"/>
                <w:color w:val="auto"/>
                <w:highlight w:val="none"/>
                <w:lang w:val="en-US" w:eastAsia="zh-CN"/>
              </w:rPr>
            </w:pPr>
            <w:r>
              <w:rPr>
                <w:rFonts w:hint="eastAsia" w:ascii="Times New Roman" w:hAnsi="Times New Roman"/>
                <w:color w:val="auto"/>
                <w:highlight w:val="none"/>
                <w:lang w:val="en-US" w:eastAsia="zh-CN"/>
              </w:rPr>
              <w:t>项目废气污染源源强核算结果及相关参数一览表4.2-2。</w:t>
            </w:r>
          </w:p>
        </w:tc>
      </w:tr>
    </w:tbl>
    <w:p w14:paraId="3C33ECF4">
      <w:pPr>
        <w:adjustRightInd w:val="0"/>
        <w:snapToGrid w:val="0"/>
        <w:spacing w:line="360" w:lineRule="auto"/>
        <w:rPr>
          <w:rFonts w:ascii="宋体" w:cs="宋体"/>
          <w:b/>
          <w:color w:val="auto"/>
          <w:kern w:val="0"/>
          <w:sz w:val="28"/>
          <w:szCs w:val="28"/>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14:paraId="62472181">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120"/>
        <w:ind w:left="630" w:leftChars="0" w:firstLine="0" w:firstLineChars="0"/>
        <w:textAlignment w:val="auto"/>
        <w:rPr>
          <w:rFonts w:hint="default"/>
          <w:color w:val="auto"/>
          <w:highlight w:val="none"/>
          <w:lang w:val="en-US" w:eastAsia="zh-CN"/>
        </w:rPr>
      </w:pPr>
      <w:r>
        <w:rPr>
          <w:rFonts w:hint="eastAsia"/>
          <w:color w:val="auto"/>
          <w:highlight w:val="none"/>
          <w:lang w:val="en-US" w:eastAsia="zh-CN"/>
        </w:rPr>
        <w:t xml:space="preserve"> 项目废气污染源源强核算结果及相关参数一览表</w:t>
      </w:r>
    </w:p>
    <w:tbl>
      <w:tblPr>
        <w:tblStyle w:val="84"/>
        <w:tblW w:w="14029"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528"/>
        <w:gridCol w:w="477"/>
        <w:gridCol w:w="716"/>
        <w:gridCol w:w="344"/>
        <w:gridCol w:w="718"/>
        <w:gridCol w:w="915"/>
        <w:gridCol w:w="708"/>
        <w:gridCol w:w="657"/>
        <w:gridCol w:w="315"/>
        <w:gridCol w:w="647"/>
        <w:gridCol w:w="335"/>
        <w:gridCol w:w="500"/>
        <w:gridCol w:w="500"/>
        <w:gridCol w:w="612"/>
        <w:gridCol w:w="703"/>
        <w:gridCol w:w="708"/>
        <w:gridCol w:w="657"/>
        <w:gridCol w:w="1167"/>
        <w:gridCol w:w="1011"/>
        <w:gridCol w:w="1266"/>
        <w:gridCol w:w="545"/>
      </w:tblGrid>
      <w:tr w14:paraId="25E2A0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5" w:hRule="atLeast"/>
        </w:trPr>
        <w:tc>
          <w:tcPr>
            <w:tcW w:w="528" w:type="dxa"/>
            <w:vMerge w:val="restart"/>
            <w:tcBorders>
              <w:tl2br w:val="nil"/>
              <w:tr2bl w:val="nil"/>
            </w:tcBorders>
            <w:vAlign w:val="center"/>
          </w:tcPr>
          <w:p w14:paraId="20FBA1F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产排污环节</w:t>
            </w:r>
          </w:p>
        </w:tc>
        <w:tc>
          <w:tcPr>
            <w:tcW w:w="477" w:type="dxa"/>
            <w:vMerge w:val="restart"/>
            <w:tcBorders>
              <w:tl2br w:val="nil"/>
              <w:tr2bl w:val="nil"/>
            </w:tcBorders>
            <w:vAlign w:val="center"/>
          </w:tcPr>
          <w:p w14:paraId="08DEDF9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污染源</w:t>
            </w:r>
          </w:p>
        </w:tc>
        <w:tc>
          <w:tcPr>
            <w:tcW w:w="716" w:type="dxa"/>
            <w:vMerge w:val="restart"/>
            <w:tcBorders>
              <w:tl2br w:val="nil"/>
              <w:tr2bl w:val="nil"/>
            </w:tcBorders>
            <w:vAlign w:val="center"/>
          </w:tcPr>
          <w:p w14:paraId="4481D0D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污染物种类</w:t>
            </w:r>
          </w:p>
        </w:tc>
        <w:tc>
          <w:tcPr>
            <w:tcW w:w="3342" w:type="dxa"/>
            <w:gridSpan w:val="5"/>
            <w:tcBorders>
              <w:tl2br w:val="nil"/>
              <w:tr2bl w:val="nil"/>
            </w:tcBorders>
            <w:vAlign w:val="center"/>
          </w:tcPr>
          <w:p w14:paraId="3AA3CA5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污染源产生</w:t>
            </w:r>
          </w:p>
        </w:tc>
        <w:tc>
          <w:tcPr>
            <w:tcW w:w="315" w:type="dxa"/>
            <w:vMerge w:val="restart"/>
            <w:tcBorders>
              <w:tl2br w:val="nil"/>
              <w:tr2bl w:val="nil"/>
            </w:tcBorders>
            <w:vAlign w:val="center"/>
          </w:tcPr>
          <w:p w14:paraId="154B98E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排放方式</w:t>
            </w:r>
          </w:p>
        </w:tc>
        <w:tc>
          <w:tcPr>
            <w:tcW w:w="1982" w:type="dxa"/>
            <w:gridSpan w:val="4"/>
            <w:tcBorders>
              <w:tl2br w:val="nil"/>
              <w:tr2bl w:val="nil"/>
            </w:tcBorders>
            <w:vAlign w:val="center"/>
          </w:tcPr>
          <w:p w14:paraId="1275EE6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治理措施</w:t>
            </w:r>
          </w:p>
        </w:tc>
        <w:tc>
          <w:tcPr>
            <w:tcW w:w="2680" w:type="dxa"/>
            <w:gridSpan w:val="4"/>
            <w:tcBorders>
              <w:tl2br w:val="nil"/>
              <w:tr2bl w:val="nil"/>
            </w:tcBorders>
            <w:vAlign w:val="center"/>
          </w:tcPr>
          <w:p w14:paraId="1016B5E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污染物排放</w:t>
            </w:r>
          </w:p>
        </w:tc>
        <w:tc>
          <w:tcPr>
            <w:tcW w:w="3444" w:type="dxa"/>
            <w:gridSpan w:val="3"/>
            <w:tcBorders>
              <w:tl2br w:val="nil"/>
              <w:tr2bl w:val="nil"/>
            </w:tcBorders>
            <w:vAlign w:val="center"/>
          </w:tcPr>
          <w:p w14:paraId="07F2F8C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排放口基本信息</w:t>
            </w:r>
          </w:p>
        </w:tc>
        <w:tc>
          <w:tcPr>
            <w:tcW w:w="545" w:type="dxa"/>
            <w:vMerge w:val="restart"/>
            <w:tcBorders>
              <w:tl2br w:val="nil"/>
              <w:tr2bl w:val="nil"/>
            </w:tcBorders>
            <w:vAlign w:val="center"/>
          </w:tcPr>
          <w:p w14:paraId="730D363A">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排放时间h</w:t>
            </w:r>
          </w:p>
        </w:tc>
      </w:tr>
      <w:tr w14:paraId="245998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2" w:hRule="atLeast"/>
        </w:trPr>
        <w:tc>
          <w:tcPr>
            <w:tcW w:w="528" w:type="dxa"/>
            <w:vMerge w:val="continue"/>
            <w:tcBorders>
              <w:tl2br w:val="nil"/>
              <w:tr2bl w:val="nil"/>
            </w:tcBorders>
            <w:vAlign w:val="center"/>
          </w:tcPr>
          <w:p w14:paraId="08DDFBF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vAlign w:val="center"/>
          </w:tcPr>
          <w:p w14:paraId="63177BD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vMerge w:val="continue"/>
            <w:tcBorders>
              <w:tl2br w:val="nil"/>
              <w:tr2bl w:val="nil"/>
            </w:tcBorders>
            <w:vAlign w:val="center"/>
          </w:tcPr>
          <w:p w14:paraId="25B02DE1">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344" w:type="dxa"/>
            <w:tcBorders>
              <w:tl2br w:val="nil"/>
              <w:tr2bl w:val="nil"/>
            </w:tcBorders>
            <w:vAlign w:val="center"/>
          </w:tcPr>
          <w:p w14:paraId="29956B3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核算方法</w:t>
            </w:r>
          </w:p>
        </w:tc>
        <w:tc>
          <w:tcPr>
            <w:tcW w:w="718" w:type="dxa"/>
            <w:tcBorders>
              <w:tl2br w:val="nil"/>
              <w:tr2bl w:val="nil"/>
            </w:tcBorders>
            <w:vAlign w:val="center"/>
          </w:tcPr>
          <w:p w14:paraId="5A99AE1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废气量/(m</w:t>
            </w:r>
            <w:r>
              <w:rPr>
                <w:rFonts w:hint="eastAsia" w:ascii="Times New Roman" w:hAnsi="Times New Roman" w:eastAsia="宋体"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rPr>
              <w:t>/h)</w:t>
            </w:r>
          </w:p>
        </w:tc>
        <w:tc>
          <w:tcPr>
            <w:tcW w:w="915" w:type="dxa"/>
            <w:tcBorders>
              <w:tl2br w:val="nil"/>
              <w:tr2bl w:val="nil"/>
            </w:tcBorders>
            <w:vAlign w:val="center"/>
          </w:tcPr>
          <w:p w14:paraId="6573610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产生浓度/(mg/m</w:t>
            </w:r>
            <w:r>
              <w:rPr>
                <w:rFonts w:hint="eastAsia" w:ascii="Times New Roman" w:hAnsi="Times New Roman" w:eastAsia="宋体"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rPr>
              <w:t>)</w:t>
            </w:r>
          </w:p>
        </w:tc>
        <w:tc>
          <w:tcPr>
            <w:tcW w:w="708" w:type="dxa"/>
            <w:tcBorders>
              <w:tl2br w:val="nil"/>
              <w:tr2bl w:val="nil"/>
            </w:tcBorders>
            <w:vAlign w:val="center"/>
          </w:tcPr>
          <w:p w14:paraId="4268A96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产生速率/kg/h</w:t>
            </w:r>
          </w:p>
        </w:tc>
        <w:tc>
          <w:tcPr>
            <w:tcW w:w="657" w:type="dxa"/>
            <w:tcBorders>
              <w:tl2br w:val="nil"/>
              <w:tr2bl w:val="nil"/>
            </w:tcBorders>
            <w:vAlign w:val="center"/>
          </w:tcPr>
          <w:p w14:paraId="5D18896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产生量/t/a</w:t>
            </w:r>
          </w:p>
        </w:tc>
        <w:tc>
          <w:tcPr>
            <w:tcW w:w="315" w:type="dxa"/>
            <w:vMerge w:val="continue"/>
            <w:tcBorders>
              <w:tl2br w:val="nil"/>
              <w:tr2bl w:val="nil"/>
            </w:tcBorders>
            <w:vAlign w:val="center"/>
          </w:tcPr>
          <w:p w14:paraId="58A4DAE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647" w:type="dxa"/>
            <w:tcBorders>
              <w:tl2br w:val="nil"/>
              <w:tr2bl w:val="nil"/>
            </w:tcBorders>
            <w:vAlign w:val="center"/>
          </w:tcPr>
          <w:p w14:paraId="27AD72D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处理能力及工艺</w:t>
            </w:r>
          </w:p>
        </w:tc>
        <w:tc>
          <w:tcPr>
            <w:tcW w:w="335" w:type="dxa"/>
            <w:tcBorders>
              <w:tl2br w:val="nil"/>
              <w:tr2bl w:val="nil"/>
            </w:tcBorders>
            <w:vAlign w:val="center"/>
          </w:tcPr>
          <w:p w14:paraId="67F090A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收集效率</w:t>
            </w:r>
          </w:p>
        </w:tc>
        <w:tc>
          <w:tcPr>
            <w:tcW w:w="500" w:type="dxa"/>
            <w:tcBorders>
              <w:tl2br w:val="nil"/>
              <w:tr2bl w:val="nil"/>
            </w:tcBorders>
            <w:vAlign w:val="center"/>
          </w:tcPr>
          <w:p w14:paraId="18C398F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工艺去除率</w:t>
            </w:r>
          </w:p>
        </w:tc>
        <w:tc>
          <w:tcPr>
            <w:tcW w:w="500" w:type="dxa"/>
            <w:tcBorders>
              <w:tl2br w:val="nil"/>
              <w:tr2bl w:val="nil"/>
            </w:tcBorders>
            <w:vAlign w:val="center"/>
          </w:tcPr>
          <w:p w14:paraId="14A0210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是否为可行技术</w:t>
            </w:r>
          </w:p>
        </w:tc>
        <w:tc>
          <w:tcPr>
            <w:tcW w:w="612" w:type="dxa"/>
            <w:tcBorders>
              <w:tl2br w:val="nil"/>
              <w:tr2bl w:val="nil"/>
            </w:tcBorders>
            <w:vAlign w:val="center"/>
          </w:tcPr>
          <w:p w14:paraId="64420AF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废气量/(m</w:t>
            </w:r>
            <w:r>
              <w:rPr>
                <w:rFonts w:hint="eastAsia" w:ascii="Times New Roman" w:hAnsi="Times New Roman" w:eastAsia="宋体"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rPr>
              <w:t>/h)</w:t>
            </w:r>
          </w:p>
        </w:tc>
        <w:tc>
          <w:tcPr>
            <w:tcW w:w="703" w:type="dxa"/>
            <w:tcBorders>
              <w:tl2br w:val="nil"/>
              <w:tr2bl w:val="nil"/>
            </w:tcBorders>
            <w:vAlign w:val="center"/>
          </w:tcPr>
          <w:p w14:paraId="4639AF8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排放浓度/mg/m</w:t>
            </w:r>
            <w:r>
              <w:rPr>
                <w:rFonts w:hint="eastAsia" w:ascii="Times New Roman" w:hAnsi="Times New Roman" w:eastAsia="宋体" w:cs="Times New Roman"/>
                <w:color w:val="auto"/>
                <w:sz w:val="21"/>
                <w:szCs w:val="21"/>
                <w:highlight w:val="none"/>
                <w:vertAlign w:val="superscript"/>
              </w:rPr>
              <w:t>3</w:t>
            </w:r>
          </w:p>
        </w:tc>
        <w:tc>
          <w:tcPr>
            <w:tcW w:w="708" w:type="dxa"/>
            <w:tcBorders>
              <w:tl2br w:val="nil"/>
              <w:tr2bl w:val="nil"/>
            </w:tcBorders>
            <w:vAlign w:val="center"/>
          </w:tcPr>
          <w:p w14:paraId="68E3B34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排放速率/kg/h</w:t>
            </w:r>
          </w:p>
        </w:tc>
        <w:tc>
          <w:tcPr>
            <w:tcW w:w="657" w:type="dxa"/>
            <w:tcBorders>
              <w:tl2br w:val="nil"/>
              <w:tr2bl w:val="nil"/>
            </w:tcBorders>
            <w:vAlign w:val="center"/>
          </w:tcPr>
          <w:p w14:paraId="371FD30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排放量/t/a</w:t>
            </w:r>
          </w:p>
        </w:tc>
        <w:tc>
          <w:tcPr>
            <w:tcW w:w="1167" w:type="dxa"/>
            <w:tcBorders>
              <w:tl2br w:val="nil"/>
              <w:tr2bl w:val="nil"/>
            </w:tcBorders>
            <w:vAlign w:val="center"/>
          </w:tcPr>
          <w:p w14:paraId="5EB4DB8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排气筒内径、高度、温度</w:t>
            </w:r>
          </w:p>
        </w:tc>
        <w:tc>
          <w:tcPr>
            <w:tcW w:w="1011" w:type="dxa"/>
            <w:tcBorders>
              <w:tl2br w:val="nil"/>
              <w:tr2bl w:val="nil"/>
            </w:tcBorders>
            <w:vAlign w:val="center"/>
          </w:tcPr>
          <w:p w14:paraId="09F987B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编号及名称、类型</w:t>
            </w:r>
          </w:p>
        </w:tc>
        <w:tc>
          <w:tcPr>
            <w:tcW w:w="1266" w:type="dxa"/>
            <w:tcBorders>
              <w:tl2br w:val="nil"/>
              <w:tr2bl w:val="nil"/>
            </w:tcBorders>
            <w:vAlign w:val="center"/>
          </w:tcPr>
          <w:p w14:paraId="74CB5B51">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地理坐标</w:t>
            </w:r>
          </w:p>
        </w:tc>
        <w:tc>
          <w:tcPr>
            <w:tcW w:w="545" w:type="dxa"/>
            <w:vMerge w:val="continue"/>
            <w:tcBorders>
              <w:tl2br w:val="nil"/>
              <w:tr2bl w:val="nil"/>
            </w:tcBorders>
            <w:vAlign w:val="center"/>
          </w:tcPr>
          <w:p w14:paraId="58EAD39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64246F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363" w:hRule="atLeast"/>
        </w:trPr>
        <w:tc>
          <w:tcPr>
            <w:tcW w:w="528" w:type="dxa"/>
            <w:vMerge w:val="restart"/>
            <w:tcBorders>
              <w:tl2br w:val="nil"/>
              <w:tr2bl w:val="nil"/>
            </w:tcBorders>
            <w:shd w:val="clear" w:color="auto" w:fill="auto"/>
            <w:vAlign w:val="center"/>
          </w:tcPr>
          <w:p w14:paraId="78D1E14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电泳、</w:t>
            </w:r>
          </w:p>
          <w:p w14:paraId="3088AE6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固化废气</w:t>
            </w:r>
          </w:p>
        </w:tc>
        <w:tc>
          <w:tcPr>
            <w:tcW w:w="477" w:type="dxa"/>
            <w:vMerge w:val="restart"/>
            <w:tcBorders>
              <w:tl2br w:val="nil"/>
              <w:tr2bl w:val="nil"/>
            </w:tcBorders>
            <w:shd w:val="clear" w:color="auto" w:fill="auto"/>
            <w:vAlign w:val="center"/>
          </w:tcPr>
          <w:p w14:paraId="733B5E3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电泳、</w:t>
            </w:r>
          </w:p>
          <w:p w14:paraId="6AC7FE0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固化</w:t>
            </w:r>
          </w:p>
        </w:tc>
        <w:tc>
          <w:tcPr>
            <w:tcW w:w="716" w:type="dxa"/>
            <w:tcBorders>
              <w:tl2br w:val="nil"/>
              <w:tr2bl w:val="nil"/>
            </w:tcBorders>
            <w:shd w:val="clear" w:color="auto" w:fill="auto"/>
            <w:vAlign w:val="center"/>
          </w:tcPr>
          <w:p w14:paraId="27665BC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NMHC</w:t>
            </w:r>
          </w:p>
        </w:tc>
        <w:tc>
          <w:tcPr>
            <w:tcW w:w="344" w:type="dxa"/>
            <w:vMerge w:val="restart"/>
            <w:tcBorders>
              <w:tl2br w:val="nil"/>
              <w:tr2bl w:val="nil"/>
            </w:tcBorders>
            <w:shd w:val="clear" w:color="auto" w:fill="auto"/>
            <w:vAlign w:val="center"/>
          </w:tcPr>
          <w:p w14:paraId="2F97DD1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物料衡算法</w:t>
            </w:r>
          </w:p>
        </w:tc>
        <w:tc>
          <w:tcPr>
            <w:tcW w:w="718" w:type="dxa"/>
            <w:tcBorders>
              <w:tl2br w:val="nil"/>
              <w:tr2bl w:val="nil"/>
            </w:tcBorders>
            <w:shd w:val="clear" w:color="auto" w:fill="auto"/>
            <w:vAlign w:val="center"/>
          </w:tcPr>
          <w:p w14:paraId="6A4D5522">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10000</w:t>
            </w:r>
          </w:p>
        </w:tc>
        <w:tc>
          <w:tcPr>
            <w:tcW w:w="915" w:type="dxa"/>
            <w:tcBorders>
              <w:tl2br w:val="nil"/>
              <w:tr2bl w:val="nil"/>
            </w:tcBorders>
            <w:shd w:val="clear" w:color="auto" w:fill="auto"/>
            <w:vAlign w:val="center"/>
          </w:tcPr>
          <w:p w14:paraId="4E8AA31D">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hint="eastAsia" w:eastAsia="宋体" w:cs="Times New Roman"/>
                <w:color w:val="auto"/>
                <w:spacing w:val="-1"/>
                <w:position w:val="2"/>
                <w:sz w:val="20"/>
                <w:szCs w:val="20"/>
                <w:highlight w:val="none"/>
                <w:lang w:val="en-US" w:eastAsia="zh-CN"/>
              </w:rPr>
              <w:t>35.3</w:t>
            </w:r>
          </w:p>
        </w:tc>
        <w:tc>
          <w:tcPr>
            <w:tcW w:w="708" w:type="dxa"/>
            <w:tcBorders>
              <w:tl2br w:val="nil"/>
              <w:tr2bl w:val="nil"/>
            </w:tcBorders>
            <w:shd w:val="clear" w:color="auto" w:fill="auto"/>
            <w:vAlign w:val="center"/>
          </w:tcPr>
          <w:p w14:paraId="5B66529F">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w:t>
            </w:r>
            <w:r>
              <w:rPr>
                <w:rFonts w:hint="eastAsia" w:eastAsia="宋体" w:cs="Times New Roman"/>
                <w:color w:val="auto"/>
                <w:spacing w:val="3"/>
                <w:position w:val="2"/>
                <w:sz w:val="20"/>
                <w:szCs w:val="20"/>
                <w:highlight w:val="none"/>
                <w:lang w:val="en-US" w:eastAsia="zh-CN"/>
              </w:rPr>
              <w:t>353</w:t>
            </w:r>
          </w:p>
        </w:tc>
        <w:tc>
          <w:tcPr>
            <w:tcW w:w="657" w:type="dxa"/>
            <w:tcBorders>
              <w:tl2br w:val="nil"/>
              <w:tr2bl w:val="nil"/>
            </w:tcBorders>
            <w:shd w:val="clear" w:color="auto" w:fill="auto"/>
            <w:vAlign w:val="center"/>
          </w:tcPr>
          <w:p w14:paraId="224AF531">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0.8473</w:t>
            </w:r>
          </w:p>
        </w:tc>
        <w:tc>
          <w:tcPr>
            <w:tcW w:w="315" w:type="dxa"/>
            <w:tcBorders>
              <w:tl2br w:val="nil"/>
              <w:tr2bl w:val="nil"/>
            </w:tcBorders>
            <w:shd w:val="clear" w:color="auto" w:fill="auto"/>
            <w:vAlign w:val="center"/>
          </w:tcPr>
          <w:p w14:paraId="0CE1A4DF">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有组织</w:t>
            </w:r>
          </w:p>
        </w:tc>
        <w:tc>
          <w:tcPr>
            <w:tcW w:w="647" w:type="dxa"/>
            <w:tcBorders>
              <w:tl2br w:val="nil"/>
              <w:tr2bl w:val="nil"/>
            </w:tcBorders>
            <w:shd w:val="clear" w:color="auto" w:fill="auto"/>
            <w:vAlign w:val="center"/>
          </w:tcPr>
          <w:p w14:paraId="37629D7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喷淋＋二级活性炭吸附</w:t>
            </w:r>
          </w:p>
        </w:tc>
        <w:tc>
          <w:tcPr>
            <w:tcW w:w="335" w:type="dxa"/>
            <w:tcBorders>
              <w:tl2br w:val="nil"/>
              <w:tr2bl w:val="nil"/>
            </w:tcBorders>
            <w:shd w:val="clear" w:color="auto" w:fill="auto"/>
            <w:vAlign w:val="center"/>
          </w:tcPr>
          <w:p w14:paraId="2DE22D4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90</w:t>
            </w: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6404446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90</w:t>
            </w: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7AE93CE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是</w:t>
            </w:r>
          </w:p>
        </w:tc>
        <w:tc>
          <w:tcPr>
            <w:tcW w:w="612" w:type="dxa"/>
            <w:tcBorders>
              <w:tl2br w:val="nil"/>
              <w:tr2bl w:val="nil"/>
            </w:tcBorders>
            <w:shd w:val="clear" w:color="auto" w:fill="auto"/>
            <w:vAlign w:val="center"/>
          </w:tcPr>
          <w:p w14:paraId="55EF6254">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10000</w:t>
            </w:r>
          </w:p>
        </w:tc>
        <w:tc>
          <w:tcPr>
            <w:tcW w:w="703" w:type="dxa"/>
            <w:tcBorders>
              <w:tl2br w:val="nil"/>
              <w:tr2bl w:val="nil"/>
            </w:tcBorders>
            <w:shd w:val="clear" w:color="auto" w:fill="auto"/>
            <w:vAlign w:val="center"/>
          </w:tcPr>
          <w:p w14:paraId="06BA8D0E">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3.53</w:t>
            </w:r>
          </w:p>
        </w:tc>
        <w:tc>
          <w:tcPr>
            <w:tcW w:w="708" w:type="dxa"/>
            <w:tcBorders>
              <w:tl2br w:val="nil"/>
              <w:tr2bl w:val="nil"/>
            </w:tcBorders>
            <w:shd w:val="clear" w:color="auto" w:fill="auto"/>
            <w:vAlign w:val="center"/>
          </w:tcPr>
          <w:p w14:paraId="66FCBF12">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pacing w:val="3"/>
                <w:position w:val="2"/>
                <w:sz w:val="20"/>
                <w:szCs w:val="20"/>
                <w:highlight w:val="none"/>
                <w:lang w:val="en-US" w:eastAsia="zh-CN"/>
              </w:rPr>
              <w:t>0.0</w:t>
            </w:r>
            <w:r>
              <w:rPr>
                <w:rFonts w:hint="eastAsia" w:cs="Times New Roman"/>
                <w:color w:val="auto"/>
                <w:spacing w:val="3"/>
                <w:position w:val="2"/>
                <w:sz w:val="20"/>
                <w:szCs w:val="20"/>
                <w:highlight w:val="none"/>
                <w:lang w:val="en-US" w:eastAsia="zh-CN"/>
              </w:rPr>
              <w:t>353</w:t>
            </w:r>
          </w:p>
        </w:tc>
        <w:tc>
          <w:tcPr>
            <w:tcW w:w="657" w:type="dxa"/>
            <w:tcBorders>
              <w:tl2br w:val="nil"/>
              <w:tr2bl w:val="nil"/>
            </w:tcBorders>
            <w:shd w:val="clear" w:color="auto" w:fill="auto"/>
            <w:vAlign w:val="center"/>
          </w:tcPr>
          <w:p w14:paraId="4368A635">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0.0847</w:t>
            </w:r>
          </w:p>
        </w:tc>
        <w:tc>
          <w:tcPr>
            <w:tcW w:w="1167" w:type="dxa"/>
            <w:tcBorders>
              <w:tl2br w:val="nil"/>
              <w:tr2bl w:val="nil"/>
            </w:tcBorders>
            <w:shd w:val="clear" w:color="auto" w:fill="auto"/>
            <w:vAlign w:val="center"/>
          </w:tcPr>
          <w:p w14:paraId="40127D7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H=</w:t>
            </w:r>
            <w:r>
              <w:rPr>
                <w:rFonts w:hint="eastAsia" w:ascii="Times New Roman" w:hAnsi="Times New Roman" w:cs="Times New Roman"/>
                <w:color w:val="auto"/>
                <w:sz w:val="21"/>
                <w:szCs w:val="21"/>
                <w:highlight w:val="none"/>
                <w:lang w:eastAsia="zh-CN"/>
              </w:rPr>
              <w:t>23m</w:t>
            </w:r>
            <w:r>
              <w:rPr>
                <w:rFonts w:hint="eastAsia" w:ascii="Times New Roman" w:hAnsi="Times New Roman" w:eastAsia="宋体" w:cs="Times New Roman"/>
                <w:color w:val="auto"/>
                <w:sz w:val="21"/>
                <w:szCs w:val="21"/>
                <w:highlight w:val="none"/>
              </w:rPr>
              <w:t>、内径0.</w:t>
            </w:r>
            <w:r>
              <w:rPr>
                <w:rFonts w:hint="eastAsia" w:ascii="Times New Roman" w:hAnsi="Times New Roman" w:eastAsia="宋体"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m、温度</w:t>
            </w:r>
            <w:r>
              <w:rPr>
                <w:rFonts w:hint="eastAsia" w:ascii="Times New Roman" w:hAnsi="Times New Roman" w:eastAsia="宋体" w:cs="Times New Roman"/>
                <w:color w:val="auto"/>
                <w:sz w:val="21"/>
                <w:szCs w:val="21"/>
                <w:highlight w:val="none"/>
                <w:lang w:val="en-US" w:eastAsia="zh-CN"/>
              </w:rPr>
              <w:t>40</w:t>
            </w:r>
            <w:r>
              <w:rPr>
                <w:rFonts w:hint="eastAsia" w:ascii="Times New Roman" w:hAnsi="Times New Roman" w:eastAsia="宋体" w:cs="Times New Roman"/>
                <w:color w:val="auto"/>
                <w:sz w:val="21"/>
                <w:szCs w:val="21"/>
                <w:highlight w:val="none"/>
              </w:rPr>
              <w:t>℃</w:t>
            </w:r>
          </w:p>
        </w:tc>
        <w:tc>
          <w:tcPr>
            <w:tcW w:w="1011" w:type="dxa"/>
            <w:tcBorders>
              <w:tl2br w:val="nil"/>
              <w:tr2bl w:val="nil"/>
            </w:tcBorders>
            <w:shd w:val="clear" w:color="auto" w:fill="auto"/>
            <w:vAlign w:val="center"/>
          </w:tcPr>
          <w:p w14:paraId="513C0AAF">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DA001、一般排放口</w:t>
            </w:r>
          </w:p>
        </w:tc>
        <w:tc>
          <w:tcPr>
            <w:tcW w:w="1266" w:type="dxa"/>
            <w:tcBorders>
              <w:tl2br w:val="nil"/>
              <w:tr2bl w:val="nil"/>
            </w:tcBorders>
            <w:shd w:val="clear" w:color="auto" w:fill="auto"/>
            <w:vAlign w:val="center"/>
          </w:tcPr>
          <w:p w14:paraId="0DADE55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经度：</w:t>
            </w:r>
          </w:p>
          <w:p w14:paraId="058140A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119.297454°</w:t>
            </w:r>
          </w:p>
          <w:p w14:paraId="52B18C1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纬度：</w:t>
            </w:r>
          </w:p>
          <w:p w14:paraId="273503C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shd w:val="clear"/>
              </w:rPr>
              <w:t>25.8035925°</w:t>
            </w:r>
          </w:p>
        </w:tc>
        <w:tc>
          <w:tcPr>
            <w:tcW w:w="545" w:type="dxa"/>
            <w:vMerge w:val="restart"/>
            <w:tcBorders>
              <w:tl2br w:val="nil"/>
              <w:tr2bl w:val="nil"/>
            </w:tcBorders>
            <w:shd w:val="clear" w:color="auto" w:fill="auto"/>
            <w:vAlign w:val="center"/>
          </w:tcPr>
          <w:p w14:paraId="2397D677">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24</w:t>
            </w:r>
            <w:r>
              <w:rPr>
                <w:rFonts w:hint="eastAsia" w:ascii="Times New Roman" w:hAnsi="Times New Roman" w:eastAsia="宋体" w:cs="Times New Roman"/>
                <w:color w:val="auto"/>
                <w:sz w:val="21"/>
                <w:szCs w:val="21"/>
                <w:highlight w:val="none"/>
                <w:lang w:val="en-US" w:eastAsia="zh-CN"/>
              </w:rPr>
              <w:t>00</w:t>
            </w:r>
          </w:p>
        </w:tc>
      </w:tr>
      <w:tr w14:paraId="4633CB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528" w:type="dxa"/>
            <w:vMerge w:val="continue"/>
            <w:tcBorders>
              <w:tl2br w:val="nil"/>
              <w:tr2bl w:val="nil"/>
            </w:tcBorders>
            <w:shd w:val="clear" w:color="auto" w:fill="auto"/>
            <w:vAlign w:val="center"/>
          </w:tcPr>
          <w:p w14:paraId="3C88B30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shd w:val="clear" w:color="auto" w:fill="auto"/>
            <w:vAlign w:val="center"/>
          </w:tcPr>
          <w:p w14:paraId="77628C2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tcBorders>
              <w:tl2br w:val="nil"/>
              <w:tr2bl w:val="nil"/>
            </w:tcBorders>
            <w:shd w:val="clear" w:color="auto" w:fill="auto"/>
            <w:vAlign w:val="center"/>
          </w:tcPr>
          <w:p w14:paraId="1162643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NMHC</w:t>
            </w:r>
          </w:p>
        </w:tc>
        <w:tc>
          <w:tcPr>
            <w:tcW w:w="344" w:type="dxa"/>
            <w:vMerge w:val="continue"/>
            <w:tcBorders>
              <w:tl2br w:val="nil"/>
              <w:tr2bl w:val="nil"/>
            </w:tcBorders>
            <w:shd w:val="clear" w:color="auto" w:fill="auto"/>
            <w:vAlign w:val="center"/>
          </w:tcPr>
          <w:p w14:paraId="7F1D13C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tcBorders>
              <w:tl2br w:val="nil"/>
              <w:tr2bl w:val="nil"/>
            </w:tcBorders>
            <w:shd w:val="clear" w:color="auto" w:fill="auto"/>
            <w:vAlign w:val="center"/>
          </w:tcPr>
          <w:p w14:paraId="405C5D3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915" w:type="dxa"/>
            <w:tcBorders>
              <w:tl2br w:val="nil"/>
              <w:tr2bl w:val="nil"/>
            </w:tcBorders>
            <w:shd w:val="clear" w:color="auto" w:fill="auto"/>
            <w:vAlign w:val="center"/>
          </w:tcPr>
          <w:p w14:paraId="532A1C7D">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2"/>
                <w:position w:val="1"/>
                <w:sz w:val="20"/>
                <w:szCs w:val="20"/>
                <w:highlight w:val="none"/>
              </w:rPr>
              <w:t>/</w:t>
            </w:r>
          </w:p>
        </w:tc>
        <w:tc>
          <w:tcPr>
            <w:tcW w:w="708" w:type="dxa"/>
            <w:tcBorders>
              <w:tl2br w:val="nil"/>
              <w:tr2bl w:val="nil"/>
            </w:tcBorders>
            <w:shd w:val="clear" w:color="auto" w:fill="auto"/>
            <w:vAlign w:val="center"/>
          </w:tcPr>
          <w:p w14:paraId="2BEEA53F">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w:t>
            </w:r>
            <w:r>
              <w:rPr>
                <w:rFonts w:hint="eastAsia" w:eastAsia="宋体" w:cs="Times New Roman"/>
                <w:color w:val="auto"/>
                <w:spacing w:val="3"/>
                <w:position w:val="2"/>
                <w:sz w:val="20"/>
                <w:szCs w:val="20"/>
                <w:highlight w:val="none"/>
                <w:lang w:val="en-US" w:eastAsia="zh-CN"/>
              </w:rPr>
              <w:t>0392</w:t>
            </w:r>
          </w:p>
        </w:tc>
        <w:tc>
          <w:tcPr>
            <w:tcW w:w="657" w:type="dxa"/>
            <w:tcBorders>
              <w:tl2br w:val="nil"/>
              <w:tr2bl w:val="nil"/>
            </w:tcBorders>
            <w:shd w:val="clear" w:color="auto" w:fill="auto"/>
            <w:vAlign w:val="center"/>
          </w:tcPr>
          <w:p w14:paraId="2D4DA74A">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0.0941</w:t>
            </w:r>
          </w:p>
        </w:tc>
        <w:tc>
          <w:tcPr>
            <w:tcW w:w="315" w:type="dxa"/>
            <w:tcBorders>
              <w:tl2br w:val="nil"/>
              <w:tr2bl w:val="nil"/>
            </w:tcBorders>
            <w:shd w:val="clear" w:color="auto" w:fill="auto"/>
            <w:vAlign w:val="center"/>
          </w:tcPr>
          <w:p w14:paraId="5ADA9DE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无组织</w:t>
            </w:r>
          </w:p>
        </w:tc>
        <w:tc>
          <w:tcPr>
            <w:tcW w:w="647" w:type="dxa"/>
            <w:tcBorders>
              <w:tl2br w:val="nil"/>
              <w:tr2bl w:val="nil"/>
            </w:tcBorders>
            <w:shd w:val="clear" w:color="auto" w:fill="auto"/>
            <w:vAlign w:val="center"/>
          </w:tcPr>
          <w:p w14:paraId="65A03DFA">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35" w:type="dxa"/>
            <w:tcBorders>
              <w:tl2br w:val="nil"/>
              <w:tr2bl w:val="nil"/>
            </w:tcBorders>
            <w:shd w:val="clear" w:color="auto" w:fill="auto"/>
            <w:vAlign w:val="center"/>
          </w:tcPr>
          <w:p w14:paraId="089F9F4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7DD0A43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5C77A6D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612" w:type="dxa"/>
            <w:tcBorders>
              <w:tl2br w:val="nil"/>
              <w:tr2bl w:val="nil"/>
            </w:tcBorders>
            <w:shd w:val="clear" w:color="auto" w:fill="auto"/>
            <w:vAlign w:val="center"/>
          </w:tcPr>
          <w:p w14:paraId="21F53A0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703" w:type="dxa"/>
            <w:tcBorders>
              <w:tl2br w:val="nil"/>
              <w:tr2bl w:val="nil"/>
            </w:tcBorders>
            <w:shd w:val="clear" w:color="auto" w:fill="auto"/>
            <w:vAlign w:val="center"/>
          </w:tcPr>
          <w:p w14:paraId="3B054E4D">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ascii="Times New Roman" w:hAnsi="Times New Roman" w:eastAsia="Times New Roman" w:cs="Times New Roman"/>
                <w:color w:val="auto"/>
                <w:spacing w:val="2"/>
                <w:position w:val="1"/>
                <w:sz w:val="20"/>
                <w:szCs w:val="20"/>
                <w:highlight w:val="none"/>
              </w:rPr>
              <w:t>/</w:t>
            </w:r>
          </w:p>
        </w:tc>
        <w:tc>
          <w:tcPr>
            <w:tcW w:w="708" w:type="dxa"/>
            <w:tcBorders>
              <w:tl2br w:val="nil"/>
              <w:tr2bl w:val="nil"/>
            </w:tcBorders>
            <w:shd w:val="clear" w:color="auto" w:fill="auto"/>
            <w:vAlign w:val="center"/>
          </w:tcPr>
          <w:p w14:paraId="234919D3">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Times New Roman" w:cs="Times New Roman"/>
                <w:color w:val="auto"/>
                <w:spacing w:val="3"/>
                <w:position w:val="2"/>
                <w:sz w:val="20"/>
                <w:szCs w:val="20"/>
                <w:highlight w:val="none"/>
              </w:rPr>
              <w:t>0.0</w:t>
            </w:r>
            <w:r>
              <w:rPr>
                <w:rFonts w:hint="eastAsia" w:eastAsia="宋体" w:cs="Times New Roman"/>
                <w:color w:val="auto"/>
                <w:spacing w:val="3"/>
                <w:position w:val="2"/>
                <w:sz w:val="20"/>
                <w:szCs w:val="20"/>
                <w:highlight w:val="none"/>
                <w:lang w:val="en-US" w:eastAsia="zh-CN"/>
              </w:rPr>
              <w:t>392</w:t>
            </w:r>
          </w:p>
        </w:tc>
        <w:tc>
          <w:tcPr>
            <w:tcW w:w="657" w:type="dxa"/>
            <w:tcBorders>
              <w:tl2br w:val="nil"/>
              <w:tr2bl w:val="nil"/>
            </w:tcBorders>
            <w:shd w:val="clear" w:color="auto" w:fill="auto"/>
            <w:vAlign w:val="center"/>
          </w:tcPr>
          <w:p w14:paraId="69D662EA">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Times New Roman" w:cs="Times New Roman"/>
                <w:color w:val="auto"/>
                <w:spacing w:val="3"/>
                <w:position w:val="2"/>
                <w:sz w:val="20"/>
                <w:szCs w:val="20"/>
                <w:highlight w:val="none"/>
              </w:rPr>
              <w:t>0.0941</w:t>
            </w:r>
          </w:p>
        </w:tc>
        <w:tc>
          <w:tcPr>
            <w:tcW w:w="1167" w:type="dxa"/>
            <w:tcBorders>
              <w:tl2br w:val="nil"/>
              <w:tr2bl w:val="nil"/>
            </w:tcBorders>
            <w:shd w:val="clear" w:color="auto" w:fill="auto"/>
            <w:vAlign w:val="center"/>
          </w:tcPr>
          <w:p w14:paraId="00AD3BDB">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011" w:type="dxa"/>
            <w:tcBorders>
              <w:tl2br w:val="nil"/>
              <w:tr2bl w:val="nil"/>
            </w:tcBorders>
            <w:shd w:val="clear" w:color="auto" w:fill="auto"/>
            <w:vAlign w:val="center"/>
          </w:tcPr>
          <w:p w14:paraId="0D629B24">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266" w:type="dxa"/>
            <w:tcBorders>
              <w:tl2br w:val="nil"/>
              <w:tr2bl w:val="nil"/>
            </w:tcBorders>
            <w:shd w:val="clear" w:color="auto" w:fill="auto"/>
            <w:vAlign w:val="center"/>
          </w:tcPr>
          <w:p w14:paraId="54F757E8">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45" w:type="dxa"/>
            <w:vMerge w:val="continue"/>
            <w:tcBorders>
              <w:tl2br w:val="nil"/>
              <w:tr2bl w:val="nil"/>
            </w:tcBorders>
            <w:shd w:val="clear" w:color="auto" w:fill="auto"/>
            <w:vAlign w:val="center"/>
          </w:tcPr>
          <w:p w14:paraId="369C21C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3AEC3D6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528" w:type="dxa"/>
            <w:vMerge w:val="restart"/>
            <w:tcBorders>
              <w:tl2br w:val="nil"/>
              <w:tr2bl w:val="nil"/>
            </w:tcBorders>
            <w:shd w:val="clear" w:color="auto" w:fill="auto"/>
            <w:vAlign w:val="center"/>
          </w:tcPr>
          <w:p w14:paraId="48FACE2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天然气</w:t>
            </w:r>
          </w:p>
          <w:p w14:paraId="41C9D4A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燃烧废</w:t>
            </w:r>
          </w:p>
          <w:p w14:paraId="69071B1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气</w:t>
            </w:r>
          </w:p>
        </w:tc>
        <w:tc>
          <w:tcPr>
            <w:tcW w:w="477" w:type="dxa"/>
            <w:vMerge w:val="restart"/>
            <w:tcBorders>
              <w:tl2br w:val="nil"/>
              <w:tr2bl w:val="nil"/>
            </w:tcBorders>
            <w:shd w:val="clear" w:color="auto" w:fill="auto"/>
            <w:vAlign w:val="center"/>
          </w:tcPr>
          <w:p w14:paraId="31279A6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天然气</w:t>
            </w:r>
          </w:p>
          <w:p w14:paraId="0315A511">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燃烧</w:t>
            </w:r>
          </w:p>
        </w:tc>
        <w:tc>
          <w:tcPr>
            <w:tcW w:w="716" w:type="dxa"/>
            <w:vMerge w:val="restart"/>
            <w:tcBorders>
              <w:tl2br w:val="nil"/>
              <w:tr2bl w:val="nil"/>
            </w:tcBorders>
            <w:shd w:val="clear" w:color="auto" w:fill="auto"/>
            <w:vAlign w:val="center"/>
          </w:tcPr>
          <w:p w14:paraId="456C6ACC">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烟尘</w:t>
            </w:r>
          </w:p>
        </w:tc>
        <w:tc>
          <w:tcPr>
            <w:tcW w:w="344" w:type="dxa"/>
            <w:vMerge w:val="restart"/>
            <w:tcBorders>
              <w:tl2br w:val="nil"/>
              <w:tr2bl w:val="nil"/>
            </w:tcBorders>
            <w:shd w:val="clear" w:color="auto" w:fill="auto"/>
            <w:vAlign w:val="center"/>
          </w:tcPr>
          <w:p w14:paraId="7442173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产污系数法</w:t>
            </w:r>
          </w:p>
        </w:tc>
        <w:tc>
          <w:tcPr>
            <w:tcW w:w="718" w:type="dxa"/>
            <w:tcBorders>
              <w:tl2br w:val="nil"/>
              <w:tr2bl w:val="nil"/>
            </w:tcBorders>
            <w:shd w:val="clear" w:color="auto" w:fill="auto"/>
            <w:vAlign w:val="center"/>
          </w:tcPr>
          <w:p w14:paraId="3F5A48D6">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10000</w:t>
            </w:r>
          </w:p>
        </w:tc>
        <w:tc>
          <w:tcPr>
            <w:tcW w:w="915" w:type="dxa"/>
            <w:tcBorders>
              <w:tl2br w:val="nil"/>
              <w:tr2bl w:val="nil"/>
            </w:tcBorders>
            <w:shd w:val="clear" w:color="auto" w:fill="auto"/>
            <w:vAlign w:val="center"/>
          </w:tcPr>
          <w:p w14:paraId="6EB88DF7">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2"/>
                <w:position w:val="2"/>
                <w:sz w:val="20"/>
                <w:szCs w:val="20"/>
                <w:highlight w:val="none"/>
              </w:rPr>
              <w:t>0.</w:t>
            </w:r>
            <w:r>
              <w:rPr>
                <w:rFonts w:hint="eastAsia" w:eastAsia="宋体" w:cs="Times New Roman"/>
                <w:color w:val="auto"/>
                <w:spacing w:val="2"/>
                <w:position w:val="2"/>
                <w:sz w:val="20"/>
                <w:szCs w:val="20"/>
                <w:highlight w:val="none"/>
                <w:lang w:val="en-US" w:eastAsia="zh-CN"/>
              </w:rPr>
              <w:t>108</w:t>
            </w:r>
          </w:p>
        </w:tc>
        <w:tc>
          <w:tcPr>
            <w:tcW w:w="708" w:type="dxa"/>
            <w:tcBorders>
              <w:tl2br w:val="nil"/>
              <w:tr2bl w:val="nil"/>
            </w:tcBorders>
            <w:shd w:val="clear" w:color="auto" w:fill="auto"/>
            <w:vAlign w:val="center"/>
          </w:tcPr>
          <w:p w14:paraId="1D7136FE">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w:t>
            </w:r>
            <w:r>
              <w:rPr>
                <w:rFonts w:hint="eastAsia" w:eastAsia="宋体" w:cs="Times New Roman"/>
                <w:color w:val="auto"/>
                <w:spacing w:val="3"/>
                <w:position w:val="2"/>
                <w:sz w:val="20"/>
                <w:szCs w:val="20"/>
                <w:highlight w:val="none"/>
                <w:lang w:val="en-US" w:eastAsia="zh-CN"/>
              </w:rPr>
              <w:t>1</w:t>
            </w:r>
          </w:p>
        </w:tc>
        <w:tc>
          <w:tcPr>
            <w:tcW w:w="657" w:type="dxa"/>
            <w:tcBorders>
              <w:tl2br w:val="nil"/>
              <w:tr2bl w:val="nil"/>
            </w:tcBorders>
            <w:shd w:val="clear" w:color="auto" w:fill="auto"/>
            <w:vAlign w:val="center"/>
          </w:tcPr>
          <w:p w14:paraId="107D775A">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0.0026</w:t>
            </w:r>
          </w:p>
        </w:tc>
        <w:tc>
          <w:tcPr>
            <w:tcW w:w="315" w:type="dxa"/>
            <w:tcBorders>
              <w:tl2br w:val="nil"/>
              <w:tr2bl w:val="nil"/>
            </w:tcBorders>
            <w:shd w:val="clear" w:color="auto" w:fill="auto"/>
            <w:vAlign w:val="center"/>
          </w:tcPr>
          <w:p w14:paraId="600A301A">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有组织</w:t>
            </w:r>
          </w:p>
        </w:tc>
        <w:tc>
          <w:tcPr>
            <w:tcW w:w="647" w:type="dxa"/>
            <w:tcBorders>
              <w:tl2br w:val="nil"/>
              <w:tr2bl w:val="nil"/>
            </w:tcBorders>
            <w:shd w:val="clear" w:color="auto" w:fill="auto"/>
            <w:vAlign w:val="center"/>
          </w:tcPr>
          <w:p w14:paraId="14FBB2EC">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喷淋＋二级活性炭吸附</w:t>
            </w:r>
          </w:p>
        </w:tc>
        <w:tc>
          <w:tcPr>
            <w:tcW w:w="335" w:type="dxa"/>
            <w:tcBorders>
              <w:tl2br w:val="nil"/>
              <w:tr2bl w:val="nil"/>
            </w:tcBorders>
            <w:shd w:val="clear" w:color="auto" w:fill="auto"/>
            <w:vAlign w:val="center"/>
          </w:tcPr>
          <w:p w14:paraId="5FCDA84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0%</w:t>
            </w:r>
          </w:p>
        </w:tc>
        <w:tc>
          <w:tcPr>
            <w:tcW w:w="500" w:type="dxa"/>
            <w:tcBorders>
              <w:tl2br w:val="nil"/>
              <w:tr2bl w:val="nil"/>
            </w:tcBorders>
            <w:shd w:val="clear" w:color="auto" w:fill="auto"/>
            <w:vAlign w:val="center"/>
          </w:tcPr>
          <w:p w14:paraId="58FA59E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477CD64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是</w:t>
            </w:r>
          </w:p>
        </w:tc>
        <w:tc>
          <w:tcPr>
            <w:tcW w:w="612" w:type="dxa"/>
            <w:tcBorders>
              <w:tl2br w:val="nil"/>
              <w:tr2bl w:val="nil"/>
            </w:tcBorders>
            <w:shd w:val="clear" w:color="auto" w:fill="auto"/>
            <w:vAlign w:val="center"/>
          </w:tcPr>
          <w:p w14:paraId="0A290925">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10000</w:t>
            </w:r>
          </w:p>
        </w:tc>
        <w:tc>
          <w:tcPr>
            <w:tcW w:w="703" w:type="dxa"/>
            <w:tcBorders>
              <w:tl2br w:val="nil"/>
              <w:tr2bl w:val="nil"/>
            </w:tcBorders>
            <w:shd w:val="clear" w:color="auto" w:fill="auto"/>
            <w:vAlign w:val="center"/>
          </w:tcPr>
          <w:p w14:paraId="27C5296E">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2"/>
                <w:position w:val="2"/>
                <w:sz w:val="20"/>
                <w:szCs w:val="20"/>
              </w:rPr>
              <w:t>0.</w:t>
            </w:r>
            <w:r>
              <w:rPr>
                <w:rFonts w:hint="eastAsia" w:eastAsia="宋体" w:cs="Times New Roman"/>
                <w:color w:val="auto"/>
                <w:spacing w:val="2"/>
                <w:position w:val="2"/>
                <w:sz w:val="20"/>
                <w:szCs w:val="20"/>
                <w:lang w:val="en-US" w:eastAsia="zh-CN"/>
              </w:rPr>
              <w:t>108</w:t>
            </w:r>
          </w:p>
        </w:tc>
        <w:tc>
          <w:tcPr>
            <w:tcW w:w="708" w:type="dxa"/>
            <w:tcBorders>
              <w:tl2br w:val="nil"/>
              <w:tr2bl w:val="nil"/>
            </w:tcBorders>
            <w:shd w:val="clear" w:color="auto" w:fill="auto"/>
            <w:vAlign w:val="center"/>
          </w:tcPr>
          <w:p w14:paraId="03D2C6F9">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w:t>
            </w:r>
            <w:r>
              <w:rPr>
                <w:rFonts w:hint="eastAsia" w:eastAsia="宋体" w:cs="Times New Roman"/>
                <w:color w:val="auto"/>
                <w:spacing w:val="3"/>
                <w:position w:val="2"/>
                <w:sz w:val="20"/>
                <w:szCs w:val="20"/>
                <w:lang w:val="en-US" w:eastAsia="zh-CN"/>
              </w:rPr>
              <w:t>1</w:t>
            </w:r>
          </w:p>
        </w:tc>
        <w:tc>
          <w:tcPr>
            <w:tcW w:w="657" w:type="dxa"/>
            <w:tcBorders>
              <w:tl2br w:val="nil"/>
              <w:tr2bl w:val="nil"/>
            </w:tcBorders>
            <w:shd w:val="clear" w:color="auto" w:fill="auto"/>
            <w:vAlign w:val="center"/>
          </w:tcPr>
          <w:p w14:paraId="1AA9C82C">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0.0026</w:t>
            </w:r>
          </w:p>
        </w:tc>
        <w:tc>
          <w:tcPr>
            <w:tcW w:w="1167" w:type="dxa"/>
            <w:tcBorders>
              <w:tl2br w:val="nil"/>
              <w:tr2bl w:val="nil"/>
            </w:tcBorders>
            <w:shd w:val="clear" w:color="auto" w:fill="auto"/>
            <w:vAlign w:val="center"/>
          </w:tcPr>
          <w:p w14:paraId="04B88F39">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H=</w:t>
            </w:r>
            <w:r>
              <w:rPr>
                <w:rFonts w:hint="eastAsia" w:ascii="Times New Roman" w:hAnsi="Times New Roman" w:cs="Times New Roman"/>
                <w:color w:val="auto"/>
                <w:sz w:val="21"/>
                <w:szCs w:val="21"/>
                <w:highlight w:val="none"/>
                <w:lang w:eastAsia="zh-CN"/>
              </w:rPr>
              <w:t>23m</w:t>
            </w:r>
            <w:r>
              <w:rPr>
                <w:rFonts w:hint="eastAsia" w:ascii="Times New Roman" w:hAnsi="Times New Roman" w:eastAsia="宋体" w:cs="Times New Roman"/>
                <w:color w:val="auto"/>
                <w:sz w:val="21"/>
                <w:szCs w:val="21"/>
                <w:highlight w:val="none"/>
              </w:rPr>
              <w:t>、内径0.</w:t>
            </w:r>
            <w:r>
              <w:rPr>
                <w:rFonts w:hint="eastAsia" w:ascii="Times New Roman" w:hAnsi="Times New Roman" w:eastAsia="宋体"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m、温度</w:t>
            </w:r>
            <w:r>
              <w:rPr>
                <w:rFonts w:hint="eastAsia" w:ascii="Times New Roman" w:hAnsi="Times New Roman" w:eastAsia="宋体" w:cs="Times New Roman"/>
                <w:color w:val="auto"/>
                <w:sz w:val="21"/>
                <w:szCs w:val="21"/>
                <w:highlight w:val="none"/>
                <w:lang w:val="en-US" w:eastAsia="zh-CN"/>
              </w:rPr>
              <w:t>40</w:t>
            </w:r>
            <w:r>
              <w:rPr>
                <w:rFonts w:hint="eastAsia" w:ascii="Times New Roman" w:hAnsi="Times New Roman" w:eastAsia="宋体" w:cs="Times New Roman"/>
                <w:color w:val="auto"/>
                <w:sz w:val="21"/>
                <w:szCs w:val="21"/>
                <w:highlight w:val="none"/>
              </w:rPr>
              <w:t>℃</w:t>
            </w:r>
          </w:p>
        </w:tc>
        <w:tc>
          <w:tcPr>
            <w:tcW w:w="1011" w:type="dxa"/>
            <w:tcBorders>
              <w:tl2br w:val="nil"/>
              <w:tr2bl w:val="nil"/>
            </w:tcBorders>
            <w:shd w:val="clear" w:color="auto" w:fill="auto"/>
            <w:vAlign w:val="center"/>
          </w:tcPr>
          <w:p w14:paraId="22F93F1E">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DA001、一般排放口</w:t>
            </w:r>
          </w:p>
        </w:tc>
        <w:tc>
          <w:tcPr>
            <w:tcW w:w="1266" w:type="dxa"/>
            <w:tcBorders>
              <w:tl2br w:val="nil"/>
              <w:tr2bl w:val="nil"/>
            </w:tcBorders>
            <w:shd w:val="clear" w:color="auto" w:fill="auto"/>
            <w:vAlign w:val="center"/>
          </w:tcPr>
          <w:p w14:paraId="4A27791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经度：</w:t>
            </w:r>
          </w:p>
          <w:p w14:paraId="06FF227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119.297454°</w:t>
            </w:r>
          </w:p>
          <w:p w14:paraId="4CCB6A2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纬度：</w:t>
            </w:r>
          </w:p>
          <w:p w14:paraId="7D63DC30">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shd w:val="clear"/>
              </w:rPr>
              <w:t>25.8035925°</w:t>
            </w:r>
          </w:p>
        </w:tc>
        <w:tc>
          <w:tcPr>
            <w:tcW w:w="545" w:type="dxa"/>
            <w:vMerge w:val="continue"/>
            <w:tcBorders>
              <w:tl2br w:val="nil"/>
              <w:tr2bl w:val="nil"/>
            </w:tcBorders>
            <w:shd w:val="clear" w:color="auto" w:fill="auto"/>
            <w:vAlign w:val="center"/>
          </w:tcPr>
          <w:p w14:paraId="37C397F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0F7CA2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528" w:type="dxa"/>
            <w:vMerge w:val="continue"/>
            <w:tcBorders>
              <w:tl2br w:val="nil"/>
              <w:tr2bl w:val="nil"/>
            </w:tcBorders>
            <w:shd w:val="clear" w:color="auto" w:fill="auto"/>
            <w:vAlign w:val="center"/>
          </w:tcPr>
          <w:p w14:paraId="677B7DD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shd w:val="clear" w:color="auto" w:fill="auto"/>
            <w:vAlign w:val="center"/>
          </w:tcPr>
          <w:p w14:paraId="30D3048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vMerge w:val="continue"/>
            <w:tcBorders>
              <w:tl2br w:val="nil"/>
              <w:tr2bl w:val="nil"/>
            </w:tcBorders>
            <w:shd w:val="clear" w:color="auto" w:fill="auto"/>
            <w:vAlign w:val="center"/>
          </w:tcPr>
          <w:p w14:paraId="43BFDF4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344" w:type="dxa"/>
            <w:vMerge w:val="continue"/>
            <w:tcBorders>
              <w:tl2br w:val="nil"/>
              <w:tr2bl w:val="nil"/>
            </w:tcBorders>
            <w:shd w:val="clear" w:color="auto" w:fill="auto"/>
            <w:vAlign w:val="center"/>
          </w:tcPr>
          <w:p w14:paraId="6E8FF3B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tcBorders>
              <w:tl2br w:val="nil"/>
              <w:tr2bl w:val="nil"/>
            </w:tcBorders>
            <w:shd w:val="clear" w:color="auto" w:fill="auto"/>
            <w:vAlign w:val="center"/>
          </w:tcPr>
          <w:p w14:paraId="4732EC0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915" w:type="dxa"/>
            <w:tcBorders>
              <w:tl2br w:val="nil"/>
              <w:tr2bl w:val="nil"/>
            </w:tcBorders>
            <w:shd w:val="clear" w:color="auto" w:fill="auto"/>
            <w:vAlign w:val="center"/>
          </w:tcPr>
          <w:p w14:paraId="45CF5BA2">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2"/>
                <w:position w:val="1"/>
                <w:sz w:val="20"/>
                <w:szCs w:val="20"/>
                <w:highlight w:val="none"/>
              </w:rPr>
              <w:t>/</w:t>
            </w:r>
          </w:p>
        </w:tc>
        <w:tc>
          <w:tcPr>
            <w:tcW w:w="708" w:type="dxa"/>
            <w:tcBorders>
              <w:tl2br w:val="nil"/>
              <w:tr2bl w:val="nil"/>
            </w:tcBorders>
            <w:shd w:val="clear" w:color="auto" w:fill="auto"/>
            <w:vAlign w:val="center"/>
          </w:tcPr>
          <w:p w14:paraId="7A76CC1D">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0.000</w:t>
            </w:r>
            <w:r>
              <w:rPr>
                <w:rFonts w:hint="eastAsia" w:eastAsia="宋体" w:cs="Times New Roman"/>
                <w:color w:val="auto"/>
                <w:spacing w:val="3"/>
                <w:position w:val="2"/>
                <w:sz w:val="20"/>
                <w:szCs w:val="20"/>
                <w:highlight w:val="none"/>
                <w:lang w:val="en-US" w:eastAsia="zh-CN"/>
              </w:rPr>
              <w:t>12</w:t>
            </w:r>
          </w:p>
        </w:tc>
        <w:tc>
          <w:tcPr>
            <w:tcW w:w="657" w:type="dxa"/>
            <w:tcBorders>
              <w:tl2br w:val="nil"/>
              <w:tr2bl w:val="nil"/>
            </w:tcBorders>
            <w:shd w:val="clear" w:color="auto" w:fill="auto"/>
            <w:vAlign w:val="center"/>
          </w:tcPr>
          <w:p w14:paraId="1F788072">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0.0003</w:t>
            </w:r>
          </w:p>
        </w:tc>
        <w:tc>
          <w:tcPr>
            <w:tcW w:w="315" w:type="dxa"/>
            <w:tcBorders>
              <w:tl2br w:val="nil"/>
              <w:tr2bl w:val="nil"/>
            </w:tcBorders>
            <w:shd w:val="clear" w:color="auto" w:fill="auto"/>
            <w:vAlign w:val="center"/>
          </w:tcPr>
          <w:p w14:paraId="674FB18A">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无组织</w:t>
            </w:r>
          </w:p>
        </w:tc>
        <w:tc>
          <w:tcPr>
            <w:tcW w:w="647" w:type="dxa"/>
            <w:tcBorders>
              <w:tl2br w:val="nil"/>
              <w:tr2bl w:val="nil"/>
            </w:tcBorders>
            <w:shd w:val="clear" w:color="auto" w:fill="auto"/>
            <w:vAlign w:val="center"/>
          </w:tcPr>
          <w:p w14:paraId="3D97FFB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35" w:type="dxa"/>
            <w:tcBorders>
              <w:tl2br w:val="nil"/>
              <w:tr2bl w:val="nil"/>
            </w:tcBorders>
            <w:shd w:val="clear" w:color="auto" w:fill="auto"/>
            <w:vAlign w:val="center"/>
          </w:tcPr>
          <w:p w14:paraId="1F6CF64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457FFFE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31F9BC6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612" w:type="dxa"/>
            <w:tcBorders>
              <w:tl2br w:val="nil"/>
              <w:tr2bl w:val="nil"/>
            </w:tcBorders>
            <w:shd w:val="clear" w:color="auto" w:fill="auto"/>
            <w:vAlign w:val="center"/>
          </w:tcPr>
          <w:p w14:paraId="296A32C1">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703" w:type="dxa"/>
            <w:tcBorders>
              <w:tl2br w:val="nil"/>
              <w:tr2bl w:val="nil"/>
            </w:tcBorders>
            <w:shd w:val="clear" w:color="auto" w:fill="auto"/>
            <w:vAlign w:val="center"/>
          </w:tcPr>
          <w:p w14:paraId="052B9EB9">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1"/>
                <w:sz w:val="20"/>
                <w:szCs w:val="20"/>
              </w:rPr>
              <w:t>/</w:t>
            </w:r>
          </w:p>
        </w:tc>
        <w:tc>
          <w:tcPr>
            <w:tcW w:w="708" w:type="dxa"/>
            <w:tcBorders>
              <w:tl2br w:val="nil"/>
              <w:tr2bl w:val="nil"/>
            </w:tcBorders>
            <w:shd w:val="clear" w:color="auto" w:fill="auto"/>
            <w:vAlign w:val="center"/>
          </w:tcPr>
          <w:p w14:paraId="476BDFD5">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0.000</w:t>
            </w:r>
            <w:r>
              <w:rPr>
                <w:rFonts w:hint="eastAsia" w:eastAsia="宋体" w:cs="Times New Roman"/>
                <w:color w:val="auto"/>
                <w:spacing w:val="3"/>
                <w:position w:val="2"/>
                <w:sz w:val="20"/>
                <w:szCs w:val="20"/>
                <w:lang w:val="en-US" w:eastAsia="zh-CN"/>
              </w:rPr>
              <w:t>12</w:t>
            </w:r>
          </w:p>
        </w:tc>
        <w:tc>
          <w:tcPr>
            <w:tcW w:w="657" w:type="dxa"/>
            <w:tcBorders>
              <w:tl2br w:val="nil"/>
              <w:tr2bl w:val="nil"/>
            </w:tcBorders>
            <w:shd w:val="clear" w:color="auto" w:fill="auto"/>
            <w:vAlign w:val="center"/>
          </w:tcPr>
          <w:p w14:paraId="551C0E0A">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0.0003</w:t>
            </w:r>
          </w:p>
        </w:tc>
        <w:tc>
          <w:tcPr>
            <w:tcW w:w="1167" w:type="dxa"/>
            <w:tcBorders>
              <w:tl2br w:val="nil"/>
              <w:tr2bl w:val="nil"/>
            </w:tcBorders>
            <w:shd w:val="clear" w:color="auto" w:fill="auto"/>
            <w:vAlign w:val="center"/>
          </w:tcPr>
          <w:p w14:paraId="382BEFF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011" w:type="dxa"/>
            <w:tcBorders>
              <w:tl2br w:val="nil"/>
              <w:tr2bl w:val="nil"/>
            </w:tcBorders>
            <w:shd w:val="clear" w:color="auto" w:fill="auto"/>
            <w:vAlign w:val="center"/>
          </w:tcPr>
          <w:p w14:paraId="25CBF4E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266" w:type="dxa"/>
            <w:tcBorders>
              <w:tl2br w:val="nil"/>
              <w:tr2bl w:val="nil"/>
            </w:tcBorders>
            <w:shd w:val="clear" w:color="auto" w:fill="auto"/>
            <w:vAlign w:val="center"/>
          </w:tcPr>
          <w:p w14:paraId="5402D0F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45" w:type="dxa"/>
            <w:vMerge w:val="continue"/>
            <w:tcBorders>
              <w:tl2br w:val="nil"/>
              <w:tr2bl w:val="nil"/>
            </w:tcBorders>
            <w:shd w:val="clear" w:color="auto" w:fill="auto"/>
            <w:vAlign w:val="center"/>
          </w:tcPr>
          <w:p w14:paraId="717C41A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509E6B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528" w:type="dxa"/>
            <w:vMerge w:val="continue"/>
            <w:tcBorders>
              <w:tl2br w:val="nil"/>
              <w:tr2bl w:val="nil"/>
            </w:tcBorders>
            <w:shd w:val="clear" w:color="auto" w:fill="auto"/>
            <w:vAlign w:val="center"/>
          </w:tcPr>
          <w:p w14:paraId="2A54B2C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shd w:val="clear" w:color="auto" w:fill="auto"/>
            <w:vAlign w:val="center"/>
          </w:tcPr>
          <w:p w14:paraId="264F318C">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vMerge w:val="restart"/>
            <w:tcBorders>
              <w:tl2br w:val="nil"/>
              <w:tr2bl w:val="nil"/>
            </w:tcBorders>
            <w:shd w:val="clear" w:color="auto" w:fill="auto"/>
            <w:vAlign w:val="center"/>
          </w:tcPr>
          <w:p w14:paraId="3DFEE40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position w:val="1"/>
                <w:sz w:val="21"/>
                <w:szCs w:val="20"/>
                <w:highlight w:val="none"/>
              </w:rPr>
              <w:t>SO</w:t>
            </w:r>
            <w:r>
              <w:rPr>
                <w:rFonts w:ascii="Times New Roman" w:hAnsi="Times New Roman" w:eastAsia="宋体" w:cs="Times New Roman"/>
                <w:color w:val="auto"/>
                <w:spacing w:val="3"/>
                <w:position w:val="1"/>
                <w:sz w:val="21"/>
                <w:szCs w:val="13"/>
                <w:highlight w:val="none"/>
                <w:vertAlign w:val="subscript"/>
              </w:rPr>
              <w:t>2</w:t>
            </w:r>
          </w:p>
        </w:tc>
        <w:tc>
          <w:tcPr>
            <w:tcW w:w="344" w:type="dxa"/>
            <w:vMerge w:val="continue"/>
            <w:tcBorders>
              <w:tl2br w:val="nil"/>
              <w:tr2bl w:val="nil"/>
            </w:tcBorders>
            <w:shd w:val="clear" w:color="auto" w:fill="auto"/>
            <w:vAlign w:val="center"/>
          </w:tcPr>
          <w:p w14:paraId="1681D0F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tcBorders>
              <w:tl2br w:val="nil"/>
              <w:tr2bl w:val="nil"/>
            </w:tcBorders>
            <w:shd w:val="clear" w:color="auto" w:fill="auto"/>
            <w:vAlign w:val="center"/>
          </w:tcPr>
          <w:p w14:paraId="02AEDE9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10000</w:t>
            </w:r>
          </w:p>
        </w:tc>
        <w:tc>
          <w:tcPr>
            <w:tcW w:w="915" w:type="dxa"/>
            <w:tcBorders>
              <w:tl2br w:val="nil"/>
              <w:tr2bl w:val="nil"/>
            </w:tcBorders>
            <w:shd w:val="clear" w:color="auto" w:fill="auto"/>
            <w:vAlign w:val="center"/>
          </w:tcPr>
          <w:p w14:paraId="47440858">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w:t>
            </w:r>
            <w:r>
              <w:rPr>
                <w:rFonts w:hint="eastAsia" w:eastAsia="宋体" w:cs="Times New Roman"/>
                <w:color w:val="auto"/>
                <w:spacing w:val="3"/>
                <w:position w:val="2"/>
                <w:sz w:val="20"/>
                <w:szCs w:val="20"/>
                <w:highlight w:val="none"/>
                <w:lang w:val="en-US" w:eastAsia="zh-CN"/>
              </w:rPr>
              <w:t>75</w:t>
            </w:r>
          </w:p>
        </w:tc>
        <w:tc>
          <w:tcPr>
            <w:tcW w:w="708" w:type="dxa"/>
            <w:tcBorders>
              <w:tl2br w:val="nil"/>
              <w:tr2bl w:val="nil"/>
            </w:tcBorders>
            <w:shd w:val="clear" w:color="auto" w:fill="auto"/>
            <w:vAlign w:val="center"/>
          </w:tcPr>
          <w:p w14:paraId="2943C53E">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0.000</w:t>
            </w:r>
            <w:r>
              <w:rPr>
                <w:rFonts w:hint="eastAsia" w:eastAsia="宋体" w:cs="Times New Roman"/>
                <w:color w:val="auto"/>
                <w:spacing w:val="3"/>
                <w:position w:val="2"/>
                <w:sz w:val="20"/>
                <w:szCs w:val="20"/>
                <w:highlight w:val="none"/>
                <w:lang w:val="en-US" w:eastAsia="zh-CN"/>
              </w:rPr>
              <w:t>74</w:t>
            </w:r>
          </w:p>
        </w:tc>
        <w:tc>
          <w:tcPr>
            <w:tcW w:w="657" w:type="dxa"/>
            <w:tcBorders>
              <w:tl2br w:val="nil"/>
              <w:tr2bl w:val="nil"/>
            </w:tcBorders>
            <w:shd w:val="clear" w:color="auto" w:fill="auto"/>
            <w:vAlign w:val="center"/>
          </w:tcPr>
          <w:p w14:paraId="27C1D06B">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0.0018</w:t>
            </w:r>
          </w:p>
        </w:tc>
        <w:tc>
          <w:tcPr>
            <w:tcW w:w="315" w:type="dxa"/>
            <w:tcBorders>
              <w:tl2br w:val="nil"/>
              <w:tr2bl w:val="nil"/>
            </w:tcBorders>
            <w:shd w:val="clear" w:color="auto" w:fill="auto"/>
            <w:vAlign w:val="center"/>
          </w:tcPr>
          <w:p w14:paraId="6E8F891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有组织</w:t>
            </w:r>
          </w:p>
        </w:tc>
        <w:tc>
          <w:tcPr>
            <w:tcW w:w="647" w:type="dxa"/>
            <w:tcBorders>
              <w:tl2br w:val="nil"/>
              <w:tr2bl w:val="nil"/>
            </w:tcBorders>
            <w:shd w:val="clear" w:color="auto" w:fill="auto"/>
            <w:vAlign w:val="center"/>
          </w:tcPr>
          <w:p w14:paraId="13D38AD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cs="Times New Roman"/>
                <w:color w:val="auto"/>
                <w:sz w:val="21"/>
                <w:szCs w:val="21"/>
                <w:highlight w:val="none"/>
                <w:lang w:eastAsia="zh-CN"/>
              </w:rPr>
              <w:t>喷淋＋二级活性炭吸附</w:t>
            </w:r>
          </w:p>
        </w:tc>
        <w:tc>
          <w:tcPr>
            <w:tcW w:w="335" w:type="dxa"/>
            <w:tcBorders>
              <w:tl2br w:val="nil"/>
              <w:tr2bl w:val="nil"/>
            </w:tcBorders>
            <w:shd w:val="clear" w:color="auto" w:fill="auto"/>
            <w:vAlign w:val="center"/>
          </w:tcPr>
          <w:p w14:paraId="16249645">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0%</w:t>
            </w:r>
          </w:p>
        </w:tc>
        <w:tc>
          <w:tcPr>
            <w:tcW w:w="500" w:type="dxa"/>
            <w:tcBorders>
              <w:tl2br w:val="nil"/>
              <w:tr2bl w:val="nil"/>
            </w:tcBorders>
            <w:shd w:val="clear" w:color="auto" w:fill="auto"/>
            <w:vAlign w:val="center"/>
          </w:tcPr>
          <w:p w14:paraId="4B6CC879">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648F8996">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是</w:t>
            </w:r>
          </w:p>
        </w:tc>
        <w:tc>
          <w:tcPr>
            <w:tcW w:w="612" w:type="dxa"/>
            <w:tcBorders>
              <w:tl2br w:val="nil"/>
              <w:tr2bl w:val="nil"/>
            </w:tcBorders>
            <w:shd w:val="clear" w:color="auto" w:fill="auto"/>
            <w:vAlign w:val="center"/>
          </w:tcPr>
          <w:p w14:paraId="66794DC2">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10000</w:t>
            </w:r>
          </w:p>
        </w:tc>
        <w:tc>
          <w:tcPr>
            <w:tcW w:w="703" w:type="dxa"/>
            <w:tcBorders>
              <w:tl2br w:val="nil"/>
              <w:tr2bl w:val="nil"/>
            </w:tcBorders>
            <w:shd w:val="clear" w:color="auto" w:fill="auto"/>
            <w:vAlign w:val="center"/>
          </w:tcPr>
          <w:p w14:paraId="0D12131B">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0.075</w:t>
            </w:r>
          </w:p>
        </w:tc>
        <w:tc>
          <w:tcPr>
            <w:tcW w:w="708" w:type="dxa"/>
            <w:tcBorders>
              <w:tl2br w:val="nil"/>
              <w:tr2bl w:val="nil"/>
            </w:tcBorders>
            <w:shd w:val="clear" w:color="auto" w:fill="auto"/>
            <w:vAlign w:val="center"/>
          </w:tcPr>
          <w:p w14:paraId="5D02CF50">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0.000</w:t>
            </w:r>
            <w:r>
              <w:rPr>
                <w:rFonts w:hint="eastAsia" w:eastAsia="宋体" w:cs="Times New Roman"/>
                <w:color w:val="auto"/>
                <w:spacing w:val="3"/>
                <w:position w:val="2"/>
                <w:sz w:val="20"/>
                <w:szCs w:val="20"/>
                <w:lang w:val="en-US" w:eastAsia="zh-CN"/>
              </w:rPr>
              <w:t>74</w:t>
            </w:r>
          </w:p>
        </w:tc>
        <w:tc>
          <w:tcPr>
            <w:tcW w:w="657" w:type="dxa"/>
            <w:tcBorders>
              <w:tl2br w:val="nil"/>
              <w:tr2bl w:val="nil"/>
            </w:tcBorders>
            <w:shd w:val="clear" w:color="auto" w:fill="auto"/>
            <w:vAlign w:val="center"/>
          </w:tcPr>
          <w:p w14:paraId="071F7CFB">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0.0018</w:t>
            </w:r>
          </w:p>
        </w:tc>
        <w:tc>
          <w:tcPr>
            <w:tcW w:w="1167" w:type="dxa"/>
            <w:tcBorders>
              <w:tl2br w:val="nil"/>
              <w:tr2bl w:val="nil"/>
            </w:tcBorders>
            <w:shd w:val="clear" w:color="auto" w:fill="auto"/>
            <w:vAlign w:val="center"/>
          </w:tcPr>
          <w:p w14:paraId="263DE5A3">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H=</w:t>
            </w:r>
            <w:r>
              <w:rPr>
                <w:rFonts w:hint="eastAsia" w:ascii="Times New Roman" w:hAnsi="Times New Roman" w:cs="Times New Roman"/>
                <w:color w:val="auto"/>
                <w:sz w:val="21"/>
                <w:szCs w:val="21"/>
                <w:highlight w:val="none"/>
                <w:lang w:eastAsia="zh-CN"/>
              </w:rPr>
              <w:t>23m</w:t>
            </w:r>
            <w:r>
              <w:rPr>
                <w:rFonts w:hint="eastAsia" w:ascii="Times New Roman" w:hAnsi="Times New Roman" w:eastAsia="宋体" w:cs="Times New Roman"/>
                <w:color w:val="auto"/>
                <w:sz w:val="21"/>
                <w:szCs w:val="21"/>
                <w:highlight w:val="none"/>
              </w:rPr>
              <w:t>、内径0.</w:t>
            </w:r>
            <w:r>
              <w:rPr>
                <w:rFonts w:hint="eastAsia" w:ascii="Times New Roman" w:hAnsi="Times New Roman" w:eastAsia="宋体"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m、温度</w:t>
            </w:r>
            <w:r>
              <w:rPr>
                <w:rFonts w:hint="eastAsia" w:ascii="Times New Roman" w:hAnsi="Times New Roman" w:eastAsia="宋体" w:cs="Times New Roman"/>
                <w:color w:val="auto"/>
                <w:sz w:val="21"/>
                <w:szCs w:val="21"/>
                <w:highlight w:val="none"/>
                <w:lang w:val="en-US" w:eastAsia="zh-CN"/>
              </w:rPr>
              <w:t>40</w:t>
            </w:r>
            <w:r>
              <w:rPr>
                <w:rFonts w:hint="eastAsia" w:ascii="Times New Roman" w:hAnsi="Times New Roman" w:eastAsia="宋体" w:cs="Times New Roman"/>
                <w:color w:val="auto"/>
                <w:sz w:val="21"/>
                <w:szCs w:val="21"/>
                <w:highlight w:val="none"/>
              </w:rPr>
              <w:t>℃</w:t>
            </w:r>
          </w:p>
        </w:tc>
        <w:tc>
          <w:tcPr>
            <w:tcW w:w="1011" w:type="dxa"/>
            <w:tcBorders>
              <w:tl2br w:val="nil"/>
              <w:tr2bl w:val="nil"/>
            </w:tcBorders>
            <w:shd w:val="clear" w:color="auto" w:fill="auto"/>
            <w:vAlign w:val="center"/>
          </w:tcPr>
          <w:p w14:paraId="4C5A8D6A">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DA001、一般排放口</w:t>
            </w:r>
          </w:p>
        </w:tc>
        <w:tc>
          <w:tcPr>
            <w:tcW w:w="1266" w:type="dxa"/>
            <w:tcBorders>
              <w:tl2br w:val="nil"/>
              <w:tr2bl w:val="nil"/>
            </w:tcBorders>
            <w:shd w:val="clear" w:color="auto" w:fill="auto"/>
            <w:vAlign w:val="center"/>
          </w:tcPr>
          <w:p w14:paraId="49C342C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经度：</w:t>
            </w:r>
          </w:p>
          <w:p w14:paraId="685F2C8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119.297454°</w:t>
            </w:r>
          </w:p>
          <w:p w14:paraId="2E3C71DA">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纬度：</w:t>
            </w:r>
          </w:p>
          <w:p w14:paraId="4EEBE599">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shd w:val="clear"/>
              </w:rPr>
              <w:t>25.8035925°</w:t>
            </w:r>
          </w:p>
        </w:tc>
        <w:tc>
          <w:tcPr>
            <w:tcW w:w="545" w:type="dxa"/>
            <w:vMerge w:val="continue"/>
            <w:tcBorders>
              <w:tl2br w:val="nil"/>
              <w:tr2bl w:val="nil"/>
            </w:tcBorders>
            <w:shd w:val="clear" w:color="auto" w:fill="auto"/>
            <w:vAlign w:val="center"/>
          </w:tcPr>
          <w:p w14:paraId="5A133CA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41FCE1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528" w:type="dxa"/>
            <w:vMerge w:val="continue"/>
            <w:tcBorders>
              <w:tl2br w:val="nil"/>
              <w:tr2bl w:val="nil"/>
            </w:tcBorders>
            <w:shd w:val="clear" w:color="auto" w:fill="auto"/>
            <w:vAlign w:val="center"/>
          </w:tcPr>
          <w:p w14:paraId="342CE5B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shd w:val="clear" w:color="auto" w:fill="auto"/>
            <w:vAlign w:val="center"/>
          </w:tcPr>
          <w:p w14:paraId="3269877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vMerge w:val="continue"/>
            <w:tcBorders>
              <w:tl2br w:val="nil"/>
              <w:tr2bl w:val="nil"/>
            </w:tcBorders>
            <w:shd w:val="clear" w:color="auto" w:fill="auto"/>
            <w:vAlign w:val="center"/>
          </w:tcPr>
          <w:p w14:paraId="1066D21A">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344" w:type="dxa"/>
            <w:vMerge w:val="continue"/>
            <w:tcBorders>
              <w:tl2br w:val="nil"/>
              <w:tr2bl w:val="nil"/>
            </w:tcBorders>
            <w:shd w:val="clear" w:color="auto" w:fill="auto"/>
            <w:vAlign w:val="center"/>
          </w:tcPr>
          <w:p w14:paraId="1365A8C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tcBorders>
              <w:tl2br w:val="nil"/>
              <w:tr2bl w:val="nil"/>
            </w:tcBorders>
            <w:shd w:val="clear" w:color="auto" w:fill="auto"/>
            <w:vAlign w:val="center"/>
          </w:tcPr>
          <w:p w14:paraId="1DFFB22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915" w:type="dxa"/>
            <w:tcBorders>
              <w:tl2br w:val="nil"/>
              <w:tr2bl w:val="nil"/>
            </w:tcBorders>
            <w:shd w:val="clear" w:color="auto" w:fill="auto"/>
            <w:vAlign w:val="center"/>
          </w:tcPr>
          <w:p w14:paraId="79A135EE">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2"/>
                <w:position w:val="1"/>
                <w:sz w:val="20"/>
                <w:szCs w:val="20"/>
                <w:highlight w:val="none"/>
              </w:rPr>
              <w:t>/</w:t>
            </w:r>
          </w:p>
        </w:tc>
        <w:tc>
          <w:tcPr>
            <w:tcW w:w="708" w:type="dxa"/>
            <w:tcBorders>
              <w:tl2br w:val="nil"/>
              <w:tr2bl w:val="nil"/>
            </w:tcBorders>
            <w:shd w:val="clear" w:color="auto" w:fill="auto"/>
            <w:vAlign w:val="center"/>
          </w:tcPr>
          <w:p w14:paraId="60C972BE">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0.0000</w:t>
            </w:r>
            <w:r>
              <w:rPr>
                <w:rFonts w:hint="eastAsia" w:eastAsia="宋体" w:cs="Times New Roman"/>
                <w:color w:val="auto"/>
                <w:spacing w:val="3"/>
                <w:position w:val="2"/>
                <w:sz w:val="20"/>
                <w:szCs w:val="20"/>
                <w:highlight w:val="none"/>
                <w:lang w:val="en-US" w:eastAsia="zh-CN"/>
              </w:rPr>
              <w:t>8</w:t>
            </w:r>
          </w:p>
        </w:tc>
        <w:tc>
          <w:tcPr>
            <w:tcW w:w="657" w:type="dxa"/>
            <w:tcBorders>
              <w:tl2br w:val="nil"/>
              <w:tr2bl w:val="nil"/>
            </w:tcBorders>
            <w:shd w:val="clear" w:color="auto" w:fill="auto"/>
            <w:vAlign w:val="center"/>
          </w:tcPr>
          <w:p w14:paraId="4DBD3A60">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0.0002</w:t>
            </w:r>
          </w:p>
        </w:tc>
        <w:tc>
          <w:tcPr>
            <w:tcW w:w="315" w:type="dxa"/>
            <w:tcBorders>
              <w:tl2br w:val="nil"/>
              <w:tr2bl w:val="nil"/>
            </w:tcBorders>
            <w:shd w:val="clear" w:color="auto" w:fill="auto"/>
            <w:vAlign w:val="center"/>
          </w:tcPr>
          <w:p w14:paraId="3AFD8F6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无组织</w:t>
            </w:r>
          </w:p>
        </w:tc>
        <w:tc>
          <w:tcPr>
            <w:tcW w:w="647" w:type="dxa"/>
            <w:tcBorders>
              <w:tl2br w:val="nil"/>
              <w:tr2bl w:val="nil"/>
            </w:tcBorders>
            <w:shd w:val="clear" w:color="auto" w:fill="auto"/>
            <w:vAlign w:val="center"/>
          </w:tcPr>
          <w:p w14:paraId="504041C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335" w:type="dxa"/>
            <w:tcBorders>
              <w:tl2br w:val="nil"/>
              <w:tr2bl w:val="nil"/>
            </w:tcBorders>
            <w:shd w:val="clear" w:color="auto" w:fill="auto"/>
            <w:vAlign w:val="center"/>
          </w:tcPr>
          <w:p w14:paraId="38C7A901">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737A5F1D">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348E6AF3">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612" w:type="dxa"/>
            <w:tcBorders>
              <w:tl2br w:val="nil"/>
              <w:tr2bl w:val="nil"/>
            </w:tcBorders>
            <w:shd w:val="clear" w:color="auto" w:fill="auto"/>
            <w:vAlign w:val="center"/>
          </w:tcPr>
          <w:p w14:paraId="2AF3180F">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703" w:type="dxa"/>
            <w:tcBorders>
              <w:tl2br w:val="nil"/>
              <w:tr2bl w:val="nil"/>
            </w:tcBorders>
            <w:shd w:val="clear" w:color="auto" w:fill="auto"/>
            <w:vAlign w:val="center"/>
          </w:tcPr>
          <w:p w14:paraId="0938F24B">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1"/>
                <w:sz w:val="20"/>
                <w:szCs w:val="20"/>
              </w:rPr>
              <w:t>/</w:t>
            </w:r>
          </w:p>
        </w:tc>
        <w:tc>
          <w:tcPr>
            <w:tcW w:w="708" w:type="dxa"/>
            <w:tcBorders>
              <w:tl2br w:val="nil"/>
              <w:tr2bl w:val="nil"/>
            </w:tcBorders>
            <w:shd w:val="clear" w:color="auto" w:fill="auto"/>
            <w:vAlign w:val="center"/>
          </w:tcPr>
          <w:p w14:paraId="274748E9">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0.0000</w:t>
            </w:r>
            <w:r>
              <w:rPr>
                <w:rFonts w:hint="eastAsia" w:eastAsia="宋体" w:cs="Times New Roman"/>
                <w:color w:val="auto"/>
                <w:spacing w:val="3"/>
                <w:position w:val="2"/>
                <w:sz w:val="20"/>
                <w:szCs w:val="20"/>
                <w:lang w:val="en-US" w:eastAsia="zh-CN"/>
              </w:rPr>
              <w:t>8</w:t>
            </w:r>
          </w:p>
        </w:tc>
        <w:tc>
          <w:tcPr>
            <w:tcW w:w="657" w:type="dxa"/>
            <w:tcBorders>
              <w:tl2br w:val="nil"/>
              <w:tr2bl w:val="nil"/>
            </w:tcBorders>
            <w:shd w:val="clear" w:color="auto" w:fill="auto"/>
            <w:vAlign w:val="center"/>
          </w:tcPr>
          <w:p w14:paraId="77694222">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0.0002</w:t>
            </w:r>
          </w:p>
        </w:tc>
        <w:tc>
          <w:tcPr>
            <w:tcW w:w="1167" w:type="dxa"/>
            <w:tcBorders>
              <w:tl2br w:val="nil"/>
              <w:tr2bl w:val="nil"/>
            </w:tcBorders>
            <w:shd w:val="clear" w:color="auto" w:fill="auto"/>
            <w:vAlign w:val="center"/>
          </w:tcPr>
          <w:p w14:paraId="6BF8095F">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1011" w:type="dxa"/>
            <w:tcBorders>
              <w:tl2br w:val="nil"/>
              <w:tr2bl w:val="nil"/>
            </w:tcBorders>
            <w:shd w:val="clear" w:color="auto" w:fill="auto"/>
            <w:vAlign w:val="center"/>
          </w:tcPr>
          <w:p w14:paraId="4BAA0EAD">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1266" w:type="dxa"/>
            <w:tcBorders>
              <w:tl2br w:val="nil"/>
              <w:tr2bl w:val="nil"/>
            </w:tcBorders>
            <w:shd w:val="clear" w:color="auto" w:fill="auto"/>
            <w:vAlign w:val="center"/>
          </w:tcPr>
          <w:p w14:paraId="726E1A8D">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545" w:type="dxa"/>
            <w:vMerge w:val="continue"/>
            <w:tcBorders>
              <w:tl2br w:val="nil"/>
              <w:tr2bl w:val="nil"/>
            </w:tcBorders>
            <w:shd w:val="clear" w:color="auto" w:fill="auto"/>
            <w:vAlign w:val="center"/>
          </w:tcPr>
          <w:p w14:paraId="5FFB3CCA">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70DA1E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528" w:type="dxa"/>
            <w:vMerge w:val="continue"/>
            <w:tcBorders>
              <w:tl2br w:val="nil"/>
              <w:tr2bl w:val="nil"/>
            </w:tcBorders>
            <w:shd w:val="clear" w:color="auto" w:fill="auto"/>
            <w:vAlign w:val="center"/>
          </w:tcPr>
          <w:p w14:paraId="2633BCAF">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shd w:val="clear" w:color="auto" w:fill="auto"/>
            <w:vAlign w:val="center"/>
          </w:tcPr>
          <w:p w14:paraId="3F6C018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vMerge w:val="restart"/>
            <w:tcBorders>
              <w:tl2br w:val="nil"/>
              <w:tr2bl w:val="nil"/>
            </w:tcBorders>
            <w:shd w:val="clear" w:color="auto" w:fill="auto"/>
            <w:vAlign w:val="center"/>
          </w:tcPr>
          <w:p w14:paraId="18351C1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ascii="Times New Roman" w:hAnsi="Times New Roman" w:eastAsia="宋体" w:cs="Times New Roman"/>
                <w:color w:val="auto"/>
                <w:spacing w:val="6"/>
                <w:sz w:val="21"/>
                <w:szCs w:val="20"/>
                <w:highlight w:val="none"/>
              </w:rPr>
              <w:t>NOx</w:t>
            </w:r>
          </w:p>
        </w:tc>
        <w:tc>
          <w:tcPr>
            <w:tcW w:w="344" w:type="dxa"/>
            <w:vMerge w:val="continue"/>
            <w:tcBorders>
              <w:tl2br w:val="nil"/>
              <w:tr2bl w:val="nil"/>
            </w:tcBorders>
            <w:shd w:val="clear" w:color="auto" w:fill="auto"/>
            <w:vAlign w:val="center"/>
          </w:tcPr>
          <w:p w14:paraId="157424D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tcBorders>
              <w:tl2br w:val="nil"/>
              <w:tr2bl w:val="nil"/>
            </w:tcBorders>
            <w:shd w:val="clear" w:color="auto" w:fill="auto"/>
            <w:vAlign w:val="center"/>
          </w:tcPr>
          <w:p w14:paraId="724D2FD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10000</w:t>
            </w:r>
          </w:p>
        </w:tc>
        <w:tc>
          <w:tcPr>
            <w:tcW w:w="915" w:type="dxa"/>
            <w:tcBorders>
              <w:tl2br w:val="nil"/>
              <w:tr2bl w:val="nil"/>
            </w:tcBorders>
            <w:shd w:val="clear" w:color="auto" w:fill="auto"/>
            <w:vAlign w:val="center"/>
          </w:tcPr>
          <w:p w14:paraId="08EF3C64">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2"/>
                <w:position w:val="2"/>
                <w:sz w:val="20"/>
                <w:szCs w:val="20"/>
                <w:highlight w:val="none"/>
              </w:rPr>
              <w:t>0.</w:t>
            </w:r>
            <w:r>
              <w:rPr>
                <w:rFonts w:hint="eastAsia" w:eastAsia="宋体" w:cs="Times New Roman"/>
                <w:color w:val="auto"/>
                <w:spacing w:val="2"/>
                <w:position w:val="2"/>
                <w:sz w:val="20"/>
                <w:szCs w:val="20"/>
                <w:highlight w:val="none"/>
                <w:lang w:val="en-US" w:eastAsia="zh-CN"/>
              </w:rPr>
              <w:t>6</w:t>
            </w:r>
          </w:p>
        </w:tc>
        <w:tc>
          <w:tcPr>
            <w:tcW w:w="708" w:type="dxa"/>
            <w:tcBorders>
              <w:tl2br w:val="nil"/>
              <w:tr2bl w:val="nil"/>
            </w:tcBorders>
            <w:shd w:val="clear" w:color="auto" w:fill="auto"/>
            <w:vAlign w:val="center"/>
          </w:tcPr>
          <w:p w14:paraId="5E62C20A">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hint="eastAsia" w:cs="Times New Roman"/>
                <w:color w:val="auto"/>
                <w:kern w:val="2"/>
                <w:sz w:val="20"/>
                <w:szCs w:val="20"/>
                <w:highlight w:val="none"/>
                <w:lang w:val="en-US" w:eastAsia="zh-CN" w:bidi="ar-SA"/>
              </w:rPr>
              <w:t>0.006</w:t>
            </w:r>
          </w:p>
        </w:tc>
        <w:tc>
          <w:tcPr>
            <w:tcW w:w="657" w:type="dxa"/>
            <w:tcBorders>
              <w:tl2br w:val="nil"/>
              <w:tr2bl w:val="nil"/>
            </w:tcBorders>
            <w:shd w:val="clear" w:color="auto" w:fill="auto"/>
            <w:vAlign w:val="center"/>
          </w:tcPr>
          <w:p w14:paraId="33E9A2CA">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hint="eastAsia" w:eastAsia="宋体" w:cs="Times New Roman"/>
                <w:color w:val="auto"/>
                <w:spacing w:val="3"/>
                <w:position w:val="2"/>
                <w:sz w:val="20"/>
                <w:szCs w:val="20"/>
                <w:highlight w:val="none"/>
                <w:lang w:val="en-US" w:eastAsia="zh-CN"/>
              </w:rPr>
              <w:t>0.0143</w:t>
            </w:r>
          </w:p>
        </w:tc>
        <w:tc>
          <w:tcPr>
            <w:tcW w:w="315" w:type="dxa"/>
            <w:tcBorders>
              <w:tl2br w:val="nil"/>
              <w:tr2bl w:val="nil"/>
            </w:tcBorders>
            <w:shd w:val="clear" w:color="auto" w:fill="auto"/>
            <w:vAlign w:val="center"/>
          </w:tcPr>
          <w:p w14:paraId="766A5BD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有组织</w:t>
            </w:r>
          </w:p>
        </w:tc>
        <w:tc>
          <w:tcPr>
            <w:tcW w:w="647" w:type="dxa"/>
            <w:tcBorders>
              <w:tl2br w:val="nil"/>
              <w:tr2bl w:val="nil"/>
            </w:tcBorders>
            <w:shd w:val="clear" w:color="auto" w:fill="auto"/>
            <w:vAlign w:val="center"/>
          </w:tcPr>
          <w:p w14:paraId="20C4CFC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cs="Times New Roman"/>
                <w:color w:val="auto"/>
                <w:sz w:val="21"/>
                <w:szCs w:val="21"/>
                <w:highlight w:val="none"/>
                <w:lang w:eastAsia="zh-CN"/>
              </w:rPr>
              <w:t>喷淋＋二级活性炭吸附</w:t>
            </w:r>
          </w:p>
        </w:tc>
        <w:tc>
          <w:tcPr>
            <w:tcW w:w="335" w:type="dxa"/>
            <w:tcBorders>
              <w:tl2br w:val="nil"/>
              <w:tr2bl w:val="nil"/>
            </w:tcBorders>
            <w:shd w:val="clear" w:color="auto" w:fill="auto"/>
            <w:vAlign w:val="center"/>
          </w:tcPr>
          <w:p w14:paraId="7AECFB58">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0%</w:t>
            </w:r>
          </w:p>
        </w:tc>
        <w:tc>
          <w:tcPr>
            <w:tcW w:w="500" w:type="dxa"/>
            <w:tcBorders>
              <w:tl2br w:val="nil"/>
              <w:tr2bl w:val="nil"/>
            </w:tcBorders>
            <w:shd w:val="clear" w:color="auto" w:fill="auto"/>
            <w:vAlign w:val="center"/>
          </w:tcPr>
          <w:p w14:paraId="480F9557">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0188CE10">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是</w:t>
            </w:r>
          </w:p>
        </w:tc>
        <w:tc>
          <w:tcPr>
            <w:tcW w:w="612" w:type="dxa"/>
            <w:tcBorders>
              <w:tl2br w:val="nil"/>
              <w:tr2bl w:val="nil"/>
            </w:tcBorders>
            <w:shd w:val="clear" w:color="auto" w:fill="auto"/>
            <w:vAlign w:val="center"/>
          </w:tcPr>
          <w:p w14:paraId="7313D2C2">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10000</w:t>
            </w:r>
          </w:p>
        </w:tc>
        <w:tc>
          <w:tcPr>
            <w:tcW w:w="703" w:type="dxa"/>
            <w:tcBorders>
              <w:tl2br w:val="nil"/>
              <w:tr2bl w:val="nil"/>
            </w:tcBorders>
            <w:shd w:val="clear" w:color="auto" w:fill="auto"/>
            <w:vAlign w:val="center"/>
          </w:tcPr>
          <w:p w14:paraId="78D029F7">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2"/>
                <w:position w:val="2"/>
                <w:sz w:val="20"/>
                <w:szCs w:val="20"/>
              </w:rPr>
              <w:t>0.</w:t>
            </w:r>
            <w:r>
              <w:rPr>
                <w:rFonts w:hint="eastAsia" w:eastAsia="宋体" w:cs="Times New Roman"/>
                <w:color w:val="auto"/>
                <w:spacing w:val="2"/>
                <w:position w:val="2"/>
                <w:sz w:val="20"/>
                <w:szCs w:val="20"/>
                <w:lang w:val="en-US" w:eastAsia="zh-CN"/>
              </w:rPr>
              <w:t>6</w:t>
            </w:r>
          </w:p>
        </w:tc>
        <w:tc>
          <w:tcPr>
            <w:tcW w:w="708" w:type="dxa"/>
            <w:tcBorders>
              <w:tl2br w:val="nil"/>
              <w:tr2bl w:val="nil"/>
            </w:tcBorders>
            <w:shd w:val="clear" w:color="auto" w:fill="auto"/>
            <w:vAlign w:val="center"/>
          </w:tcPr>
          <w:p w14:paraId="185310B3">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w:t>
            </w:r>
            <w:r>
              <w:rPr>
                <w:rFonts w:hint="eastAsia" w:eastAsia="宋体" w:cs="Times New Roman"/>
                <w:color w:val="auto"/>
                <w:spacing w:val="3"/>
                <w:position w:val="2"/>
                <w:sz w:val="20"/>
                <w:szCs w:val="20"/>
                <w:lang w:val="en-US" w:eastAsia="zh-CN"/>
              </w:rPr>
              <w:t>0</w:t>
            </w:r>
            <w:r>
              <w:rPr>
                <w:rFonts w:hint="eastAsia" w:cs="Times New Roman"/>
                <w:color w:val="auto"/>
                <w:spacing w:val="3"/>
                <w:position w:val="2"/>
                <w:sz w:val="20"/>
                <w:szCs w:val="20"/>
                <w:lang w:val="en-US" w:eastAsia="zh-CN"/>
              </w:rPr>
              <w:t>6</w:t>
            </w:r>
          </w:p>
        </w:tc>
        <w:tc>
          <w:tcPr>
            <w:tcW w:w="657" w:type="dxa"/>
            <w:tcBorders>
              <w:tl2br w:val="nil"/>
              <w:tr2bl w:val="nil"/>
            </w:tcBorders>
            <w:shd w:val="clear" w:color="auto" w:fill="auto"/>
            <w:vAlign w:val="center"/>
          </w:tcPr>
          <w:p w14:paraId="0CBA0AD4">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宋体" w:cs="Times New Roman"/>
                <w:color w:val="auto"/>
                <w:kern w:val="2"/>
                <w:sz w:val="20"/>
                <w:szCs w:val="20"/>
                <w:lang w:val="en-US" w:eastAsia="zh-CN" w:bidi="ar-SA"/>
              </w:rPr>
            </w:pPr>
            <w:r>
              <w:rPr>
                <w:rFonts w:hint="eastAsia" w:eastAsia="宋体" w:cs="Times New Roman"/>
                <w:color w:val="auto"/>
                <w:spacing w:val="3"/>
                <w:position w:val="2"/>
                <w:sz w:val="20"/>
                <w:szCs w:val="20"/>
                <w:lang w:val="en-US" w:eastAsia="zh-CN"/>
              </w:rPr>
              <w:t>0.0143</w:t>
            </w:r>
          </w:p>
        </w:tc>
        <w:tc>
          <w:tcPr>
            <w:tcW w:w="1167" w:type="dxa"/>
            <w:tcBorders>
              <w:tl2br w:val="nil"/>
              <w:tr2bl w:val="nil"/>
            </w:tcBorders>
            <w:shd w:val="clear" w:color="auto" w:fill="auto"/>
            <w:vAlign w:val="center"/>
          </w:tcPr>
          <w:p w14:paraId="46B005EF">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H=</w:t>
            </w:r>
            <w:r>
              <w:rPr>
                <w:rFonts w:hint="eastAsia" w:ascii="Times New Roman" w:hAnsi="Times New Roman" w:cs="Times New Roman"/>
                <w:color w:val="auto"/>
                <w:sz w:val="21"/>
                <w:szCs w:val="21"/>
                <w:highlight w:val="none"/>
                <w:lang w:eastAsia="zh-CN"/>
              </w:rPr>
              <w:t>23m</w:t>
            </w:r>
            <w:r>
              <w:rPr>
                <w:rFonts w:hint="eastAsia" w:ascii="Times New Roman" w:hAnsi="Times New Roman" w:eastAsia="宋体" w:cs="Times New Roman"/>
                <w:color w:val="auto"/>
                <w:sz w:val="21"/>
                <w:szCs w:val="21"/>
                <w:highlight w:val="none"/>
              </w:rPr>
              <w:t>、内径0.</w:t>
            </w:r>
            <w:r>
              <w:rPr>
                <w:rFonts w:hint="eastAsia" w:ascii="Times New Roman" w:hAnsi="Times New Roman" w:eastAsia="宋体" w:cs="Times New Roman"/>
                <w:color w:val="auto"/>
                <w:sz w:val="21"/>
                <w:szCs w:val="21"/>
                <w:highlight w:val="none"/>
                <w:lang w:val="en-US" w:eastAsia="zh-CN"/>
              </w:rPr>
              <w:t>9</w:t>
            </w:r>
            <w:r>
              <w:rPr>
                <w:rFonts w:hint="eastAsia" w:ascii="Times New Roman" w:hAnsi="Times New Roman" w:eastAsia="宋体" w:cs="Times New Roman"/>
                <w:color w:val="auto"/>
                <w:sz w:val="21"/>
                <w:szCs w:val="21"/>
                <w:highlight w:val="none"/>
              </w:rPr>
              <w:t>m、温度</w:t>
            </w:r>
            <w:r>
              <w:rPr>
                <w:rFonts w:hint="eastAsia" w:ascii="Times New Roman" w:hAnsi="Times New Roman" w:eastAsia="宋体" w:cs="Times New Roman"/>
                <w:color w:val="auto"/>
                <w:sz w:val="21"/>
                <w:szCs w:val="21"/>
                <w:highlight w:val="none"/>
                <w:lang w:val="en-US" w:eastAsia="zh-CN"/>
              </w:rPr>
              <w:t>40</w:t>
            </w:r>
            <w:r>
              <w:rPr>
                <w:rFonts w:hint="eastAsia" w:ascii="Times New Roman" w:hAnsi="Times New Roman" w:eastAsia="宋体" w:cs="Times New Roman"/>
                <w:color w:val="auto"/>
                <w:sz w:val="21"/>
                <w:szCs w:val="21"/>
                <w:highlight w:val="none"/>
              </w:rPr>
              <w:t>℃</w:t>
            </w:r>
          </w:p>
        </w:tc>
        <w:tc>
          <w:tcPr>
            <w:tcW w:w="1011" w:type="dxa"/>
            <w:tcBorders>
              <w:tl2br w:val="nil"/>
              <w:tr2bl w:val="nil"/>
            </w:tcBorders>
            <w:shd w:val="clear" w:color="auto" w:fill="auto"/>
            <w:vAlign w:val="center"/>
          </w:tcPr>
          <w:p w14:paraId="14CFFE61">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DA001、一般排放口</w:t>
            </w:r>
          </w:p>
        </w:tc>
        <w:tc>
          <w:tcPr>
            <w:tcW w:w="1266" w:type="dxa"/>
            <w:tcBorders>
              <w:tl2br w:val="nil"/>
              <w:tr2bl w:val="nil"/>
            </w:tcBorders>
            <w:shd w:val="clear" w:color="auto" w:fill="auto"/>
            <w:vAlign w:val="center"/>
          </w:tcPr>
          <w:p w14:paraId="7B47CA1C">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经度：</w:t>
            </w:r>
          </w:p>
          <w:p w14:paraId="20C3BAB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119.297454°</w:t>
            </w:r>
          </w:p>
          <w:p w14:paraId="78A74B9F">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纬度：</w:t>
            </w:r>
          </w:p>
          <w:p w14:paraId="27D1C4D6">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shd w:val="clear"/>
              </w:rPr>
              <w:t>25.8035925°</w:t>
            </w:r>
          </w:p>
        </w:tc>
        <w:tc>
          <w:tcPr>
            <w:tcW w:w="545" w:type="dxa"/>
            <w:vMerge w:val="continue"/>
            <w:tcBorders>
              <w:tl2br w:val="nil"/>
              <w:tr2bl w:val="nil"/>
            </w:tcBorders>
            <w:shd w:val="clear" w:color="auto" w:fill="auto"/>
            <w:vAlign w:val="center"/>
          </w:tcPr>
          <w:p w14:paraId="3266E03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67FAAA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3" w:hRule="atLeast"/>
        </w:trPr>
        <w:tc>
          <w:tcPr>
            <w:tcW w:w="528" w:type="dxa"/>
            <w:vMerge w:val="continue"/>
            <w:tcBorders>
              <w:tl2br w:val="nil"/>
              <w:tr2bl w:val="nil"/>
            </w:tcBorders>
            <w:shd w:val="clear" w:color="auto" w:fill="auto"/>
            <w:vAlign w:val="center"/>
          </w:tcPr>
          <w:p w14:paraId="33F2D7B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shd w:val="clear" w:color="auto" w:fill="auto"/>
            <w:vAlign w:val="center"/>
          </w:tcPr>
          <w:p w14:paraId="5F9C9BA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vMerge w:val="continue"/>
            <w:tcBorders>
              <w:tl2br w:val="nil"/>
              <w:tr2bl w:val="nil"/>
            </w:tcBorders>
            <w:shd w:val="clear" w:color="auto" w:fill="auto"/>
            <w:vAlign w:val="center"/>
          </w:tcPr>
          <w:p w14:paraId="351C8A6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344" w:type="dxa"/>
            <w:vMerge w:val="continue"/>
            <w:tcBorders>
              <w:tl2br w:val="nil"/>
              <w:tr2bl w:val="nil"/>
            </w:tcBorders>
            <w:shd w:val="clear" w:color="auto" w:fill="auto"/>
            <w:vAlign w:val="center"/>
          </w:tcPr>
          <w:p w14:paraId="05D8FAF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tcBorders>
              <w:tl2br w:val="nil"/>
              <w:tr2bl w:val="nil"/>
            </w:tcBorders>
            <w:shd w:val="clear" w:color="auto" w:fill="auto"/>
            <w:vAlign w:val="center"/>
          </w:tcPr>
          <w:p w14:paraId="1FC7C6C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915" w:type="dxa"/>
            <w:tcBorders>
              <w:tl2br w:val="nil"/>
              <w:tr2bl w:val="nil"/>
            </w:tcBorders>
            <w:shd w:val="clear" w:color="auto" w:fill="auto"/>
            <w:vAlign w:val="center"/>
          </w:tcPr>
          <w:p w14:paraId="2C1CB91B">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2"/>
                <w:position w:val="1"/>
                <w:sz w:val="20"/>
                <w:szCs w:val="20"/>
                <w:highlight w:val="none"/>
              </w:rPr>
              <w:t>/</w:t>
            </w:r>
          </w:p>
        </w:tc>
        <w:tc>
          <w:tcPr>
            <w:tcW w:w="708" w:type="dxa"/>
            <w:tcBorders>
              <w:tl2br w:val="nil"/>
              <w:tr2bl w:val="nil"/>
            </w:tcBorders>
            <w:shd w:val="clear" w:color="auto" w:fill="auto"/>
            <w:vAlign w:val="center"/>
          </w:tcPr>
          <w:p w14:paraId="13364579">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0.000</w:t>
            </w:r>
            <w:r>
              <w:rPr>
                <w:rFonts w:hint="eastAsia" w:eastAsia="宋体" w:cs="Times New Roman"/>
                <w:color w:val="auto"/>
                <w:spacing w:val="3"/>
                <w:position w:val="2"/>
                <w:sz w:val="20"/>
                <w:szCs w:val="20"/>
                <w:highlight w:val="none"/>
                <w:lang w:val="en-US" w:eastAsia="zh-CN"/>
              </w:rPr>
              <w:t>7</w:t>
            </w:r>
          </w:p>
        </w:tc>
        <w:tc>
          <w:tcPr>
            <w:tcW w:w="657" w:type="dxa"/>
            <w:tcBorders>
              <w:tl2br w:val="nil"/>
              <w:tr2bl w:val="nil"/>
            </w:tcBorders>
            <w:shd w:val="clear" w:color="auto" w:fill="auto"/>
            <w:vAlign w:val="center"/>
          </w:tcPr>
          <w:p w14:paraId="2AFFAAA9">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0.001</w:t>
            </w:r>
            <w:r>
              <w:rPr>
                <w:rFonts w:hint="eastAsia" w:eastAsia="宋体" w:cs="Times New Roman"/>
                <w:color w:val="auto"/>
                <w:spacing w:val="3"/>
                <w:position w:val="2"/>
                <w:sz w:val="20"/>
                <w:szCs w:val="20"/>
                <w:highlight w:val="none"/>
                <w:lang w:val="en-US" w:eastAsia="zh-CN"/>
              </w:rPr>
              <w:t>6</w:t>
            </w:r>
          </w:p>
        </w:tc>
        <w:tc>
          <w:tcPr>
            <w:tcW w:w="315" w:type="dxa"/>
            <w:tcBorders>
              <w:tl2br w:val="nil"/>
              <w:tr2bl w:val="nil"/>
            </w:tcBorders>
            <w:shd w:val="clear" w:color="auto" w:fill="auto"/>
            <w:vAlign w:val="center"/>
          </w:tcPr>
          <w:p w14:paraId="32DAFA2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无组织</w:t>
            </w:r>
          </w:p>
        </w:tc>
        <w:tc>
          <w:tcPr>
            <w:tcW w:w="647" w:type="dxa"/>
            <w:tcBorders>
              <w:tl2br w:val="nil"/>
              <w:tr2bl w:val="nil"/>
            </w:tcBorders>
            <w:shd w:val="clear" w:color="auto" w:fill="auto"/>
            <w:vAlign w:val="center"/>
          </w:tcPr>
          <w:p w14:paraId="2715446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335" w:type="dxa"/>
            <w:tcBorders>
              <w:tl2br w:val="nil"/>
              <w:tr2bl w:val="nil"/>
            </w:tcBorders>
            <w:shd w:val="clear" w:color="auto" w:fill="auto"/>
            <w:vAlign w:val="center"/>
          </w:tcPr>
          <w:p w14:paraId="28EC89E1">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57A7AEEF">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7F74EBA1">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612" w:type="dxa"/>
            <w:tcBorders>
              <w:tl2br w:val="nil"/>
              <w:tr2bl w:val="nil"/>
            </w:tcBorders>
            <w:shd w:val="clear" w:color="auto" w:fill="auto"/>
            <w:vAlign w:val="center"/>
          </w:tcPr>
          <w:p w14:paraId="06CE6333">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703" w:type="dxa"/>
            <w:tcBorders>
              <w:tl2br w:val="nil"/>
              <w:tr2bl w:val="nil"/>
            </w:tcBorders>
            <w:shd w:val="clear" w:color="auto" w:fill="auto"/>
            <w:vAlign w:val="center"/>
          </w:tcPr>
          <w:p w14:paraId="7B28C52F">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1"/>
                <w:sz w:val="20"/>
                <w:szCs w:val="20"/>
              </w:rPr>
              <w:t>/</w:t>
            </w:r>
          </w:p>
        </w:tc>
        <w:tc>
          <w:tcPr>
            <w:tcW w:w="708" w:type="dxa"/>
            <w:tcBorders>
              <w:tl2br w:val="nil"/>
              <w:tr2bl w:val="nil"/>
            </w:tcBorders>
            <w:shd w:val="clear" w:color="auto" w:fill="auto"/>
            <w:vAlign w:val="center"/>
          </w:tcPr>
          <w:p w14:paraId="70D35C36">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highlight w:val="none"/>
              </w:rPr>
              <w:t>0.000</w:t>
            </w:r>
            <w:r>
              <w:rPr>
                <w:rFonts w:hint="eastAsia" w:eastAsia="宋体" w:cs="Times New Roman"/>
                <w:color w:val="auto"/>
                <w:spacing w:val="3"/>
                <w:position w:val="2"/>
                <w:sz w:val="20"/>
                <w:szCs w:val="20"/>
                <w:highlight w:val="none"/>
                <w:lang w:val="en-US" w:eastAsia="zh-CN"/>
              </w:rPr>
              <w:t>7</w:t>
            </w:r>
          </w:p>
        </w:tc>
        <w:tc>
          <w:tcPr>
            <w:tcW w:w="657" w:type="dxa"/>
            <w:tcBorders>
              <w:tl2br w:val="nil"/>
              <w:tr2bl w:val="nil"/>
            </w:tcBorders>
            <w:shd w:val="clear" w:color="auto" w:fill="auto"/>
            <w:vAlign w:val="center"/>
          </w:tcPr>
          <w:p w14:paraId="0A6A55CD">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highlight w:val="none"/>
              </w:rPr>
              <w:t>0.001</w:t>
            </w:r>
            <w:r>
              <w:rPr>
                <w:rFonts w:hint="eastAsia" w:eastAsia="宋体" w:cs="Times New Roman"/>
                <w:color w:val="auto"/>
                <w:spacing w:val="3"/>
                <w:position w:val="2"/>
                <w:sz w:val="20"/>
                <w:szCs w:val="20"/>
                <w:highlight w:val="none"/>
                <w:lang w:val="en-US" w:eastAsia="zh-CN"/>
              </w:rPr>
              <w:t>6</w:t>
            </w:r>
          </w:p>
        </w:tc>
        <w:tc>
          <w:tcPr>
            <w:tcW w:w="1167" w:type="dxa"/>
            <w:tcBorders>
              <w:tl2br w:val="nil"/>
              <w:tr2bl w:val="nil"/>
            </w:tcBorders>
            <w:shd w:val="clear" w:color="auto" w:fill="auto"/>
            <w:vAlign w:val="center"/>
          </w:tcPr>
          <w:p w14:paraId="1D0E0ED1">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1011" w:type="dxa"/>
            <w:tcBorders>
              <w:tl2br w:val="nil"/>
              <w:tr2bl w:val="nil"/>
            </w:tcBorders>
            <w:shd w:val="clear" w:color="auto" w:fill="auto"/>
            <w:vAlign w:val="center"/>
          </w:tcPr>
          <w:p w14:paraId="7349C2DB">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1266" w:type="dxa"/>
            <w:tcBorders>
              <w:tl2br w:val="nil"/>
              <w:tr2bl w:val="nil"/>
            </w:tcBorders>
            <w:shd w:val="clear" w:color="auto" w:fill="auto"/>
            <w:vAlign w:val="center"/>
          </w:tcPr>
          <w:p w14:paraId="466AAE59">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545" w:type="dxa"/>
            <w:vMerge w:val="continue"/>
            <w:tcBorders>
              <w:tl2br w:val="nil"/>
              <w:tr2bl w:val="nil"/>
            </w:tcBorders>
            <w:shd w:val="clear" w:color="auto" w:fill="auto"/>
            <w:vAlign w:val="center"/>
          </w:tcPr>
          <w:p w14:paraId="62EF6AE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7469EA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528" w:type="dxa"/>
            <w:vMerge w:val="restart"/>
            <w:tcBorders>
              <w:tl2br w:val="nil"/>
              <w:tr2bl w:val="nil"/>
            </w:tcBorders>
            <w:shd w:val="clear" w:color="auto" w:fill="auto"/>
            <w:vAlign w:val="center"/>
          </w:tcPr>
          <w:p w14:paraId="5CCC8BE1">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焊接废气</w:t>
            </w:r>
          </w:p>
        </w:tc>
        <w:tc>
          <w:tcPr>
            <w:tcW w:w="477" w:type="dxa"/>
            <w:vMerge w:val="restart"/>
            <w:tcBorders>
              <w:tl2br w:val="nil"/>
              <w:tr2bl w:val="nil"/>
            </w:tcBorders>
            <w:shd w:val="clear" w:color="auto" w:fill="auto"/>
            <w:vAlign w:val="center"/>
          </w:tcPr>
          <w:p w14:paraId="5B36F330">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焊接</w:t>
            </w:r>
          </w:p>
        </w:tc>
        <w:tc>
          <w:tcPr>
            <w:tcW w:w="716" w:type="dxa"/>
            <w:vMerge w:val="restart"/>
            <w:tcBorders>
              <w:tl2br w:val="nil"/>
              <w:tr2bl w:val="nil"/>
            </w:tcBorders>
            <w:shd w:val="clear" w:color="auto" w:fill="auto"/>
            <w:vAlign w:val="center"/>
          </w:tcPr>
          <w:p w14:paraId="1D53FEB4">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颗粒物</w:t>
            </w:r>
          </w:p>
        </w:tc>
        <w:tc>
          <w:tcPr>
            <w:tcW w:w="344" w:type="dxa"/>
            <w:vMerge w:val="restart"/>
            <w:tcBorders>
              <w:tl2br w:val="nil"/>
              <w:tr2bl w:val="nil"/>
            </w:tcBorders>
            <w:shd w:val="clear" w:color="auto" w:fill="auto"/>
            <w:vAlign w:val="center"/>
          </w:tcPr>
          <w:p w14:paraId="43A1DC61">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产污系数法</w:t>
            </w:r>
          </w:p>
        </w:tc>
        <w:tc>
          <w:tcPr>
            <w:tcW w:w="718" w:type="dxa"/>
            <w:vMerge w:val="restart"/>
            <w:tcBorders>
              <w:tl2br w:val="nil"/>
              <w:tr2bl w:val="nil"/>
            </w:tcBorders>
            <w:shd w:val="clear" w:color="auto" w:fill="auto"/>
            <w:vAlign w:val="center"/>
          </w:tcPr>
          <w:p w14:paraId="52389EBC">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10000</w:t>
            </w:r>
          </w:p>
        </w:tc>
        <w:tc>
          <w:tcPr>
            <w:tcW w:w="915" w:type="dxa"/>
            <w:tcBorders>
              <w:tl2br w:val="nil"/>
              <w:tr2bl w:val="nil"/>
            </w:tcBorders>
            <w:shd w:val="clear" w:color="auto" w:fill="auto"/>
            <w:vAlign w:val="center"/>
          </w:tcPr>
          <w:p w14:paraId="17C560C2">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hint="eastAsia" w:cs="Times New Roman"/>
                <w:color w:val="auto"/>
                <w:spacing w:val="-1"/>
                <w:position w:val="2"/>
                <w:sz w:val="20"/>
                <w:szCs w:val="20"/>
                <w:highlight w:val="none"/>
                <w:lang w:val="en-US" w:eastAsia="zh-CN"/>
              </w:rPr>
              <w:t>15.38</w:t>
            </w:r>
          </w:p>
        </w:tc>
        <w:tc>
          <w:tcPr>
            <w:tcW w:w="708" w:type="dxa"/>
            <w:tcBorders>
              <w:tl2br w:val="nil"/>
              <w:tr2bl w:val="nil"/>
            </w:tcBorders>
            <w:shd w:val="clear" w:color="auto" w:fill="auto"/>
            <w:vAlign w:val="center"/>
          </w:tcPr>
          <w:p w14:paraId="606F6B62">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w:t>
            </w:r>
            <w:r>
              <w:rPr>
                <w:rFonts w:hint="eastAsia" w:eastAsia="宋体" w:cs="Times New Roman"/>
                <w:color w:val="auto"/>
                <w:spacing w:val="3"/>
                <w:position w:val="2"/>
                <w:sz w:val="20"/>
                <w:szCs w:val="20"/>
                <w:highlight w:val="none"/>
                <w:lang w:val="en-US" w:eastAsia="zh-CN"/>
              </w:rPr>
              <w:t>153</w:t>
            </w:r>
            <w:r>
              <w:rPr>
                <w:rFonts w:hint="eastAsia" w:cs="Times New Roman"/>
                <w:color w:val="auto"/>
                <w:spacing w:val="3"/>
                <w:position w:val="2"/>
                <w:sz w:val="20"/>
                <w:szCs w:val="20"/>
                <w:highlight w:val="none"/>
                <w:lang w:val="en-US" w:eastAsia="zh-CN"/>
              </w:rPr>
              <w:t>8</w:t>
            </w:r>
          </w:p>
        </w:tc>
        <w:tc>
          <w:tcPr>
            <w:tcW w:w="657" w:type="dxa"/>
            <w:tcBorders>
              <w:tl2br w:val="nil"/>
              <w:tr2bl w:val="nil"/>
            </w:tcBorders>
            <w:shd w:val="clear" w:color="auto" w:fill="auto"/>
            <w:vAlign w:val="center"/>
          </w:tcPr>
          <w:p w14:paraId="1F2568C1">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0.369</w:t>
            </w:r>
          </w:p>
        </w:tc>
        <w:tc>
          <w:tcPr>
            <w:tcW w:w="315" w:type="dxa"/>
            <w:tcBorders>
              <w:tl2br w:val="nil"/>
              <w:tr2bl w:val="nil"/>
            </w:tcBorders>
            <w:shd w:val="clear" w:color="auto" w:fill="auto"/>
            <w:vAlign w:val="center"/>
          </w:tcPr>
          <w:p w14:paraId="219784E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有组织</w:t>
            </w:r>
          </w:p>
        </w:tc>
        <w:tc>
          <w:tcPr>
            <w:tcW w:w="647" w:type="dxa"/>
            <w:tcBorders>
              <w:tl2br w:val="nil"/>
              <w:tr2bl w:val="nil"/>
            </w:tcBorders>
            <w:shd w:val="clear" w:color="auto" w:fill="auto"/>
            <w:vAlign w:val="center"/>
          </w:tcPr>
          <w:p w14:paraId="4DE9128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olor w:val="auto"/>
                <w:spacing w:val="9"/>
                <w:sz w:val="21"/>
                <w:szCs w:val="24"/>
                <w:highlight w:val="none"/>
                <w:lang w:eastAsia="zh-CN"/>
              </w:rPr>
              <w:t>布袋</w:t>
            </w:r>
            <w:r>
              <w:rPr>
                <w:rFonts w:ascii="Times New Roman" w:hAnsi="Times New Roman" w:eastAsia="宋体"/>
                <w:color w:val="auto"/>
                <w:spacing w:val="2"/>
                <w:sz w:val="21"/>
                <w:szCs w:val="24"/>
                <w:highlight w:val="none"/>
              </w:rPr>
              <w:t>除尘器</w:t>
            </w:r>
          </w:p>
        </w:tc>
        <w:tc>
          <w:tcPr>
            <w:tcW w:w="335" w:type="dxa"/>
            <w:tcBorders>
              <w:tl2br w:val="nil"/>
              <w:tr2bl w:val="nil"/>
            </w:tcBorders>
            <w:shd w:val="clear" w:color="auto" w:fill="auto"/>
            <w:vAlign w:val="center"/>
          </w:tcPr>
          <w:p w14:paraId="5743235C">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90%</w:t>
            </w:r>
          </w:p>
        </w:tc>
        <w:tc>
          <w:tcPr>
            <w:tcW w:w="500" w:type="dxa"/>
            <w:tcBorders>
              <w:tl2br w:val="nil"/>
              <w:tr2bl w:val="nil"/>
            </w:tcBorders>
            <w:shd w:val="clear" w:color="auto" w:fill="auto"/>
            <w:vAlign w:val="center"/>
          </w:tcPr>
          <w:p w14:paraId="1C170E5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95</w:t>
            </w: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16D77965">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是</w:t>
            </w:r>
          </w:p>
        </w:tc>
        <w:tc>
          <w:tcPr>
            <w:tcW w:w="612" w:type="dxa"/>
            <w:vMerge w:val="restart"/>
            <w:tcBorders>
              <w:tl2br w:val="nil"/>
              <w:tr2bl w:val="nil"/>
            </w:tcBorders>
            <w:shd w:val="clear" w:color="auto" w:fill="auto"/>
            <w:vAlign w:val="center"/>
          </w:tcPr>
          <w:p w14:paraId="2D8B5F73">
            <w:pPr>
              <w:pStyle w:val="96"/>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cs="Times New Roman"/>
                <w:color w:val="auto"/>
                <w:spacing w:val="-2"/>
                <w:sz w:val="21"/>
                <w:szCs w:val="24"/>
                <w:highlight w:val="none"/>
                <w:lang w:val="en-US" w:eastAsia="zh-CN"/>
              </w:rPr>
              <w:t>10</w:t>
            </w:r>
            <w:r>
              <w:rPr>
                <w:rFonts w:ascii="Times New Roman" w:hAnsi="Times New Roman" w:eastAsia="宋体" w:cs="Times New Roman"/>
                <w:color w:val="auto"/>
                <w:spacing w:val="-2"/>
                <w:sz w:val="21"/>
                <w:szCs w:val="24"/>
                <w:highlight w:val="none"/>
              </w:rPr>
              <w:t>000</w:t>
            </w:r>
          </w:p>
        </w:tc>
        <w:tc>
          <w:tcPr>
            <w:tcW w:w="703" w:type="dxa"/>
            <w:tcBorders>
              <w:tl2br w:val="nil"/>
              <w:tr2bl w:val="nil"/>
            </w:tcBorders>
            <w:shd w:val="clear" w:color="auto" w:fill="auto"/>
            <w:vAlign w:val="center"/>
          </w:tcPr>
          <w:p w14:paraId="6F6195D9">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宋体" w:cs="Times New Roman"/>
                <w:color w:val="auto"/>
                <w:kern w:val="2"/>
                <w:sz w:val="20"/>
                <w:szCs w:val="20"/>
                <w:lang w:val="en-US" w:eastAsia="zh-CN" w:bidi="ar-SA"/>
              </w:rPr>
            </w:pPr>
            <w:r>
              <w:rPr>
                <w:rFonts w:hint="eastAsia" w:cs="Times New Roman"/>
                <w:color w:val="auto"/>
                <w:kern w:val="2"/>
                <w:sz w:val="20"/>
                <w:szCs w:val="20"/>
                <w:lang w:val="en-US" w:eastAsia="zh-CN" w:bidi="ar-SA"/>
              </w:rPr>
              <w:t>0.77</w:t>
            </w:r>
          </w:p>
        </w:tc>
        <w:tc>
          <w:tcPr>
            <w:tcW w:w="708" w:type="dxa"/>
            <w:tcBorders>
              <w:tl2br w:val="nil"/>
              <w:tr2bl w:val="nil"/>
            </w:tcBorders>
            <w:shd w:val="clear" w:color="auto" w:fill="auto"/>
            <w:vAlign w:val="center"/>
          </w:tcPr>
          <w:p w14:paraId="60023004">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0.00</w:t>
            </w:r>
            <w:r>
              <w:rPr>
                <w:rFonts w:hint="eastAsia" w:eastAsia="宋体" w:cs="Times New Roman"/>
                <w:color w:val="auto"/>
                <w:spacing w:val="3"/>
                <w:position w:val="2"/>
                <w:sz w:val="20"/>
                <w:szCs w:val="20"/>
                <w:lang w:val="en-US" w:eastAsia="zh-CN"/>
              </w:rPr>
              <w:t>7</w:t>
            </w:r>
            <w:r>
              <w:rPr>
                <w:rFonts w:hint="eastAsia" w:cs="Times New Roman"/>
                <w:color w:val="auto"/>
                <w:spacing w:val="3"/>
                <w:position w:val="2"/>
                <w:sz w:val="20"/>
                <w:szCs w:val="20"/>
                <w:lang w:val="en-US" w:eastAsia="zh-CN"/>
              </w:rPr>
              <w:t>7</w:t>
            </w:r>
          </w:p>
        </w:tc>
        <w:tc>
          <w:tcPr>
            <w:tcW w:w="657" w:type="dxa"/>
            <w:tcBorders>
              <w:tl2br w:val="nil"/>
              <w:tr2bl w:val="nil"/>
            </w:tcBorders>
            <w:shd w:val="clear" w:color="auto" w:fill="auto"/>
            <w:vAlign w:val="center"/>
          </w:tcPr>
          <w:p w14:paraId="7DADEF0F">
            <w:pPr>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0.018</w:t>
            </w:r>
            <w:r>
              <w:rPr>
                <w:rFonts w:hint="eastAsia" w:eastAsia="宋体" w:cs="Times New Roman"/>
                <w:color w:val="auto"/>
                <w:spacing w:val="3"/>
                <w:position w:val="2"/>
                <w:sz w:val="20"/>
                <w:szCs w:val="20"/>
                <w:lang w:val="en-US" w:eastAsia="zh-CN"/>
              </w:rPr>
              <w:t>5</w:t>
            </w:r>
          </w:p>
        </w:tc>
        <w:tc>
          <w:tcPr>
            <w:tcW w:w="1167" w:type="dxa"/>
            <w:vMerge w:val="restart"/>
            <w:tcBorders>
              <w:tl2br w:val="nil"/>
              <w:tr2bl w:val="nil"/>
            </w:tcBorders>
            <w:shd w:val="clear" w:color="auto" w:fill="auto"/>
            <w:vAlign w:val="center"/>
          </w:tcPr>
          <w:p w14:paraId="5541B2E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H=2</w:t>
            </w:r>
            <w:r>
              <w:rPr>
                <w:rFonts w:hint="eastAsia" w:ascii="Times New Roman" w:hAnsi="Times New Roman"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rPr>
              <w:t>m、内径</w:t>
            </w:r>
            <w:r>
              <w:rPr>
                <w:rFonts w:hint="eastAsia" w:ascii="Times New Roman" w:hAnsi="Times New Roman" w:eastAsia="宋体" w:cs="Times New Roman"/>
                <w:color w:val="auto"/>
                <w:sz w:val="21"/>
                <w:szCs w:val="21"/>
                <w:highlight w:val="none"/>
                <w:lang w:val="en-US" w:eastAsia="zh-CN"/>
              </w:rPr>
              <w:t>1.05</w:t>
            </w:r>
            <w:r>
              <w:rPr>
                <w:rFonts w:hint="eastAsia" w:ascii="Times New Roman" w:hAnsi="Times New Roman" w:eastAsia="宋体" w:cs="Times New Roman"/>
                <w:color w:val="auto"/>
                <w:sz w:val="21"/>
                <w:szCs w:val="21"/>
                <w:highlight w:val="none"/>
              </w:rPr>
              <w:t>m、温度</w:t>
            </w:r>
            <w:r>
              <w:rPr>
                <w:rFonts w:hint="eastAsia" w:ascii="Times New Roman" w:hAnsi="Times New Roman" w:eastAsia="宋体" w:cs="Times New Roman"/>
                <w:color w:val="auto"/>
                <w:sz w:val="21"/>
                <w:szCs w:val="21"/>
                <w:highlight w:val="none"/>
                <w:lang w:val="en-US" w:eastAsia="zh-CN"/>
              </w:rPr>
              <w:t>40</w:t>
            </w:r>
            <w:r>
              <w:rPr>
                <w:rFonts w:hint="eastAsia" w:ascii="Times New Roman" w:hAnsi="Times New Roman" w:eastAsia="宋体" w:cs="Times New Roman"/>
                <w:color w:val="auto"/>
                <w:sz w:val="21"/>
                <w:szCs w:val="21"/>
                <w:highlight w:val="none"/>
              </w:rPr>
              <w:t>℃</w:t>
            </w:r>
          </w:p>
        </w:tc>
        <w:tc>
          <w:tcPr>
            <w:tcW w:w="1011" w:type="dxa"/>
            <w:vMerge w:val="restart"/>
            <w:tcBorders>
              <w:tl2br w:val="nil"/>
              <w:tr2bl w:val="nil"/>
            </w:tcBorders>
            <w:shd w:val="clear" w:color="auto" w:fill="auto"/>
            <w:vAlign w:val="center"/>
          </w:tcPr>
          <w:p w14:paraId="4663019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DA002一般排放口</w:t>
            </w:r>
          </w:p>
        </w:tc>
        <w:tc>
          <w:tcPr>
            <w:tcW w:w="1266" w:type="dxa"/>
            <w:vMerge w:val="restart"/>
            <w:tcBorders>
              <w:tl2br w:val="nil"/>
              <w:tr2bl w:val="nil"/>
            </w:tcBorders>
            <w:shd w:val="clear" w:color="auto" w:fill="auto"/>
            <w:vAlign w:val="center"/>
          </w:tcPr>
          <w:p w14:paraId="7C8CCCD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经度：</w:t>
            </w:r>
          </w:p>
          <w:p w14:paraId="7580A7D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lang w:val="en-US" w:eastAsia="zh-CN"/>
              </w:rPr>
              <w:t>119.298060</w:t>
            </w:r>
            <w:r>
              <w:rPr>
                <w:rFonts w:hint="eastAsia" w:ascii="Times New Roman" w:hAnsi="Times New Roman" w:eastAsia="宋体" w:cs="Times New Roman"/>
                <w:color w:val="auto"/>
                <w:sz w:val="21"/>
                <w:szCs w:val="21"/>
                <w:highlight w:val="none"/>
                <w:shd w:val="clear"/>
              </w:rPr>
              <w:t>°</w:t>
            </w:r>
          </w:p>
          <w:p w14:paraId="080542D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shd w:val="clear"/>
              </w:rPr>
            </w:pPr>
            <w:r>
              <w:rPr>
                <w:rFonts w:hint="eastAsia" w:ascii="Times New Roman" w:hAnsi="Times New Roman" w:eastAsia="宋体" w:cs="Times New Roman"/>
                <w:color w:val="auto"/>
                <w:sz w:val="21"/>
                <w:szCs w:val="21"/>
                <w:highlight w:val="none"/>
                <w:shd w:val="clear"/>
              </w:rPr>
              <w:t>纬度：</w:t>
            </w:r>
          </w:p>
          <w:p w14:paraId="3B12CDB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shd w:val="clear"/>
                <w:lang w:val="en-US" w:eastAsia="zh-CN"/>
              </w:rPr>
              <w:t>25.8038171</w:t>
            </w:r>
            <w:r>
              <w:rPr>
                <w:rFonts w:hint="eastAsia" w:ascii="Times New Roman" w:hAnsi="Times New Roman" w:eastAsia="宋体" w:cs="Times New Roman"/>
                <w:color w:val="auto"/>
                <w:sz w:val="21"/>
                <w:szCs w:val="21"/>
                <w:highlight w:val="none"/>
                <w:shd w:val="clear"/>
              </w:rPr>
              <w:t>°</w:t>
            </w:r>
          </w:p>
        </w:tc>
        <w:tc>
          <w:tcPr>
            <w:tcW w:w="545" w:type="dxa"/>
            <w:vMerge w:val="continue"/>
            <w:tcBorders>
              <w:tl2br w:val="nil"/>
              <w:tr2bl w:val="nil"/>
            </w:tcBorders>
            <w:shd w:val="clear" w:color="auto" w:fill="auto"/>
            <w:vAlign w:val="center"/>
          </w:tcPr>
          <w:p w14:paraId="76D87BE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0F38358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88" w:hRule="atLeast"/>
        </w:trPr>
        <w:tc>
          <w:tcPr>
            <w:tcW w:w="528" w:type="dxa"/>
            <w:vMerge w:val="continue"/>
            <w:tcBorders>
              <w:tl2br w:val="nil"/>
              <w:tr2bl w:val="nil"/>
            </w:tcBorders>
            <w:shd w:val="clear" w:color="auto" w:fill="auto"/>
            <w:vAlign w:val="center"/>
          </w:tcPr>
          <w:p w14:paraId="351774A6">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shd w:val="clear" w:color="auto" w:fill="auto"/>
            <w:vAlign w:val="center"/>
          </w:tcPr>
          <w:p w14:paraId="783FC9E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vMerge w:val="continue"/>
            <w:tcBorders>
              <w:tl2br w:val="nil"/>
              <w:tr2bl w:val="nil"/>
            </w:tcBorders>
            <w:shd w:val="clear" w:color="auto" w:fill="auto"/>
            <w:vAlign w:val="center"/>
          </w:tcPr>
          <w:p w14:paraId="37535C0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344" w:type="dxa"/>
            <w:vMerge w:val="continue"/>
            <w:tcBorders>
              <w:tl2br w:val="nil"/>
              <w:tr2bl w:val="nil"/>
            </w:tcBorders>
            <w:shd w:val="clear" w:color="auto" w:fill="auto"/>
            <w:vAlign w:val="center"/>
          </w:tcPr>
          <w:p w14:paraId="3B70EBC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vMerge w:val="continue"/>
            <w:tcBorders>
              <w:tl2br w:val="nil"/>
              <w:tr2bl w:val="nil"/>
            </w:tcBorders>
            <w:shd w:val="clear" w:color="auto" w:fill="auto"/>
            <w:vAlign w:val="center"/>
          </w:tcPr>
          <w:p w14:paraId="39F5E51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915" w:type="dxa"/>
            <w:tcBorders>
              <w:tl2br w:val="nil"/>
              <w:tr2bl w:val="nil"/>
            </w:tcBorders>
            <w:shd w:val="clear" w:color="auto" w:fill="auto"/>
            <w:vAlign w:val="center"/>
          </w:tcPr>
          <w:p w14:paraId="59E897E2">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2"/>
                <w:position w:val="1"/>
                <w:sz w:val="20"/>
                <w:szCs w:val="20"/>
                <w:highlight w:val="none"/>
              </w:rPr>
              <w:t>/</w:t>
            </w:r>
          </w:p>
        </w:tc>
        <w:tc>
          <w:tcPr>
            <w:tcW w:w="708" w:type="dxa"/>
            <w:tcBorders>
              <w:tl2br w:val="nil"/>
              <w:tr2bl w:val="nil"/>
            </w:tcBorders>
            <w:shd w:val="clear" w:color="auto" w:fill="auto"/>
            <w:vAlign w:val="center"/>
          </w:tcPr>
          <w:p w14:paraId="07609121">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宋体"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w:t>
            </w:r>
            <w:r>
              <w:rPr>
                <w:rFonts w:hint="eastAsia" w:eastAsia="宋体" w:cs="Times New Roman"/>
                <w:color w:val="auto"/>
                <w:spacing w:val="3"/>
                <w:position w:val="2"/>
                <w:sz w:val="20"/>
                <w:szCs w:val="20"/>
                <w:highlight w:val="none"/>
                <w:lang w:val="en-US" w:eastAsia="zh-CN"/>
              </w:rPr>
              <w:t>17</w:t>
            </w:r>
          </w:p>
        </w:tc>
        <w:tc>
          <w:tcPr>
            <w:tcW w:w="657" w:type="dxa"/>
            <w:tcBorders>
              <w:tl2br w:val="nil"/>
              <w:tr2bl w:val="nil"/>
            </w:tcBorders>
            <w:shd w:val="clear" w:color="auto" w:fill="auto"/>
            <w:vAlign w:val="center"/>
          </w:tcPr>
          <w:p w14:paraId="04C62C35">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highlight w:val="none"/>
                <w:lang w:val="en-US" w:eastAsia="zh-CN" w:bidi="ar-SA"/>
              </w:rPr>
            </w:pPr>
            <w:r>
              <w:rPr>
                <w:rFonts w:ascii="Times New Roman" w:hAnsi="Times New Roman" w:eastAsia="Times New Roman" w:cs="Times New Roman"/>
                <w:color w:val="auto"/>
                <w:spacing w:val="3"/>
                <w:position w:val="2"/>
                <w:sz w:val="20"/>
                <w:szCs w:val="20"/>
                <w:highlight w:val="none"/>
              </w:rPr>
              <w:t>0.041</w:t>
            </w:r>
          </w:p>
        </w:tc>
        <w:tc>
          <w:tcPr>
            <w:tcW w:w="315" w:type="dxa"/>
            <w:tcBorders>
              <w:tl2br w:val="nil"/>
              <w:tr2bl w:val="nil"/>
            </w:tcBorders>
            <w:shd w:val="clear" w:color="auto" w:fill="auto"/>
            <w:vAlign w:val="center"/>
          </w:tcPr>
          <w:p w14:paraId="6DA20ED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无组织</w:t>
            </w:r>
          </w:p>
        </w:tc>
        <w:tc>
          <w:tcPr>
            <w:tcW w:w="647" w:type="dxa"/>
            <w:tcBorders>
              <w:tl2br w:val="nil"/>
              <w:tr2bl w:val="nil"/>
            </w:tcBorders>
            <w:shd w:val="clear" w:color="auto" w:fill="auto"/>
            <w:vAlign w:val="center"/>
          </w:tcPr>
          <w:p w14:paraId="7EFF9D3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35" w:type="dxa"/>
            <w:tcBorders>
              <w:tl2br w:val="nil"/>
              <w:tr2bl w:val="nil"/>
            </w:tcBorders>
            <w:shd w:val="clear" w:color="auto" w:fill="auto"/>
            <w:vAlign w:val="center"/>
          </w:tcPr>
          <w:p w14:paraId="150D1573">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73571BE2">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shd w:val="clear" w:color="auto" w:fill="auto"/>
            <w:vAlign w:val="center"/>
          </w:tcPr>
          <w:p w14:paraId="7FEBAE53">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snapToGrid w:val="0"/>
                <w:color w:val="auto"/>
                <w:spacing w:val="4"/>
                <w:sz w:val="21"/>
                <w:szCs w:val="21"/>
                <w:highlight w:val="none"/>
                <w:lang w:val="en-US" w:eastAsia="zh-CN" w:bidi="ar-SA"/>
              </w:rPr>
            </w:pPr>
            <w:r>
              <w:rPr>
                <w:rFonts w:hint="eastAsia" w:ascii="Times New Roman" w:hAnsi="Times New Roman" w:eastAsia="宋体" w:cs="Times New Roman"/>
                <w:color w:val="auto"/>
                <w:sz w:val="21"/>
                <w:szCs w:val="21"/>
                <w:highlight w:val="none"/>
              </w:rPr>
              <w:t>/</w:t>
            </w:r>
          </w:p>
        </w:tc>
        <w:tc>
          <w:tcPr>
            <w:tcW w:w="612" w:type="dxa"/>
            <w:vMerge w:val="continue"/>
            <w:tcBorders>
              <w:tl2br w:val="nil"/>
              <w:tr2bl w:val="nil"/>
            </w:tcBorders>
            <w:shd w:val="clear" w:color="auto" w:fill="auto"/>
            <w:vAlign w:val="center"/>
          </w:tcPr>
          <w:p w14:paraId="42035CAF">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03" w:type="dxa"/>
            <w:tcBorders>
              <w:tl2br w:val="nil"/>
              <w:tr2bl w:val="nil"/>
            </w:tcBorders>
            <w:shd w:val="clear" w:color="auto" w:fill="auto"/>
            <w:vAlign w:val="center"/>
          </w:tcPr>
          <w:p w14:paraId="51A3211E">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1"/>
                <w:sz w:val="20"/>
                <w:szCs w:val="20"/>
              </w:rPr>
              <w:t>/</w:t>
            </w:r>
          </w:p>
        </w:tc>
        <w:tc>
          <w:tcPr>
            <w:tcW w:w="708" w:type="dxa"/>
            <w:tcBorders>
              <w:tl2br w:val="nil"/>
              <w:tr2bl w:val="nil"/>
            </w:tcBorders>
            <w:shd w:val="clear" w:color="auto" w:fill="auto"/>
            <w:vAlign w:val="center"/>
          </w:tcPr>
          <w:p w14:paraId="072E7535">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w:t>
            </w:r>
            <w:r>
              <w:rPr>
                <w:rFonts w:hint="eastAsia" w:eastAsia="宋体" w:cs="Times New Roman"/>
                <w:color w:val="auto"/>
                <w:spacing w:val="3"/>
                <w:position w:val="2"/>
                <w:sz w:val="20"/>
                <w:szCs w:val="20"/>
                <w:lang w:val="en-US" w:eastAsia="zh-CN"/>
              </w:rPr>
              <w:t>17</w:t>
            </w:r>
          </w:p>
        </w:tc>
        <w:tc>
          <w:tcPr>
            <w:tcW w:w="657" w:type="dxa"/>
            <w:tcBorders>
              <w:tl2br w:val="nil"/>
              <w:tr2bl w:val="nil"/>
            </w:tcBorders>
            <w:shd w:val="clear" w:color="auto" w:fill="auto"/>
            <w:vAlign w:val="center"/>
          </w:tcPr>
          <w:p w14:paraId="49ABDEF7">
            <w:pPr>
              <w:keepNext w:val="0"/>
              <w:keepLines w:val="0"/>
              <w:pageBreakBefore w:val="0"/>
              <w:widowControl w:val="0"/>
              <w:kinsoku/>
              <w:wordWrap/>
              <w:overflowPunct/>
              <w:topLinePunct w:val="0"/>
              <w:autoSpaceDE/>
              <w:autoSpaceDN/>
              <w:bidi w:val="0"/>
              <w:spacing w:line="240" w:lineRule="auto"/>
              <w:ind w:left="0" w:leftChars="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2"/>
                <w:sz w:val="20"/>
                <w:szCs w:val="20"/>
              </w:rPr>
              <w:t>0.041</w:t>
            </w:r>
          </w:p>
        </w:tc>
        <w:tc>
          <w:tcPr>
            <w:tcW w:w="1167" w:type="dxa"/>
            <w:vMerge w:val="continue"/>
            <w:tcBorders>
              <w:tl2br w:val="nil"/>
              <w:tr2bl w:val="nil"/>
            </w:tcBorders>
            <w:shd w:val="clear" w:color="auto" w:fill="auto"/>
            <w:vAlign w:val="center"/>
          </w:tcPr>
          <w:p w14:paraId="7B184F4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1011" w:type="dxa"/>
            <w:vMerge w:val="continue"/>
            <w:tcBorders>
              <w:tl2br w:val="nil"/>
              <w:tr2bl w:val="nil"/>
            </w:tcBorders>
            <w:shd w:val="clear" w:color="auto" w:fill="auto"/>
            <w:vAlign w:val="center"/>
          </w:tcPr>
          <w:p w14:paraId="5ECDF37C">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1266" w:type="dxa"/>
            <w:vMerge w:val="continue"/>
            <w:tcBorders>
              <w:tl2br w:val="nil"/>
              <w:tr2bl w:val="nil"/>
            </w:tcBorders>
            <w:shd w:val="clear" w:color="auto" w:fill="auto"/>
            <w:vAlign w:val="center"/>
          </w:tcPr>
          <w:p w14:paraId="7B5C7AE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545" w:type="dxa"/>
            <w:vMerge w:val="continue"/>
            <w:tcBorders>
              <w:tl2br w:val="nil"/>
              <w:tr2bl w:val="nil"/>
            </w:tcBorders>
            <w:shd w:val="clear" w:color="auto" w:fill="auto"/>
            <w:vAlign w:val="center"/>
          </w:tcPr>
          <w:p w14:paraId="6038007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7BE150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1" w:hRule="atLeast"/>
        </w:trPr>
        <w:tc>
          <w:tcPr>
            <w:tcW w:w="528" w:type="dxa"/>
            <w:vMerge w:val="restart"/>
            <w:tcBorders>
              <w:tl2br w:val="nil"/>
              <w:tr2bl w:val="nil"/>
            </w:tcBorders>
            <w:vAlign w:val="center"/>
          </w:tcPr>
          <w:p w14:paraId="61FEBF7D">
            <w:pPr>
              <w:pStyle w:val="113"/>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ascii="Times New Roman" w:hAnsi="Times New Roman" w:eastAsia="宋体"/>
                <w:color w:val="auto"/>
                <w:spacing w:val="7"/>
                <w:sz w:val="21"/>
              </w:rPr>
              <w:t>废水处</w:t>
            </w:r>
            <w:r>
              <w:rPr>
                <w:rFonts w:ascii="Times New Roman" w:hAnsi="Times New Roman" w:eastAsia="宋体"/>
                <w:color w:val="auto"/>
                <w:spacing w:val="6"/>
                <w:sz w:val="21"/>
              </w:rPr>
              <w:t>理废气</w:t>
            </w:r>
          </w:p>
        </w:tc>
        <w:tc>
          <w:tcPr>
            <w:tcW w:w="477" w:type="dxa"/>
            <w:vMerge w:val="restart"/>
            <w:tcBorders>
              <w:tl2br w:val="nil"/>
              <w:tr2bl w:val="nil"/>
            </w:tcBorders>
            <w:vAlign w:val="center"/>
          </w:tcPr>
          <w:p w14:paraId="0E4F3D99">
            <w:pPr>
              <w:pStyle w:val="113"/>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ascii="Times New Roman" w:hAnsi="Times New Roman" w:eastAsia="宋体"/>
                <w:color w:val="auto"/>
                <w:spacing w:val="7"/>
                <w:sz w:val="21"/>
              </w:rPr>
              <w:t>废水处</w:t>
            </w:r>
            <w:r>
              <w:rPr>
                <w:rFonts w:ascii="Times New Roman" w:hAnsi="Times New Roman" w:eastAsia="宋体"/>
                <w:color w:val="auto"/>
                <w:spacing w:val="6"/>
                <w:sz w:val="21"/>
              </w:rPr>
              <w:t>理</w:t>
            </w:r>
          </w:p>
        </w:tc>
        <w:tc>
          <w:tcPr>
            <w:tcW w:w="716" w:type="dxa"/>
            <w:tcBorders>
              <w:tl2br w:val="nil"/>
              <w:tr2bl w:val="nil"/>
            </w:tcBorders>
            <w:vAlign w:val="center"/>
          </w:tcPr>
          <w:p w14:paraId="46216811">
            <w:pPr>
              <w:pStyle w:val="113"/>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ascii="Times New Roman" w:hAnsi="Times New Roman" w:eastAsia="宋体"/>
                <w:color w:val="auto"/>
                <w:sz w:val="21"/>
              </w:rPr>
              <w:t>氨</w:t>
            </w:r>
          </w:p>
        </w:tc>
        <w:tc>
          <w:tcPr>
            <w:tcW w:w="344" w:type="dxa"/>
            <w:vMerge w:val="continue"/>
            <w:tcBorders>
              <w:tl2br w:val="nil"/>
              <w:tr2bl w:val="nil"/>
            </w:tcBorders>
            <w:vAlign w:val="center"/>
          </w:tcPr>
          <w:p w14:paraId="0ACA93A0">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tcBorders>
              <w:tl2br w:val="nil"/>
              <w:tr2bl w:val="nil"/>
            </w:tcBorders>
            <w:vAlign w:val="center"/>
          </w:tcPr>
          <w:p w14:paraId="4906D68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915" w:type="dxa"/>
            <w:tcBorders>
              <w:tl2br w:val="nil"/>
              <w:tr2bl w:val="nil"/>
            </w:tcBorders>
            <w:vAlign w:val="center"/>
          </w:tcPr>
          <w:p w14:paraId="17661F2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708" w:type="dxa"/>
            <w:tcBorders>
              <w:tl2br w:val="nil"/>
              <w:tr2bl w:val="nil"/>
            </w:tcBorders>
            <w:shd w:val="clear" w:color="auto" w:fill="auto"/>
            <w:vAlign w:val="center"/>
          </w:tcPr>
          <w:p w14:paraId="4A7A6A8C">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0.025</w:t>
            </w:r>
          </w:p>
        </w:tc>
        <w:tc>
          <w:tcPr>
            <w:tcW w:w="657" w:type="dxa"/>
            <w:tcBorders>
              <w:tl2br w:val="nil"/>
              <w:tr2bl w:val="nil"/>
            </w:tcBorders>
            <w:shd w:val="clear" w:color="auto" w:fill="auto"/>
            <w:vAlign w:val="center"/>
          </w:tcPr>
          <w:p w14:paraId="5269EA74">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2"/>
                <w:sz w:val="20"/>
                <w:szCs w:val="20"/>
              </w:rPr>
              <w:t>0.06</w:t>
            </w:r>
          </w:p>
        </w:tc>
        <w:tc>
          <w:tcPr>
            <w:tcW w:w="315" w:type="dxa"/>
            <w:vMerge w:val="restart"/>
            <w:tcBorders>
              <w:tl2br w:val="nil"/>
              <w:tr2bl w:val="nil"/>
            </w:tcBorders>
            <w:vAlign w:val="center"/>
          </w:tcPr>
          <w:p w14:paraId="19276FE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无组织</w:t>
            </w:r>
          </w:p>
        </w:tc>
        <w:tc>
          <w:tcPr>
            <w:tcW w:w="647" w:type="dxa"/>
            <w:vMerge w:val="restart"/>
            <w:tcBorders>
              <w:tl2br w:val="nil"/>
              <w:tr2bl w:val="nil"/>
            </w:tcBorders>
            <w:vAlign w:val="center"/>
          </w:tcPr>
          <w:p w14:paraId="3760FB3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35" w:type="dxa"/>
            <w:tcBorders>
              <w:tl2br w:val="nil"/>
              <w:tr2bl w:val="nil"/>
            </w:tcBorders>
            <w:vAlign w:val="center"/>
          </w:tcPr>
          <w:p w14:paraId="4AB9038F">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vAlign w:val="center"/>
          </w:tcPr>
          <w:p w14:paraId="35A6254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vAlign w:val="center"/>
          </w:tcPr>
          <w:p w14:paraId="717151D5">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612" w:type="dxa"/>
            <w:tcBorders>
              <w:tl2br w:val="nil"/>
              <w:tr2bl w:val="nil"/>
            </w:tcBorders>
            <w:vAlign w:val="center"/>
          </w:tcPr>
          <w:p w14:paraId="0278401D">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703" w:type="dxa"/>
            <w:tcBorders>
              <w:tl2br w:val="nil"/>
              <w:tr2bl w:val="nil"/>
            </w:tcBorders>
            <w:vAlign w:val="center"/>
          </w:tcPr>
          <w:p w14:paraId="20BF77E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708" w:type="dxa"/>
            <w:tcBorders>
              <w:tl2br w:val="nil"/>
              <w:tr2bl w:val="nil"/>
            </w:tcBorders>
            <w:shd w:val="clear" w:color="auto" w:fill="auto"/>
            <w:vAlign w:val="center"/>
          </w:tcPr>
          <w:p w14:paraId="3FC79D0A">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0.025</w:t>
            </w:r>
          </w:p>
        </w:tc>
        <w:tc>
          <w:tcPr>
            <w:tcW w:w="657" w:type="dxa"/>
            <w:tcBorders>
              <w:tl2br w:val="nil"/>
              <w:tr2bl w:val="nil"/>
            </w:tcBorders>
            <w:shd w:val="clear" w:color="auto" w:fill="auto"/>
            <w:vAlign w:val="center"/>
          </w:tcPr>
          <w:p w14:paraId="692568C4">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2"/>
                <w:sz w:val="20"/>
                <w:szCs w:val="20"/>
              </w:rPr>
              <w:t>0.06</w:t>
            </w:r>
          </w:p>
        </w:tc>
        <w:tc>
          <w:tcPr>
            <w:tcW w:w="1167" w:type="dxa"/>
            <w:tcBorders>
              <w:tl2br w:val="nil"/>
              <w:tr2bl w:val="nil"/>
            </w:tcBorders>
            <w:vAlign w:val="center"/>
          </w:tcPr>
          <w:p w14:paraId="08F76732">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011" w:type="dxa"/>
            <w:tcBorders>
              <w:tl2br w:val="nil"/>
              <w:tr2bl w:val="nil"/>
            </w:tcBorders>
            <w:vAlign w:val="center"/>
          </w:tcPr>
          <w:p w14:paraId="0F3137F2">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266" w:type="dxa"/>
            <w:tcBorders>
              <w:tl2br w:val="nil"/>
              <w:tr2bl w:val="nil"/>
            </w:tcBorders>
            <w:vAlign w:val="center"/>
          </w:tcPr>
          <w:p w14:paraId="2986A3C1">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45" w:type="dxa"/>
            <w:vMerge w:val="continue"/>
            <w:tcBorders>
              <w:tl2br w:val="nil"/>
              <w:tr2bl w:val="nil"/>
            </w:tcBorders>
            <w:vAlign w:val="center"/>
          </w:tcPr>
          <w:p w14:paraId="1F5F979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r w14:paraId="7FA8A4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528" w:type="dxa"/>
            <w:vMerge w:val="continue"/>
            <w:tcBorders>
              <w:tl2br w:val="nil"/>
              <w:tr2bl w:val="nil"/>
            </w:tcBorders>
            <w:vAlign w:val="center"/>
          </w:tcPr>
          <w:p w14:paraId="087D6749">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477" w:type="dxa"/>
            <w:vMerge w:val="continue"/>
            <w:tcBorders>
              <w:tl2br w:val="nil"/>
              <w:tr2bl w:val="nil"/>
            </w:tcBorders>
            <w:vAlign w:val="center"/>
          </w:tcPr>
          <w:p w14:paraId="3A620091">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6" w:type="dxa"/>
            <w:tcBorders>
              <w:tl2br w:val="nil"/>
              <w:tr2bl w:val="nil"/>
            </w:tcBorders>
            <w:vAlign w:val="center"/>
          </w:tcPr>
          <w:p w14:paraId="6051053F">
            <w:pPr>
              <w:pStyle w:val="113"/>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ascii="Times New Roman" w:hAnsi="Times New Roman" w:eastAsia="宋体"/>
                <w:color w:val="auto"/>
                <w:spacing w:val="7"/>
                <w:sz w:val="21"/>
              </w:rPr>
              <w:t>硫化氢</w:t>
            </w:r>
          </w:p>
        </w:tc>
        <w:tc>
          <w:tcPr>
            <w:tcW w:w="344" w:type="dxa"/>
            <w:vMerge w:val="continue"/>
            <w:tcBorders>
              <w:tl2br w:val="nil"/>
              <w:tr2bl w:val="nil"/>
            </w:tcBorders>
            <w:vAlign w:val="center"/>
          </w:tcPr>
          <w:p w14:paraId="3CE8D04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718" w:type="dxa"/>
            <w:tcBorders>
              <w:tl2br w:val="nil"/>
              <w:tr2bl w:val="nil"/>
            </w:tcBorders>
            <w:vAlign w:val="center"/>
          </w:tcPr>
          <w:p w14:paraId="234582B3">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915" w:type="dxa"/>
            <w:tcBorders>
              <w:tl2br w:val="nil"/>
              <w:tr2bl w:val="nil"/>
            </w:tcBorders>
            <w:vAlign w:val="center"/>
          </w:tcPr>
          <w:p w14:paraId="5C6AA41F">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708" w:type="dxa"/>
            <w:tcBorders>
              <w:tl2br w:val="nil"/>
              <w:tr2bl w:val="nil"/>
            </w:tcBorders>
            <w:shd w:val="clear" w:color="auto" w:fill="auto"/>
            <w:vAlign w:val="center"/>
          </w:tcPr>
          <w:p w14:paraId="2909FD27">
            <w:pPr>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w:t>
            </w:r>
            <w:r>
              <w:rPr>
                <w:rFonts w:hint="eastAsia" w:eastAsia="宋体" w:cs="Times New Roman"/>
                <w:color w:val="auto"/>
                <w:spacing w:val="3"/>
                <w:position w:val="2"/>
                <w:sz w:val="20"/>
                <w:szCs w:val="20"/>
                <w:lang w:val="en-US" w:eastAsia="zh-CN"/>
              </w:rPr>
              <w:t>5</w:t>
            </w:r>
          </w:p>
        </w:tc>
        <w:tc>
          <w:tcPr>
            <w:tcW w:w="657" w:type="dxa"/>
            <w:tcBorders>
              <w:tl2br w:val="nil"/>
              <w:tr2bl w:val="nil"/>
            </w:tcBorders>
            <w:shd w:val="clear" w:color="auto" w:fill="auto"/>
            <w:vAlign w:val="center"/>
          </w:tcPr>
          <w:p w14:paraId="7CABA73D">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2"/>
                <w:sz w:val="20"/>
                <w:szCs w:val="20"/>
              </w:rPr>
              <w:t>0.12</w:t>
            </w:r>
          </w:p>
        </w:tc>
        <w:tc>
          <w:tcPr>
            <w:tcW w:w="315" w:type="dxa"/>
            <w:vMerge w:val="continue"/>
            <w:tcBorders>
              <w:tl2br w:val="nil"/>
              <w:tr2bl w:val="nil"/>
            </w:tcBorders>
            <w:vAlign w:val="center"/>
          </w:tcPr>
          <w:p w14:paraId="7496C907">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647" w:type="dxa"/>
            <w:vMerge w:val="continue"/>
            <w:tcBorders>
              <w:tl2br w:val="nil"/>
              <w:tr2bl w:val="nil"/>
            </w:tcBorders>
            <w:vAlign w:val="center"/>
          </w:tcPr>
          <w:p w14:paraId="060426EE">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c>
          <w:tcPr>
            <w:tcW w:w="335" w:type="dxa"/>
            <w:tcBorders>
              <w:tl2br w:val="nil"/>
              <w:tr2bl w:val="nil"/>
            </w:tcBorders>
            <w:vAlign w:val="center"/>
          </w:tcPr>
          <w:p w14:paraId="6063A711">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vAlign w:val="center"/>
          </w:tcPr>
          <w:p w14:paraId="5B2626EF">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00" w:type="dxa"/>
            <w:tcBorders>
              <w:tl2br w:val="nil"/>
              <w:tr2bl w:val="nil"/>
            </w:tcBorders>
            <w:vAlign w:val="center"/>
          </w:tcPr>
          <w:p w14:paraId="1AB91FF8">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612" w:type="dxa"/>
            <w:tcBorders>
              <w:tl2br w:val="nil"/>
              <w:tr2bl w:val="nil"/>
            </w:tcBorders>
            <w:vAlign w:val="center"/>
          </w:tcPr>
          <w:p w14:paraId="382BC411">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703" w:type="dxa"/>
            <w:tcBorders>
              <w:tl2br w:val="nil"/>
              <w:tr2bl w:val="nil"/>
            </w:tcBorders>
            <w:vAlign w:val="center"/>
          </w:tcPr>
          <w:p w14:paraId="5A7CF522">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708" w:type="dxa"/>
            <w:tcBorders>
              <w:tl2br w:val="nil"/>
              <w:tr2bl w:val="nil"/>
            </w:tcBorders>
            <w:shd w:val="clear" w:color="auto" w:fill="auto"/>
            <w:vAlign w:val="center"/>
          </w:tcPr>
          <w:p w14:paraId="05586CE5">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3"/>
                <w:position w:val="2"/>
                <w:sz w:val="20"/>
                <w:szCs w:val="20"/>
              </w:rPr>
              <w:t>0.05</w:t>
            </w:r>
          </w:p>
        </w:tc>
        <w:tc>
          <w:tcPr>
            <w:tcW w:w="657" w:type="dxa"/>
            <w:tcBorders>
              <w:tl2br w:val="nil"/>
              <w:tr2bl w:val="nil"/>
            </w:tcBorders>
            <w:shd w:val="clear" w:color="auto" w:fill="auto"/>
            <w:vAlign w:val="center"/>
          </w:tcPr>
          <w:p w14:paraId="6E39DE15">
            <w:pPr>
              <w:keepNext w:val="0"/>
              <w:keepLines w:val="0"/>
              <w:pageBreakBefore w:val="0"/>
              <w:widowControl w:val="0"/>
              <w:kinsoku/>
              <w:wordWrap/>
              <w:overflowPunct/>
              <w:topLinePunct w:val="0"/>
              <w:autoSpaceDE/>
              <w:autoSpaceDN/>
              <w:bidi w:val="0"/>
              <w:spacing w:line="240" w:lineRule="auto"/>
              <w:ind w:left="0"/>
              <w:jc w:val="center"/>
              <w:rPr>
                <w:rFonts w:hint="default" w:ascii="Times New Roman" w:hAnsi="Times New Roman" w:eastAsia="Times New Roman" w:cs="Times New Roman"/>
                <w:color w:val="auto"/>
                <w:kern w:val="2"/>
                <w:sz w:val="20"/>
                <w:szCs w:val="20"/>
                <w:lang w:val="en-US" w:eastAsia="zh-CN" w:bidi="ar-SA"/>
              </w:rPr>
            </w:pPr>
            <w:r>
              <w:rPr>
                <w:rFonts w:ascii="Times New Roman" w:hAnsi="Times New Roman" w:eastAsia="Times New Roman" w:cs="Times New Roman"/>
                <w:color w:val="auto"/>
                <w:spacing w:val="2"/>
                <w:position w:val="2"/>
                <w:sz w:val="20"/>
                <w:szCs w:val="20"/>
              </w:rPr>
              <w:t>0.12</w:t>
            </w:r>
          </w:p>
        </w:tc>
        <w:tc>
          <w:tcPr>
            <w:tcW w:w="1167" w:type="dxa"/>
            <w:tcBorders>
              <w:tl2br w:val="nil"/>
              <w:tr2bl w:val="nil"/>
            </w:tcBorders>
            <w:vAlign w:val="center"/>
          </w:tcPr>
          <w:p w14:paraId="4C81FB31">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011" w:type="dxa"/>
            <w:tcBorders>
              <w:tl2br w:val="nil"/>
              <w:tr2bl w:val="nil"/>
            </w:tcBorders>
            <w:vAlign w:val="center"/>
          </w:tcPr>
          <w:p w14:paraId="7DDB30E6">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1266" w:type="dxa"/>
            <w:tcBorders>
              <w:tl2br w:val="nil"/>
              <w:tr2bl w:val="nil"/>
            </w:tcBorders>
            <w:vAlign w:val="center"/>
          </w:tcPr>
          <w:p w14:paraId="4C3029E8">
            <w:pPr>
              <w:pStyle w:val="96"/>
              <w:keepNext w:val="0"/>
              <w:keepLines w:val="0"/>
              <w:pageBreakBefore w:val="0"/>
              <w:widowControl w:val="0"/>
              <w:kinsoku/>
              <w:wordWrap/>
              <w:overflowPunct/>
              <w:topLinePunct w:val="0"/>
              <w:autoSpaceDE/>
              <w:autoSpaceDN/>
              <w:bidi w:val="0"/>
              <w:spacing w:line="240" w:lineRule="auto"/>
              <w:ind w:left="0" w:leftChars="0"/>
              <w:jc w:val="center"/>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545" w:type="dxa"/>
            <w:vMerge w:val="continue"/>
            <w:tcBorders>
              <w:tl2br w:val="nil"/>
              <w:tr2bl w:val="nil"/>
            </w:tcBorders>
            <w:vAlign w:val="center"/>
          </w:tcPr>
          <w:p w14:paraId="5606A17B">
            <w:pPr>
              <w:pStyle w:val="96"/>
              <w:keepNext w:val="0"/>
              <w:keepLines w:val="0"/>
              <w:pageBreakBefore w:val="0"/>
              <w:widowControl w:val="0"/>
              <w:kinsoku/>
              <w:wordWrap/>
              <w:overflowPunct/>
              <w:topLinePunct w:val="0"/>
              <w:autoSpaceDE/>
              <w:autoSpaceDN/>
              <w:bidi w:val="0"/>
              <w:spacing w:line="240" w:lineRule="auto"/>
              <w:ind w:left="0"/>
              <w:jc w:val="center"/>
              <w:rPr>
                <w:rFonts w:hint="eastAsia" w:ascii="Times New Roman" w:hAnsi="Times New Roman" w:eastAsia="宋体" w:cs="Times New Roman"/>
                <w:color w:val="auto"/>
                <w:sz w:val="21"/>
                <w:szCs w:val="21"/>
                <w:highlight w:val="none"/>
              </w:rPr>
            </w:pPr>
          </w:p>
        </w:tc>
      </w:tr>
    </w:tbl>
    <w:p w14:paraId="0BF840FD">
      <w:pPr>
        <w:adjustRightInd w:val="0"/>
        <w:snapToGrid w:val="0"/>
        <w:spacing w:line="360" w:lineRule="auto"/>
        <w:jc w:val="center"/>
        <w:rPr>
          <w:rFonts w:ascii="宋体" w:cs="宋体"/>
          <w:b/>
          <w:color w:val="auto"/>
          <w:kern w:val="0"/>
          <w:sz w:val="28"/>
          <w:szCs w:val="28"/>
          <w:highlight w:val="none"/>
        </w:rPr>
        <w:sectPr>
          <w:pgSz w:w="16838" w:h="11905" w:orient="landscape"/>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tbl>
      <w:tblPr>
        <w:tblStyle w:val="33"/>
        <w:tblW w:w="920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2"/>
        <w:gridCol w:w="9145"/>
      </w:tblGrid>
      <w:tr w14:paraId="6F26A4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98" w:hRule="atLeast"/>
          <w:jc w:val="center"/>
        </w:trPr>
        <w:tc>
          <w:tcPr>
            <w:tcW w:w="240" w:type="dxa"/>
            <w:shd w:val="clear" w:color="auto" w:fill="auto"/>
            <w:tcMar>
              <w:left w:w="28" w:type="dxa"/>
              <w:right w:w="28" w:type="dxa"/>
            </w:tcMar>
            <w:vAlign w:val="center"/>
          </w:tcPr>
          <w:p w14:paraId="641AC66C">
            <w:pPr>
              <w:pStyle w:val="44"/>
              <w:ind w:left="0" w:leftChars="0" w:firstLine="0" w:firstLineChars="0"/>
              <w:rPr>
                <w:rFonts w:hint="eastAsia" w:ascii="宋体" w:hAnsi="宋体" w:cs="宋体"/>
                <w:bCs/>
                <w:color w:val="auto"/>
                <w:szCs w:val="21"/>
                <w:highlight w:val="none"/>
              </w:rPr>
            </w:pPr>
          </w:p>
        </w:tc>
        <w:tc>
          <w:tcPr>
            <w:tcW w:w="8967" w:type="dxa"/>
            <w:shd w:val="clear" w:color="auto" w:fill="auto"/>
            <w:vAlign w:val="center"/>
          </w:tcPr>
          <w:p w14:paraId="0EE4FB1F">
            <w:pPr>
              <w:pStyle w:val="44"/>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（6）非正常工况源强核算</w:t>
            </w:r>
          </w:p>
          <w:p w14:paraId="78E5A40D">
            <w:pPr>
              <w:pStyle w:val="44"/>
              <w:keepNext w:val="0"/>
              <w:keepLines w:val="0"/>
              <w:pageBreakBefore w:val="0"/>
              <w:widowControl w:val="0"/>
              <w:kinsoku/>
              <w:wordWrap/>
              <w:overflowPunct/>
              <w:topLinePunct w:val="0"/>
              <w:autoSpaceDE w:val="0"/>
              <w:autoSpaceDN w:val="0"/>
              <w:bidi w:val="0"/>
              <w:adjustRightInd/>
              <w:snapToGrid/>
              <w:textAlignment w:val="auto"/>
              <w:rPr>
                <w:rFonts w:hint="default"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本项目涉及多套废气处理设施，非正常排放情况考虑有组织废气净化设施发生故障，废气未经处理就直接排放的情景，污染物的去除效率为0，在此工况下，污染物排放</w:t>
            </w:r>
            <w:r>
              <w:rPr>
                <w:rFonts w:hint="eastAsia" w:cs="宋体"/>
                <w:color w:val="auto"/>
                <w:highlight w:val="none"/>
                <w:lang w:val="en-US" w:eastAsia="zh-CN"/>
              </w:rPr>
              <w:t>源强</w:t>
            </w:r>
            <w:r>
              <w:rPr>
                <w:rFonts w:hint="eastAsia" w:ascii="Times New Roman" w:hAnsi="Times New Roman" w:eastAsia="宋体" w:cs="宋体"/>
                <w:color w:val="auto"/>
                <w:highlight w:val="none"/>
                <w:lang w:val="en-US" w:eastAsia="zh-CN"/>
              </w:rPr>
              <w:t>见表</w:t>
            </w:r>
            <w:r>
              <w:rPr>
                <w:rFonts w:hint="eastAsia" w:cs="宋体"/>
                <w:color w:val="auto"/>
                <w:highlight w:val="none"/>
                <w:lang w:val="en-US" w:eastAsia="zh-CN"/>
              </w:rPr>
              <w:t>4.2-3。</w:t>
            </w:r>
          </w:p>
          <w:p w14:paraId="78094E0E">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120"/>
              <w:ind w:left="630" w:leftChars="0" w:firstLine="0" w:firstLineChars="0"/>
              <w:textAlignment w:val="auto"/>
              <w:rPr>
                <w:rFonts w:hint="eastAsia"/>
                <w:color w:val="auto"/>
                <w:highlight w:val="none"/>
                <w:lang w:val="en-US" w:eastAsia="zh-CN"/>
              </w:rPr>
            </w:pPr>
            <w:r>
              <w:rPr>
                <w:rFonts w:hint="eastAsia"/>
                <w:color w:val="auto"/>
                <w:highlight w:val="none"/>
                <w:lang w:val="en-US" w:eastAsia="zh-CN"/>
              </w:rPr>
              <w:t>非正常工况下污染物排放源一览表</w:t>
            </w:r>
          </w:p>
          <w:tbl>
            <w:tblPr>
              <w:tblStyle w:val="84"/>
              <w:tblW w:w="4998"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31"/>
              <w:gridCol w:w="875"/>
              <w:gridCol w:w="1195"/>
              <w:gridCol w:w="777"/>
              <w:gridCol w:w="943"/>
              <w:gridCol w:w="898"/>
              <w:gridCol w:w="913"/>
              <w:gridCol w:w="738"/>
              <w:gridCol w:w="854"/>
              <w:gridCol w:w="663"/>
              <w:gridCol w:w="638"/>
            </w:tblGrid>
            <w:tr w14:paraId="21ED9F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242" w:type="pct"/>
                  <w:vMerge w:val="restart"/>
                  <w:tcBorders>
                    <w:tl2br w:val="nil"/>
                    <w:tr2bl w:val="nil"/>
                  </w:tcBorders>
                  <w:textDirection w:val="tbRlV"/>
                  <w:vAlign w:val="center"/>
                </w:tcPr>
                <w:p w14:paraId="0B3DB0D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序号</w:t>
                  </w:r>
                </w:p>
              </w:tc>
              <w:tc>
                <w:tcPr>
                  <w:tcW w:w="490" w:type="pct"/>
                  <w:vMerge w:val="restart"/>
                  <w:tcBorders>
                    <w:tl2br w:val="nil"/>
                    <w:tr2bl w:val="nil"/>
                  </w:tcBorders>
                  <w:vAlign w:val="center"/>
                </w:tcPr>
                <w:p w14:paraId="43C22BD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污染源</w:t>
                  </w:r>
                </w:p>
              </w:tc>
              <w:tc>
                <w:tcPr>
                  <w:tcW w:w="669" w:type="pct"/>
                  <w:vMerge w:val="restart"/>
                  <w:tcBorders>
                    <w:tl2br w:val="nil"/>
                    <w:tr2bl w:val="nil"/>
                  </w:tcBorders>
                  <w:vAlign w:val="center"/>
                </w:tcPr>
                <w:p w14:paraId="076116B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非正常排放原因</w:t>
                  </w:r>
                </w:p>
              </w:tc>
              <w:tc>
                <w:tcPr>
                  <w:tcW w:w="435" w:type="pct"/>
                  <w:vMerge w:val="restart"/>
                  <w:tcBorders>
                    <w:tl2br w:val="nil"/>
                    <w:tr2bl w:val="nil"/>
                  </w:tcBorders>
                  <w:vAlign w:val="center"/>
                </w:tcPr>
                <w:p w14:paraId="6A8D694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污染物</w:t>
                  </w:r>
                </w:p>
              </w:tc>
              <w:tc>
                <w:tcPr>
                  <w:tcW w:w="1955" w:type="pct"/>
                  <w:gridSpan w:val="4"/>
                  <w:tcBorders>
                    <w:tl2br w:val="nil"/>
                    <w:tr2bl w:val="nil"/>
                  </w:tcBorders>
                  <w:vAlign w:val="center"/>
                </w:tcPr>
                <w:p w14:paraId="4C1E4FE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非正常排放状况</w:t>
                  </w:r>
                </w:p>
              </w:tc>
              <w:tc>
                <w:tcPr>
                  <w:tcW w:w="849" w:type="pct"/>
                  <w:gridSpan w:val="2"/>
                  <w:tcBorders>
                    <w:tl2br w:val="nil"/>
                    <w:tr2bl w:val="nil"/>
                  </w:tcBorders>
                  <w:vAlign w:val="center"/>
                </w:tcPr>
                <w:p w14:paraId="19C7F9A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排放标准</w:t>
                  </w:r>
                </w:p>
              </w:tc>
              <w:tc>
                <w:tcPr>
                  <w:tcW w:w="357" w:type="pct"/>
                  <w:vMerge w:val="restart"/>
                  <w:tcBorders>
                    <w:tl2br w:val="nil"/>
                    <w:tr2bl w:val="nil"/>
                  </w:tcBorders>
                  <w:vAlign w:val="center"/>
                </w:tcPr>
                <w:p w14:paraId="44F0143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p w14:paraId="6769BF8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分析</w:t>
                  </w:r>
                </w:p>
              </w:tc>
            </w:tr>
            <w:tr w14:paraId="551C5B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4" w:hRule="atLeast"/>
              </w:trPr>
              <w:tc>
                <w:tcPr>
                  <w:tcW w:w="242" w:type="pct"/>
                  <w:vMerge w:val="continue"/>
                  <w:tcBorders>
                    <w:tl2br w:val="nil"/>
                    <w:tr2bl w:val="nil"/>
                  </w:tcBorders>
                  <w:textDirection w:val="tbRlV"/>
                  <w:vAlign w:val="center"/>
                </w:tcPr>
                <w:p w14:paraId="716F7A3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90" w:type="pct"/>
                  <w:vMerge w:val="continue"/>
                  <w:tcBorders>
                    <w:tl2br w:val="nil"/>
                    <w:tr2bl w:val="nil"/>
                  </w:tcBorders>
                  <w:vAlign w:val="center"/>
                </w:tcPr>
                <w:p w14:paraId="00C7859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669" w:type="pct"/>
                  <w:vMerge w:val="continue"/>
                  <w:tcBorders>
                    <w:tl2br w:val="nil"/>
                    <w:tr2bl w:val="nil"/>
                  </w:tcBorders>
                  <w:vAlign w:val="center"/>
                </w:tcPr>
                <w:p w14:paraId="5B473A1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35" w:type="pct"/>
                  <w:vMerge w:val="continue"/>
                  <w:tcBorders>
                    <w:tl2br w:val="nil"/>
                    <w:tr2bl w:val="nil"/>
                  </w:tcBorders>
                  <w:vAlign w:val="center"/>
                </w:tcPr>
                <w:p w14:paraId="3CDC3D1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528" w:type="pct"/>
                  <w:tcBorders>
                    <w:tl2br w:val="nil"/>
                    <w:tr2bl w:val="nil"/>
                  </w:tcBorders>
                  <w:vAlign w:val="center"/>
                </w:tcPr>
                <w:p w14:paraId="5B1A65C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浓度</w:t>
                  </w:r>
                </w:p>
                <w:p w14:paraId="41CFD5D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(mg/m</w:t>
                  </w:r>
                  <w:r>
                    <w:rPr>
                      <w:rFonts w:hint="eastAsia" w:ascii="Times New Roman" w:hAnsi="Times New Roman" w:eastAsia="宋体" w:cs="Times New Roman"/>
                      <w:color w:val="auto"/>
                      <w:sz w:val="21"/>
                      <w:szCs w:val="21"/>
                      <w:highlight w:val="none"/>
                      <w:vertAlign w:val="superscript"/>
                    </w:rPr>
                    <w:t>3</w:t>
                  </w:r>
                  <w:r>
                    <w:rPr>
                      <w:rFonts w:hint="eastAsia" w:ascii="Times New Roman" w:hAnsi="Times New Roman" w:eastAsia="宋体" w:cs="Times New Roman"/>
                      <w:color w:val="auto"/>
                      <w:sz w:val="21"/>
                      <w:szCs w:val="21"/>
                      <w:highlight w:val="none"/>
                    </w:rPr>
                    <w:t>)</w:t>
                  </w:r>
                </w:p>
              </w:tc>
              <w:tc>
                <w:tcPr>
                  <w:tcW w:w="503" w:type="pct"/>
                  <w:tcBorders>
                    <w:tl2br w:val="nil"/>
                    <w:tr2bl w:val="nil"/>
                  </w:tcBorders>
                  <w:vAlign w:val="center"/>
                </w:tcPr>
                <w:p w14:paraId="3E843AF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速率</w:t>
                  </w:r>
                </w:p>
                <w:p w14:paraId="478F0A1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(kg/h)</w:t>
                  </w:r>
                </w:p>
              </w:tc>
              <w:tc>
                <w:tcPr>
                  <w:tcW w:w="511" w:type="pct"/>
                  <w:tcBorders>
                    <w:tl2br w:val="nil"/>
                    <w:tr2bl w:val="nil"/>
                  </w:tcBorders>
                  <w:vAlign w:val="center"/>
                </w:tcPr>
                <w:p w14:paraId="3EBDB78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频次及</w:t>
                  </w:r>
                </w:p>
                <w:p w14:paraId="1D6E3A9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持续时</w:t>
                  </w:r>
                </w:p>
                <w:p w14:paraId="68BB30A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间</w:t>
                  </w:r>
                </w:p>
              </w:tc>
              <w:tc>
                <w:tcPr>
                  <w:tcW w:w="410" w:type="pct"/>
                  <w:tcBorders>
                    <w:tl2br w:val="nil"/>
                    <w:tr2bl w:val="nil"/>
                  </w:tcBorders>
                  <w:vAlign w:val="center"/>
                </w:tcPr>
                <w:p w14:paraId="7F5388B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排放量</w:t>
                  </w:r>
                </w:p>
                <w:p w14:paraId="0B45E55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(kg/a)</w:t>
                  </w:r>
                </w:p>
              </w:tc>
              <w:tc>
                <w:tcPr>
                  <w:tcW w:w="478" w:type="pct"/>
                  <w:tcBorders>
                    <w:tl2br w:val="nil"/>
                    <w:tr2bl w:val="nil"/>
                  </w:tcBorders>
                  <w:vAlign w:val="center"/>
                </w:tcPr>
                <w:p w14:paraId="409C0F7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浓度</w:t>
                  </w:r>
                </w:p>
                <w:p w14:paraId="79303C5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(mg/m</w:t>
                  </w:r>
                  <w:r>
                    <w:rPr>
                      <w:rFonts w:hint="eastAsia" w:ascii="Times New Roman" w:hAnsi="Times New Roman" w:eastAsia="宋体" w:cs="Times New Roman"/>
                      <w:color w:val="auto"/>
                      <w:sz w:val="21"/>
                      <w:szCs w:val="21"/>
                      <w:highlight w:val="none"/>
                      <w:vertAlign w:val="superscript"/>
                    </w:rPr>
                    <w:t>3</w:t>
                  </w:r>
                </w:p>
                <w:p w14:paraId="4F0B2F6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70" w:type="pct"/>
                  <w:tcBorders>
                    <w:tl2br w:val="nil"/>
                    <w:tr2bl w:val="nil"/>
                  </w:tcBorders>
                  <w:vAlign w:val="center"/>
                </w:tcPr>
                <w:p w14:paraId="67CAD45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速率</w:t>
                  </w:r>
                  <w:r>
                    <w:rPr>
                      <w:rFonts w:hint="eastAsia" w:ascii="Times New Roman" w:hAnsi="Times New Roman"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kg/h</w:t>
                  </w:r>
                </w:p>
                <w:p w14:paraId="0D5EF0B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57" w:type="pct"/>
                  <w:vMerge w:val="continue"/>
                  <w:tcBorders>
                    <w:tl2br w:val="nil"/>
                    <w:tr2bl w:val="nil"/>
                  </w:tcBorders>
                  <w:vAlign w:val="center"/>
                </w:tcPr>
                <w:p w14:paraId="642FA9B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r>
            <w:tr w14:paraId="55FEAB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4" w:hRule="atLeast"/>
              </w:trPr>
              <w:tc>
                <w:tcPr>
                  <w:tcW w:w="242" w:type="pct"/>
                  <w:vMerge w:val="restart"/>
                  <w:tcBorders>
                    <w:tl2br w:val="nil"/>
                    <w:tr2bl w:val="nil"/>
                  </w:tcBorders>
                  <w:vAlign w:val="center"/>
                </w:tcPr>
                <w:p w14:paraId="758F9DD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w:t>
                  </w:r>
                </w:p>
              </w:tc>
              <w:tc>
                <w:tcPr>
                  <w:tcW w:w="490" w:type="pct"/>
                  <w:vMerge w:val="restart"/>
                  <w:tcBorders>
                    <w:tl2br w:val="nil"/>
                    <w:tr2bl w:val="nil"/>
                  </w:tcBorders>
                  <w:vAlign w:val="center"/>
                </w:tcPr>
                <w:p w14:paraId="1F4B687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排气筒DA001</w:t>
                  </w:r>
                </w:p>
              </w:tc>
              <w:tc>
                <w:tcPr>
                  <w:tcW w:w="669" w:type="pct"/>
                  <w:vMerge w:val="restart"/>
                  <w:tcBorders>
                    <w:tl2br w:val="nil"/>
                    <w:tr2bl w:val="nil"/>
                  </w:tcBorders>
                  <w:vAlign w:val="center"/>
                </w:tcPr>
                <w:p w14:paraId="1B865D9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废气处理设施或风机故障</w:t>
                  </w:r>
                </w:p>
              </w:tc>
              <w:tc>
                <w:tcPr>
                  <w:tcW w:w="435" w:type="pct"/>
                  <w:tcBorders>
                    <w:tl2br w:val="nil"/>
                    <w:tr2bl w:val="nil"/>
                  </w:tcBorders>
                  <w:vAlign w:val="center"/>
                </w:tcPr>
                <w:p w14:paraId="522D2F2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非甲烷总烃</w:t>
                  </w:r>
                </w:p>
              </w:tc>
              <w:tc>
                <w:tcPr>
                  <w:tcW w:w="528" w:type="pct"/>
                  <w:tcBorders>
                    <w:tl2br w:val="nil"/>
                    <w:tr2bl w:val="nil"/>
                  </w:tcBorders>
                  <w:vAlign w:val="center"/>
                </w:tcPr>
                <w:p w14:paraId="663B719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35.3</w:t>
                  </w:r>
                </w:p>
              </w:tc>
              <w:tc>
                <w:tcPr>
                  <w:tcW w:w="503" w:type="pct"/>
                  <w:tcBorders>
                    <w:tl2br w:val="nil"/>
                    <w:tr2bl w:val="nil"/>
                  </w:tcBorders>
                  <w:vAlign w:val="center"/>
                </w:tcPr>
                <w:p w14:paraId="52BFE94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353</w:t>
                  </w:r>
                </w:p>
              </w:tc>
              <w:tc>
                <w:tcPr>
                  <w:tcW w:w="511" w:type="pct"/>
                  <w:vMerge w:val="restart"/>
                  <w:tcBorders>
                    <w:tl2br w:val="nil"/>
                    <w:tr2bl w:val="nil"/>
                  </w:tcBorders>
                  <w:vAlign w:val="center"/>
                </w:tcPr>
                <w:p w14:paraId="20376C0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1次/a，30min/次</w:t>
                  </w:r>
                </w:p>
              </w:tc>
              <w:tc>
                <w:tcPr>
                  <w:tcW w:w="410" w:type="pct"/>
                  <w:tcBorders>
                    <w:tl2br w:val="nil"/>
                    <w:tr2bl w:val="nil"/>
                  </w:tcBorders>
                  <w:vAlign w:val="center"/>
                </w:tcPr>
                <w:p w14:paraId="0B3B3C2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0.0882</w:t>
                  </w:r>
                </w:p>
              </w:tc>
              <w:tc>
                <w:tcPr>
                  <w:tcW w:w="478" w:type="pct"/>
                  <w:tcBorders>
                    <w:tl2br w:val="nil"/>
                    <w:tr2bl w:val="nil"/>
                  </w:tcBorders>
                  <w:vAlign w:val="center"/>
                </w:tcPr>
                <w:p w14:paraId="4A65076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60</w:t>
                  </w:r>
                </w:p>
              </w:tc>
              <w:tc>
                <w:tcPr>
                  <w:tcW w:w="370" w:type="pct"/>
                  <w:tcBorders>
                    <w:tl2br w:val="nil"/>
                    <w:tr2bl w:val="nil"/>
                  </w:tcBorders>
                  <w:vAlign w:val="center"/>
                </w:tcPr>
                <w:p w14:paraId="0700107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5.33</w:t>
                  </w:r>
                </w:p>
              </w:tc>
              <w:tc>
                <w:tcPr>
                  <w:tcW w:w="357" w:type="pct"/>
                  <w:vMerge w:val="restart"/>
                  <w:tcBorders>
                    <w:tl2br w:val="nil"/>
                    <w:tr2bl w:val="nil"/>
                  </w:tcBorders>
                  <w:vAlign w:val="center"/>
                </w:tcPr>
                <w:p w14:paraId="7527ACA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r w14:paraId="0459549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4" w:hRule="atLeast"/>
              </w:trPr>
              <w:tc>
                <w:tcPr>
                  <w:tcW w:w="242" w:type="pct"/>
                  <w:vMerge w:val="continue"/>
                  <w:tcBorders>
                    <w:tl2br w:val="nil"/>
                    <w:tr2bl w:val="nil"/>
                  </w:tcBorders>
                  <w:vAlign w:val="center"/>
                </w:tcPr>
                <w:p w14:paraId="60DE539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90" w:type="pct"/>
                  <w:vMerge w:val="continue"/>
                  <w:tcBorders>
                    <w:tl2br w:val="nil"/>
                    <w:tr2bl w:val="nil"/>
                  </w:tcBorders>
                  <w:vAlign w:val="center"/>
                </w:tcPr>
                <w:p w14:paraId="687479C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669" w:type="pct"/>
                  <w:vMerge w:val="continue"/>
                  <w:tcBorders>
                    <w:tl2br w:val="nil"/>
                    <w:tr2bl w:val="nil"/>
                  </w:tcBorders>
                  <w:vAlign w:val="center"/>
                </w:tcPr>
                <w:p w14:paraId="62E50F7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35" w:type="pct"/>
                  <w:tcBorders>
                    <w:tl2br w:val="nil"/>
                    <w:tr2bl w:val="nil"/>
                  </w:tcBorders>
                  <w:vAlign w:val="center"/>
                </w:tcPr>
                <w:p w14:paraId="37709A4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颗粒物</w:t>
                  </w:r>
                </w:p>
              </w:tc>
              <w:tc>
                <w:tcPr>
                  <w:tcW w:w="528" w:type="pct"/>
                  <w:tcBorders>
                    <w:tl2br w:val="nil"/>
                    <w:tr2bl w:val="nil"/>
                  </w:tcBorders>
                  <w:vAlign w:val="center"/>
                </w:tcPr>
                <w:p w14:paraId="7DC1132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108</w:t>
                  </w:r>
                </w:p>
              </w:tc>
              <w:tc>
                <w:tcPr>
                  <w:tcW w:w="503" w:type="pct"/>
                  <w:tcBorders>
                    <w:tl2br w:val="nil"/>
                    <w:tr2bl w:val="nil"/>
                  </w:tcBorders>
                  <w:vAlign w:val="center"/>
                </w:tcPr>
                <w:p w14:paraId="5C5F6A3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0.00</w:t>
                  </w:r>
                  <w:r>
                    <w:rPr>
                      <w:rFonts w:hint="eastAsia" w:ascii="Times New Roman" w:hAnsi="Times New Roman" w:cs="Times New Roman"/>
                      <w:color w:val="auto"/>
                      <w:sz w:val="21"/>
                      <w:szCs w:val="21"/>
                      <w:highlight w:val="none"/>
                      <w:lang w:val="en-US" w:eastAsia="zh-CN"/>
                    </w:rPr>
                    <w:t>1</w:t>
                  </w:r>
                </w:p>
              </w:tc>
              <w:tc>
                <w:tcPr>
                  <w:tcW w:w="511" w:type="pct"/>
                  <w:vMerge w:val="continue"/>
                  <w:tcBorders>
                    <w:tl2br w:val="nil"/>
                    <w:tr2bl w:val="nil"/>
                  </w:tcBorders>
                  <w:vAlign w:val="center"/>
                </w:tcPr>
                <w:p w14:paraId="44704EF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10" w:type="pct"/>
                  <w:tcBorders>
                    <w:tl2br w:val="nil"/>
                    <w:tr2bl w:val="nil"/>
                  </w:tcBorders>
                  <w:vAlign w:val="center"/>
                </w:tcPr>
                <w:p w14:paraId="02EDC94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0.0002</w:t>
                  </w:r>
                </w:p>
              </w:tc>
              <w:tc>
                <w:tcPr>
                  <w:tcW w:w="478" w:type="pct"/>
                  <w:tcBorders>
                    <w:tl2br w:val="nil"/>
                    <w:tr2bl w:val="nil"/>
                  </w:tcBorders>
                  <w:vAlign w:val="center"/>
                </w:tcPr>
                <w:p w14:paraId="382ECC9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30</w:t>
                  </w:r>
                </w:p>
              </w:tc>
              <w:tc>
                <w:tcPr>
                  <w:tcW w:w="370" w:type="pct"/>
                  <w:tcBorders>
                    <w:tl2br w:val="nil"/>
                    <w:tr2bl w:val="nil"/>
                  </w:tcBorders>
                  <w:vAlign w:val="center"/>
                </w:tcPr>
                <w:p w14:paraId="00C7BFF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57" w:type="pct"/>
                  <w:vMerge w:val="continue"/>
                  <w:tcBorders>
                    <w:tl2br w:val="nil"/>
                    <w:tr2bl w:val="nil"/>
                  </w:tcBorders>
                  <w:vAlign w:val="center"/>
                </w:tcPr>
                <w:p w14:paraId="4700D2E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r>
            <w:tr w14:paraId="550861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04" w:hRule="atLeast"/>
              </w:trPr>
              <w:tc>
                <w:tcPr>
                  <w:tcW w:w="242" w:type="pct"/>
                  <w:vMerge w:val="continue"/>
                  <w:tcBorders>
                    <w:tl2br w:val="nil"/>
                    <w:tr2bl w:val="nil"/>
                  </w:tcBorders>
                  <w:vAlign w:val="center"/>
                </w:tcPr>
                <w:p w14:paraId="6591B82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90" w:type="pct"/>
                  <w:vMerge w:val="continue"/>
                  <w:tcBorders>
                    <w:tl2br w:val="nil"/>
                    <w:tr2bl w:val="nil"/>
                  </w:tcBorders>
                  <w:vAlign w:val="center"/>
                </w:tcPr>
                <w:p w14:paraId="1D22B35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669" w:type="pct"/>
                  <w:vMerge w:val="continue"/>
                  <w:tcBorders>
                    <w:tl2br w:val="nil"/>
                    <w:tr2bl w:val="nil"/>
                  </w:tcBorders>
                  <w:vAlign w:val="center"/>
                </w:tcPr>
                <w:p w14:paraId="36A8A45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35" w:type="pct"/>
                  <w:tcBorders>
                    <w:tl2br w:val="nil"/>
                    <w:tr2bl w:val="nil"/>
                  </w:tcBorders>
                  <w:vAlign w:val="center"/>
                </w:tcPr>
                <w:p w14:paraId="3999A03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SO2</w:t>
                  </w:r>
                </w:p>
              </w:tc>
              <w:tc>
                <w:tcPr>
                  <w:tcW w:w="528" w:type="pct"/>
                  <w:tcBorders>
                    <w:tl2br w:val="nil"/>
                    <w:tr2bl w:val="nil"/>
                  </w:tcBorders>
                  <w:vAlign w:val="center"/>
                </w:tcPr>
                <w:p w14:paraId="4F174DC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0.075</w:t>
                  </w:r>
                </w:p>
              </w:tc>
              <w:tc>
                <w:tcPr>
                  <w:tcW w:w="503" w:type="pct"/>
                  <w:tcBorders>
                    <w:tl2br w:val="nil"/>
                    <w:tr2bl w:val="nil"/>
                  </w:tcBorders>
                  <w:vAlign w:val="center"/>
                </w:tcPr>
                <w:p w14:paraId="7E10DEE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0.000</w:t>
                  </w:r>
                  <w:r>
                    <w:rPr>
                      <w:rFonts w:hint="eastAsia" w:ascii="Times New Roman" w:hAnsi="Times New Roman" w:cs="Times New Roman"/>
                      <w:color w:val="auto"/>
                      <w:sz w:val="21"/>
                      <w:szCs w:val="21"/>
                      <w:highlight w:val="none"/>
                      <w:lang w:val="en-US" w:eastAsia="zh-CN"/>
                    </w:rPr>
                    <w:t>74</w:t>
                  </w:r>
                </w:p>
              </w:tc>
              <w:tc>
                <w:tcPr>
                  <w:tcW w:w="511" w:type="pct"/>
                  <w:vMerge w:val="continue"/>
                  <w:tcBorders>
                    <w:tl2br w:val="nil"/>
                    <w:tr2bl w:val="nil"/>
                  </w:tcBorders>
                  <w:vAlign w:val="center"/>
                </w:tcPr>
                <w:p w14:paraId="61EF235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10" w:type="pct"/>
                  <w:tcBorders>
                    <w:tl2br w:val="nil"/>
                    <w:tr2bl w:val="nil"/>
                  </w:tcBorders>
                  <w:vAlign w:val="center"/>
                </w:tcPr>
                <w:p w14:paraId="7441C95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0.0001</w:t>
                  </w:r>
                </w:p>
                <w:p w14:paraId="37A5270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8</w:t>
                  </w:r>
                </w:p>
              </w:tc>
              <w:tc>
                <w:tcPr>
                  <w:tcW w:w="478" w:type="pct"/>
                  <w:tcBorders>
                    <w:tl2br w:val="nil"/>
                    <w:tr2bl w:val="nil"/>
                  </w:tcBorders>
                  <w:vAlign w:val="center"/>
                </w:tcPr>
                <w:p w14:paraId="0F4CE03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200</w:t>
                  </w:r>
                </w:p>
              </w:tc>
              <w:tc>
                <w:tcPr>
                  <w:tcW w:w="370" w:type="pct"/>
                  <w:tcBorders>
                    <w:tl2br w:val="nil"/>
                    <w:tr2bl w:val="nil"/>
                  </w:tcBorders>
                  <w:vAlign w:val="center"/>
                </w:tcPr>
                <w:p w14:paraId="425BA1B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57" w:type="pct"/>
                  <w:vMerge w:val="continue"/>
                  <w:tcBorders>
                    <w:tl2br w:val="nil"/>
                    <w:tr2bl w:val="nil"/>
                  </w:tcBorders>
                  <w:vAlign w:val="center"/>
                </w:tcPr>
                <w:p w14:paraId="76F4570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r>
            <w:tr w14:paraId="0A851E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5" w:hRule="atLeast"/>
              </w:trPr>
              <w:tc>
                <w:tcPr>
                  <w:tcW w:w="242" w:type="pct"/>
                  <w:vMerge w:val="continue"/>
                  <w:tcBorders>
                    <w:tl2br w:val="nil"/>
                    <w:tr2bl w:val="nil"/>
                  </w:tcBorders>
                  <w:vAlign w:val="center"/>
                </w:tcPr>
                <w:p w14:paraId="4BA7C5A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90" w:type="pct"/>
                  <w:vMerge w:val="continue"/>
                  <w:tcBorders>
                    <w:tl2br w:val="nil"/>
                    <w:tr2bl w:val="nil"/>
                  </w:tcBorders>
                  <w:vAlign w:val="center"/>
                </w:tcPr>
                <w:p w14:paraId="66DD459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669" w:type="pct"/>
                  <w:vMerge w:val="continue"/>
                  <w:tcBorders>
                    <w:tl2br w:val="nil"/>
                    <w:tr2bl w:val="nil"/>
                  </w:tcBorders>
                  <w:vAlign w:val="center"/>
                </w:tcPr>
                <w:p w14:paraId="1DF7A11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35" w:type="pct"/>
                  <w:tcBorders>
                    <w:tl2br w:val="nil"/>
                    <w:tr2bl w:val="nil"/>
                  </w:tcBorders>
                  <w:vAlign w:val="center"/>
                </w:tcPr>
                <w:p w14:paraId="6AF6D23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NOx</w:t>
                  </w:r>
                </w:p>
              </w:tc>
              <w:tc>
                <w:tcPr>
                  <w:tcW w:w="528" w:type="pct"/>
                  <w:tcBorders>
                    <w:tl2br w:val="nil"/>
                    <w:tr2bl w:val="nil"/>
                  </w:tcBorders>
                  <w:vAlign w:val="center"/>
                </w:tcPr>
                <w:p w14:paraId="087CF66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7</w:t>
                  </w:r>
                </w:p>
              </w:tc>
              <w:tc>
                <w:tcPr>
                  <w:tcW w:w="503" w:type="pct"/>
                  <w:tcBorders>
                    <w:tl2br w:val="nil"/>
                    <w:tr2bl w:val="nil"/>
                  </w:tcBorders>
                  <w:vAlign w:val="center"/>
                </w:tcPr>
                <w:p w14:paraId="1868453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rPr>
                    <w:t>0.00</w:t>
                  </w:r>
                  <w:r>
                    <w:rPr>
                      <w:rFonts w:hint="eastAsia" w:ascii="Times New Roman" w:hAnsi="Times New Roman" w:cs="Times New Roman"/>
                      <w:color w:val="auto"/>
                      <w:sz w:val="21"/>
                      <w:szCs w:val="21"/>
                      <w:highlight w:val="none"/>
                      <w:lang w:val="en-US" w:eastAsia="zh-CN"/>
                    </w:rPr>
                    <w:t>7</w:t>
                  </w:r>
                </w:p>
              </w:tc>
              <w:tc>
                <w:tcPr>
                  <w:tcW w:w="511" w:type="pct"/>
                  <w:vMerge w:val="continue"/>
                  <w:tcBorders>
                    <w:tl2br w:val="nil"/>
                    <w:tr2bl w:val="nil"/>
                  </w:tcBorders>
                  <w:vAlign w:val="center"/>
                </w:tcPr>
                <w:p w14:paraId="4E9FA34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c>
                <w:tcPr>
                  <w:tcW w:w="410" w:type="pct"/>
                  <w:tcBorders>
                    <w:tl2br w:val="nil"/>
                    <w:tr2bl w:val="nil"/>
                  </w:tcBorders>
                  <w:vAlign w:val="center"/>
                </w:tcPr>
                <w:p w14:paraId="0772EBB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0.0017</w:t>
                  </w:r>
                </w:p>
              </w:tc>
              <w:tc>
                <w:tcPr>
                  <w:tcW w:w="478" w:type="pct"/>
                  <w:tcBorders>
                    <w:tl2br w:val="nil"/>
                    <w:tr2bl w:val="nil"/>
                  </w:tcBorders>
                  <w:vAlign w:val="center"/>
                </w:tcPr>
                <w:p w14:paraId="7AF4232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300</w:t>
                  </w:r>
                </w:p>
              </w:tc>
              <w:tc>
                <w:tcPr>
                  <w:tcW w:w="370" w:type="pct"/>
                  <w:tcBorders>
                    <w:tl2br w:val="nil"/>
                    <w:tr2bl w:val="nil"/>
                  </w:tcBorders>
                  <w:vAlign w:val="center"/>
                </w:tcPr>
                <w:p w14:paraId="2BF616A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w:t>
                  </w:r>
                </w:p>
              </w:tc>
              <w:tc>
                <w:tcPr>
                  <w:tcW w:w="357" w:type="pct"/>
                  <w:vMerge w:val="continue"/>
                  <w:tcBorders>
                    <w:tl2br w:val="nil"/>
                    <w:tr2bl w:val="nil"/>
                  </w:tcBorders>
                  <w:vAlign w:val="center"/>
                </w:tcPr>
                <w:p w14:paraId="2F63BB7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p>
              </w:tc>
            </w:tr>
            <w:tr w14:paraId="73CA20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09" w:hRule="atLeast"/>
              </w:trPr>
              <w:tc>
                <w:tcPr>
                  <w:tcW w:w="242" w:type="pct"/>
                  <w:tcBorders>
                    <w:tl2br w:val="nil"/>
                    <w:tr2bl w:val="nil"/>
                  </w:tcBorders>
                  <w:vAlign w:val="center"/>
                </w:tcPr>
                <w:p w14:paraId="5B0A652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2</w:t>
                  </w:r>
                </w:p>
              </w:tc>
              <w:tc>
                <w:tcPr>
                  <w:tcW w:w="490" w:type="pct"/>
                  <w:tcBorders>
                    <w:tl2br w:val="nil"/>
                    <w:tr2bl w:val="nil"/>
                  </w:tcBorders>
                  <w:vAlign w:val="center"/>
                </w:tcPr>
                <w:p w14:paraId="1910D0F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排气筒DA002</w:t>
                  </w:r>
                </w:p>
              </w:tc>
              <w:tc>
                <w:tcPr>
                  <w:tcW w:w="669" w:type="pct"/>
                  <w:tcBorders>
                    <w:tl2br w:val="nil"/>
                    <w:tr2bl w:val="nil"/>
                  </w:tcBorders>
                  <w:vAlign w:val="center"/>
                </w:tcPr>
                <w:p w14:paraId="623E71E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废气处理设施或风机故障</w:t>
                  </w:r>
                </w:p>
              </w:tc>
              <w:tc>
                <w:tcPr>
                  <w:tcW w:w="435" w:type="pct"/>
                  <w:tcBorders>
                    <w:tl2br w:val="nil"/>
                    <w:tr2bl w:val="nil"/>
                  </w:tcBorders>
                  <w:vAlign w:val="center"/>
                </w:tcPr>
                <w:p w14:paraId="47F8A14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颗粒物</w:t>
                  </w:r>
                </w:p>
              </w:tc>
              <w:tc>
                <w:tcPr>
                  <w:tcW w:w="528" w:type="pct"/>
                  <w:tcBorders>
                    <w:tl2br w:val="nil"/>
                    <w:tr2bl w:val="nil"/>
                  </w:tcBorders>
                  <w:vAlign w:val="center"/>
                </w:tcPr>
                <w:p w14:paraId="5476697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3.072</w:t>
                  </w:r>
                </w:p>
              </w:tc>
              <w:tc>
                <w:tcPr>
                  <w:tcW w:w="503" w:type="pct"/>
                  <w:tcBorders>
                    <w:tl2br w:val="nil"/>
                    <w:tr2bl w:val="nil"/>
                  </w:tcBorders>
                  <w:vAlign w:val="center"/>
                </w:tcPr>
                <w:p w14:paraId="56F8BF1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1536</w:t>
                  </w:r>
                </w:p>
              </w:tc>
              <w:tc>
                <w:tcPr>
                  <w:tcW w:w="511" w:type="pct"/>
                  <w:tcBorders>
                    <w:tl2br w:val="nil"/>
                    <w:tr2bl w:val="nil"/>
                  </w:tcBorders>
                  <w:vAlign w:val="center"/>
                </w:tcPr>
                <w:p w14:paraId="78EE002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1次/a，30min/次</w:t>
                  </w:r>
                </w:p>
              </w:tc>
              <w:tc>
                <w:tcPr>
                  <w:tcW w:w="410" w:type="pct"/>
                  <w:tcBorders>
                    <w:tl2br w:val="nil"/>
                    <w:tr2bl w:val="nil"/>
                  </w:tcBorders>
                  <w:vAlign w:val="center"/>
                </w:tcPr>
                <w:p w14:paraId="24D4788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0.0384</w:t>
                  </w:r>
                </w:p>
              </w:tc>
              <w:tc>
                <w:tcPr>
                  <w:tcW w:w="478" w:type="pct"/>
                  <w:tcBorders>
                    <w:tl2br w:val="nil"/>
                    <w:tr2bl w:val="nil"/>
                  </w:tcBorders>
                  <w:vAlign w:val="center"/>
                </w:tcPr>
                <w:p w14:paraId="39956C5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120</w:t>
                  </w:r>
                </w:p>
              </w:tc>
              <w:tc>
                <w:tcPr>
                  <w:tcW w:w="370" w:type="pct"/>
                  <w:tcBorders>
                    <w:tl2br w:val="nil"/>
                    <w:tr2bl w:val="nil"/>
                  </w:tcBorders>
                  <w:vAlign w:val="center"/>
                </w:tcPr>
                <w:p w14:paraId="415682E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5.9</w:t>
                  </w:r>
                </w:p>
              </w:tc>
              <w:tc>
                <w:tcPr>
                  <w:tcW w:w="357" w:type="pct"/>
                  <w:tcBorders>
                    <w:tl2br w:val="nil"/>
                    <w:tr2bl w:val="nil"/>
                  </w:tcBorders>
                  <w:vAlign w:val="center"/>
                </w:tcPr>
                <w:p w14:paraId="6FB6600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达标</w:t>
                  </w:r>
                </w:p>
              </w:tc>
            </w:tr>
          </w:tbl>
          <w:p w14:paraId="5E6139C2">
            <w:pPr>
              <w:pStyle w:val="44"/>
              <w:keepNext w:val="0"/>
              <w:keepLines w:val="0"/>
              <w:pageBreakBefore w:val="0"/>
              <w:widowControl w:val="0"/>
              <w:kinsoku/>
              <w:wordWrap/>
              <w:overflowPunct/>
              <w:topLinePunct w:val="0"/>
              <w:autoSpaceDE w:val="0"/>
              <w:autoSpaceDN w:val="0"/>
              <w:bidi w:val="0"/>
              <w:adjustRightInd/>
              <w:snapToGrid/>
              <w:spacing w:before="157" w:beforeLines="50"/>
              <w:textAlignment w:val="auto"/>
              <w:rPr>
                <w:rFonts w:hint="eastAsia"/>
                <w:color w:val="auto"/>
                <w:highlight w:val="none"/>
              </w:rPr>
            </w:pPr>
            <w:r>
              <w:rPr>
                <w:rFonts w:hint="eastAsia"/>
                <w:color w:val="auto"/>
                <w:highlight w:val="none"/>
              </w:rPr>
              <w:t>由上表可知，非正常工况下，DA001、DA002排气筒污染物排放浓度、排放速率均达标。为防止生产废气非正常工况排放，企业必须加强废气处理设施的管理，定期检修，确保废气处理设施正常运行，在废气处理设备停止运行或出现故障时，产生废气的各工序也必须相应停止生产。</w:t>
            </w:r>
          </w:p>
          <w:p w14:paraId="1C52720D">
            <w:pPr>
              <w:pStyle w:val="5"/>
              <w:keepNext/>
              <w:keepLines/>
              <w:pageBreakBefore w:val="0"/>
              <w:widowControl w:val="0"/>
              <w:numPr>
                <w:ilvl w:val="3"/>
                <w:numId w:val="14"/>
              </w:numPr>
              <w:tabs>
                <w:tab w:val="left" w:pos="0"/>
              </w:tabs>
              <w:kinsoku/>
              <w:wordWrap/>
              <w:overflowPunct/>
              <w:topLinePunct w:val="0"/>
              <w:autoSpaceDE/>
              <w:autoSpaceDN/>
              <w:bidi w:val="0"/>
              <w:adjustRightInd/>
              <w:snapToGrid/>
              <w:spacing w:before="157" w:beforeLines="50"/>
              <w:ind w:left="862" w:leftChars="0" w:hanging="862" w:firstLineChars="0"/>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有组织废气防治措施</w:t>
            </w:r>
          </w:p>
          <w:p w14:paraId="4FE6CAD3">
            <w:pPr>
              <w:pStyle w:val="113"/>
              <w:spacing w:before="142" w:line="219" w:lineRule="auto"/>
              <w:ind w:left="591"/>
              <w:rPr>
                <w:color w:val="auto"/>
                <w:sz w:val="24"/>
                <w:szCs w:val="24"/>
                <w:highlight w:val="none"/>
              </w:rPr>
            </w:pPr>
            <w:r>
              <w:rPr>
                <w:color w:val="auto"/>
                <w:spacing w:val="-1"/>
                <w:sz w:val="24"/>
                <w:szCs w:val="24"/>
                <w:highlight w:val="none"/>
              </w:rPr>
              <w:t>项目活性炭吸附装置理论计算更换周期见下表。</w:t>
            </w:r>
          </w:p>
          <w:p w14:paraId="5BC76C7D">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120"/>
              <w:ind w:left="630" w:leftChars="0" w:firstLine="0" w:firstLineChars="0"/>
              <w:textAlignment w:val="auto"/>
              <w:rPr>
                <w:rFonts w:hint="eastAsia"/>
                <w:color w:val="auto"/>
                <w:highlight w:val="none"/>
                <w:lang w:val="en-US" w:eastAsia="zh-CN"/>
              </w:rPr>
            </w:pPr>
            <w:r>
              <w:rPr>
                <w:rFonts w:hint="eastAsia"/>
                <w:color w:val="auto"/>
                <w:highlight w:val="none"/>
                <w:lang w:val="en-US" w:eastAsia="zh-CN"/>
              </w:rPr>
              <w:t>活性炭装置更换周期计算表</w:t>
            </w:r>
          </w:p>
          <w:p w14:paraId="41D35F20">
            <w:pPr>
              <w:spacing w:line="144" w:lineRule="exact"/>
              <w:rPr>
                <w:color w:val="auto"/>
                <w:highlight w:val="none"/>
              </w:rPr>
            </w:pPr>
          </w:p>
          <w:tbl>
            <w:tblPr>
              <w:tblStyle w:val="84"/>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03"/>
              <w:gridCol w:w="718"/>
              <w:gridCol w:w="1358"/>
              <w:gridCol w:w="1578"/>
              <w:gridCol w:w="1292"/>
              <w:gridCol w:w="1503"/>
              <w:gridCol w:w="1173"/>
            </w:tblGrid>
            <w:tr w14:paraId="2EA8C5A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83" w:hRule="atLeast"/>
              </w:trPr>
              <w:tc>
                <w:tcPr>
                  <w:tcW w:w="730" w:type="pct"/>
                  <w:tcBorders>
                    <w:bottom w:val="single" w:color="000000" w:sz="12" w:space="0"/>
                  </w:tcBorders>
                  <w:vAlign w:val="center"/>
                </w:tcPr>
                <w:p w14:paraId="7B2F088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排气筒</w:t>
                  </w:r>
                </w:p>
              </w:tc>
              <w:tc>
                <w:tcPr>
                  <w:tcW w:w="402" w:type="pct"/>
                  <w:tcBorders>
                    <w:bottom w:val="single" w:color="000000" w:sz="12" w:space="0"/>
                  </w:tcBorders>
                  <w:vAlign w:val="center"/>
                </w:tcPr>
                <w:p w14:paraId="2D49674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sz w:val="21"/>
                      <w:highlight w:val="none"/>
                    </w:rPr>
                    <w:t>数量</w:t>
                  </w:r>
                </w:p>
                <w:p w14:paraId="421C12D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highlight w:val="none"/>
                    </w:rPr>
                  </w:pPr>
                  <w:r>
                    <w:rPr>
                      <w:rFonts w:hint="eastAsia" w:ascii="Times New Roman" w:hAnsi="Times New Roman" w:cs="Times New Roman"/>
                      <w:b/>
                      <w:bCs/>
                      <w:color w:val="auto"/>
                      <w:spacing w:val="2"/>
                      <w:sz w:val="21"/>
                      <w:highlight w:val="none"/>
                      <w:lang w:eastAsia="zh-CN"/>
                    </w:rPr>
                    <w:t>(</w:t>
                  </w:r>
                  <w:r>
                    <w:rPr>
                      <w:rFonts w:ascii="Times New Roman" w:hAnsi="Times New Roman" w:eastAsia="宋体"/>
                      <w:b/>
                      <w:bCs/>
                      <w:color w:val="auto"/>
                      <w:spacing w:val="2"/>
                      <w:sz w:val="21"/>
                      <w:highlight w:val="none"/>
                    </w:rPr>
                    <w:t>套</w:t>
                  </w:r>
                  <w:r>
                    <w:rPr>
                      <w:rFonts w:hint="eastAsia" w:ascii="Times New Roman" w:hAnsi="Times New Roman"/>
                      <w:b/>
                      <w:bCs/>
                      <w:color w:val="auto"/>
                      <w:spacing w:val="2"/>
                      <w:sz w:val="21"/>
                      <w:highlight w:val="none"/>
                      <w:lang w:eastAsia="zh-CN"/>
                    </w:rPr>
                    <w:t>)</w:t>
                  </w:r>
                </w:p>
              </w:tc>
              <w:tc>
                <w:tcPr>
                  <w:tcW w:w="761" w:type="pct"/>
                  <w:tcBorders>
                    <w:bottom w:val="single" w:color="000000" w:sz="12" w:space="0"/>
                  </w:tcBorders>
                  <w:vAlign w:val="center"/>
                </w:tcPr>
                <w:p w14:paraId="53C333C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活性炭</w:t>
                  </w:r>
                </w:p>
                <w:p w14:paraId="04E2794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装填量</w:t>
                  </w:r>
                </w:p>
                <w:p w14:paraId="445230B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b/>
                      <w:bCs/>
                      <w:color w:val="auto"/>
                      <w:sz w:val="21"/>
                      <w:szCs w:val="20"/>
                      <w:highlight w:val="none"/>
                    </w:rPr>
                    <w:t>(t)</w:t>
                  </w:r>
                </w:p>
              </w:tc>
              <w:tc>
                <w:tcPr>
                  <w:tcW w:w="884" w:type="pct"/>
                  <w:tcBorders>
                    <w:bottom w:val="single" w:color="000000" w:sz="12" w:space="0"/>
                  </w:tcBorders>
                  <w:vAlign w:val="center"/>
                </w:tcPr>
                <w:p w14:paraId="0260B8A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废气理论吸</w:t>
                  </w:r>
                </w:p>
                <w:p w14:paraId="60E245F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附量</w:t>
                  </w:r>
                </w:p>
                <w:p w14:paraId="4495028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b/>
                      <w:bCs/>
                      <w:color w:val="auto"/>
                      <w:spacing w:val="1"/>
                      <w:sz w:val="21"/>
                      <w:szCs w:val="20"/>
                      <w:highlight w:val="none"/>
                    </w:rPr>
                    <w:t>(t/a)</w:t>
                  </w:r>
                </w:p>
              </w:tc>
              <w:tc>
                <w:tcPr>
                  <w:tcW w:w="724" w:type="pct"/>
                  <w:tcBorders>
                    <w:bottom w:val="single" w:color="000000" w:sz="12" w:space="0"/>
                  </w:tcBorders>
                  <w:vAlign w:val="center"/>
                </w:tcPr>
                <w:p w14:paraId="25326E6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position w:val="-1"/>
                      <w:sz w:val="21"/>
                      <w:highlight w:val="none"/>
                    </w:rPr>
                    <w:t>活性炭</w:t>
                  </w:r>
                  <w:r>
                    <w:rPr>
                      <w:rFonts w:ascii="Times New Roman" w:hAnsi="Times New Roman" w:eastAsia="宋体" w:cs="Times New Roman"/>
                      <w:b/>
                      <w:bCs/>
                      <w:color w:val="auto"/>
                      <w:spacing w:val="3"/>
                      <w:position w:val="5"/>
                      <w:sz w:val="21"/>
                      <w:szCs w:val="13"/>
                      <w:highlight w:val="none"/>
                      <w:vertAlign w:val="superscript"/>
                    </w:rPr>
                    <w:t>[1]</w:t>
                  </w:r>
                  <w:r>
                    <w:rPr>
                      <w:rFonts w:ascii="Times New Roman" w:hAnsi="Times New Roman" w:eastAsia="宋体"/>
                      <w:b/>
                      <w:bCs/>
                      <w:color w:val="auto"/>
                      <w:spacing w:val="5"/>
                      <w:sz w:val="21"/>
                      <w:highlight w:val="none"/>
                    </w:rPr>
                    <w:t>理论更换</w:t>
                  </w:r>
                  <w:r>
                    <w:rPr>
                      <w:rFonts w:ascii="Times New Roman" w:hAnsi="Times New Roman" w:eastAsia="宋体"/>
                      <w:b/>
                      <w:bCs/>
                      <w:color w:val="auto"/>
                      <w:spacing w:val="-2"/>
                      <w:sz w:val="21"/>
                      <w:highlight w:val="none"/>
                    </w:rPr>
                    <w:t>量</w:t>
                  </w:r>
                </w:p>
                <w:p w14:paraId="393657D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b/>
                      <w:bCs/>
                      <w:color w:val="auto"/>
                      <w:spacing w:val="1"/>
                      <w:sz w:val="21"/>
                      <w:szCs w:val="20"/>
                      <w:highlight w:val="none"/>
                    </w:rPr>
                    <w:t>(t/a)</w:t>
                  </w:r>
                </w:p>
              </w:tc>
              <w:tc>
                <w:tcPr>
                  <w:tcW w:w="842" w:type="pct"/>
                  <w:tcBorders>
                    <w:bottom w:val="single" w:color="000000" w:sz="12" w:space="0"/>
                  </w:tcBorders>
                  <w:vAlign w:val="center"/>
                </w:tcPr>
                <w:p w14:paraId="6080E22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position w:val="-1"/>
                      <w:sz w:val="21"/>
                      <w:highlight w:val="none"/>
                    </w:rPr>
                    <w:t>废活性炭</w:t>
                  </w:r>
                  <w:r>
                    <w:rPr>
                      <w:rFonts w:ascii="Times New Roman" w:hAnsi="Times New Roman" w:eastAsia="宋体" w:cs="Times New Roman"/>
                      <w:b/>
                      <w:bCs/>
                      <w:color w:val="auto"/>
                      <w:spacing w:val="5"/>
                      <w:position w:val="5"/>
                      <w:sz w:val="21"/>
                      <w:szCs w:val="13"/>
                      <w:highlight w:val="none"/>
                      <w:vertAlign w:val="superscript"/>
                    </w:rPr>
                    <w:t>[2]</w:t>
                  </w:r>
                  <w:r>
                    <w:rPr>
                      <w:rFonts w:ascii="Times New Roman" w:hAnsi="Times New Roman" w:eastAsia="宋体"/>
                      <w:b/>
                      <w:bCs/>
                      <w:color w:val="auto"/>
                      <w:spacing w:val="6"/>
                      <w:sz w:val="21"/>
                      <w:highlight w:val="none"/>
                    </w:rPr>
                    <w:t>理论产生量</w:t>
                  </w:r>
                </w:p>
                <w:p w14:paraId="47F9AF8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b/>
                      <w:bCs/>
                      <w:color w:val="auto"/>
                      <w:spacing w:val="1"/>
                      <w:sz w:val="21"/>
                      <w:szCs w:val="20"/>
                      <w:highlight w:val="none"/>
                    </w:rPr>
                    <w:t>(t/a)</w:t>
                  </w:r>
                </w:p>
              </w:tc>
              <w:tc>
                <w:tcPr>
                  <w:tcW w:w="654" w:type="pct"/>
                  <w:tcBorders>
                    <w:bottom w:val="single" w:color="000000" w:sz="12" w:space="0"/>
                  </w:tcBorders>
                  <w:vAlign w:val="center"/>
                </w:tcPr>
                <w:p w14:paraId="368CBA2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活性炭</w:t>
                  </w:r>
                </w:p>
                <w:p w14:paraId="3DC23C5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建议更</w:t>
                  </w:r>
                </w:p>
                <w:p w14:paraId="673FC79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olor w:val="auto"/>
                      <w:sz w:val="21"/>
                      <w:highlight w:val="none"/>
                      <w:lang w:val="en-US" w:eastAsia="zh-CN"/>
                    </w:rPr>
                  </w:pPr>
                  <w:r>
                    <w:rPr>
                      <w:rFonts w:ascii="Times New Roman" w:hAnsi="Times New Roman" w:eastAsia="宋体"/>
                      <w:b/>
                      <w:bCs/>
                      <w:color w:val="auto"/>
                      <w:spacing w:val="5"/>
                      <w:sz w:val="21"/>
                      <w:highlight w:val="none"/>
                    </w:rPr>
                    <w:t>换周期</w:t>
                  </w:r>
                  <w:r>
                    <w:rPr>
                      <w:rFonts w:hint="eastAsia" w:ascii="Times New Roman" w:hAnsi="Times New Roman"/>
                      <w:b/>
                      <w:bCs/>
                      <w:color w:val="auto"/>
                      <w:spacing w:val="5"/>
                      <w:sz w:val="21"/>
                      <w:highlight w:val="none"/>
                      <w:lang w:val="en-US" w:eastAsia="zh-CN"/>
                    </w:rPr>
                    <w:t>*</w:t>
                  </w:r>
                </w:p>
              </w:tc>
            </w:tr>
            <w:tr w14:paraId="00014F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93" w:hRule="atLeast"/>
              </w:trPr>
              <w:tc>
                <w:tcPr>
                  <w:tcW w:w="730" w:type="pct"/>
                  <w:tcBorders>
                    <w:top w:val="single" w:color="000000" w:sz="12" w:space="0"/>
                    <w:tl2br w:val="nil"/>
                    <w:tr2bl w:val="nil"/>
                  </w:tcBorders>
                  <w:vAlign w:val="center"/>
                </w:tcPr>
                <w:p w14:paraId="3C1F609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color w:val="auto"/>
                      <w:sz w:val="21"/>
                      <w:highlight w:val="none"/>
                    </w:rPr>
                    <w:t>DA</w:t>
                  </w:r>
                  <w:r>
                    <w:rPr>
                      <w:rFonts w:ascii="Times New Roman" w:hAnsi="Times New Roman" w:eastAsia="宋体" w:cs="Times New Roman"/>
                      <w:color w:val="auto"/>
                      <w:spacing w:val="6"/>
                      <w:sz w:val="21"/>
                      <w:highlight w:val="none"/>
                    </w:rPr>
                    <w:t>001</w:t>
                  </w:r>
                  <w:r>
                    <w:rPr>
                      <w:rFonts w:ascii="Times New Roman" w:hAnsi="Times New Roman" w:eastAsia="宋体"/>
                      <w:color w:val="auto"/>
                      <w:spacing w:val="6"/>
                      <w:sz w:val="21"/>
                      <w:highlight w:val="none"/>
                    </w:rPr>
                    <w:t>排</w:t>
                  </w:r>
                  <w:r>
                    <w:rPr>
                      <w:rFonts w:ascii="Times New Roman" w:hAnsi="Times New Roman" w:eastAsia="宋体"/>
                      <w:color w:val="auto"/>
                      <w:spacing w:val="7"/>
                      <w:sz w:val="21"/>
                      <w:highlight w:val="none"/>
                    </w:rPr>
                    <w:t>气筒配套</w:t>
                  </w:r>
                  <w:r>
                    <w:rPr>
                      <w:rFonts w:ascii="Times New Roman" w:hAnsi="Times New Roman" w:eastAsia="宋体"/>
                      <w:color w:val="auto"/>
                      <w:spacing w:val="6"/>
                      <w:sz w:val="21"/>
                      <w:highlight w:val="none"/>
                    </w:rPr>
                    <w:t>活性炭装</w:t>
                  </w:r>
                  <w:r>
                    <w:rPr>
                      <w:rFonts w:ascii="Times New Roman" w:hAnsi="Times New Roman" w:eastAsia="宋体"/>
                      <w:color w:val="auto"/>
                      <w:spacing w:val="2"/>
                      <w:sz w:val="21"/>
                      <w:highlight w:val="none"/>
                    </w:rPr>
                    <w:t>置</w:t>
                  </w:r>
                </w:p>
              </w:tc>
              <w:tc>
                <w:tcPr>
                  <w:tcW w:w="402" w:type="pct"/>
                  <w:tcBorders>
                    <w:top w:val="single" w:color="000000" w:sz="12" w:space="0"/>
                    <w:tl2br w:val="nil"/>
                    <w:tr2bl w:val="nil"/>
                  </w:tcBorders>
                  <w:vAlign w:val="center"/>
                </w:tcPr>
                <w:p w14:paraId="069717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1"/>
                      <w:sz w:val="21"/>
                      <w:szCs w:val="20"/>
                      <w:highlight w:val="none"/>
                    </w:rPr>
                    <w:t>1</w:t>
                  </w:r>
                </w:p>
              </w:tc>
              <w:tc>
                <w:tcPr>
                  <w:tcW w:w="761" w:type="pct"/>
                  <w:tcBorders>
                    <w:top w:val="single" w:color="000000" w:sz="12" w:space="0"/>
                    <w:tl2br w:val="nil"/>
                    <w:tr2bl w:val="nil"/>
                  </w:tcBorders>
                  <w:vAlign w:val="center"/>
                </w:tcPr>
                <w:p w14:paraId="2B0AD52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0"/>
                      <w:highlight w:val="none"/>
                      <w:lang w:val="en-US" w:eastAsia="zh-CN"/>
                    </w:rPr>
                  </w:pPr>
                  <w:r>
                    <w:rPr>
                      <w:rFonts w:hint="eastAsia" w:cs="Times New Roman"/>
                      <w:color w:val="auto"/>
                      <w:spacing w:val="1"/>
                      <w:position w:val="2"/>
                      <w:sz w:val="21"/>
                      <w:szCs w:val="20"/>
                      <w:highlight w:val="none"/>
                      <w:lang w:val="en-US" w:eastAsia="zh-CN"/>
                    </w:rPr>
                    <w:t>0.25</w:t>
                  </w:r>
                </w:p>
              </w:tc>
              <w:tc>
                <w:tcPr>
                  <w:tcW w:w="884" w:type="pct"/>
                  <w:tcBorders>
                    <w:top w:val="single" w:color="000000" w:sz="12" w:space="0"/>
                    <w:tl2br w:val="nil"/>
                    <w:tr2bl w:val="nil"/>
                  </w:tcBorders>
                  <w:vAlign w:val="center"/>
                </w:tcPr>
                <w:p w14:paraId="370D681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0"/>
                      <w:highlight w:val="none"/>
                      <w:lang w:val="en-US" w:eastAsia="zh-CN"/>
                    </w:rPr>
                  </w:pPr>
                  <w:r>
                    <w:rPr>
                      <w:rFonts w:ascii="Times New Roman" w:hAnsi="Times New Roman" w:eastAsia="宋体" w:cs="Times New Roman"/>
                      <w:color w:val="auto"/>
                      <w:spacing w:val="3"/>
                      <w:position w:val="2"/>
                      <w:sz w:val="21"/>
                      <w:szCs w:val="20"/>
                      <w:highlight w:val="none"/>
                    </w:rPr>
                    <w:t>0.</w:t>
                  </w:r>
                  <w:r>
                    <w:rPr>
                      <w:rFonts w:hint="eastAsia" w:cs="Times New Roman"/>
                      <w:color w:val="auto"/>
                      <w:spacing w:val="3"/>
                      <w:position w:val="2"/>
                      <w:sz w:val="21"/>
                      <w:szCs w:val="20"/>
                      <w:highlight w:val="none"/>
                      <w:lang w:val="en-US" w:eastAsia="zh-CN"/>
                    </w:rPr>
                    <w:t>6355</w:t>
                  </w:r>
                </w:p>
              </w:tc>
              <w:tc>
                <w:tcPr>
                  <w:tcW w:w="724" w:type="pct"/>
                  <w:tcBorders>
                    <w:top w:val="single" w:color="000000" w:sz="12" w:space="0"/>
                    <w:tl2br w:val="nil"/>
                    <w:tr2bl w:val="nil"/>
                  </w:tcBorders>
                  <w:vAlign w:val="center"/>
                </w:tcPr>
                <w:p w14:paraId="50C5536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0"/>
                      <w:highlight w:val="none"/>
                      <w:lang w:val="en-US" w:eastAsia="zh-CN"/>
                    </w:rPr>
                  </w:pPr>
                  <w:r>
                    <w:rPr>
                      <w:rFonts w:ascii="Times New Roman" w:hAnsi="Times New Roman" w:eastAsia="宋体" w:cs="Times New Roman"/>
                      <w:color w:val="auto"/>
                      <w:spacing w:val="3"/>
                      <w:position w:val="2"/>
                      <w:sz w:val="21"/>
                      <w:szCs w:val="20"/>
                      <w:highlight w:val="none"/>
                    </w:rPr>
                    <w:t>2.</w:t>
                  </w:r>
                  <w:r>
                    <w:rPr>
                      <w:rFonts w:hint="eastAsia" w:cs="Times New Roman"/>
                      <w:color w:val="auto"/>
                      <w:spacing w:val="3"/>
                      <w:position w:val="2"/>
                      <w:sz w:val="21"/>
                      <w:szCs w:val="20"/>
                      <w:highlight w:val="none"/>
                      <w:lang w:val="en-US" w:eastAsia="zh-CN"/>
                    </w:rPr>
                    <w:t>1183</w:t>
                  </w:r>
                </w:p>
              </w:tc>
              <w:tc>
                <w:tcPr>
                  <w:tcW w:w="842" w:type="pct"/>
                  <w:tcBorders>
                    <w:top w:val="single" w:color="000000" w:sz="12" w:space="0"/>
                    <w:tl2br w:val="nil"/>
                    <w:tr2bl w:val="nil"/>
                  </w:tcBorders>
                  <w:vAlign w:val="center"/>
                </w:tcPr>
                <w:p w14:paraId="1521E31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0"/>
                      <w:highlight w:val="none"/>
                      <w:lang w:val="en-US" w:eastAsia="zh-CN"/>
                    </w:rPr>
                  </w:pPr>
                  <w:r>
                    <w:rPr>
                      <w:rFonts w:hint="eastAsia" w:cs="Times New Roman"/>
                      <w:color w:val="auto"/>
                      <w:spacing w:val="3"/>
                      <w:position w:val="2"/>
                      <w:sz w:val="21"/>
                      <w:szCs w:val="20"/>
                      <w:highlight w:val="none"/>
                      <w:lang w:val="en-US" w:eastAsia="zh-CN"/>
                    </w:rPr>
                    <w:t>3.6355</w:t>
                  </w:r>
                </w:p>
              </w:tc>
              <w:tc>
                <w:tcPr>
                  <w:tcW w:w="654" w:type="pct"/>
                  <w:tcBorders>
                    <w:top w:val="single" w:color="000000" w:sz="12" w:space="0"/>
                    <w:tl2br w:val="nil"/>
                    <w:tr2bl w:val="nil"/>
                  </w:tcBorders>
                  <w:vAlign w:val="center"/>
                </w:tcPr>
                <w:p w14:paraId="3BF49D0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每</w:t>
                  </w:r>
                  <w:r>
                    <w:rPr>
                      <w:rFonts w:hint="eastAsia" w:ascii="Times New Roman" w:hAnsi="Times New Roman"/>
                      <w:color w:val="auto"/>
                      <w:spacing w:val="6"/>
                      <w:sz w:val="21"/>
                      <w:highlight w:val="none"/>
                      <w:lang w:val="en-US" w:eastAsia="zh-CN"/>
                    </w:rPr>
                    <w:t>1个月</w:t>
                  </w:r>
                  <w:r>
                    <w:rPr>
                      <w:rFonts w:ascii="Times New Roman" w:hAnsi="Times New Roman" w:eastAsia="宋体"/>
                      <w:color w:val="auto"/>
                      <w:spacing w:val="6"/>
                      <w:sz w:val="21"/>
                      <w:highlight w:val="none"/>
                    </w:rPr>
                    <w:t>更</w:t>
                  </w:r>
                </w:p>
                <w:p w14:paraId="67A6F84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position w:val="1"/>
                      <w:sz w:val="21"/>
                      <w:highlight w:val="none"/>
                    </w:rPr>
                    <w:t>换</w:t>
                  </w:r>
                  <w:r>
                    <w:rPr>
                      <w:rFonts w:ascii="Times New Roman" w:hAnsi="Times New Roman" w:eastAsia="宋体" w:cs="Times New Roman"/>
                      <w:color w:val="auto"/>
                      <w:spacing w:val="-7"/>
                      <w:position w:val="1"/>
                      <w:sz w:val="21"/>
                      <w:highlight w:val="none"/>
                    </w:rPr>
                    <w:t>1</w:t>
                  </w:r>
                  <w:r>
                    <w:rPr>
                      <w:rFonts w:ascii="Times New Roman" w:hAnsi="Times New Roman" w:eastAsia="宋体"/>
                      <w:color w:val="auto"/>
                      <w:spacing w:val="-7"/>
                      <w:position w:val="1"/>
                      <w:sz w:val="21"/>
                      <w:highlight w:val="none"/>
                    </w:rPr>
                    <w:t>次</w:t>
                  </w:r>
                </w:p>
              </w:tc>
            </w:tr>
            <w:tr w14:paraId="7C7C8C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76" w:hRule="atLeast"/>
              </w:trPr>
              <w:tc>
                <w:tcPr>
                  <w:tcW w:w="5000" w:type="pct"/>
                  <w:gridSpan w:val="7"/>
                  <w:tcBorders>
                    <w:tl2br w:val="nil"/>
                    <w:tr2bl w:val="nil"/>
                  </w:tcBorders>
                  <w:vAlign w:val="center"/>
                </w:tcPr>
                <w:p w14:paraId="2B0DEAF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ascii="Times New Roman" w:hAnsi="Times New Roman" w:eastAsia="宋体"/>
                      <w:color w:val="auto"/>
                      <w:sz w:val="21"/>
                      <w:highlight w:val="none"/>
                    </w:rPr>
                  </w:pPr>
                  <w:r>
                    <w:rPr>
                      <w:rFonts w:ascii="Times New Roman" w:hAnsi="Times New Roman" w:eastAsia="宋体"/>
                      <w:color w:val="auto"/>
                      <w:spacing w:val="10"/>
                      <w:sz w:val="21"/>
                      <w:highlight w:val="none"/>
                    </w:rPr>
                    <w:t>注：</w:t>
                  </w:r>
                  <w:r>
                    <w:rPr>
                      <w:rFonts w:ascii="Times New Roman" w:hAnsi="Times New Roman" w:eastAsia="宋体" w:cs="Times New Roman"/>
                      <w:color w:val="auto"/>
                      <w:spacing w:val="10"/>
                      <w:sz w:val="21"/>
                      <w:highlight w:val="none"/>
                    </w:rPr>
                    <w:t>[1]</w:t>
                  </w:r>
                  <w:r>
                    <w:rPr>
                      <w:rFonts w:ascii="Times New Roman" w:hAnsi="Times New Roman" w:eastAsia="宋体"/>
                      <w:color w:val="auto"/>
                      <w:spacing w:val="10"/>
                      <w:sz w:val="21"/>
                      <w:highlight w:val="none"/>
                    </w:rPr>
                    <w:t>活性炭对有机废气的吸附比例取</w:t>
                  </w:r>
                  <w:r>
                    <w:rPr>
                      <w:rFonts w:ascii="Times New Roman" w:hAnsi="Times New Roman" w:eastAsia="宋体" w:cs="Times New Roman"/>
                      <w:color w:val="auto"/>
                      <w:spacing w:val="10"/>
                      <w:sz w:val="21"/>
                      <w:highlight w:val="none"/>
                    </w:rPr>
                    <w:t>3</w:t>
                  </w:r>
                  <w:r>
                    <w:rPr>
                      <w:rFonts w:ascii="Times New Roman" w:hAnsi="Times New Roman" w:eastAsia="宋体" w:cs="Times New Roman"/>
                      <w:color w:val="auto"/>
                      <w:spacing w:val="9"/>
                      <w:sz w:val="21"/>
                      <w:highlight w:val="none"/>
                    </w:rPr>
                    <w:t>0%</w:t>
                  </w:r>
                  <w:r>
                    <w:rPr>
                      <w:rFonts w:ascii="Times New Roman" w:hAnsi="Times New Roman" w:eastAsia="宋体"/>
                      <w:color w:val="auto"/>
                      <w:spacing w:val="9"/>
                      <w:sz w:val="21"/>
                      <w:highlight w:val="none"/>
                    </w:rPr>
                    <w:t>，则活性炭理论更换量</w:t>
                  </w:r>
                  <w:r>
                    <w:rPr>
                      <w:rFonts w:ascii="Times New Roman" w:hAnsi="Times New Roman" w:eastAsia="宋体" w:cs="Times New Roman"/>
                      <w:color w:val="auto"/>
                      <w:spacing w:val="9"/>
                      <w:sz w:val="21"/>
                      <w:highlight w:val="none"/>
                    </w:rPr>
                    <w:t>=</w:t>
                  </w:r>
                  <w:r>
                    <w:rPr>
                      <w:rFonts w:ascii="Times New Roman" w:hAnsi="Times New Roman" w:eastAsia="宋体"/>
                      <w:color w:val="auto"/>
                      <w:spacing w:val="9"/>
                      <w:sz w:val="21"/>
                      <w:highlight w:val="none"/>
                    </w:rPr>
                    <w:t>废气理论吸附量</w:t>
                  </w:r>
                  <w:r>
                    <w:rPr>
                      <w:rFonts w:ascii="Times New Roman" w:hAnsi="Times New Roman" w:eastAsia="宋体" w:cs="Times New Roman"/>
                      <w:color w:val="auto"/>
                      <w:spacing w:val="2"/>
                      <w:sz w:val="21"/>
                      <w:highlight w:val="none"/>
                    </w:rPr>
                    <w:t>/0.3</w:t>
                  </w:r>
                  <w:r>
                    <w:rPr>
                      <w:rFonts w:ascii="Times New Roman" w:hAnsi="Times New Roman" w:eastAsia="宋体"/>
                      <w:color w:val="auto"/>
                      <w:spacing w:val="2"/>
                      <w:sz w:val="21"/>
                      <w:highlight w:val="none"/>
                    </w:rPr>
                    <w:t>。</w:t>
                  </w:r>
                </w:p>
                <w:p w14:paraId="15A74A1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left"/>
                    <w:textAlignment w:val="auto"/>
                    <w:rPr>
                      <w:rFonts w:ascii="Times New Roman" w:hAnsi="Times New Roman" w:eastAsia="宋体"/>
                      <w:color w:val="auto"/>
                      <w:sz w:val="21"/>
                      <w:highlight w:val="none"/>
                    </w:rPr>
                  </w:pPr>
                  <w:r>
                    <w:rPr>
                      <w:rFonts w:ascii="Times New Roman" w:hAnsi="Times New Roman" w:eastAsia="宋体" w:cs="Times New Roman"/>
                      <w:color w:val="auto"/>
                      <w:spacing w:val="8"/>
                      <w:position w:val="2"/>
                      <w:sz w:val="21"/>
                      <w:highlight w:val="none"/>
                    </w:rPr>
                    <w:t>[2]</w:t>
                  </w:r>
                  <w:r>
                    <w:rPr>
                      <w:rFonts w:ascii="Times New Roman" w:hAnsi="Times New Roman" w:eastAsia="宋体"/>
                      <w:color w:val="auto"/>
                      <w:spacing w:val="8"/>
                      <w:position w:val="2"/>
                      <w:sz w:val="21"/>
                      <w:highlight w:val="none"/>
                    </w:rPr>
                    <w:t>废活性炭理论产生量</w:t>
                  </w:r>
                  <w:r>
                    <w:rPr>
                      <w:rFonts w:ascii="Times New Roman" w:hAnsi="Times New Roman" w:eastAsia="宋体" w:cs="Times New Roman"/>
                      <w:color w:val="auto"/>
                      <w:spacing w:val="8"/>
                      <w:position w:val="2"/>
                      <w:sz w:val="21"/>
                      <w:highlight w:val="none"/>
                    </w:rPr>
                    <w:t>=</w:t>
                  </w:r>
                  <w:r>
                    <w:rPr>
                      <w:rFonts w:ascii="Times New Roman" w:hAnsi="Times New Roman" w:eastAsia="宋体"/>
                      <w:color w:val="auto"/>
                      <w:spacing w:val="8"/>
                      <w:position w:val="2"/>
                      <w:sz w:val="21"/>
                      <w:highlight w:val="none"/>
                    </w:rPr>
                    <w:t>有机废气理论吸附量</w:t>
                  </w:r>
                  <w:r>
                    <w:rPr>
                      <w:rFonts w:ascii="Times New Roman" w:hAnsi="Times New Roman" w:eastAsia="宋体" w:cs="Times New Roman"/>
                      <w:color w:val="auto"/>
                      <w:spacing w:val="8"/>
                      <w:position w:val="2"/>
                      <w:sz w:val="21"/>
                      <w:highlight w:val="none"/>
                    </w:rPr>
                    <w:t>+</w:t>
                  </w:r>
                  <w:r>
                    <w:rPr>
                      <w:rFonts w:ascii="Times New Roman" w:hAnsi="Times New Roman" w:eastAsia="宋体"/>
                      <w:color w:val="auto"/>
                      <w:spacing w:val="8"/>
                      <w:position w:val="2"/>
                      <w:sz w:val="21"/>
                      <w:highlight w:val="none"/>
                    </w:rPr>
                    <w:t>活性炭填充量</w:t>
                  </w:r>
                  <w:r>
                    <w:rPr>
                      <w:rFonts w:ascii="Times New Roman" w:hAnsi="Times New Roman" w:eastAsia="宋体" w:cs="Times New Roman"/>
                      <w:color w:val="auto"/>
                      <w:spacing w:val="8"/>
                      <w:position w:val="2"/>
                      <w:sz w:val="21"/>
                      <w:highlight w:val="none"/>
                    </w:rPr>
                    <w:t>*</w:t>
                  </w:r>
                  <w:r>
                    <w:rPr>
                      <w:rFonts w:ascii="Times New Roman" w:hAnsi="Times New Roman" w:eastAsia="宋体"/>
                      <w:color w:val="auto"/>
                      <w:spacing w:val="8"/>
                      <w:position w:val="2"/>
                      <w:sz w:val="21"/>
                      <w:highlight w:val="none"/>
                    </w:rPr>
                    <w:t>每年更换次数。</w:t>
                  </w:r>
                </w:p>
              </w:tc>
            </w:tr>
          </w:tbl>
          <w:p w14:paraId="5E4DCD09">
            <w:pPr>
              <w:pStyle w:val="113"/>
              <w:spacing w:before="78" w:line="220" w:lineRule="auto"/>
              <w:rPr>
                <w:rFonts w:hint="default" w:ascii="Times New Roman" w:hAnsi="Times New Roman" w:eastAsia="宋体" w:cs="宋体"/>
                <w:color w:val="auto"/>
                <w:kern w:val="0"/>
                <w:sz w:val="24"/>
                <w:szCs w:val="20"/>
                <w:highlight w:val="none"/>
                <w:lang w:val="en-US" w:eastAsia="zh-CN" w:bidi="ar-SA"/>
              </w:rPr>
            </w:pPr>
            <w:r>
              <w:rPr>
                <w:rFonts w:hint="eastAsia" w:ascii="Times New Roman" w:hAnsi="Times New Roman" w:cs="宋体"/>
                <w:color w:val="auto"/>
                <w:kern w:val="0"/>
                <w:sz w:val="24"/>
                <w:szCs w:val="20"/>
                <w:highlight w:val="none"/>
                <w:lang w:val="en-US" w:eastAsia="zh-CN" w:bidi="ar-SA"/>
              </w:rPr>
              <w:t>*</w:t>
            </w:r>
            <w:r>
              <w:rPr>
                <w:rFonts w:hint="eastAsia" w:ascii="Times New Roman" w:hAnsi="Times New Roman" w:eastAsia="宋体" w:cs="宋体"/>
                <w:color w:val="auto"/>
                <w:kern w:val="0"/>
                <w:sz w:val="24"/>
                <w:szCs w:val="20"/>
                <w:highlight w:val="none"/>
                <w:lang w:val="zh-CN" w:eastAsia="zh-CN" w:bidi="ar-SA"/>
              </w:rPr>
              <w:t>活性炭的更换周期计算</w:t>
            </w:r>
            <w:r>
              <w:rPr>
                <w:rFonts w:hint="eastAsia" w:ascii="Times New Roman" w:hAnsi="Times New Roman" w:cs="宋体"/>
                <w:color w:val="auto"/>
                <w:kern w:val="0"/>
                <w:sz w:val="24"/>
                <w:szCs w:val="20"/>
                <w:highlight w:val="none"/>
                <w:lang w:val="en-US" w:eastAsia="zh-CN" w:bidi="ar-SA"/>
              </w:rPr>
              <w:t>如下：</w:t>
            </w:r>
          </w:p>
          <w:p w14:paraId="3F40F2A1">
            <w:pPr>
              <w:pStyle w:val="113"/>
              <w:spacing w:before="78" w:line="220" w:lineRule="auto"/>
              <w:ind w:left="1268"/>
              <w:rPr>
                <w:b/>
                <w:bCs/>
                <w:color w:val="auto"/>
                <w:spacing w:val="-1"/>
                <w:sz w:val="24"/>
                <w:szCs w:val="24"/>
                <w:highlight w:val="none"/>
              </w:rPr>
            </w:pPr>
            <w:r>
              <w:rPr>
                <w:color w:val="auto"/>
              </w:rPr>
              <w:drawing>
                <wp:inline distT="0" distB="0" distL="114300" distR="114300">
                  <wp:extent cx="1757680" cy="800100"/>
                  <wp:effectExtent l="0" t="0" r="13970" b="0"/>
                  <wp:docPr id="241" name="图片 241" descr="C:\Users\Administrator\Desktop\图\活性炭计算\微信图片_20201102093110.png微信图片_20201102093110"/>
                  <wp:cNvGraphicFramePr/>
                  <a:graphic xmlns:a="http://schemas.openxmlformats.org/drawingml/2006/main">
                    <a:graphicData uri="http://schemas.openxmlformats.org/drawingml/2006/picture">
                      <pic:pic xmlns:pic="http://schemas.openxmlformats.org/drawingml/2006/picture">
                        <pic:nvPicPr>
                          <pic:cNvPr id="241" name="图片 241" descr="C:\Users\Administrator\Desktop\图\活性炭计算\微信图片_20201102093110.png微信图片_20201102093110"/>
                          <pic:cNvPicPr/>
                        </pic:nvPicPr>
                        <pic:blipFill>
                          <a:blip r:embed="rId27"/>
                          <a:srcRect l="-314" t="-635" r="314" b="-4201"/>
                          <a:stretch>
                            <a:fillRect/>
                          </a:stretch>
                        </pic:blipFill>
                        <pic:spPr>
                          <a:xfrm>
                            <a:off x="0" y="0"/>
                            <a:ext cx="1757680" cy="800100"/>
                          </a:xfrm>
                          <a:prstGeom prst="rect">
                            <a:avLst/>
                          </a:prstGeom>
                          <a:noFill/>
                          <a:ln>
                            <a:noFill/>
                          </a:ln>
                          <a:effectLst/>
                        </pic:spPr>
                      </pic:pic>
                    </a:graphicData>
                  </a:graphic>
                </wp:inline>
              </w:drawing>
            </w:r>
          </w:p>
          <w:p w14:paraId="3AA7FEA3">
            <w:pPr>
              <w:pStyle w:val="44"/>
              <w:bidi w:val="0"/>
              <w:rPr>
                <w:rFonts w:hint="eastAsia"/>
                <w:color w:val="auto"/>
                <w:highlight w:val="none"/>
              </w:rPr>
            </w:pPr>
            <w:r>
              <w:rPr>
                <w:rFonts w:hint="eastAsia"/>
                <w:color w:val="auto"/>
                <w:highlight w:val="none"/>
              </w:rPr>
              <w:t>公式中：T—更换周期，天；</w:t>
            </w:r>
          </w:p>
          <w:p w14:paraId="1E4614B8">
            <w:pPr>
              <w:pStyle w:val="44"/>
              <w:bidi w:val="0"/>
              <w:rPr>
                <w:rFonts w:hint="eastAsia"/>
                <w:color w:val="auto"/>
                <w:highlight w:val="none"/>
              </w:rPr>
            </w:pPr>
            <w:r>
              <w:rPr>
                <w:rFonts w:hint="eastAsia"/>
                <w:color w:val="auto"/>
                <w:highlight w:val="none"/>
              </w:rPr>
              <w:t>m—活性炭的用量，kg；</w:t>
            </w:r>
          </w:p>
          <w:p w14:paraId="370158ED">
            <w:pPr>
              <w:pStyle w:val="44"/>
              <w:bidi w:val="0"/>
              <w:rPr>
                <w:rFonts w:hint="eastAsia"/>
                <w:color w:val="auto"/>
                <w:highlight w:val="none"/>
              </w:rPr>
            </w:pPr>
            <w:r>
              <w:rPr>
                <w:rFonts w:hint="eastAsia"/>
                <w:color w:val="auto"/>
                <w:highlight w:val="none"/>
              </w:rPr>
              <w:t>s—动态吸附量，%；（一般取值10%）</w:t>
            </w:r>
          </w:p>
          <w:p w14:paraId="7214285B">
            <w:pPr>
              <w:pStyle w:val="44"/>
              <w:bidi w:val="0"/>
              <w:rPr>
                <w:rFonts w:hint="eastAsia"/>
                <w:color w:val="auto"/>
                <w:highlight w:val="none"/>
              </w:rPr>
            </w:pPr>
            <w:r>
              <w:rPr>
                <w:rFonts w:hint="eastAsia"/>
                <w:color w:val="auto"/>
                <w:highlight w:val="none"/>
              </w:rPr>
              <w:t>c—活性炭削减的VOCs浓度，mg/m</w:t>
            </w:r>
            <w:r>
              <w:rPr>
                <w:rFonts w:hint="eastAsia"/>
                <w:color w:val="auto"/>
                <w:highlight w:val="none"/>
                <w:vertAlign w:val="superscript"/>
              </w:rPr>
              <w:t>3</w:t>
            </w:r>
            <w:r>
              <w:rPr>
                <w:rFonts w:hint="eastAsia"/>
                <w:color w:val="auto"/>
                <w:highlight w:val="none"/>
              </w:rPr>
              <w:t>；</w:t>
            </w:r>
          </w:p>
          <w:p w14:paraId="55AAF509">
            <w:pPr>
              <w:pStyle w:val="44"/>
              <w:bidi w:val="0"/>
              <w:rPr>
                <w:rFonts w:hint="eastAsia"/>
                <w:color w:val="auto"/>
                <w:highlight w:val="none"/>
              </w:rPr>
            </w:pPr>
            <w:r>
              <w:rPr>
                <w:rFonts w:hint="eastAsia"/>
                <w:color w:val="auto"/>
                <w:highlight w:val="none"/>
              </w:rPr>
              <w:t>Q—风量，单位m</w:t>
            </w:r>
            <w:r>
              <w:rPr>
                <w:rFonts w:hint="eastAsia"/>
                <w:color w:val="auto"/>
                <w:highlight w:val="none"/>
                <w:vertAlign w:val="superscript"/>
              </w:rPr>
              <w:t>3</w:t>
            </w:r>
            <w:r>
              <w:rPr>
                <w:rFonts w:hint="eastAsia"/>
                <w:color w:val="auto"/>
                <w:highlight w:val="none"/>
              </w:rPr>
              <w:t>/h；</w:t>
            </w:r>
          </w:p>
          <w:p w14:paraId="1D97E409">
            <w:pPr>
              <w:pStyle w:val="44"/>
              <w:bidi w:val="0"/>
              <w:rPr>
                <w:rFonts w:hint="eastAsia"/>
                <w:color w:val="auto"/>
                <w:highlight w:val="none"/>
              </w:rPr>
            </w:pPr>
            <w:r>
              <w:rPr>
                <w:rFonts w:hint="eastAsia"/>
                <w:color w:val="auto"/>
                <w:highlight w:val="none"/>
              </w:rPr>
              <w:t>t—运行时间，单位h/d。</w:t>
            </w:r>
          </w:p>
          <w:p w14:paraId="128346C2">
            <w:pPr>
              <w:pStyle w:val="44"/>
              <w:bidi w:val="0"/>
              <w:rPr>
                <w:rFonts w:hint="default" w:eastAsia="宋体"/>
                <w:color w:val="auto"/>
                <w:highlight w:val="none"/>
                <w:lang w:val="en-US" w:eastAsia="zh-CN"/>
              </w:rPr>
            </w:pPr>
            <w:r>
              <w:rPr>
                <w:rFonts w:hint="eastAsia"/>
                <w:color w:val="auto"/>
                <w:highlight w:val="none"/>
                <w:lang w:val="en-US" w:eastAsia="zh-CN"/>
              </w:rPr>
              <w:t>即本项目</w:t>
            </w:r>
            <w:r>
              <w:rPr>
                <w:rFonts w:hint="eastAsia" w:ascii="Times New Roman" w:hAnsi="Times New Roman" w:eastAsia="宋体" w:cs="宋体"/>
                <w:color w:val="auto"/>
                <w:kern w:val="0"/>
                <w:sz w:val="24"/>
                <w:szCs w:val="20"/>
                <w:highlight w:val="none"/>
                <w:lang w:val="zh-CN" w:eastAsia="zh-CN" w:bidi="ar-SA"/>
              </w:rPr>
              <w:t>活性炭的更换周期</w:t>
            </w:r>
            <w:r>
              <w:rPr>
                <w:rFonts w:hint="eastAsia" w:cs="宋体"/>
                <w:color w:val="auto"/>
                <w:kern w:val="0"/>
                <w:sz w:val="24"/>
                <w:szCs w:val="20"/>
                <w:highlight w:val="none"/>
                <w:lang w:val="en-US" w:eastAsia="zh-CN" w:bidi="ar-SA"/>
              </w:rPr>
              <w:t>=2118.3kg*10%/（35.3-8.82）mg/m</w:t>
            </w:r>
            <w:r>
              <w:rPr>
                <w:rFonts w:hint="eastAsia" w:cs="宋体"/>
                <w:color w:val="auto"/>
                <w:kern w:val="0"/>
                <w:sz w:val="24"/>
                <w:szCs w:val="20"/>
                <w:highlight w:val="none"/>
                <w:vertAlign w:val="superscript"/>
                <w:lang w:val="en-US" w:eastAsia="zh-CN" w:bidi="ar-SA"/>
              </w:rPr>
              <w:t>3</w:t>
            </w:r>
            <w:r>
              <w:rPr>
                <w:rFonts w:hint="eastAsia" w:cs="宋体"/>
                <w:color w:val="auto"/>
                <w:kern w:val="0"/>
                <w:sz w:val="24"/>
                <w:szCs w:val="20"/>
                <w:highlight w:val="none"/>
                <w:lang w:val="en-US" w:eastAsia="zh-CN" w:bidi="ar-SA"/>
              </w:rPr>
              <w:t>*10-6*10000m</w:t>
            </w:r>
            <w:r>
              <w:rPr>
                <w:rFonts w:hint="eastAsia" w:cs="宋体"/>
                <w:color w:val="auto"/>
                <w:kern w:val="0"/>
                <w:sz w:val="24"/>
                <w:szCs w:val="20"/>
                <w:highlight w:val="none"/>
                <w:vertAlign w:val="superscript"/>
                <w:lang w:val="en-US" w:eastAsia="zh-CN" w:bidi="ar-SA"/>
              </w:rPr>
              <w:t>3</w:t>
            </w:r>
            <w:r>
              <w:rPr>
                <w:rFonts w:hint="eastAsia" w:cs="宋体"/>
                <w:color w:val="auto"/>
                <w:kern w:val="0"/>
                <w:sz w:val="24"/>
                <w:szCs w:val="20"/>
                <w:highlight w:val="none"/>
                <w:lang w:val="en-US" w:eastAsia="zh-CN" w:bidi="ar-SA"/>
              </w:rPr>
              <w:t>/h*24h/d=33d；因此活性炭建议更换周期为每1个月更换1次。</w:t>
            </w:r>
          </w:p>
          <w:p w14:paraId="7B542B68">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120"/>
              <w:ind w:left="630" w:leftChars="0" w:firstLine="0" w:firstLineChars="0"/>
              <w:textAlignment w:val="auto"/>
              <w:rPr>
                <w:rFonts w:hint="eastAsia"/>
                <w:color w:val="auto"/>
                <w:highlight w:val="none"/>
                <w:lang w:val="en-US" w:eastAsia="zh-CN"/>
              </w:rPr>
            </w:pPr>
            <w:r>
              <w:rPr>
                <w:rFonts w:hint="eastAsia"/>
                <w:color w:val="auto"/>
                <w:highlight w:val="none"/>
                <w:lang w:val="en-US" w:eastAsia="zh-CN"/>
              </w:rPr>
              <w:t>项目活性炭装置与HJ 2026-2013相符性分析</w:t>
            </w:r>
          </w:p>
          <w:p w14:paraId="12079052">
            <w:pPr>
              <w:spacing w:line="146" w:lineRule="exact"/>
              <w:rPr>
                <w:color w:val="auto"/>
                <w:highlight w:val="none"/>
              </w:rPr>
            </w:pPr>
          </w:p>
          <w:tbl>
            <w:tblPr>
              <w:tblStyle w:val="84"/>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73"/>
              <w:gridCol w:w="3814"/>
              <w:gridCol w:w="2713"/>
              <w:gridCol w:w="1525"/>
            </w:tblGrid>
            <w:tr w14:paraId="5118A3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3" w:hRule="atLeast"/>
              </w:trPr>
              <w:tc>
                <w:tcPr>
                  <w:tcW w:w="489" w:type="pct"/>
                  <w:tcBorders>
                    <w:bottom w:val="single" w:color="000000" w:sz="12" w:space="0"/>
                  </w:tcBorders>
                  <w:vAlign w:val="center"/>
                </w:tcPr>
                <w:p w14:paraId="1CA1B84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序号</w:t>
                  </w:r>
                </w:p>
              </w:tc>
              <w:tc>
                <w:tcPr>
                  <w:tcW w:w="2136" w:type="pct"/>
                  <w:tcBorders>
                    <w:bottom w:val="single" w:color="000000" w:sz="12" w:space="0"/>
                  </w:tcBorders>
                  <w:vAlign w:val="center"/>
                </w:tcPr>
                <w:p w14:paraId="7E97CCE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b/>
                      <w:bCs/>
                      <w:color w:val="auto"/>
                      <w:sz w:val="21"/>
                      <w:highlight w:val="none"/>
                    </w:rPr>
                    <w:t>HJ</w:t>
                  </w:r>
                  <w:r>
                    <w:rPr>
                      <w:rFonts w:ascii="Times New Roman" w:hAnsi="Times New Roman" w:eastAsia="宋体" w:cs="Times New Roman"/>
                      <w:b/>
                      <w:bCs/>
                      <w:color w:val="auto"/>
                      <w:spacing w:val="5"/>
                      <w:sz w:val="21"/>
                      <w:highlight w:val="none"/>
                    </w:rPr>
                    <w:t xml:space="preserve"> 2026-2013</w:t>
                  </w:r>
                  <w:r>
                    <w:rPr>
                      <w:rFonts w:ascii="Times New Roman" w:hAnsi="Times New Roman" w:eastAsia="宋体"/>
                      <w:b/>
                      <w:bCs/>
                      <w:color w:val="auto"/>
                      <w:spacing w:val="5"/>
                      <w:sz w:val="21"/>
                      <w:highlight w:val="none"/>
                    </w:rPr>
                    <w:t>要求</w:t>
                  </w:r>
                </w:p>
              </w:tc>
              <w:tc>
                <w:tcPr>
                  <w:tcW w:w="1519" w:type="pct"/>
                  <w:tcBorders>
                    <w:bottom w:val="single" w:color="000000" w:sz="12" w:space="0"/>
                  </w:tcBorders>
                  <w:vAlign w:val="center"/>
                </w:tcPr>
                <w:p w14:paraId="6DF9197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本项目情况</w:t>
                  </w:r>
                </w:p>
              </w:tc>
              <w:tc>
                <w:tcPr>
                  <w:tcW w:w="854" w:type="pct"/>
                  <w:tcBorders>
                    <w:bottom w:val="single" w:color="000000" w:sz="12" w:space="0"/>
                  </w:tcBorders>
                  <w:vAlign w:val="center"/>
                </w:tcPr>
                <w:p w14:paraId="3E820B8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符合性分析</w:t>
                  </w:r>
                </w:p>
              </w:tc>
            </w:tr>
            <w:tr w14:paraId="79C39A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789" w:hRule="atLeast"/>
              </w:trPr>
              <w:tc>
                <w:tcPr>
                  <w:tcW w:w="489" w:type="pct"/>
                  <w:tcBorders>
                    <w:top w:val="single" w:color="000000" w:sz="12" w:space="0"/>
                    <w:tl2br w:val="nil"/>
                    <w:tr2bl w:val="nil"/>
                  </w:tcBorders>
                  <w:vAlign w:val="center"/>
                </w:tcPr>
                <w:p w14:paraId="6D967A0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1"/>
                      <w:sz w:val="21"/>
                      <w:szCs w:val="20"/>
                      <w:highlight w:val="none"/>
                    </w:rPr>
                    <w:t>1</w:t>
                  </w:r>
                </w:p>
              </w:tc>
              <w:tc>
                <w:tcPr>
                  <w:tcW w:w="2136" w:type="pct"/>
                  <w:tcBorders>
                    <w:top w:val="single" w:color="000000" w:sz="12" w:space="0"/>
                    <w:tl2br w:val="nil"/>
                    <w:tr2bl w:val="nil"/>
                  </w:tcBorders>
                  <w:vAlign w:val="center"/>
                </w:tcPr>
                <w:p w14:paraId="3C72EF0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auto"/>
                      <w:sz w:val="21"/>
                      <w:szCs w:val="13"/>
                      <w:highlight w:val="none"/>
                      <w:lang w:val="en-US" w:eastAsia="zh-CN"/>
                    </w:rPr>
                  </w:pPr>
                  <w:r>
                    <w:rPr>
                      <w:rFonts w:ascii="Times New Roman" w:hAnsi="Times New Roman" w:eastAsia="宋体"/>
                      <w:color w:val="auto"/>
                      <w:spacing w:val="9"/>
                      <w:sz w:val="21"/>
                      <w:highlight w:val="none"/>
                    </w:rPr>
                    <w:t>进入吸附装置的颗粒物含量宜低于</w:t>
                  </w:r>
                  <w:r>
                    <w:rPr>
                      <w:rFonts w:ascii="Times New Roman" w:hAnsi="Times New Roman" w:eastAsia="宋体" w:cs="Times New Roman"/>
                      <w:color w:val="auto"/>
                      <w:spacing w:val="1"/>
                      <w:position w:val="3"/>
                      <w:sz w:val="21"/>
                      <w:szCs w:val="20"/>
                      <w:highlight w:val="none"/>
                    </w:rPr>
                    <w:t>1</w:t>
                  </w:r>
                  <w:r>
                    <w:rPr>
                      <w:rFonts w:ascii="Times New Roman" w:hAnsi="Times New Roman" w:eastAsia="宋体" w:cs="Times New Roman"/>
                      <w:color w:val="auto"/>
                      <w:position w:val="3"/>
                      <w:sz w:val="21"/>
                      <w:szCs w:val="20"/>
                      <w:highlight w:val="none"/>
                    </w:rPr>
                    <w:t>mg</w:t>
                  </w:r>
                  <w:r>
                    <w:rPr>
                      <w:rFonts w:ascii="Times New Roman" w:hAnsi="Times New Roman" w:eastAsia="宋体" w:cs="Times New Roman"/>
                      <w:color w:val="auto"/>
                      <w:spacing w:val="1"/>
                      <w:position w:val="3"/>
                      <w:sz w:val="21"/>
                      <w:szCs w:val="20"/>
                      <w:highlight w:val="none"/>
                    </w:rPr>
                    <w:t>/m</w:t>
                  </w:r>
                  <w:r>
                    <w:rPr>
                      <w:rFonts w:hint="eastAsia" w:ascii="Times New Roman" w:hAnsi="Times New Roman" w:eastAsia="宋体" w:cs="Times New Roman"/>
                      <w:color w:val="auto"/>
                      <w:spacing w:val="1"/>
                      <w:position w:val="3"/>
                      <w:sz w:val="21"/>
                      <w:szCs w:val="20"/>
                      <w:highlight w:val="none"/>
                      <w:vertAlign w:val="superscript"/>
                      <w:lang w:val="en-US" w:eastAsia="zh-CN"/>
                    </w:rPr>
                    <w:t>3</w:t>
                  </w:r>
                </w:p>
              </w:tc>
              <w:tc>
                <w:tcPr>
                  <w:tcW w:w="1519" w:type="pct"/>
                  <w:tcBorders>
                    <w:top w:val="single" w:color="000000" w:sz="12" w:space="0"/>
                    <w:tl2br w:val="nil"/>
                    <w:tr2bl w:val="nil"/>
                  </w:tcBorders>
                  <w:vAlign w:val="center"/>
                </w:tcPr>
                <w:p w14:paraId="3244EA8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9"/>
                      <w:sz w:val="21"/>
                      <w:highlight w:val="none"/>
                    </w:rPr>
                    <w:t>本项目进入活性炭装置的废气颗粒物浓度低于</w:t>
                  </w:r>
                </w:p>
                <w:p w14:paraId="7E52ED9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13"/>
                      <w:highlight w:val="none"/>
                    </w:rPr>
                  </w:pPr>
                  <w:r>
                    <w:rPr>
                      <w:rFonts w:ascii="Times New Roman" w:hAnsi="Times New Roman" w:eastAsia="宋体" w:cs="Times New Roman"/>
                      <w:color w:val="auto"/>
                      <w:spacing w:val="1"/>
                      <w:position w:val="3"/>
                      <w:sz w:val="21"/>
                      <w:szCs w:val="20"/>
                      <w:highlight w:val="none"/>
                    </w:rPr>
                    <w:t>1</w:t>
                  </w:r>
                  <w:r>
                    <w:rPr>
                      <w:rFonts w:ascii="Times New Roman" w:hAnsi="Times New Roman" w:eastAsia="宋体" w:cs="Times New Roman"/>
                      <w:color w:val="auto"/>
                      <w:position w:val="3"/>
                      <w:sz w:val="21"/>
                      <w:szCs w:val="20"/>
                      <w:highlight w:val="none"/>
                    </w:rPr>
                    <w:t>mg</w:t>
                  </w:r>
                  <w:r>
                    <w:rPr>
                      <w:rFonts w:ascii="Times New Roman" w:hAnsi="Times New Roman" w:eastAsia="宋体" w:cs="Times New Roman"/>
                      <w:color w:val="auto"/>
                      <w:spacing w:val="1"/>
                      <w:position w:val="3"/>
                      <w:sz w:val="21"/>
                      <w:szCs w:val="20"/>
                      <w:highlight w:val="none"/>
                    </w:rPr>
                    <w:t>/m</w:t>
                  </w:r>
                  <w:r>
                    <w:rPr>
                      <w:rFonts w:hint="eastAsia" w:ascii="Times New Roman" w:hAnsi="Times New Roman" w:eastAsia="宋体" w:cs="Times New Roman"/>
                      <w:color w:val="auto"/>
                      <w:spacing w:val="1"/>
                      <w:position w:val="3"/>
                      <w:sz w:val="21"/>
                      <w:szCs w:val="20"/>
                      <w:highlight w:val="none"/>
                      <w:vertAlign w:val="superscript"/>
                      <w:lang w:val="en-US" w:eastAsia="zh-CN"/>
                    </w:rPr>
                    <w:t>3</w:t>
                  </w:r>
                </w:p>
              </w:tc>
              <w:tc>
                <w:tcPr>
                  <w:tcW w:w="854" w:type="pct"/>
                  <w:tcBorders>
                    <w:top w:val="single" w:color="000000" w:sz="12" w:space="0"/>
                    <w:tl2br w:val="nil"/>
                    <w:tr2bl w:val="nil"/>
                  </w:tcBorders>
                  <w:vAlign w:val="center"/>
                </w:tcPr>
                <w:p w14:paraId="4447D3C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符合</w:t>
                  </w:r>
                </w:p>
              </w:tc>
            </w:tr>
            <w:tr w14:paraId="6F6B52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49" w:hRule="atLeast"/>
              </w:trPr>
              <w:tc>
                <w:tcPr>
                  <w:tcW w:w="489" w:type="pct"/>
                  <w:tcBorders>
                    <w:tl2br w:val="nil"/>
                    <w:tr2bl w:val="nil"/>
                  </w:tcBorders>
                  <w:vAlign w:val="center"/>
                </w:tcPr>
                <w:p w14:paraId="64039AF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1"/>
                      <w:sz w:val="21"/>
                      <w:szCs w:val="20"/>
                      <w:highlight w:val="none"/>
                    </w:rPr>
                    <w:t>2</w:t>
                  </w:r>
                </w:p>
              </w:tc>
              <w:tc>
                <w:tcPr>
                  <w:tcW w:w="2136" w:type="pct"/>
                  <w:tcBorders>
                    <w:tl2br w:val="nil"/>
                    <w:tr2bl w:val="nil"/>
                  </w:tcBorders>
                  <w:vAlign w:val="center"/>
                </w:tcPr>
                <w:p w14:paraId="78CD8CD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9"/>
                      <w:sz w:val="21"/>
                      <w:highlight w:val="none"/>
                    </w:rPr>
                    <w:t>进入吸附装置的废气温度宜低于</w:t>
                  </w:r>
                </w:p>
                <w:p w14:paraId="39E49CF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color w:val="auto"/>
                      <w:spacing w:val="5"/>
                      <w:position w:val="1"/>
                      <w:sz w:val="21"/>
                      <w:highlight w:val="none"/>
                    </w:rPr>
                    <w:t>40</w:t>
                  </w:r>
                  <w:r>
                    <w:rPr>
                      <w:rFonts w:ascii="Times New Roman" w:hAnsi="Times New Roman" w:eastAsia="宋体"/>
                      <w:color w:val="auto"/>
                      <w:spacing w:val="5"/>
                      <w:position w:val="1"/>
                      <w:sz w:val="21"/>
                      <w:highlight w:val="none"/>
                    </w:rPr>
                    <w:t>℃</w:t>
                  </w:r>
                </w:p>
              </w:tc>
              <w:tc>
                <w:tcPr>
                  <w:tcW w:w="1519" w:type="pct"/>
                  <w:tcBorders>
                    <w:tl2br w:val="nil"/>
                    <w:tr2bl w:val="nil"/>
                  </w:tcBorders>
                  <w:vAlign w:val="center"/>
                </w:tcPr>
                <w:p w14:paraId="11C2853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9"/>
                      <w:sz w:val="21"/>
                      <w:highlight w:val="none"/>
                    </w:rPr>
                    <w:t>本项目进入活性炭装置的</w:t>
                  </w:r>
                  <w:r>
                    <w:rPr>
                      <w:rFonts w:ascii="Times New Roman" w:hAnsi="Times New Roman" w:eastAsia="宋体"/>
                      <w:color w:val="auto"/>
                      <w:spacing w:val="13"/>
                      <w:sz w:val="21"/>
                      <w:highlight w:val="none"/>
                    </w:rPr>
                    <w:t>废气温度均低于</w:t>
                  </w:r>
                  <w:r>
                    <w:rPr>
                      <w:rFonts w:ascii="Times New Roman" w:hAnsi="Times New Roman" w:eastAsia="宋体" w:cs="Times New Roman"/>
                      <w:color w:val="auto"/>
                      <w:spacing w:val="13"/>
                      <w:sz w:val="21"/>
                      <w:highlight w:val="none"/>
                    </w:rPr>
                    <w:t>40</w:t>
                  </w:r>
                  <w:r>
                    <w:rPr>
                      <w:rFonts w:ascii="Times New Roman" w:hAnsi="Times New Roman" w:eastAsia="宋体"/>
                      <w:color w:val="auto"/>
                      <w:spacing w:val="13"/>
                      <w:sz w:val="21"/>
                      <w:highlight w:val="none"/>
                    </w:rPr>
                    <w:t>℃</w:t>
                  </w:r>
                </w:p>
              </w:tc>
              <w:tc>
                <w:tcPr>
                  <w:tcW w:w="854" w:type="pct"/>
                  <w:tcBorders>
                    <w:tl2br w:val="nil"/>
                    <w:tr2bl w:val="nil"/>
                  </w:tcBorders>
                  <w:vAlign w:val="center"/>
                </w:tcPr>
                <w:p w14:paraId="16EA57C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符合</w:t>
                  </w:r>
                </w:p>
              </w:tc>
            </w:tr>
            <w:tr w14:paraId="664D54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74" w:hRule="atLeast"/>
              </w:trPr>
              <w:tc>
                <w:tcPr>
                  <w:tcW w:w="489" w:type="pct"/>
                  <w:tcBorders>
                    <w:tl2br w:val="nil"/>
                    <w:tr2bl w:val="nil"/>
                  </w:tcBorders>
                  <w:vAlign w:val="center"/>
                </w:tcPr>
                <w:p w14:paraId="6F8E0BC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3</w:t>
                  </w:r>
                </w:p>
              </w:tc>
              <w:tc>
                <w:tcPr>
                  <w:tcW w:w="2136" w:type="pct"/>
                  <w:tcBorders>
                    <w:tl2br w:val="nil"/>
                    <w:tr2bl w:val="nil"/>
                  </w:tcBorders>
                  <w:vAlign w:val="center"/>
                </w:tcPr>
                <w:p w14:paraId="600E323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固定床吸附装置吸附层的气体流速</w:t>
                  </w:r>
                  <w:r>
                    <w:rPr>
                      <w:rFonts w:ascii="Times New Roman" w:hAnsi="Times New Roman" w:eastAsia="宋体"/>
                      <w:color w:val="auto"/>
                      <w:spacing w:val="5"/>
                      <w:sz w:val="21"/>
                      <w:highlight w:val="none"/>
                    </w:rPr>
                    <w:t>应根据吸附剂的形态确定。采用颗粒</w:t>
                  </w:r>
                  <w:r>
                    <w:rPr>
                      <w:rFonts w:ascii="Times New Roman" w:hAnsi="Times New Roman" w:eastAsia="宋体"/>
                      <w:color w:val="auto"/>
                      <w:spacing w:val="9"/>
                      <w:sz w:val="21"/>
                      <w:highlight w:val="none"/>
                    </w:rPr>
                    <w:t>状吸附剂时，气体流速宜低于</w:t>
                  </w:r>
                </w:p>
                <w:p w14:paraId="009273E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0.6m/s</w:t>
                  </w:r>
                </w:p>
              </w:tc>
              <w:tc>
                <w:tcPr>
                  <w:tcW w:w="1519" w:type="pct"/>
                  <w:tcBorders>
                    <w:tl2br w:val="nil"/>
                    <w:tr2bl w:val="nil"/>
                  </w:tcBorders>
                  <w:vAlign w:val="center"/>
                </w:tcPr>
                <w:p w14:paraId="2EFDED8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highlight w:val="none"/>
                    </w:rPr>
                  </w:pPr>
                  <w:r>
                    <w:rPr>
                      <w:rFonts w:ascii="Times New Roman" w:hAnsi="Times New Roman" w:eastAsia="宋体"/>
                      <w:color w:val="auto"/>
                      <w:spacing w:val="9"/>
                      <w:sz w:val="21"/>
                      <w:highlight w:val="none"/>
                    </w:rPr>
                    <w:t>本项目活性炭装置气体流</w:t>
                  </w:r>
                  <w:r>
                    <w:rPr>
                      <w:rFonts w:ascii="Times New Roman" w:hAnsi="Times New Roman" w:eastAsia="宋体"/>
                      <w:color w:val="auto"/>
                      <w:spacing w:val="4"/>
                      <w:sz w:val="21"/>
                      <w:highlight w:val="none"/>
                    </w:rPr>
                    <w:t>速低于</w:t>
                  </w:r>
                  <w:r>
                    <w:rPr>
                      <w:rFonts w:ascii="Times New Roman" w:hAnsi="Times New Roman" w:eastAsia="宋体" w:cs="Times New Roman"/>
                      <w:color w:val="auto"/>
                      <w:spacing w:val="4"/>
                      <w:sz w:val="21"/>
                      <w:highlight w:val="none"/>
                    </w:rPr>
                    <w:t>0.6m/s</w:t>
                  </w:r>
                </w:p>
              </w:tc>
              <w:tc>
                <w:tcPr>
                  <w:tcW w:w="854" w:type="pct"/>
                  <w:tcBorders>
                    <w:tl2br w:val="nil"/>
                    <w:tr2bl w:val="nil"/>
                  </w:tcBorders>
                  <w:vAlign w:val="center"/>
                </w:tcPr>
                <w:p w14:paraId="0D06303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符合</w:t>
                  </w:r>
                </w:p>
              </w:tc>
            </w:tr>
          </w:tbl>
          <w:p w14:paraId="2244F92C">
            <w:pPr>
              <w:pStyle w:val="44"/>
              <w:bidi w:val="0"/>
              <w:rPr>
                <w:rFonts w:hint="eastAsia"/>
                <w:color w:val="auto"/>
                <w:highlight w:val="none"/>
                <w:lang w:val="en-US" w:eastAsia="zh-CN"/>
              </w:rPr>
            </w:pPr>
            <w:r>
              <w:rPr>
                <w:rFonts w:hint="eastAsia"/>
                <w:color w:val="auto"/>
                <w:highlight w:val="none"/>
                <w:lang w:val="en-US" w:eastAsia="zh-CN"/>
              </w:rPr>
              <w:t>由上表可见，本项目活性炭装置与《吸附法工业有机废气治理工程技术规范》（HJ 2026-2013）中的要求相符。此外，吸附法VOCs治理技术属于《汽车工业污染防治可行技术指南（HJ 1181-2021）》中列出的可行技术，处理措施可行。</w:t>
            </w:r>
          </w:p>
          <w:p w14:paraId="18310B70">
            <w:pPr>
              <w:pStyle w:val="44"/>
              <w:bidi w:val="0"/>
              <w:rPr>
                <w:rFonts w:hint="eastAsia"/>
                <w:color w:val="auto"/>
                <w:highlight w:val="none"/>
                <w:lang w:val="en-US" w:eastAsia="zh-CN"/>
              </w:rPr>
            </w:pPr>
            <w:r>
              <w:rPr>
                <w:rFonts w:hint="eastAsia"/>
                <w:color w:val="auto"/>
                <w:highlight w:val="none"/>
                <w:lang w:val="en-US" w:eastAsia="zh-CN"/>
              </w:rPr>
              <w:t>根据《排污许可证申请与核发技术规范汽车制造业》（HJ971-2018）中表25汽车制造业废气污染治理推荐可行技术清单，本项目焊接工序产生的废气采用“布袋除尘器”处理属于推荐可行技术。</w:t>
            </w:r>
          </w:p>
          <w:p w14:paraId="5B7985F4">
            <w:pPr>
              <w:pStyle w:val="5"/>
              <w:keepNext/>
              <w:keepLines/>
              <w:pageBreakBefore w:val="0"/>
              <w:widowControl w:val="0"/>
              <w:numPr>
                <w:ilvl w:val="3"/>
                <w:numId w:val="14"/>
              </w:numPr>
              <w:tabs>
                <w:tab w:val="left" w:pos="0"/>
              </w:tabs>
              <w:kinsoku/>
              <w:wordWrap/>
              <w:overflowPunct/>
              <w:topLinePunct w:val="0"/>
              <w:autoSpaceDE/>
              <w:autoSpaceDN/>
              <w:bidi w:val="0"/>
              <w:adjustRightInd/>
              <w:snapToGrid/>
              <w:spacing w:before="157" w:beforeLines="50"/>
              <w:ind w:left="862" w:leftChars="0" w:hanging="862" w:firstLineChars="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无组织废气防治措施</w:t>
            </w:r>
          </w:p>
          <w:p w14:paraId="1585C834">
            <w:pPr>
              <w:pStyle w:val="44"/>
              <w:bidi w:val="0"/>
              <w:rPr>
                <w:rFonts w:hint="eastAsia"/>
                <w:color w:val="auto"/>
                <w:highlight w:val="none"/>
              </w:rPr>
            </w:pPr>
            <w:r>
              <w:rPr>
                <w:rFonts w:hint="eastAsia"/>
                <w:color w:val="auto"/>
                <w:highlight w:val="none"/>
              </w:rPr>
              <w:t>建设项目无组织排放的废气主要是未捕集的含尘废气、有机废气等。建设单位拟采取如下措施，以减少无组织挥发量与排放浓度：</w:t>
            </w:r>
          </w:p>
          <w:p w14:paraId="48571998">
            <w:pPr>
              <w:pStyle w:val="44"/>
              <w:bidi w:val="0"/>
              <w:rPr>
                <w:rFonts w:hint="eastAsia" w:eastAsia="宋体"/>
                <w:color w:val="auto"/>
                <w:highlight w:val="none"/>
                <w:lang w:eastAsia="zh-CN"/>
              </w:rPr>
            </w:pPr>
            <w:r>
              <w:rPr>
                <w:rFonts w:hint="eastAsia"/>
                <w:color w:val="auto"/>
                <w:highlight w:val="none"/>
              </w:rPr>
              <w:t>（1）在装卸过程中应轻装轻卸，在允许的条件下可在室内进行装卸，加强车间吸尘范围及设备吸尘效率，使物料装卸及项目生产运营过程中产生的无组织废气挥发量降到最低</w:t>
            </w:r>
            <w:r>
              <w:rPr>
                <w:rFonts w:hint="eastAsia"/>
                <w:color w:val="auto"/>
                <w:highlight w:val="none"/>
                <w:lang w:eastAsia="zh-CN"/>
              </w:rPr>
              <w:t>；</w:t>
            </w:r>
          </w:p>
          <w:p w14:paraId="68F1197B">
            <w:pPr>
              <w:pStyle w:val="44"/>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）合理布置车间，加强设备管理，将产生无组织废气的产生源布置在远离厂界的地方，以减少无组织废气对厂界周围环境的影响；</w:t>
            </w:r>
          </w:p>
          <w:p w14:paraId="577B6CC7">
            <w:pPr>
              <w:pStyle w:val="44"/>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3</w:t>
            </w:r>
            <w:r>
              <w:rPr>
                <w:rFonts w:hint="eastAsia"/>
                <w:color w:val="auto"/>
                <w:highlight w:val="none"/>
                <w:lang w:eastAsia="zh-CN"/>
              </w:rPr>
              <w:t>）加强对操作工的培训和管理，确保废气的捕捉率，以减少人为造成的废气无组织排放；</w:t>
            </w:r>
          </w:p>
          <w:p w14:paraId="2E92FA27">
            <w:pPr>
              <w:pStyle w:val="44"/>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4</w:t>
            </w:r>
            <w:r>
              <w:rPr>
                <w:rFonts w:hint="eastAsia"/>
                <w:color w:val="auto"/>
                <w:highlight w:val="none"/>
                <w:lang w:eastAsia="zh-CN"/>
              </w:rPr>
              <w:t>）除尘器卸灰口应采取遮挡等抑尘措施，除尘灰不得直接卸落到地面。除尘灰采取袋装、罐装等密闭措施收集、存放和运输；</w:t>
            </w:r>
          </w:p>
          <w:p w14:paraId="2CE387DB">
            <w:pPr>
              <w:pStyle w:val="44"/>
              <w:bidi w:val="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rFonts w:hint="eastAsia"/>
                <w:color w:val="auto"/>
                <w:highlight w:val="none"/>
                <w:lang w:val="en-US" w:eastAsia="zh-CN"/>
              </w:rPr>
              <w:t>废气产生量大的工序如：电泳、焊接等</w:t>
            </w:r>
            <w:r>
              <w:rPr>
                <w:rFonts w:hint="eastAsia"/>
                <w:color w:val="auto"/>
                <w:highlight w:val="none"/>
                <w:lang w:eastAsia="zh-CN"/>
              </w:rPr>
              <w:t>工序应在封闭空间内操作，废气收集至除尘设施；未在封闭空间内操作，应采用固定式、移动式集气设备，并配备除尘设施。</w:t>
            </w:r>
          </w:p>
          <w:p w14:paraId="59295817">
            <w:pPr>
              <w:pStyle w:val="44"/>
              <w:bidi w:val="0"/>
              <w:jc w:val="both"/>
              <w:rPr>
                <w:rFonts w:hint="eastAsia"/>
                <w:color w:val="auto"/>
                <w:highlight w:val="none"/>
                <w:lang w:eastAsia="zh-CN"/>
              </w:rPr>
            </w:pPr>
            <w:r>
              <w:rPr>
                <w:rFonts w:hint="eastAsia"/>
                <w:color w:val="auto"/>
                <w:highlight w:val="none"/>
                <w:lang w:eastAsia="zh-CN"/>
              </w:rPr>
              <w:t>通过以上措施，可减少无组织废气的排放，无组织排放废气能够满足相应的排放标准要求，对周围大气环境的影响较小。</w:t>
            </w:r>
          </w:p>
          <w:p w14:paraId="6725FDE7">
            <w:pPr>
              <w:pStyle w:val="5"/>
              <w:keepNext/>
              <w:keepLines/>
              <w:pageBreakBefore w:val="0"/>
              <w:widowControl w:val="0"/>
              <w:numPr>
                <w:ilvl w:val="3"/>
                <w:numId w:val="14"/>
              </w:numPr>
              <w:tabs>
                <w:tab w:val="left" w:pos="0"/>
              </w:tabs>
              <w:kinsoku/>
              <w:wordWrap/>
              <w:overflowPunct/>
              <w:topLinePunct w:val="0"/>
              <w:autoSpaceDE/>
              <w:autoSpaceDN/>
              <w:bidi w:val="0"/>
              <w:adjustRightInd/>
              <w:snapToGrid/>
              <w:spacing w:before="157" w:beforeLines="50"/>
              <w:ind w:left="862" w:leftChars="0" w:hanging="862" w:firstLineChars="0"/>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非正常排放</w:t>
            </w:r>
            <w:r>
              <w:rPr>
                <w:rFonts w:hint="default" w:ascii="Times New Roman" w:hAnsi="Times New Roman" w:eastAsia="宋体" w:cs="Times New Roman"/>
                <w:color w:val="auto"/>
                <w:highlight w:val="none"/>
                <w:lang w:val="en-US" w:eastAsia="zh-CN"/>
              </w:rPr>
              <w:t>防治措施</w:t>
            </w:r>
          </w:p>
          <w:p w14:paraId="4BE38725">
            <w:pPr>
              <w:pStyle w:val="44"/>
              <w:keepNext w:val="0"/>
              <w:keepLines w:val="0"/>
              <w:pageBreakBefore w:val="0"/>
              <w:widowControl w:val="0"/>
              <w:kinsoku/>
              <w:wordWrap/>
              <w:overflowPunct/>
              <w:topLinePunct w:val="0"/>
              <w:autoSpaceDE w:val="0"/>
              <w:autoSpaceDN w:val="0"/>
              <w:bidi w:val="0"/>
              <w:adjustRightInd/>
              <w:snapToGrid/>
              <w:jc w:val="both"/>
              <w:textAlignment w:val="auto"/>
              <w:rPr>
                <w:rFonts w:hint="eastAsia"/>
                <w:color w:val="auto"/>
                <w:highlight w:val="none"/>
                <w:lang w:eastAsia="zh-CN"/>
              </w:rPr>
            </w:pPr>
            <w:r>
              <w:rPr>
                <w:rFonts w:hint="eastAsia"/>
                <w:color w:val="auto"/>
                <w:highlight w:val="none"/>
                <w:lang w:eastAsia="zh-CN"/>
              </w:rPr>
              <w:t>防止废气非正常工况排放，企业必须加强环保设施运行管理，定期检修，确保设备效率正常运行，在设备停止运行或出现故障时，产生废气的工序也必须相应停止运行。为严防废气非正常排放，应采取以下措施确保废气达标排放：</w:t>
            </w:r>
          </w:p>
          <w:p w14:paraId="1E82B28B">
            <w:pPr>
              <w:pStyle w:val="44"/>
              <w:keepNext w:val="0"/>
              <w:keepLines w:val="0"/>
              <w:pageBreakBefore w:val="0"/>
              <w:widowControl w:val="0"/>
              <w:kinsoku/>
              <w:wordWrap/>
              <w:overflowPunct/>
              <w:topLinePunct w:val="0"/>
              <w:autoSpaceDE w:val="0"/>
              <w:autoSpaceDN w:val="0"/>
              <w:bidi w:val="0"/>
              <w:adjustRightInd/>
              <w:snapToGrid/>
              <w:jc w:val="both"/>
              <w:textAlignment w:val="auto"/>
              <w:rPr>
                <w:rFonts w:hint="eastAsia"/>
                <w:color w:val="auto"/>
                <w:highlight w:val="none"/>
                <w:lang w:eastAsia="zh-CN"/>
              </w:rPr>
            </w:pPr>
            <w:r>
              <w:rPr>
                <w:rFonts w:hint="eastAsia"/>
                <w:color w:val="auto"/>
                <w:highlight w:val="none"/>
                <w:lang w:eastAsia="zh-CN"/>
              </w:rPr>
              <w:t>①安排专人负责设备的日常维护和管理，每隔固定时间检查、汇报情况，及时发现废气处理设备的隐患，确保设备处理效率正常运行；</w:t>
            </w:r>
          </w:p>
          <w:p w14:paraId="6AD7CDFE">
            <w:pPr>
              <w:pStyle w:val="44"/>
              <w:keepNext w:val="0"/>
              <w:keepLines w:val="0"/>
              <w:pageBreakBefore w:val="0"/>
              <w:widowControl w:val="0"/>
              <w:kinsoku/>
              <w:wordWrap/>
              <w:overflowPunct/>
              <w:topLinePunct w:val="0"/>
              <w:autoSpaceDE w:val="0"/>
              <w:autoSpaceDN w:val="0"/>
              <w:bidi w:val="0"/>
              <w:adjustRightInd/>
              <w:snapToGrid/>
              <w:jc w:val="both"/>
              <w:textAlignment w:val="auto"/>
              <w:rPr>
                <w:rFonts w:hint="eastAsia"/>
                <w:color w:val="auto"/>
                <w:highlight w:val="none"/>
                <w:lang w:eastAsia="zh-CN"/>
              </w:rPr>
            </w:pPr>
            <w:r>
              <w:rPr>
                <w:rFonts w:hint="eastAsia"/>
                <w:color w:val="auto"/>
                <w:highlight w:val="none"/>
                <w:lang w:eastAsia="zh-CN"/>
              </w:rPr>
              <w:t>②建立健全的环保管理机构，对环保管理人员和技术人员进行岗位培训，委托具有专业资质的环境检测单位对项目排放的污染物进行定期检测；</w:t>
            </w:r>
          </w:p>
          <w:p w14:paraId="5D9DFEFF">
            <w:pPr>
              <w:pStyle w:val="44"/>
              <w:keepNext w:val="0"/>
              <w:keepLines w:val="0"/>
              <w:pageBreakBefore w:val="0"/>
              <w:widowControl w:val="0"/>
              <w:kinsoku/>
              <w:wordWrap/>
              <w:overflowPunct/>
              <w:topLinePunct w:val="0"/>
              <w:autoSpaceDE w:val="0"/>
              <w:autoSpaceDN w:val="0"/>
              <w:bidi w:val="0"/>
              <w:adjustRightInd/>
              <w:snapToGrid/>
              <w:jc w:val="both"/>
              <w:textAlignment w:val="auto"/>
              <w:rPr>
                <w:rFonts w:hint="eastAsia"/>
                <w:color w:val="auto"/>
                <w:highlight w:val="none"/>
                <w:lang w:eastAsia="zh-CN"/>
              </w:rPr>
            </w:pPr>
            <w:r>
              <w:rPr>
                <w:rFonts w:hint="eastAsia"/>
                <w:color w:val="auto"/>
                <w:highlight w:val="none"/>
                <w:lang w:eastAsia="zh-CN"/>
              </w:rPr>
              <w:t>③应定期维护、检修环保设施运行装置，以保持设备的净化能力和净化容量。</w:t>
            </w:r>
          </w:p>
          <w:p w14:paraId="4D998020">
            <w:pPr>
              <w:pStyle w:val="44"/>
              <w:keepNext w:val="0"/>
              <w:keepLines w:val="0"/>
              <w:pageBreakBefore w:val="0"/>
              <w:widowControl w:val="0"/>
              <w:kinsoku/>
              <w:wordWrap/>
              <w:overflowPunct/>
              <w:topLinePunct w:val="0"/>
              <w:autoSpaceDE w:val="0"/>
              <w:autoSpaceDN w:val="0"/>
              <w:bidi w:val="0"/>
              <w:adjustRightInd/>
              <w:snapToGrid/>
              <w:jc w:val="both"/>
              <w:textAlignment w:val="auto"/>
              <w:rPr>
                <w:rFonts w:hint="eastAsia"/>
                <w:color w:val="auto"/>
                <w:highlight w:val="none"/>
                <w:lang w:eastAsia="zh-CN"/>
              </w:rPr>
            </w:pPr>
            <w:r>
              <w:rPr>
                <w:rFonts w:hint="eastAsia"/>
                <w:color w:val="auto"/>
                <w:highlight w:val="none"/>
                <w:lang w:eastAsia="zh-CN"/>
              </w:rPr>
              <w:t>综上，项目在采取上述非正常排放防范措施后，非正常排放发生频率较低，非正常工况可及时得到处理，因此本项目废气非正常排放对周边大气环境影响较小。当非正常排放时，废气将超标排放，因此建设单位须加强管理，并采取必要的防范措施，杜绝此类事件发生。</w:t>
            </w:r>
          </w:p>
          <w:p w14:paraId="08C14AEE">
            <w:pPr>
              <w:pStyle w:val="4"/>
              <w:numPr>
                <w:ilvl w:val="2"/>
                <w:numId w:val="14"/>
              </w:numPr>
              <w:tabs>
                <w:tab w:val="left" w:pos="0"/>
              </w:tabs>
              <w:bidi w:val="0"/>
              <w:ind w:left="720" w:leftChars="0" w:hanging="720" w:firstLineChars="0"/>
              <w:rPr>
                <w:rFonts w:hint="default" w:ascii="Times New Roman" w:hAnsi="Times New Roman" w:eastAsia="宋体" w:cs="宋体"/>
                <w:color w:val="auto"/>
                <w:highlight w:val="none"/>
                <w:lang w:val="en-US" w:eastAsia="zh-CN"/>
              </w:rPr>
            </w:pPr>
            <w:r>
              <w:rPr>
                <w:rFonts w:hint="eastAsia"/>
                <w:color w:val="auto"/>
                <w:highlight w:val="none"/>
                <w:lang w:val="en-US" w:eastAsia="zh-CN"/>
              </w:rPr>
              <w:t>废气自行监测计划</w:t>
            </w:r>
          </w:p>
          <w:p w14:paraId="3DBA7EC8">
            <w:pPr>
              <w:pStyle w:val="44"/>
              <w:bidi w:val="0"/>
              <w:jc w:val="both"/>
              <w:rPr>
                <w:rFonts w:hint="eastAsia"/>
                <w:color w:val="auto"/>
                <w:highlight w:val="none"/>
                <w:lang w:eastAsia="zh-CN"/>
              </w:rPr>
            </w:pPr>
            <w:r>
              <w:rPr>
                <w:rFonts w:hint="eastAsia"/>
                <w:color w:val="auto"/>
                <w:highlight w:val="none"/>
                <w:lang w:eastAsia="zh-CN"/>
              </w:rPr>
              <w:t>根据《排污单位自行监测技术指南涂装》（HJ1086-2020）中表2、表3中监测要求，项目自行监测计划见下表。</w:t>
            </w:r>
          </w:p>
          <w:p w14:paraId="5C9929C0">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120"/>
              <w:ind w:left="630" w:leftChars="0" w:firstLine="0" w:firstLineChars="0"/>
              <w:textAlignment w:val="auto"/>
              <w:rPr>
                <w:rFonts w:hint="eastAsia"/>
                <w:color w:val="auto"/>
                <w:highlight w:val="none"/>
                <w:lang w:val="en-US" w:eastAsia="zh-CN"/>
              </w:rPr>
            </w:pPr>
            <w:r>
              <w:rPr>
                <w:rFonts w:hint="eastAsia"/>
                <w:color w:val="auto"/>
                <w:highlight w:val="none"/>
                <w:lang w:val="en-US" w:eastAsia="zh-CN"/>
              </w:rPr>
              <w:t xml:space="preserve"> 项目废气监测要求一览表</w:t>
            </w:r>
          </w:p>
          <w:tbl>
            <w:tblPr>
              <w:tblStyle w:val="84"/>
              <w:tblW w:w="4998"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52"/>
              <w:gridCol w:w="1356"/>
              <w:gridCol w:w="1367"/>
              <w:gridCol w:w="1581"/>
              <w:gridCol w:w="1340"/>
              <w:gridCol w:w="1929"/>
            </w:tblGrid>
            <w:tr w14:paraId="45F130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1" w:hRule="atLeast"/>
              </w:trPr>
              <w:tc>
                <w:tcPr>
                  <w:tcW w:w="757" w:type="pct"/>
                  <w:vMerge w:val="restart"/>
                  <w:tcBorders>
                    <w:tl2br w:val="nil"/>
                    <w:tr2bl w:val="nil"/>
                  </w:tcBorders>
                  <w:vAlign w:val="center"/>
                </w:tcPr>
                <w:p w14:paraId="4110DD82">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排气筒编号</w:t>
                  </w:r>
                </w:p>
              </w:tc>
              <w:tc>
                <w:tcPr>
                  <w:tcW w:w="759" w:type="pct"/>
                  <w:vMerge w:val="restart"/>
                  <w:tcBorders>
                    <w:tl2br w:val="nil"/>
                    <w:tr2bl w:val="nil"/>
                  </w:tcBorders>
                  <w:vAlign w:val="center"/>
                </w:tcPr>
                <w:p w14:paraId="075CC92D">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生产工序</w:t>
                  </w:r>
                </w:p>
              </w:tc>
              <w:tc>
                <w:tcPr>
                  <w:tcW w:w="765" w:type="pct"/>
                  <w:vMerge w:val="restart"/>
                  <w:tcBorders>
                    <w:tl2br w:val="nil"/>
                    <w:tr2bl w:val="nil"/>
                  </w:tcBorders>
                  <w:vAlign w:val="center"/>
                </w:tcPr>
                <w:p w14:paraId="49228447">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监测点位</w:t>
                  </w:r>
                </w:p>
              </w:tc>
              <w:tc>
                <w:tcPr>
                  <w:tcW w:w="885" w:type="pct"/>
                  <w:vMerge w:val="restart"/>
                  <w:tcBorders>
                    <w:tl2br w:val="nil"/>
                    <w:tr2bl w:val="nil"/>
                  </w:tcBorders>
                  <w:vAlign w:val="center"/>
                </w:tcPr>
                <w:p w14:paraId="6C9BE990">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监测指标</w:t>
                  </w:r>
                </w:p>
              </w:tc>
              <w:tc>
                <w:tcPr>
                  <w:tcW w:w="750" w:type="pct"/>
                  <w:tcBorders>
                    <w:tl2br w:val="nil"/>
                    <w:tr2bl w:val="nil"/>
                  </w:tcBorders>
                  <w:vAlign w:val="center"/>
                </w:tcPr>
                <w:p w14:paraId="73E0DD76">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监测频次</w:t>
                  </w:r>
                </w:p>
              </w:tc>
              <w:tc>
                <w:tcPr>
                  <w:tcW w:w="1080" w:type="pct"/>
                  <w:vMerge w:val="restart"/>
                  <w:tcBorders>
                    <w:tl2br w:val="nil"/>
                    <w:tr2bl w:val="nil"/>
                  </w:tcBorders>
                  <w:vAlign w:val="center"/>
                </w:tcPr>
                <w:p w14:paraId="0BFDBA87">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执行标准</w:t>
                  </w:r>
                </w:p>
              </w:tc>
            </w:tr>
            <w:tr w14:paraId="68EC7E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63" w:hRule="atLeast"/>
              </w:trPr>
              <w:tc>
                <w:tcPr>
                  <w:tcW w:w="757" w:type="pct"/>
                  <w:vMerge w:val="continue"/>
                  <w:tcBorders>
                    <w:tl2br w:val="nil"/>
                    <w:tr2bl w:val="nil"/>
                  </w:tcBorders>
                  <w:vAlign w:val="center"/>
                </w:tcPr>
                <w:p w14:paraId="6AB8952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p>
              </w:tc>
              <w:tc>
                <w:tcPr>
                  <w:tcW w:w="759" w:type="pct"/>
                  <w:vMerge w:val="continue"/>
                  <w:tcBorders>
                    <w:tl2br w:val="nil"/>
                    <w:tr2bl w:val="nil"/>
                  </w:tcBorders>
                  <w:vAlign w:val="center"/>
                </w:tcPr>
                <w:p w14:paraId="125DB7A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p>
              </w:tc>
              <w:tc>
                <w:tcPr>
                  <w:tcW w:w="765" w:type="pct"/>
                  <w:vMerge w:val="continue"/>
                  <w:tcBorders>
                    <w:tl2br w:val="nil"/>
                    <w:tr2bl w:val="nil"/>
                  </w:tcBorders>
                  <w:vAlign w:val="center"/>
                </w:tcPr>
                <w:p w14:paraId="7A072BC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p>
              </w:tc>
              <w:tc>
                <w:tcPr>
                  <w:tcW w:w="885" w:type="pct"/>
                  <w:vMerge w:val="continue"/>
                  <w:tcBorders>
                    <w:tl2br w:val="nil"/>
                    <w:tr2bl w:val="nil"/>
                  </w:tcBorders>
                  <w:vAlign w:val="center"/>
                </w:tcPr>
                <w:p w14:paraId="6795A8A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p>
              </w:tc>
              <w:tc>
                <w:tcPr>
                  <w:tcW w:w="750" w:type="pct"/>
                  <w:tcBorders>
                    <w:tl2br w:val="nil"/>
                    <w:tr2bl w:val="nil"/>
                  </w:tcBorders>
                  <w:vAlign w:val="center"/>
                </w:tcPr>
                <w:p w14:paraId="7854B8A7">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一般排放口</w:t>
                  </w:r>
                </w:p>
              </w:tc>
              <w:tc>
                <w:tcPr>
                  <w:tcW w:w="1080" w:type="pct"/>
                  <w:vMerge w:val="continue"/>
                  <w:tcBorders>
                    <w:tl2br w:val="nil"/>
                    <w:tr2bl w:val="nil"/>
                  </w:tcBorders>
                  <w:vAlign w:val="center"/>
                </w:tcPr>
                <w:p w14:paraId="02C45C8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p>
              </w:tc>
            </w:tr>
            <w:tr w14:paraId="605570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93" w:hRule="atLeast"/>
              </w:trPr>
              <w:tc>
                <w:tcPr>
                  <w:tcW w:w="757" w:type="pct"/>
                  <w:vMerge w:val="restart"/>
                  <w:tcBorders>
                    <w:tl2br w:val="nil"/>
                    <w:tr2bl w:val="nil"/>
                  </w:tcBorders>
                  <w:vAlign w:val="center"/>
                </w:tcPr>
                <w:p w14:paraId="7A6AEBE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DA</w:t>
                  </w:r>
                  <w:r>
                    <w:rPr>
                      <w:rFonts w:ascii="Times New Roman" w:hAnsi="Times New Roman" w:eastAsia="宋体" w:cs="Times New Roman"/>
                      <w:color w:val="auto"/>
                      <w:spacing w:val="8"/>
                      <w:position w:val="2"/>
                      <w:sz w:val="21"/>
                      <w:szCs w:val="20"/>
                      <w:highlight w:val="none"/>
                    </w:rPr>
                    <w:t>001</w:t>
                  </w:r>
                </w:p>
              </w:tc>
              <w:tc>
                <w:tcPr>
                  <w:tcW w:w="759" w:type="pct"/>
                  <w:tcBorders>
                    <w:tl2br w:val="nil"/>
                    <w:tr2bl w:val="nil"/>
                  </w:tcBorders>
                  <w:vAlign w:val="center"/>
                </w:tcPr>
                <w:p w14:paraId="09CAFD1C">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电泳、固化</w:t>
                  </w:r>
                </w:p>
              </w:tc>
              <w:tc>
                <w:tcPr>
                  <w:tcW w:w="765" w:type="pct"/>
                  <w:tcBorders>
                    <w:tl2br w:val="nil"/>
                    <w:tr2bl w:val="nil"/>
                  </w:tcBorders>
                  <w:vAlign w:val="center"/>
                </w:tcPr>
                <w:p w14:paraId="743243A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DA</w:t>
                  </w:r>
                  <w:r>
                    <w:rPr>
                      <w:rFonts w:ascii="Times New Roman" w:hAnsi="Times New Roman" w:eastAsia="宋体" w:cs="Times New Roman"/>
                      <w:color w:val="auto"/>
                      <w:spacing w:val="8"/>
                      <w:position w:val="2"/>
                      <w:sz w:val="21"/>
                      <w:szCs w:val="20"/>
                      <w:highlight w:val="none"/>
                    </w:rPr>
                    <w:t>001</w:t>
                  </w:r>
                </w:p>
                <w:p w14:paraId="2380B662">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废气排放口</w:t>
                  </w:r>
                </w:p>
              </w:tc>
              <w:tc>
                <w:tcPr>
                  <w:tcW w:w="885" w:type="pct"/>
                  <w:tcBorders>
                    <w:tl2br w:val="nil"/>
                    <w:tr2bl w:val="nil"/>
                  </w:tcBorders>
                  <w:vAlign w:val="center"/>
                </w:tcPr>
                <w:p w14:paraId="682EA64A">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非甲烷总烃</w:t>
                  </w:r>
                </w:p>
              </w:tc>
              <w:tc>
                <w:tcPr>
                  <w:tcW w:w="750" w:type="pct"/>
                  <w:vMerge w:val="restart"/>
                  <w:tcBorders>
                    <w:tl2br w:val="nil"/>
                    <w:tr2bl w:val="nil"/>
                  </w:tcBorders>
                  <w:vAlign w:val="center"/>
                </w:tcPr>
                <w:p w14:paraId="77FF074F">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s="Times New Roman"/>
                      <w:color w:val="auto"/>
                      <w:spacing w:val="-4"/>
                      <w:position w:val="1"/>
                      <w:sz w:val="21"/>
                      <w:highlight w:val="none"/>
                    </w:rPr>
                    <w:t>1</w:t>
                  </w:r>
                  <w:r>
                    <w:rPr>
                      <w:rFonts w:ascii="Times New Roman" w:hAnsi="Times New Roman" w:eastAsia="宋体"/>
                      <w:color w:val="auto"/>
                      <w:spacing w:val="-4"/>
                      <w:position w:val="1"/>
                      <w:sz w:val="21"/>
                      <w:highlight w:val="none"/>
                    </w:rPr>
                    <w:t>次</w:t>
                  </w:r>
                  <w:r>
                    <w:rPr>
                      <w:rFonts w:ascii="Times New Roman" w:hAnsi="Times New Roman" w:eastAsia="宋体" w:cs="Times New Roman"/>
                      <w:color w:val="auto"/>
                      <w:spacing w:val="-4"/>
                      <w:position w:val="1"/>
                      <w:sz w:val="21"/>
                      <w:highlight w:val="none"/>
                    </w:rPr>
                    <w:t>/</w:t>
                  </w:r>
                  <w:r>
                    <w:rPr>
                      <w:rFonts w:ascii="Times New Roman" w:hAnsi="Times New Roman" w:eastAsia="宋体"/>
                      <w:color w:val="auto"/>
                      <w:spacing w:val="-4"/>
                      <w:position w:val="1"/>
                      <w:sz w:val="21"/>
                      <w:highlight w:val="none"/>
                    </w:rPr>
                    <w:t>年</w:t>
                  </w:r>
                </w:p>
              </w:tc>
              <w:tc>
                <w:tcPr>
                  <w:tcW w:w="1080" w:type="pct"/>
                  <w:tcBorders>
                    <w:tl2br w:val="nil"/>
                    <w:tr2bl w:val="nil"/>
                  </w:tcBorders>
                  <w:vAlign w:val="center"/>
                </w:tcPr>
                <w:p w14:paraId="257E6E47">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hint="eastAsia" w:ascii="Times New Roman" w:hAnsi="Times New Roman" w:eastAsia="宋体"/>
                      <w:color w:val="auto"/>
                      <w:sz w:val="21"/>
                      <w:highlight w:val="none"/>
                    </w:rPr>
                    <w:t>《工业企业挥发性有机物排放标准》（DB35 1782-2018）表1</w:t>
                  </w:r>
                </w:p>
              </w:tc>
            </w:tr>
            <w:tr w14:paraId="77F9C0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453" w:hRule="atLeast"/>
              </w:trPr>
              <w:tc>
                <w:tcPr>
                  <w:tcW w:w="757" w:type="pct"/>
                  <w:vMerge w:val="continue"/>
                  <w:tcBorders>
                    <w:tl2br w:val="nil"/>
                    <w:tr2bl w:val="nil"/>
                  </w:tcBorders>
                  <w:vAlign w:val="center"/>
                </w:tcPr>
                <w:p w14:paraId="5527BCB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p>
              </w:tc>
              <w:tc>
                <w:tcPr>
                  <w:tcW w:w="759" w:type="pct"/>
                  <w:tcBorders>
                    <w:tl2br w:val="nil"/>
                    <w:tr2bl w:val="nil"/>
                  </w:tcBorders>
                  <w:vAlign w:val="center"/>
                </w:tcPr>
                <w:p w14:paraId="06CBDC0A">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天然气燃烧</w:t>
                  </w:r>
                </w:p>
              </w:tc>
              <w:tc>
                <w:tcPr>
                  <w:tcW w:w="765" w:type="pct"/>
                  <w:tcBorders>
                    <w:tl2br w:val="nil"/>
                    <w:tr2bl w:val="nil"/>
                  </w:tcBorders>
                  <w:vAlign w:val="center"/>
                </w:tcPr>
                <w:p w14:paraId="59CE7DE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DA</w:t>
                  </w:r>
                  <w:r>
                    <w:rPr>
                      <w:rFonts w:ascii="Times New Roman" w:hAnsi="Times New Roman" w:eastAsia="宋体" w:cs="Times New Roman"/>
                      <w:color w:val="auto"/>
                      <w:spacing w:val="8"/>
                      <w:position w:val="2"/>
                      <w:sz w:val="21"/>
                      <w:szCs w:val="20"/>
                      <w:highlight w:val="none"/>
                    </w:rPr>
                    <w:t>001</w:t>
                  </w:r>
                </w:p>
                <w:p w14:paraId="42C60AF5">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废气排放口</w:t>
                  </w:r>
                </w:p>
              </w:tc>
              <w:tc>
                <w:tcPr>
                  <w:tcW w:w="885" w:type="pct"/>
                  <w:tcBorders>
                    <w:tl2br w:val="nil"/>
                    <w:tr2bl w:val="nil"/>
                  </w:tcBorders>
                  <w:vAlign w:val="center"/>
                </w:tcPr>
                <w:p w14:paraId="068CC5AF">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position w:val="1"/>
                      <w:sz w:val="21"/>
                      <w:highlight w:val="none"/>
                    </w:rPr>
                    <w:t>颗粒物、</w:t>
                  </w:r>
                  <w:r>
                    <w:rPr>
                      <w:rFonts w:ascii="Times New Roman" w:hAnsi="Times New Roman" w:eastAsia="宋体" w:cs="Times New Roman"/>
                      <w:color w:val="auto"/>
                      <w:spacing w:val="-7"/>
                      <w:position w:val="1"/>
                      <w:sz w:val="21"/>
                      <w:highlight w:val="none"/>
                    </w:rPr>
                    <w:t>SO</w:t>
                  </w:r>
                  <w:r>
                    <w:rPr>
                      <w:rFonts w:ascii="Times New Roman" w:hAnsi="Times New Roman" w:eastAsia="宋体" w:cs="Times New Roman"/>
                      <w:color w:val="auto"/>
                      <w:spacing w:val="-7"/>
                      <w:sz w:val="21"/>
                      <w:szCs w:val="13"/>
                      <w:highlight w:val="none"/>
                      <w:vertAlign w:val="subscript"/>
                    </w:rPr>
                    <w:t>2</w:t>
                  </w:r>
                  <w:r>
                    <w:rPr>
                      <w:rFonts w:ascii="Times New Roman" w:hAnsi="Times New Roman" w:eastAsia="宋体"/>
                      <w:color w:val="auto"/>
                      <w:spacing w:val="-7"/>
                      <w:position w:val="1"/>
                      <w:sz w:val="21"/>
                      <w:highlight w:val="none"/>
                    </w:rPr>
                    <w:t>、</w:t>
                  </w:r>
                </w:p>
                <w:p w14:paraId="6EED18F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6"/>
                      <w:sz w:val="21"/>
                      <w:szCs w:val="20"/>
                      <w:highlight w:val="none"/>
                    </w:rPr>
                    <w:t>NOx</w:t>
                  </w:r>
                </w:p>
              </w:tc>
              <w:tc>
                <w:tcPr>
                  <w:tcW w:w="750" w:type="pct"/>
                  <w:vMerge w:val="continue"/>
                  <w:tcBorders>
                    <w:tl2br w:val="nil"/>
                    <w:tr2bl w:val="nil"/>
                  </w:tcBorders>
                  <w:vAlign w:val="center"/>
                </w:tcPr>
                <w:p w14:paraId="107BA72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p>
              </w:tc>
              <w:tc>
                <w:tcPr>
                  <w:tcW w:w="1080" w:type="pct"/>
                  <w:tcBorders>
                    <w:tl2br w:val="nil"/>
                    <w:tr2bl w:val="nil"/>
                  </w:tcBorders>
                  <w:vAlign w:val="center"/>
                </w:tcPr>
                <w:p w14:paraId="4ED8CB42">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《工业炉窑大气</w:t>
                  </w:r>
                </w:p>
                <w:p w14:paraId="0854DAB8">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污染物排放标</w:t>
                  </w:r>
                </w:p>
                <w:p w14:paraId="6A4178B0">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1"/>
                      <w:sz w:val="21"/>
                      <w:highlight w:val="none"/>
                    </w:rPr>
                    <w:t>准》</w:t>
                  </w:r>
                  <w:r>
                    <w:rPr>
                      <w:rFonts w:ascii="Times New Roman" w:hAnsi="Times New Roman" w:eastAsia="宋体"/>
                      <w:color w:val="auto"/>
                      <w:spacing w:val="-3"/>
                      <w:position w:val="1"/>
                      <w:sz w:val="21"/>
                      <w:highlight w:val="none"/>
                    </w:rPr>
                    <w:t>（</w:t>
                  </w:r>
                  <w:r>
                    <w:rPr>
                      <w:rFonts w:ascii="Times New Roman" w:hAnsi="Times New Roman" w:eastAsia="宋体" w:cs="Times New Roman"/>
                      <w:color w:val="auto"/>
                      <w:spacing w:val="-3"/>
                      <w:position w:val="1"/>
                      <w:sz w:val="21"/>
                      <w:highlight w:val="none"/>
                    </w:rPr>
                    <w:t>GB9078-1996</w:t>
                  </w:r>
                  <w:r>
                    <w:rPr>
                      <w:rFonts w:ascii="Times New Roman" w:hAnsi="Times New Roman" w:eastAsia="宋体"/>
                      <w:color w:val="auto"/>
                      <w:spacing w:val="-3"/>
                      <w:position w:val="1"/>
                      <w:sz w:val="21"/>
                      <w:highlight w:val="none"/>
                    </w:rPr>
                    <w:t>）</w:t>
                  </w:r>
                </w:p>
                <w:p w14:paraId="4709CC2D">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3"/>
                      <w:position w:val="1"/>
                      <w:sz w:val="21"/>
                      <w:highlight w:val="none"/>
                    </w:rPr>
                    <w:t>表</w:t>
                  </w:r>
                  <w:r>
                    <w:rPr>
                      <w:rFonts w:ascii="Times New Roman" w:hAnsi="Times New Roman" w:eastAsia="宋体" w:cs="Times New Roman"/>
                      <w:color w:val="auto"/>
                      <w:spacing w:val="3"/>
                      <w:position w:val="1"/>
                      <w:sz w:val="21"/>
                      <w:highlight w:val="none"/>
                    </w:rPr>
                    <w:t>2</w:t>
                  </w:r>
                  <w:r>
                    <w:rPr>
                      <w:rFonts w:ascii="Times New Roman" w:hAnsi="Times New Roman" w:eastAsia="宋体"/>
                      <w:color w:val="auto"/>
                      <w:spacing w:val="3"/>
                      <w:position w:val="1"/>
                      <w:sz w:val="21"/>
                      <w:highlight w:val="none"/>
                    </w:rPr>
                    <w:t>中二级标准</w:t>
                  </w:r>
                </w:p>
                <w:p w14:paraId="1ACDDE5A">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及《工业炉窑大</w:t>
                  </w:r>
                </w:p>
                <w:p w14:paraId="53F6A0F3">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气污染综合治理</w:t>
                  </w:r>
                </w:p>
                <w:p w14:paraId="04CAC97C">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方案》中重点区</w:t>
                  </w:r>
                </w:p>
                <w:p w14:paraId="445D9C3F">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域排放要求</w:t>
                  </w:r>
                </w:p>
              </w:tc>
            </w:tr>
            <w:tr w14:paraId="3E801F6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98" w:hRule="atLeast"/>
              </w:trPr>
              <w:tc>
                <w:tcPr>
                  <w:tcW w:w="757" w:type="pct"/>
                  <w:tcBorders>
                    <w:tl2br w:val="nil"/>
                    <w:tr2bl w:val="nil"/>
                  </w:tcBorders>
                  <w:vAlign w:val="center"/>
                </w:tcPr>
                <w:p w14:paraId="7A2B92C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DA</w:t>
                  </w:r>
                  <w:r>
                    <w:rPr>
                      <w:rFonts w:ascii="Times New Roman" w:hAnsi="Times New Roman" w:eastAsia="宋体" w:cs="Times New Roman"/>
                      <w:color w:val="auto"/>
                      <w:spacing w:val="8"/>
                      <w:position w:val="2"/>
                      <w:sz w:val="21"/>
                      <w:szCs w:val="20"/>
                      <w:highlight w:val="none"/>
                    </w:rPr>
                    <w:t>002</w:t>
                  </w:r>
                </w:p>
              </w:tc>
              <w:tc>
                <w:tcPr>
                  <w:tcW w:w="759" w:type="pct"/>
                  <w:tcBorders>
                    <w:tl2br w:val="nil"/>
                    <w:tr2bl w:val="nil"/>
                  </w:tcBorders>
                  <w:vAlign w:val="center"/>
                </w:tcPr>
                <w:p w14:paraId="06053434">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焊接</w:t>
                  </w:r>
                </w:p>
              </w:tc>
              <w:tc>
                <w:tcPr>
                  <w:tcW w:w="765" w:type="pct"/>
                  <w:tcBorders>
                    <w:tl2br w:val="nil"/>
                    <w:tr2bl w:val="nil"/>
                  </w:tcBorders>
                  <w:vAlign w:val="center"/>
                </w:tcPr>
                <w:p w14:paraId="4259EFB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DA</w:t>
                  </w:r>
                  <w:r>
                    <w:rPr>
                      <w:rFonts w:ascii="Times New Roman" w:hAnsi="Times New Roman" w:eastAsia="宋体" w:cs="Times New Roman"/>
                      <w:color w:val="auto"/>
                      <w:spacing w:val="8"/>
                      <w:position w:val="2"/>
                      <w:sz w:val="21"/>
                      <w:szCs w:val="20"/>
                      <w:highlight w:val="none"/>
                    </w:rPr>
                    <w:t>002</w:t>
                  </w:r>
                </w:p>
                <w:p w14:paraId="6556EFF3">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废气排放口</w:t>
                  </w:r>
                </w:p>
              </w:tc>
              <w:tc>
                <w:tcPr>
                  <w:tcW w:w="885" w:type="pct"/>
                  <w:tcBorders>
                    <w:tl2br w:val="nil"/>
                    <w:tr2bl w:val="nil"/>
                  </w:tcBorders>
                  <w:vAlign w:val="center"/>
                </w:tcPr>
                <w:p w14:paraId="15311906">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颗粒物</w:t>
                  </w:r>
                </w:p>
              </w:tc>
              <w:tc>
                <w:tcPr>
                  <w:tcW w:w="750" w:type="pct"/>
                  <w:tcBorders>
                    <w:tl2br w:val="nil"/>
                    <w:tr2bl w:val="nil"/>
                  </w:tcBorders>
                  <w:vAlign w:val="center"/>
                </w:tcPr>
                <w:p w14:paraId="46E2E179">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s="Times New Roman"/>
                      <w:color w:val="auto"/>
                      <w:spacing w:val="-4"/>
                      <w:position w:val="1"/>
                      <w:sz w:val="21"/>
                      <w:highlight w:val="none"/>
                    </w:rPr>
                    <w:t>1</w:t>
                  </w:r>
                  <w:r>
                    <w:rPr>
                      <w:rFonts w:ascii="Times New Roman" w:hAnsi="Times New Roman" w:eastAsia="宋体"/>
                      <w:color w:val="auto"/>
                      <w:spacing w:val="-4"/>
                      <w:position w:val="1"/>
                      <w:sz w:val="21"/>
                      <w:highlight w:val="none"/>
                    </w:rPr>
                    <w:t>次</w:t>
                  </w:r>
                  <w:r>
                    <w:rPr>
                      <w:rFonts w:ascii="Times New Roman" w:hAnsi="Times New Roman" w:eastAsia="宋体" w:cs="Times New Roman"/>
                      <w:color w:val="auto"/>
                      <w:spacing w:val="-4"/>
                      <w:position w:val="1"/>
                      <w:sz w:val="21"/>
                      <w:highlight w:val="none"/>
                    </w:rPr>
                    <w:t>/</w:t>
                  </w:r>
                  <w:r>
                    <w:rPr>
                      <w:rFonts w:ascii="Times New Roman" w:hAnsi="Times New Roman" w:eastAsia="宋体"/>
                      <w:color w:val="auto"/>
                      <w:spacing w:val="-4"/>
                      <w:position w:val="1"/>
                      <w:sz w:val="21"/>
                      <w:highlight w:val="none"/>
                    </w:rPr>
                    <w:t>年</w:t>
                  </w:r>
                </w:p>
              </w:tc>
              <w:tc>
                <w:tcPr>
                  <w:tcW w:w="1080" w:type="pct"/>
                  <w:tcBorders>
                    <w:tl2br w:val="nil"/>
                    <w:tr2bl w:val="nil"/>
                  </w:tcBorders>
                  <w:vAlign w:val="center"/>
                </w:tcPr>
                <w:p w14:paraId="304D5197">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《大气污染物综</w:t>
                  </w:r>
                </w:p>
                <w:p w14:paraId="1ED7D093">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合排放标准》</w:t>
                  </w:r>
                </w:p>
                <w:p w14:paraId="5913F3DD">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5"/>
                      <w:position w:val="1"/>
                      <w:sz w:val="21"/>
                      <w:highlight w:val="none"/>
                    </w:rPr>
                    <w:t>（</w:t>
                  </w:r>
                  <w:r>
                    <w:rPr>
                      <w:rFonts w:ascii="Times New Roman" w:hAnsi="Times New Roman" w:eastAsia="宋体" w:cs="Times New Roman"/>
                      <w:color w:val="auto"/>
                      <w:position w:val="1"/>
                      <w:sz w:val="21"/>
                      <w:highlight w:val="none"/>
                    </w:rPr>
                    <w:t>GB</w:t>
                  </w:r>
                  <w:r>
                    <w:rPr>
                      <w:rFonts w:ascii="Times New Roman" w:hAnsi="Times New Roman" w:eastAsia="宋体" w:cs="Times New Roman"/>
                      <w:color w:val="auto"/>
                      <w:spacing w:val="5"/>
                      <w:position w:val="1"/>
                      <w:sz w:val="21"/>
                      <w:highlight w:val="none"/>
                    </w:rPr>
                    <w:t>16297-1996</w:t>
                  </w:r>
                  <w:r>
                    <w:rPr>
                      <w:rFonts w:hint="eastAsia" w:ascii="Times New Roman" w:hAnsi="Times New Roman" w:cs="Times New Roman"/>
                      <w:color w:val="auto"/>
                      <w:spacing w:val="5"/>
                      <w:position w:val="1"/>
                      <w:sz w:val="21"/>
                      <w:highlight w:val="none"/>
                      <w:lang w:eastAsia="zh-CN"/>
                    </w:rPr>
                    <w:t>)</w:t>
                  </w:r>
                  <w:r>
                    <w:rPr>
                      <w:rFonts w:ascii="Times New Roman" w:hAnsi="Times New Roman" w:eastAsia="宋体"/>
                      <w:color w:val="auto"/>
                      <w:spacing w:val="-6"/>
                      <w:position w:val="1"/>
                      <w:sz w:val="21"/>
                      <w:highlight w:val="none"/>
                    </w:rPr>
                    <w:t>表</w:t>
                  </w:r>
                  <w:r>
                    <w:rPr>
                      <w:rFonts w:ascii="Times New Roman" w:hAnsi="Times New Roman" w:eastAsia="宋体" w:cs="Times New Roman"/>
                      <w:color w:val="auto"/>
                      <w:spacing w:val="-6"/>
                      <w:position w:val="1"/>
                      <w:sz w:val="21"/>
                      <w:highlight w:val="none"/>
                    </w:rPr>
                    <w:t>2</w:t>
                  </w:r>
                  <w:r>
                    <w:rPr>
                      <w:rFonts w:ascii="Times New Roman" w:hAnsi="Times New Roman" w:eastAsia="宋体"/>
                      <w:color w:val="auto"/>
                      <w:spacing w:val="-6"/>
                      <w:position w:val="1"/>
                      <w:sz w:val="21"/>
                      <w:highlight w:val="none"/>
                    </w:rPr>
                    <w:t>标准</w:t>
                  </w:r>
                </w:p>
              </w:tc>
            </w:tr>
          </w:tbl>
          <w:p w14:paraId="4603C709">
            <w:pPr>
              <w:pStyle w:val="46"/>
              <w:rPr>
                <w:rFonts w:hint="eastAsia"/>
                <w:color w:val="auto"/>
                <w:highlight w:val="none"/>
                <w:lang w:val="en-US" w:eastAsia="zh-CN"/>
              </w:rPr>
            </w:pPr>
          </w:p>
          <w:p w14:paraId="582E98F1">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120"/>
              <w:ind w:left="630" w:lef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无组织废气排放监测点位、监测指标及最低监测频次</w:t>
            </w:r>
          </w:p>
          <w:tbl>
            <w:tblPr>
              <w:tblStyle w:val="84"/>
              <w:tblW w:w="4992"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66"/>
              <w:gridCol w:w="1413"/>
              <w:gridCol w:w="5936"/>
            </w:tblGrid>
            <w:tr w14:paraId="3249E9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878" w:type="pct"/>
                  <w:tcBorders>
                    <w:bottom w:val="single" w:color="000000" w:sz="12" w:space="0"/>
                  </w:tcBorders>
                  <w:vAlign w:val="center"/>
                </w:tcPr>
                <w:p w14:paraId="12D489F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b/>
                      <w:bCs/>
                      <w:color w:val="auto"/>
                      <w:spacing w:val="6"/>
                      <w:sz w:val="21"/>
                      <w:szCs w:val="21"/>
                    </w:rPr>
                    <w:t>监测指标</w:t>
                  </w:r>
                </w:p>
              </w:tc>
              <w:tc>
                <w:tcPr>
                  <w:tcW w:w="792" w:type="pct"/>
                  <w:tcBorders>
                    <w:bottom w:val="single" w:color="000000" w:sz="12" w:space="0"/>
                  </w:tcBorders>
                  <w:vAlign w:val="center"/>
                </w:tcPr>
                <w:p w14:paraId="2E9FC0A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b/>
                      <w:bCs/>
                      <w:color w:val="auto"/>
                      <w:spacing w:val="6"/>
                      <w:sz w:val="21"/>
                      <w:szCs w:val="21"/>
                    </w:rPr>
                    <w:t>监测频率</w:t>
                  </w:r>
                </w:p>
              </w:tc>
              <w:tc>
                <w:tcPr>
                  <w:tcW w:w="3328" w:type="pct"/>
                  <w:tcBorders>
                    <w:bottom w:val="single" w:color="000000" w:sz="12" w:space="0"/>
                  </w:tcBorders>
                  <w:vAlign w:val="center"/>
                </w:tcPr>
                <w:p w14:paraId="3C9BCCB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b/>
                      <w:bCs/>
                      <w:color w:val="auto"/>
                      <w:spacing w:val="6"/>
                      <w:sz w:val="21"/>
                      <w:szCs w:val="21"/>
                    </w:rPr>
                    <w:t>执行标准</w:t>
                  </w:r>
                </w:p>
              </w:tc>
            </w:tr>
            <w:tr w14:paraId="7C317E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878" w:type="pct"/>
                  <w:tcBorders>
                    <w:top w:val="single" w:color="000000" w:sz="12" w:space="0"/>
                    <w:tl2br w:val="nil"/>
                    <w:tr2bl w:val="nil"/>
                  </w:tcBorders>
                  <w:vAlign w:val="center"/>
                </w:tcPr>
                <w:p w14:paraId="082183F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pacing w:val="7"/>
                      <w:sz w:val="21"/>
                      <w:szCs w:val="21"/>
                    </w:rPr>
                    <w:t>非甲烷总烃</w:t>
                  </w:r>
                </w:p>
              </w:tc>
              <w:tc>
                <w:tcPr>
                  <w:tcW w:w="792" w:type="pct"/>
                  <w:tcBorders>
                    <w:top w:val="single" w:color="000000" w:sz="12" w:space="0"/>
                    <w:tl2br w:val="nil"/>
                    <w:tr2bl w:val="nil"/>
                  </w:tcBorders>
                  <w:vAlign w:val="center"/>
                </w:tcPr>
                <w:p w14:paraId="495CDF9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cs="Times New Roman"/>
                      <w:color w:val="auto"/>
                      <w:spacing w:val="-1"/>
                      <w:sz w:val="21"/>
                      <w:szCs w:val="21"/>
                    </w:rPr>
                    <w:t>1</w:t>
                  </w:r>
                  <w:r>
                    <w:rPr>
                      <w:rFonts w:ascii="Times New Roman" w:hAnsi="Times New Roman" w:eastAsia="宋体"/>
                      <w:color w:val="auto"/>
                      <w:spacing w:val="-1"/>
                      <w:sz w:val="21"/>
                      <w:szCs w:val="21"/>
                    </w:rPr>
                    <w:t>次</w:t>
                  </w:r>
                  <w:r>
                    <w:rPr>
                      <w:rFonts w:ascii="Times New Roman" w:hAnsi="Times New Roman" w:eastAsia="宋体" w:cs="Times New Roman"/>
                      <w:color w:val="auto"/>
                      <w:spacing w:val="-1"/>
                      <w:sz w:val="21"/>
                      <w:szCs w:val="21"/>
                    </w:rPr>
                    <w:t>/</w:t>
                  </w:r>
                  <w:r>
                    <w:rPr>
                      <w:rFonts w:ascii="Times New Roman" w:hAnsi="Times New Roman" w:eastAsia="宋体"/>
                      <w:color w:val="auto"/>
                      <w:spacing w:val="-1"/>
                      <w:sz w:val="21"/>
                      <w:szCs w:val="21"/>
                    </w:rPr>
                    <w:t>半年</w:t>
                  </w:r>
                </w:p>
              </w:tc>
              <w:tc>
                <w:tcPr>
                  <w:tcW w:w="3328" w:type="pct"/>
                  <w:tcBorders>
                    <w:top w:val="single" w:color="000000" w:sz="12" w:space="0"/>
                    <w:tl2br w:val="nil"/>
                    <w:tr2bl w:val="nil"/>
                  </w:tcBorders>
                  <w:vAlign w:val="center"/>
                </w:tcPr>
                <w:p w14:paraId="2CAEC9B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pacing w:val="8"/>
                      <w:sz w:val="21"/>
                      <w:szCs w:val="21"/>
                    </w:rPr>
                    <w:t>《挥发性有机物无组织排放控制标准》</w:t>
                  </w:r>
                  <w:r>
                    <w:rPr>
                      <w:rFonts w:ascii="Times New Roman" w:hAnsi="Times New Roman" w:eastAsia="宋体"/>
                      <w:color w:val="auto"/>
                      <w:spacing w:val="5"/>
                      <w:sz w:val="21"/>
                      <w:szCs w:val="21"/>
                    </w:rPr>
                    <w:t>（</w:t>
                  </w:r>
                  <w:r>
                    <w:rPr>
                      <w:rFonts w:ascii="Times New Roman" w:hAnsi="Times New Roman" w:eastAsia="宋体" w:cs="Times New Roman"/>
                      <w:color w:val="auto"/>
                      <w:sz w:val="21"/>
                      <w:szCs w:val="21"/>
                    </w:rPr>
                    <w:t>GB</w:t>
                  </w:r>
                  <w:r>
                    <w:rPr>
                      <w:rFonts w:ascii="Times New Roman" w:hAnsi="Times New Roman" w:eastAsia="宋体" w:cs="Times New Roman"/>
                      <w:color w:val="auto"/>
                      <w:spacing w:val="5"/>
                      <w:sz w:val="21"/>
                      <w:szCs w:val="21"/>
                    </w:rPr>
                    <w:t>37822-2019</w:t>
                  </w:r>
                  <w:r>
                    <w:rPr>
                      <w:rFonts w:ascii="Times New Roman" w:hAnsi="Times New Roman" w:eastAsia="宋体"/>
                      <w:color w:val="auto"/>
                      <w:spacing w:val="5"/>
                      <w:sz w:val="21"/>
                      <w:szCs w:val="21"/>
                    </w:rPr>
                    <w:t>）表</w:t>
                  </w:r>
                  <w:r>
                    <w:rPr>
                      <w:rFonts w:ascii="Times New Roman" w:hAnsi="Times New Roman" w:eastAsia="宋体" w:cs="Times New Roman"/>
                      <w:color w:val="auto"/>
                      <w:spacing w:val="5"/>
                      <w:sz w:val="21"/>
                      <w:szCs w:val="21"/>
                    </w:rPr>
                    <w:t>A.1</w:t>
                  </w:r>
                  <w:r>
                    <w:rPr>
                      <w:rFonts w:ascii="Times New Roman" w:hAnsi="Times New Roman" w:eastAsia="宋体"/>
                      <w:color w:val="auto"/>
                      <w:spacing w:val="5"/>
                      <w:sz w:val="21"/>
                      <w:szCs w:val="21"/>
                    </w:rPr>
                    <w:t>特别排放限值</w:t>
                  </w:r>
                </w:p>
              </w:tc>
            </w:tr>
            <w:tr w14:paraId="4676B2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878" w:type="pct"/>
                  <w:tcBorders>
                    <w:tl2br w:val="nil"/>
                    <w:tr2bl w:val="nil"/>
                  </w:tcBorders>
                  <w:vAlign w:val="center"/>
                </w:tcPr>
                <w:p w14:paraId="4C74882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pacing w:val="7"/>
                      <w:sz w:val="21"/>
                      <w:szCs w:val="21"/>
                    </w:rPr>
                    <w:t>颗粒物</w:t>
                  </w:r>
                </w:p>
              </w:tc>
              <w:tc>
                <w:tcPr>
                  <w:tcW w:w="792" w:type="pct"/>
                  <w:tcBorders>
                    <w:tl2br w:val="nil"/>
                    <w:tr2bl w:val="nil"/>
                  </w:tcBorders>
                  <w:vAlign w:val="center"/>
                </w:tcPr>
                <w:p w14:paraId="2C515B9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cs="Times New Roman"/>
                      <w:color w:val="auto"/>
                      <w:spacing w:val="-1"/>
                      <w:sz w:val="21"/>
                      <w:szCs w:val="21"/>
                    </w:rPr>
                    <w:t>1</w:t>
                  </w:r>
                  <w:r>
                    <w:rPr>
                      <w:rFonts w:ascii="Times New Roman" w:hAnsi="Times New Roman" w:eastAsia="宋体"/>
                      <w:color w:val="auto"/>
                      <w:spacing w:val="-1"/>
                      <w:sz w:val="21"/>
                      <w:szCs w:val="21"/>
                    </w:rPr>
                    <w:t>次</w:t>
                  </w:r>
                  <w:r>
                    <w:rPr>
                      <w:rFonts w:ascii="Times New Roman" w:hAnsi="Times New Roman" w:eastAsia="宋体" w:cs="Times New Roman"/>
                      <w:color w:val="auto"/>
                      <w:spacing w:val="-1"/>
                      <w:sz w:val="21"/>
                      <w:szCs w:val="21"/>
                    </w:rPr>
                    <w:t>/</w:t>
                  </w:r>
                  <w:r>
                    <w:rPr>
                      <w:rFonts w:ascii="Times New Roman" w:hAnsi="Times New Roman" w:eastAsia="宋体"/>
                      <w:color w:val="auto"/>
                      <w:spacing w:val="-1"/>
                      <w:sz w:val="21"/>
                      <w:szCs w:val="21"/>
                    </w:rPr>
                    <w:t>半年</w:t>
                  </w:r>
                </w:p>
              </w:tc>
              <w:tc>
                <w:tcPr>
                  <w:tcW w:w="3328" w:type="pct"/>
                  <w:tcBorders>
                    <w:tl2br w:val="nil"/>
                    <w:tr2bl w:val="nil"/>
                  </w:tcBorders>
                  <w:vAlign w:val="center"/>
                </w:tcPr>
                <w:p w14:paraId="7CA1E89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s="Times New Roman"/>
                      <w:color w:val="auto"/>
                      <w:sz w:val="21"/>
                      <w:szCs w:val="21"/>
                    </w:rPr>
                  </w:pPr>
                  <w:r>
                    <w:rPr>
                      <w:rFonts w:ascii="Times New Roman" w:hAnsi="Times New Roman" w:eastAsia="宋体"/>
                      <w:color w:val="auto"/>
                      <w:spacing w:val="7"/>
                      <w:sz w:val="21"/>
                      <w:szCs w:val="21"/>
                    </w:rPr>
                    <w:t>《大气污染物综合排放标准》（</w:t>
                  </w:r>
                  <w:r>
                    <w:rPr>
                      <w:rFonts w:ascii="Times New Roman" w:hAnsi="Times New Roman" w:eastAsia="宋体" w:cs="Times New Roman"/>
                      <w:color w:val="auto"/>
                      <w:sz w:val="21"/>
                      <w:szCs w:val="21"/>
                    </w:rPr>
                    <w:t>GB</w:t>
                  </w:r>
                  <w:r>
                    <w:rPr>
                      <w:rFonts w:ascii="Times New Roman" w:hAnsi="Times New Roman" w:eastAsia="宋体" w:cs="Times New Roman"/>
                      <w:color w:val="auto"/>
                      <w:spacing w:val="27"/>
                      <w:w w:val="101"/>
                      <w:sz w:val="21"/>
                      <w:szCs w:val="21"/>
                    </w:rPr>
                    <w:t xml:space="preserve"> </w:t>
                  </w:r>
                  <w:r>
                    <w:rPr>
                      <w:rFonts w:ascii="Times New Roman" w:hAnsi="Times New Roman" w:eastAsia="宋体" w:cs="Times New Roman"/>
                      <w:color w:val="auto"/>
                      <w:spacing w:val="7"/>
                      <w:sz w:val="21"/>
                      <w:szCs w:val="21"/>
                    </w:rPr>
                    <w:t>16297-</w:t>
                  </w:r>
                  <w:r>
                    <w:rPr>
                      <w:rFonts w:ascii="Times New Roman" w:hAnsi="Times New Roman" w:eastAsia="宋体" w:cs="Times New Roman"/>
                      <w:color w:val="auto"/>
                      <w:spacing w:val="6"/>
                      <w:sz w:val="21"/>
                      <w:szCs w:val="21"/>
                    </w:rPr>
                    <w:t>1996</w:t>
                  </w:r>
                  <w:r>
                    <w:rPr>
                      <w:rFonts w:ascii="Times New Roman" w:hAnsi="Times New Roman" w:eastAsia="宋体"/>
                      <w:color w:val="auto"/>
                      <w:spacing w:val="6"/>
                      <w:sz w:val="21"/>
                      <w:szCs w:val="21"/>
                    </w:rPr>
                    <w:t>）表</w:t>
                  </w:r>
                  <w:r>
                    <w:rPr>
                      <w:rFonts w:ascii="Times New Roman" w:hAnsi="Times New Roman" w:eastAsia="宋体" w:cs="Times New Roman"/>
                      <w:color w:val="auto"/>
                      <w:spacing w:val="6"/>
                      <w:sz w:val="21"/>
                      <w:szCs w:val="21"/>
                    </w:rPr>
                    <w:t>2</w:t>
                  </w:r>
                </w:p>
                <w:p w14:paraId="2FE2CE5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z w:val="21"/>
                      <w:szCs w:val="21"/>
                    </w:rPr>
                  </w:pPr>
                  <w:r>
                    <w:rPr>
                      <w:rFonts w:ascii="Times New Roman" w:hAnsi="Times New Roman" w:eastAsia="宋体"/>
                      <w:color w:val="auto"/>
                      <w:spacing w:val="6"/>
                      <w:sz w:val="21"/>
                      <w:szCs w:val="21"/>
                    </w:rPr>
                    <w:t>中无组织限值要求</w:t>
                  </w:r>
                </w:p>
              </w:tc>
            </w:tr>
            <w:tr w14:paraId="38B17D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878" w:type="pct"/>
                  <w:tcBorders>
                    <w:tl2br w:val="nil"/>
                    <w:tr2bl w:val="nil"/>
                  </w:tcBorders>
                  <w:shd w:val="clear" w:color="auto" w:fill="auto"/>
                  <w:vAlign w:val="center"/>
                </w:tcPr>
                <w:p w14:paraId="66AA537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kern w:val="2"/>
                      <w:sz w:val="21"/>
                      <w:szCs w:val="21"/>
                      <w:lang w:val="en-US" w:eastAsia="en-US" w:bidi="ar-SA"/>
                    </w:rPr>
                  </w:pPr>
                  <w:r>
                    <w:rPr>
                      <w:color w:val="auto"/>
                      <w:sz w:val="21"/>
                      <w:szCs w:val="21"/>
                    </w:rPr>
                    <w:t>氨</w:t>
                  </w:r>
                </w:p>
              </w:tc>
              <w:tc>
                <w:tcPr>
                  <w:tcW w:w="792" w:type="pct"/>
                  <w:tcBorders>
                    <w:tl2br w:val="nil"/>
                    <w:tr2bl w:val="nil"/>
                  </w:tcBorders>
                  <w:shd w:val="clear" w:color="auto" w:fill="auto"/>
                  <w:vAlign w:val="center"/>
                </w:tcPr>
                <w:p w14:paraId="18B7035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kern w:val="2"/>
                      <w:sz w:val="21"/>
                      <w:szCs w:val="21"/>
                      <w:lang w:val="en-US" w:eastAsia="en-US" w:bidi="ar-SA"/>
                    </w:rPr>
                  </w:pPr>
                  <w:r>
                    <w:rPr>
                      <w:rFonts w:ascii="Times New Roman" w:hAnsi="Times New Roman" w:eastAsia="Times New Roman" w:cs="Times New Roman"/>
                      <w:color w:val="auto"/>
                      <w:spacing w:val="-3"/>
                      <w:sz w:val="21"/>
                      <w:szCs w:val="21"/>
                    </w:rPr>
                    <w:t>1</w:t>
                  </w:r>
                  <w:r>
                    <w:rPr>
                      <w:color w:val="auto"/>
                      <w:spacing w:val="-3"/>
                      <w:sz w:val="21"/>
                      <w:szCs w:val="21"/>
                    </w:rPr>
                    <w:t>次</w:t>
                  </w:r>
                  <w:r>
                    <w:rPr>
                      <w:rFonts w:ascii="Times New Roman" w:hAnsi="Times New Roman" w:eastAsia="Times New Roman" w:cs="Times New Roman"/>
                      <w:color w:val="auto"/>
                      <w:spacing w:val="-3"/>
                      <w:sz w:val="21"/>
                      <w:szCs w:val="21"/>
                    </w:rPr>
                    <w:t>/</w:t>
                  </w:r>
                  <w:r>
                    <w:rPr>
                      <w:color w:val="auto"/>
                      <w:spacing w:val="-3"/>
                      <w:sz w:val="21"/>
                      <w:szCs w:val="21"/>
                    </w:rPr>
                    <w:t>年</w:t>
                  </w:r>
                </w:p>
              </w:tc>
              <w:tc>
                <w:tcPr>
                  <w:tcW w:w="3328" w:type="pct"/>
                  <w:vMerge w:val="restart"/>
                  <w:tcBorders>
                    <w:tl2br w:val="nil"/>
                    <w:tr2bl w:val="nil"/>
                  </w:tcBorders>
                  <w:vAlign w:val="center"/>
                </w:tcPr>
                <w:p w14:paraId="49E1DBE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pacing w:val="6"/>
                      <w:sz w:val="21"/>
                      <w:szCs w:val="21"/>
                    </w:rPr>
                  </w:pPr>
                  <w:r>
                    <w:rPr>
                      <w:color w:val="auto"/>
                      <w:spacing w:val="7"/>
                      <w:sz w:val="21"/>
                      <w:szCs w:val="21"/>
                    </w:rPr>
                    <w:t>《恶臭污染物排放标准》（</w:t>
                  </w:r>
                  <w:r>
                    <w:rPr>
                      <w:rFonts w:ascii="Times New Roman" w:hAnsi="Times New Roman" w:eastAsia="Times New Roman" w:cs="Times New Roman"/>
                      <w:color w:val="auto"/>
                      <w:sz w:val="21"/>
                      <w:szCs w:val="21"/>
                    </w:rPr>
                    <w:t>GB</w:t>
                  </w:r>
                  <w:r>
                    <w:rPr>
                      <w:rFonts w:ascii="Times New Roman" w:hAnsi="Times New Roman" w:eastAsia="Times New Roman" w:cs="Times New Roman"/>
                      <w:color w:val="auto"/>
                      <w:spacing w:val="7"/>
                      <w:sz w:val="21"/>
                      <w:szCs w:val="21"/>
                    </w:rPr>
                    <w:t>14554-93</w:t>
                  </w:r>
                  <w:r>
                    <w:rPr>
                      <w:color w:val="auto"/>
                      <w:spacing w:val="7"/>
                      <w:sz w:val="21"/>
                      <w:szCs w:val="21"/>
                    </w:rPr>
                    <w:t>）中表</w:t>
                  </w:r>
                  <w:r>
                    <w:rPr>
                      <w:rFonts w:ascii="Times New Roman" w:hAnsi="Times New Roman" w:eastAsia="Times New Roman" w:cs="Times New Roman"/>
                      <w:color w:val="auto"/>
                      <w:spacing w:val="7"/>
                      <w:sz w:val="21"/>
                      <w:szCs w:val="21"/>
                    </w:rPr>
                    <w:t>1</w:t>
                  </w:r>
                  <w:r>
                    <w:rPr>
                      <w:color w:val="auto"/>
                      <w:spacing w:val="7"/>
                      <w:sz w:val="21"/>
                      <w:szCs w:val="21"/>
                    </w:rPr>
                    <w:t>标准</w:t>
                  </w:r>
                </w:p>
              </w:tc>
            </w:tr>
            <w:tr w14:paraId="3C5A8B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878" w:type="pct"/>
                  <w:tcBorders>
                    <w:tl2br w:val="nil"/>
                    <w:tr2bl w:val="nil"/>
                  </w:tcBorders>
                  <w:shd w:val="clear" w:color="auto" w:fill="auto"/>
                  <w:vAlign w:val="center"/>
                </w:tcPr>
                <w:p w14:paraId="06AA47B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kern w:val="2"/>
                      <w:sz w:val="21"/>
                      <w:szCs w:val="21"/>
                      <w:lang w:val="en-US" w:eastAsia="en-US" w:bidi="ar-SA"/>
                    </w:rPr>
                  </w:pPr>
                  <w:r>
                    <w:rPr>
                      <w:color w:val="auto"/>
                      <w:spacing w:val="7"/>
                      <w:sz w:val="21"/>
                      <w:szCs w:val="21"/>
                    </w:rPr>
                    <w:t>硫化氢</w:t>
                  </w:r>
                </w:p>
              </w:tc>
              <w:tc>
                <w:tcPr>
                  <w:tcW w:w="792" w:type="pct"/>
                  <w:tcBorders>
                    <w:tl2br w:val="nil"/>
                    <w:tr2bl w:val="nil"/>
                  </w:tcBorders>
                  <w:shd w:val="clear" w:color="auto" w:fill="auto"/>
                  <w:vAlign w:val="center"/>
                </w:tcPr>
                <w:p w14:paraId="3937346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kern w:val="2"/>
                      <w:sz w:val="21"/>
                      <w:szCs w:val="21"/>
                      <w:lang w:val="en-US" w:eastAsia="en-US" w:bidi="ar-SA"/>
                    </w:rPr>
                  </w:pPr>
                  <w:r>
                    <w:rPr>
                      <w:rFonts w:ascii="Times New Roman" w:hAnsi="Times New Roman" w:eastAsia="Times New Roman" w:cs="Times New Roman"/>
                      <w:color w:val="auto"/>
                      <w:spacing w:val="-3"/>
                      <w:sz w:val="21"/>
                      <w:szCs w:val="21"/>
                    </w:rPr>
                    <w:t>1</w:t>
                  </w:r>
                  <w:r>
                    <w:rPr>
                      <w:color w:val="auto"/>
                      <w:spacing w:val="-3"/>
                      <w:sz w:val="21"/>
                      <w:szCs w:val="21"/>
                    </w:rPr>
                    <w:t>次</w:t>
                  </w:r>
                  <w:r>
                    <w:rPr>
                      <w:rFonts w:ascii="Times New Roman" w:hAnsi="Times New Roman" w:eastAsia="Times New Roman" w:cs="Times New Roman"/>
                      <w:color w:val="auto"/>
                      <w:spacing w:val="-3"/>
                      <w:sz w:val="21"/>
                      <w:szCs w:val="21"/>
                    </w:rPr>
                    <w:t>/</w:t>
                  </w:r>
                  <w:r>
                    <w:rPr>
                      <w:color w:val="auto"/>
                      <w:spacing w:val="-3"/>
                      <w:sz w:val="21"/>
                      <w:szCs w:val="21"/>
                    </w:rPr>
                    <w:t>年</w:t>
                  </w:r>
                </w:p>
              </w:tc>
              <w:tc>
                <w:tcPr>
                  <w:tcW w:w="3328" w:type="pct"/>
                  <w:vMerge w:val="continue"/>
                  <w:tcBorders>
                    <w:tl2br w:val="nil"/>
                    <w:tr2bl w:val="nil"/>
                  </w:tcBorders>
                  <w:vAlign w:val="center"/>
                </w:tcPr>
                <w:p w14:paraId="14F25E5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pacing w:val="6"/>
                      <w:sz w:val="21"/>
                      <w:szCs w:val="21"/>
                    </w:rPr>
                  </w:pPr>
                </w:p>
              </w:tc>
            </w:tr>
            <w:tr w14:paraId="4A24CE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878" w:type="pct"/>
                  <w:tcBorders>
                    <w:tl2br w:val="nil"/>
                    <w:tr2bl w:val="nil"/>
                  </w:tcBorders>
                  <w:shd w:val="clear" w:color="auto" w:fill="auto"/>
                  <w:vAlign w:val="center"/>
                </w:tcPr>
                <w:p w14:paraId="60602774">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kern w:val="2"/>
                      <w:sz w:val="21"/>
                      <w:szCs w:val="21"/>
                      <w:lang w:val="en-US" w:eastAsia="en-US" w:bidi="ar-SA"/>
                    </w:rPr>
                  </w:pPr>
                  <w:r>
                    <w:rPr>
                      <w:color w:val="auto"/>
                      <w:spacing w:val="4"/>
                      <w:sz w:val="21"/>
                      <w:szCs w:val="21"/>
                    </w:rPr>
                    <w:t>臭气</w:t>
                  </w:r>
                </w:p>
              </w:tc>
              <w:tc>
                <w:tcPr>
                  <w:tcW w:w="792" w:type="pct"/>
                  <w:tcBorders>
                    <w:tl2br w:val="nil"/>
                    <w:tr2bl w:val="nil"/>
                  </w:tcBorders>
                  <w:shd w:val="clear" w:color="auto" w:fill="auto"/>
                  <w:vAlign w:val="center"/>
                </w:tcPr>
                <w:p w14:paraId="69EC454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kern w:val="2"/>
                      <w:sz w:val="21"/>
                      <w:szCs w:val="21"/>
                      <w:lang w:val="en-US" w:eastAsia="en-US" w:bidi="ar-SA"/>
                    </w:rPr>
                  </w:pPr>
                  <w:r>
                    <w:rPr>
                      <w:rFonts w:ascii="Times New Roman" w:hAnsi="Times New Roman" w:eastAsia="Times New Roman" w:cs="Times New Roman"/>
                      <w:color w:val="auto"/>
                      <w:spacing w:val="-3"/>
                      <w:sz w:val="21"/>
                      <w:szCs w:val="21"/>
                    </w:rPr>
                    <w:t>1</w:t>
                  </w:r>
                  <w:r>
                    <w:rPr>
                      <w:color w:val="auto"/>
                      <w:spacing w:val="-3"/>
                      <w:sz w:val="21"/>
                      <w:szCs w:val="21"/>
                    </w:rPr>
                    <w:t>次</w:t>
                  </w:r>
                  <w:r>
                    <w:rPr>
                      <w:rFonts w:ascii="Times New Roman" w:hAnsi="Times New Roman" w:eastAsia="Times New Roman" w:cs="Times New Roman"/>
                      <w:color w:val="auto"/>
                      <w:spacing w:val="-3"/>
                      <w:sz w:val="21"/>
                      <w:szCs w:val="21"/>
                    </w:rPr>
                    <w:t>/</w:t>
                  </w:r>
                  <w:r>
                    <w:rPr>
                      <w:color w:val="auto"/>
                      <w:spacing w:val="-3"/>
                      <w:sz w:val="21"/>
                      <w:szCs w:val="21"/>
                    </w:rPr>
                    <w:t>年</w:t>
                  </w:r>
                </w:p>
              </w:tc>
              <w:tc>
                <w:tcPr>
                  <w:tcW w:w="3328" w:type="pct"/>
                  <w:vMerge w:val="continue"/>
                  <w:tcBorders>
                    <w:tl2br w:val="nil"/>
                    <w:tr2bl w:val="nil"/>
                  </w:tcBorders>
                  <w:vAlign w:val="center"/>
                </w:tcPr>
                <w:p w14:paraId="5F3AC0C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pacing w:val="6"/>
                      <w:sz w:val="21"/>
                      <w:szCs w:val="21"/>
                    </w:rPr>
                  </w:pPr>
                </w:p>
              </w:tc>
            </w:tr>
            <w:tr w14:paraId="2428A1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878" w:type="pct"/>
                  <w:tcBorders>
                    <w:tl2br w:val="nil"/>
                    <w:tr2bl w:val="nil"/>
                  </w:tcBorders>
                  <w:shd w:val="clear" w:color="auto" w:fill="auto"/>
                  <w:vAlign w:val="center"/>
                </w:tcPr>
                <w:p w14:paraId="018E936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color w:val="auto"/>
                      <w:sz w:val="21"/>
                      <w:szCs w:val="21"/>
                    </w:rPr>
                    <w:t>SO</w:t>
                  </w:r>
                  <w:r>
                    <w:rPr>
                      <w:rFonts w:ascii="Times New Roman" w:hAnsi="Times New Roman" w:eastAsia="Times New Roman" w:cs="Times New Roman"/>
                      <w:color w:val="auto"/>
                      <w:spacing w:val="3"/>
                      <w:position w:val="-1"/>
                      <w:sz w:val="21"/>
                      <w:szCs w:val="21"/>
                      <w:vertAlign w:val="subscript"/>
                    </w:rPr>
                    <w:t>2</w:t>
                  </w:r>
                </w:p>
              </w:tc>
              <w:tc>
                <w:tcPr>
                  <w:tcW w:w="792" w:type="pct"/>
                  <w:tcBorders>
                    <w:tl2br w:val="nil"/>
                    <w:tr2bl w:val="nil"/>
                  </w:tcBorders>
                  <w:shd w:val="clear" w:color="auto" w:fill="auto"/>
                  <w:vAlign w:val="center"/>
                </w:tcPr>
                <w:p w14:paraId="70B4F48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kern w:val="2"/>
                      <w:sz w:val="21"/>
                      <w:szCs w:val="21"/>
                      <w:lang w:val="en-US" w:eastAsia="en-US" w:bidi="ar-SA"/>
                    </w:rPr>
                  </w:pPr>
                  <w:r>
                    <w:rPr>
                      <w:rFonts w:ascii="Times New Roman" w:hAnsi="Times New Roman" w:eastAsia="Times New Roman" w:cs="Times New Roman"/>
                      <w:color w:val="auto"/>
                      <w:spacing w:val="-3"/>
                      <w:sz w:val="21"/>
                      <w:szCs w:val="21"/>
                    </w:rPr>
                    <w:t>1</w:t>
                  </w:r>
                  <w:r>
                    <w:rPr>
                      <w:color w:val="auto"/>
                      <w:spacing w:val="-3"/>
                      <w:sz w:val="21"/>
                      <w:szCs w:val="21"/>
                    </w:rPr>
                    <w:t>次</w:t>
                  </w:r>
                  <w:r>
                    <w:rPr>
                      <w:rFonts w:ascii="Times New Roman" w:hAnsi="Times New Roman" w:eastAsia="Times New Roman" w:cs="Times New Roman"/>
                      <w:color w:val="auto"/>
                      <w:spacing w:val="-3"/>
                      <w:sz w:val="21"/>
                      <w:szCs w:val="21"/>
                    </w:rPr>
                    <w:t>/</w:t>
                  </w:r>
                  <w:r>
                    <w:rPr>
                      <w:color w:val="auto"/>
                      <w:spacing w:val="-3"/>
                      <w:sz w:val="21"/>
                      <w:szCs w:val="21"/>
                    </w:rPr>
                    <w:t>年</w:t>
                  </w:r>
                </w:p>
              </w:tc>
              <w:tc>
                <w:tcPr>
                  <w:tcW w:w="3328" w:type="pct"/>
                  <w:vMerge w:val="restart"/>
                  <w:tcBorders>
                    <w:tl2br w:val="nil"/>
                    <w:tr2bl w:val="nil"/>
                  </w:tcBorders>
                  <w:vAlign w:val="center"/>
                </w:tcPr>
                <w:p w14:paraId="78A1529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pacing w:val="6"/>
                      <w:sz w:val="21"/>
                      <w:szCs w:val="21"/>
                    </w:rPr>
                  </w:pPr>
                  <w:r>
                    <w:rPr>
                      <w:rFonts w:hint="default" w:ascii="Times New Roman" w:hAnsi="Times New Roman" w:eastAsia="宋体"/>
                      <w:color w:val="auto"/>
                      <w:spacing w:val="6"/>
                      <w:sz w:val="21"/>
                      <w:szCs w:val="21"/>
                      <w:highlight w:val="none"/>
                      <w:lang w:val="en-US" w:eastAsia="zh-CN"/>
                    </w:rPr>
                    <w:t>《福建省工业炉窑大气污染综合治理方案》（闽环保大气〔2019〕10号）中明确规定的重点区域限值</w:t>
                  </w:r>
                </w:p>
              </w:tc>
            </w:tr>
            <w:tr w14:paraId="5D961C1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878" w:type="pct"/>
                  <w:tcBorders>
                    <w:tl2br w:val="nil"/>
                    <w:tr2bl w:val="nil"/>
                  </w:tcBorders>
                  <w:shd w:val="clear" w:color="auto" w:fill="auto"/>
                  <w:vAlign w:val="center"/>
                </w:tcPr>
                <w:p w14:paraId="31B6EE8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Times New Roman" w:cs="Times New Roman"/>
                      <w:color w:val="auto"/>
                      <w:kern w:val="2"/>
                      <w:sz w:val="21"/>
                      <w:szCs w:val="21"/>
                      <w:lang w:val="en-US" w:eastAsia="zh-CN" w:bidi="ar-SA"/>
                    </w:rPr>
                  </w:pPr>
                  <w:r>
                    <w:rPr>
                      <w:rFonts w:ascii="Times New Roman" w:hAnsi="Times New Roman" w:eastAsia="Times New Roman" w:cs="Times New Roman"/>
                      <w:color w:val="auto"/>
                      <w:spacing w:val="6"/>
                      <w:sz w:val="21"/>
                      <w:szCs w:val="21"/>
                    </w:rPr>
                    <w:t>NOx</w:t>
                  </w:r>
                </w:p>
              </w:tc>
              <w:tc>
                <w:tcPr>
                  <w:tcW w:w="792" w:type="pct"/>
                  <w:tcBorders>
                    <w:tl2br w:val="nil"/>
                    <w:tr2bl w:val="nil"/>
                  </w:tcBorders>
                  <w:shd w:val="clear" w:color="auto" w:fill="auto"/>
                  <w:vAlign w:val="center"/>
                </w:tcPr>
                <w:p w14:paraId="6D968A1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宋体" w:hAnsi="宋体" w:eastAsia="宋体" w:cs="宋体"/>
                      <w:color w:val="auto"/>
                      <w:kern w:val="2"/>
                      <w:sz w:val="21"/>
                      <w:szCs w:val="21"/>
                      <w:lang w:val="en-US" w:eastAsia="en-US" w:bidi="ar-SA"/>
                    </w:rPr>
                  </w:pPr>
                  <w:r>
                    <w:rPr>
                      <w:rFonts w:ascii="Times New Roman" w:hAnsi="Times New Roman" w:eastAsia="Times New Roman" w:cs="Times New Roman"/>
                      <w:color w:val="auto"/>
                      <w:spacing w:val="-3"/>
                      <w:sz w:val="21"/>
                      <w:szCs w:val="21"/>
                    </w:rPr>
                    <w:t>1</w:t>
                  </w:r>
                  <w:r>
                    <w:rPr>
                      <w:color w:val="auto"/>
                      <w:spacing w:val="-3"/>
                      <w:sz w:val="21"/>
                      <w:szCs w:val="21"/>
                    </w:rPr>
                    <w:t>次</w:t>
                  </w:r>
                  <w:r>
                    <w:rPr>
                      <w:rFonts w:ascii="Times New Roman" w:hAnsi="Times New Roman" w:eastAsia="Times New Roman" w:cs="Times New Roman"/>
                      <w:color w:val="auto"/>
                      <w:spacing w:val="-3"/>
                      <w:sz w:val="21"/>
                      <w:szCs w:val="21"/>
                    </w:rPr>
                    <w:t>/</w:t>
                  </w:r>
                  <w:r>
                    <w:rPr>
                      <w:color w:val="auto"/>
                      <w:spacing w:val="-3"/>
                      <w:sz w:val="21"/>
                      <w:szCs w:val="21"/>
                    </w:rPr>
                    <w:t>年</w:t>
                  </w:r>
                </w:p>
              </w:tc>
              <w:tc>
                <w:tcPr>
                  <w:tcW w:w="3328" w:type="pct"/>
                  <w:vMerge w:val="continue"/>
                  <w:tcBorders>
                    <w:tl2br w:val="nil"/>
                    <w:tr2bl w:val="nil"/>
                  </w:tcBorders>
                  <w:vAlign w:val="center"/>
                </w:tcPr>
                <w:p w14:paraId="3C432D1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ascii="Times New Roman" w:hAnsi="Times New Roman" w:eastAsia="宋体"/>
                      <w:color w:val="auto"/>
                      <w:spacing w:val="6"/>
                      <w:sz w:val="21"/>
                      <w:szCs w:val="21"/>
                    </w:rPr>
                  </w:pPr>
                </w:p>
              </w:tc>
            </w:tr>
          </w:tbl>
          <w:p w14:paraId="2D723F87">
            <w:pPr>
              <w:rPr>
                <w:rFonts w:hint="eastAsia"/>
                <w:color w:val="auto"/>
                <w:lang w:val="en-US" w:eastAsia="zh-CN"/>
              </w:rPr>
            </w:pPr>
          </w:p>
          <w:p w14:paraId="2A6E8A42">
            <w:pPr>
              <w:pStyle w:val="3"/>
              <w:numPr>
                <w:ilvl w:val="1"/>
                <w:numId w:val="1"/>
              </w:numPr>
              <w:bidi w:val="0"/>
              <w:ind w:left="0" w:leftChars="0" w:firstLine="0" w:firstLineChars="0"/>
              <w:rPr>
                <w:color w:val="auto"/>
                <w:highlight w:val="none"/>
              </w:rPr>
            </w:pPr>
            <w:bookmarkStart w:id="47" w:name="_Toc20164"/>
            <w:r>
              <w:rPr>
                <w:rFonts w:hint="eastAsia"/>
                <w:color w:val="auto"/>
                <w:highlight w:val="none"/>
                <w:lang w:val="en-US" w:eastAsia="zh-CN"/>
              </w:rPr>
              <w:t>运营期</w:t>
            </w:r>
            <w:r>
              <w:rPr>
                <w:color w:val="auto"/>
                <w:highlight w:val="none"/>
              </w:rPr>
              <w:t>水环境</w:t>
            </w:r>
            <w:r>
              <w:rPr>
                <w:rFonts w:hint="eastAsia"/>
                <w:color w:val="auto"/>
                <w:highlight w:val="none"/>
                <w:lang w:val="en-US" w:eastAsia="zh-CN"/>
              </w:rPr>
              <w:t>影响分析</w:t>
            </w:r>
            <w:bookmarkEnd w:id="47"/>
          </w:p>
          <w:p w14:paraId="1B6B6B26">
            <w:pPr>
              <w:pStyle w:val="4"/>
              <w:numPr>
                <w:ilvl w:val="2"/>
                <w:numId w:val="1"/>
              </w:numPr>
              <w:bidi w:val="0"/>
              <w:ind w:left="720" w:leftChars="0" w:hanging="720" w:firstLineChars="0"/>
              <w:rPr>
                <w:rFonts w:hint="default"/>
                <w:color w:val="auto"/>
                <w:highlight w:val="none"/>
              </w:rPr>
            </w:pPr>
            <w:r>
              <w:rPr>
                <w:rFonts w:hint="eastAsia"/>
                <w:color w:val="auto"/>
                <w:highlight w:val="none"/>
              </w:rPr>
              <w:t>废水污染源强分析</w:t>
            </w:r>
          </w:p>
          <w:p w14:paraId="4834CF3E">
            <w:pPr>
              <w:pStyle w:val="44"/>
              <w:ind w:firstLine="480"/>
              <w:rPr>
                <w:rFonts w:hint="eastAsia"/>
                <w:color w:val="auto"/>
                <w:highlight w:val="none"/>
                <w:lang w:val="en-US" w:eastAsia="zh-CN"/>
              </w:rPr>
            </w:pPr>
            <w:r>
              <w:rPr>
                <w:rFonts w:hint="eastAsia"/>
                <w:color w:val="auto"/>
                <w:highlight w:val="none"/>
                <w:lang w:val="en-US" w:eastAsia="zh-CN"/>
              </w:rPr>
              <w:t>本项目外排废水主要为生活污水。项目废水治理设施、废水污染物排放口、排放口基本情况详见下表。</w:t>
            </w:r>
            <w:bookmarkStart w:id="48" w:name="_Ref24577"/>
          </w:p>
          <w:p w14:paraId="7B369403">
            <w:pPr>
              <w:pStyle w:val="42"/>
              <w:keepNext/>
              <w:keepLines/>
              <w:pageBreakBefore w:val="0"/>
              <w:widowControl w:val="0"/>
              <w:numPr>
                <w:ilvl w:val="7"/>
                <w:numId w:val="1"/>
              </w:numPr>
              <w:kinsoku/>
              <w:wordWrap/>
              <w:overflowPunct/>
              <w:topLinePunct w:val="0"/>
              <w:autoSpaceDE/>
              <w:autoSpaceDN/>
              <w:bidi w:val="0"/>
              <w:adjustRightInd/>
              <w:snapToGrid/>
              <w:spacing w:before="157" w:beforeLines="50" w:after="0"/>
              <w:ind w:left="210" w:lef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项目废水治理设施一览表</w:t>
            </w:r>
            <w:bookmarkEnd w:id="48"/>
          </w:p>
          <w:tbl>
            <w:tblPr>
              <w:tblStyle w:val="84"/>
              <w:tblW w:w="8562" w:type="dxa"/>
              <w:tblInd w:w="246"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42"/>
              <w:gridCol w:w="746"/>
              <w:gridCol w:w="922"/>
              <w:gridCol w:w="955"/>
              <w:gridCol w:w="597"/>
              <w:gridCol w:w="818"/>
              <w:gridCol w:w="947"/>
              <w:gridCol w:w="835"/>
              <w:gridCol w:w="1000"/>
              <w:gridCol w:w="1400"/>
            </w:tblGrid>
            <w:tr w14:paraId="21DAB51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2" w:hRule="atLeast"/>
              </w:trPr>
              <w:tc>
                <w:tcPr>
                  <w:tcW w:w="342" w:type="dxa"/>
                  <w:vMerge w:val="restart"/>
                  <w:tcBorders>
                    <w:tl2br w:val="nil"/>
                    <w:tr2bl w:val="nil"/>
                  </w:tcBorders>
                  <w:textDirection w:val="tbRlV"/>
                  <w:vAlign w:val="center"/>
                </w:tcPr>
                <w:p w14:paraId="45D52BA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序号</w:t>
                  </w:r>
                </w:p>
              </w:tc>
              <w:tc>
                <w:tcPr>
                  <w:tcW w:w="746" w:type="dxa"/>
                  <w:vMerge w:val="restart"/>
                  <w:tcBorders>
                    <w:tl2br w:val="nil"/>
                    <w:tr2bl w:val="nil"/>
                  </w:tcBorders>
                  <w:vAlign w:val="center"/>
                </w:tcPr>
                <w:p w14:paraId="06FBA39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废水</w:t>
                  </w:r>
                </w:p>
                <w:p w14:paraId="5FD94E5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类别</w:t>
                  </w:r>
                </w:p>
              </w:tc>
              <w:tc>
                <w:tcPr>
                  <w:tcW w:w="922" w:type="dxa"/>
                  <w:vMerge w:val="restart"/>
                  <w:tcBorders>
                    <w:tl2br w:val="nil"/>
                    <w:tr2bl w:val="nil"/>
                  </w:tcBorders>
                  <w:vAlign w:val="center"/>
                </w:tcPr>
                <w:p w14:paraId="3999C0E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污染物种类</w:t>
                  </w:r>
                </w:p>
              </w:tc>
              <w:tc>
                <w:tcPr>
                  <w:tcW w:w="955" w:type="dxa"/>
                  <w:vMerge w:val="restart"/>
                  <w:tcBorders>
                    <w:tl2br w:val="nil"/>
                    <w:tr2bl w:val="nil"/>
                  </w:tcBorders>
                  <w:vAlign w:val="center"/>
                </w:tcPr>
                <w:p w14:paraId="6767ECE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排放去向</w:t>
                  </w:r>
                </w:p>
              </w:tc>
              <w:tc>
                <w:tcPr>
                  <w:tcW w:w="597" w:type="dxa"/>
                  <w:vMerge w:val="restart"/>
                  <w:tcBorders>
                    <w:tl2br w:val="nil"/>
                    <w:tr2bl w:val="nil"/>
                  </w:tcBorders>
                  <w:vAlign w:val="center"/>
                </w:tcPr>
                <w:p w14:paraId="7BC73D0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w:t>
                  </w:r>
                </w:p>
                <w:p w14:paraId="4820B76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规律</w:t>
                  </w:r>
                </w:p>
              </w:tc>
              <w:tc>
                <w:tcPr>
                  <w:tcW w:w="2600" w:type="dxa"/>
                  <w:gridSpan w:val="3"/>
                  <w:tcBorders>
                    <w:tl2br w:val="nil"/>
                    <w:tr2bl w:val="nil"/>
                  </w:tcBorders>
                  <w:vAlign w:val="center"/>
                </w:tcPr>
                <w:p w14:paraId="07D9CA7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污染治理设施</w:t>
                  </w:r>
                </w:p>
              </w:tc>
              <w:tc>
                <w:tcPr>
                  <w:tcW w:w="1000" w:type="dxa"/>
                  <w:vMerge w:val="restart"/>
                  <w:tcBorders>
                    <w:tl2br w:val="nil"/>
                    <w:tr2bl w:val="nil"/>
                  </w:tcBorders>
                  <w:vAlign w:val="center"/>
                </w:tcPr>
                <w:p w14:paraId="0F759EA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w:t>
                  </w:r>
                </w:p>
                <w:p w14:paraId="4D38114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口编号</w:t>
                  </w:r>
                </w:p>
              </w:tc>
              <w:tc>
                <w:tcPr>
                  <w:tcW w:w="1400" w:type="dxa"/>
                  <w:vMerge w:val="restart"/>
                  <w:tcBorders>
                    <w:tl2br w:val="nil"/>
                    <w:tr2bl w:val="nil"/>
                  </w:tcBorders>
                  <w:vAlign w:val="center"/>
                </w:tcPr>
                <w:p w14:paraId="432F03D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排放口</w:t>
                  </w:r>
                </w:p>
                <w:p w14:paraId="5924508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设置是</w:t>
                  </w:r>
                </w:p>
                <w:p w14:paraId="44E42A2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否符合要求</w:t>
                  </w:r>
                </w:p>
              </w:tc>
            </w:tr>
            <w:tr w14:paraId="0AA967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92" w:hRule="atLeast"/>
              </w:trPr>
              <w:tc>
                <w:tcPr>
                  <w:tcW w:w="342" w:type="dxa"/>
                  <w:vMerge w:val="continue"/>
                  <w:tcBorders>
                    <w:tl2br w:val="nil"/>
                    <w:tr2bl w:val="nil"/>
                  </w:tcBorders>
                  <w:textDirection w:val="tbRlV"/>
                  <w:vAlign w:val="center"/>
                </w:tcPr>
                <w:p w14:paraId="18BB854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746" w:type="dxa"/>
                  <w:vMerge w:val="continue"/>
                  <w:tcBorders>
                    <w:tl2br w:val="nil"/>
                    <w:tr2bl w:val="nil"/>
                  </w:tcBorders>
                  <w:vAlign w:val="center"/>
                </w:tcPr>
                <w:p w14:paraId="66C6918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922" w:type="dxa"/>
                  <w:vMerge w:val="continue"/>
                  <w:tcBorders>
                    <w:tl2br w:val="nil"/>
                    <w:tr2bl w:val="nil"/>
                  </w:tcBorders>
                  <w:vAlign w:val="center"/>
                </w:tcPr>
                <w:p w14:paraId="55C867F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955" w:type="dxa"/>
                  <w:vMerge w:val="continue"/>
                  <w:tcBorders>
                    <w:tl2br w:val="nil"/>
                    <w:tr2bl w:val="nil"/>
                  </w:tcBorders>
                  <w:vAlign w:val="center"/>
                </w:tcPr>
                <w:p w14:paraId="3472490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597" w:type="dxa"/>
                  <w:vMerge w:val="continue"/>
                  <w:tcBorders>
                    <w:tl2br w:val="nil"/>
                    <w:tr2bl w:val="nil"/>
                  </w:tcBorders>
                  <w:vAlign w:val="center"/>
                </w:tcPr>
                <w:p w14:paraId="49C4B07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818" w:type="dxa"/>
                  <w:tcBorders>
                    <w:tl2br w:val="nil"/>
                    <w:tr2bl w:val="nil"/>
                  </w:tcBorders>
                  <w:vAlign w:val="center"/>
                </w:tcPr>
                <w:p w14:paraId="5D423F4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污染治</w:t>
                  </w:r>
                </w:p>
                <w:p w14:paraId="6567C62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理设施名称</w:t>
                  </w:r>
                </w:p>
              </w:tc>
              <w:tc>
                <w:tcPr>
                  <w:tcW w:w="947" w:type="dxa"/>
                  <w:tcBorders>
                    <w:tl2br w:val="nil"/>
                    <w:tr2bl w:val="nil"/>
                  </w:tcBorders>
                  <w:vAlign w:val="center"/>
                </w:tcPr>
                <w:p w14:paraId="57BECF6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污染治理</w:t>
                  </w:r>
                </w:p>
                <w:p w14:paraId="6C2760E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设施工艺</w:t>
                  </w:r>
                </w:p>
              </w:tc>
              <w:tc>
                <w:tcPr>
                  <w:tcW w:w="835" w:type="dxa"/>
                  <w:tcBorders>
                    <w:tl2br w:val="nil"/>
                    <w:tr2bl w:val="nil"/>
                  </w:tcBorders>
                  <w:vAlign w:val="center"/>
                </w:tcPr>
                <w:p w14:paraId="5D46614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是否</w:t>
                  </w:r>
                </w:p>
                <w:p w14:paraId="580DC78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为可</w:t>
                  </w:r>
                </w:p>
                <w:p w14:paraId="4D07C3B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行技术</w:t>
                  </w:r>
                </w:p>
              </w:tc>
              <w:tc>
                <w:tcPr>
                  <w:tcW w:w="1000" w:type="dxa"/>
                  <w:vMerge w:val="continue"/>
                  <w:tcBorders>
                    <w:tl2br w:val="nil"/>
                    <w:tr2bl w:val="nil"/>
                  </w:tcBorders>
                  <w:vAlign w:val="center"/>
                </w:tcPr>
                <w:p w14:paraId="2477F80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400" w:type="dxa"/>
                  <w:vMerge w:val="continue"/>
                  <w:tcBorders>
                    <w:tl2br w:val="nil"/>
                    <w:tr2bl w:val="nil"/>
                  </w:tcBorders>
                  <w:vAlign w:val="center"/>
                </w:tcPr>
                <w:p w14:paraId="35028A0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r>
            <w:tr w14:paraId="529C60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09" w:hRule="atLeast"/>
              </w:trPr>
              <w:tc>
                <w:tcPr>
                  <w:tcW w:w="342" w:type="dxa"/>
                  <w:tcBorders>
                    <w:tl2br w:val="nil"/>
                    <w:tr2bl w:val="nil"/>
                  </w:tcBorders>
                  <w:vAlign w:val="center"/>
                </w:tcPr>
                <w:p w14:paraId="499AA10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1</w:t>
                  </w:r>
                </w:p>
              </w:tc>
              <w:tc>
                <w:tcPr>
                  <w:tcW w:w="746" w:type="dxa"/>
                  <w:tcBorders>
                    <w:tl2br w:val="nil"/>
                    <w:tr2bl w:val="nil"/>
                  </w:tcBorders>
                  <w:vAlign w:val="center"/>
                </w:tcPr>
                <w:p w14:paraId="096D2D2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生产废</w:t>
                  </w:r>
                </w:p>
                <w:p w14:paraId="473B8BF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水</w:t>
                  </w:r>
                </w:p>
              </w:tc>
              <w:tc>
                <w:tcPr>
                  <w:tcW w:w="922" w:type="dxa"/>
                  <w:tcBorders>
                    <w:tl2br w:val="nil"/>
                    <w:tr2bl w:val="nil"/>
                  </w:tcBorders>
                  <w:vAlign w:val="center"/>
                </w:tcPr>
                <w:p w14:paraId="69A7852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COD、</w:t>
                  </w:r>
                </w:p>
                <w:p w14:paraId="5303773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SS、</w:t>
                  </w:r>
                </w:p>
                <w:p w14:paraId="0EBC3A0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NH</w:t>
                  </w:r>
                  <w:r>
                    <w:rPr>
                      <w:rFonts w:ascii="Times New Roman" w:hAnsi="Times New Roman" w:eastAsia="宋体" w:cs="Times New Roman"/>
                      <w:color w:val="auto"/>
                      <w:sz w:val="21"/>
                      <w:highlight w:val="none"/>
                      <w:vertAlign w:val="subscript"/>
                    </w:rPr>
                    <w:t>3</w:t>
                  </w:r>
                  <w:r>
                    <w:rPr>
                      <w:rFonts w:ascii="Times New Roman" w:hAnsi="Times New Roman" w:eastAsia="宋体" w:cs="Times New Roman"/>
                      <w:color w:val="auto"/>
                      <w:sz w:val="21"/>
                      <w:highlight w:val="none"/>
                    </w:rPr>
                    <w:t>-N、</w:t>
                  </w:r>
                </w:p>
                <w:p w14:paraId="402EFDD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BOD</w:t>
                  </w:r>
                  <w:r>
                    <w:rPr>
                      <w:rFonts w:ascii="Times New Roman" w:hAnsi="Times New Roman" w:eastAsia="宋体" w:cs="Times New Roman"/>
                      <w:color w:val="auto"/>
                      <w:sz w:val="21"/>
                      <w:highlight w:val="none"/>
                      <w:vertAlign w:val="subscript"/>
                    </w:rPr>
                    <w:t>5</w:t>
                  </w:r>
                  <w:r>
                    <w:rPr>
                      <w:rFonts w:ascii="Times New Roman" w:hAnsi="Times New Roman" w:eastAsia="宋体" w:cs="Times New Roman"/>
                      <w:color w:val="auto"/>
                      <w:sz w:val="21"/>
                      <w:highlight w:val="none"/>
                    </w:rPr>
                    <w:t>、石</w:t>
                  </w:r>
                </w:p>
                <w:p w14:paraId="73AF62F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油类、</w:t>
                  </w:r>
                </w:p>
                <w:p w14:paraId="5B49FC2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LAS</w:t>
                  </w:r>
                </w:p>
              </w:tc>
              <w:tc>
                <w:tcPr>
                  <w:tcW w:w="955" w:type="dxa"/>
                  <w:vMerge w:val="restart"/>
                  <w:tcBorders>
                    <w:tl2br w:val="nil"/>
                    <w:tr2bl w:val="nil"/>
                  </w:tcBorders>
                  <w:vAlign w:val="center"/>
                </w:tcPr>
                <w:p w14:paraId="61BBD39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福清市第二污水处理厂</w:t>
                  </w:r>
                </w:p>
              </w:tc>
              <w:tc>
                <w:tcPr>
                  <w:tcW w:w="597" w:type="dxa"/>
                  <w:tcBorders>
                    <w:tl2br w:val="nil"/>
                    <w:tr2bl w:val="nil"/>
                  </w:tcBorders>
                  <w:vAlign w:val="center"/>
                </w:tcPr>
                <w:p w14:paraId="5479E56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间歇</w:t>
                  </w:r>
                </w:p>
              </w:tc>
              <w:tc>
                <w:tcPr>
                  <w:tcW w:w="818" w:type="dxa"/>
                  <w:tcBorders>
                    <w:tl2br w:val="nil"/>
                    <w:tr2bl w:val="nil"/>
                  </w:tcBorders>
                  <w:vAlign w:val="center"/>
                </w:tcPr>
                <w:p w14:paraId="22F1AA4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w:t>
                  </w:r>
                  <w:r>
                    <w:rPr>
                      <w:rFonts w:hint="eastAsia" w:ascii="Times New Roman" w:hAnsi="Times New Roman" w:cs="Times New Roman"/>
                      <w:color w:val="auto"/>
                      <w:sz w:val="21"/>
                      <w:highlight w:val="none"/>
                      <w:lang w:eastAsia="zh-CN"/>
                    </w:rPr>
                    <w:t>气浮+A/O+沉淀</w:t>
                  </w:r>
                  <w:r>
                    <w:rPr>
                      <w:rFonts w:ascii="Times New Roman" w:hAnsi="Times New Roman" w:eastAsia="宋体" w:cs="Times New Roman"/>
                      <w:color w:val="auto"/>
                      <w:sz w:val="21"/>
                      <w:highlight w:val="none"/>
                    </w:rPr>
                    <w:t>”</w:t>
                  </w:r>
                </w:p>
                <w:p w14:paraId="45F5B89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处理设施</w:t>
                  </w:r>
                </w:p>
              </w:tc>
              <w:tc>
                <w:tcPr>
                  <w:tcW w:w="947" w:type="dxa"/>
                  <w:tcBorders>
                    <w:tl2br w:val="nil"/>
                    <w:tr2bl w:val="nil"/>
                  </w:tcBorders>
                  <w:vAlign w:val="center"/>
                </w:tcPr>
                <w:p w14:paraId="5A9E8EE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eastAsia="zh-CN"/>
                    </w:rPr>
                  </w:pPr>
                  <w:r>
                    <w:rPr>
                      <w:rFonts w:hint="eastAsia" w:ascii="Times New Roman" w:hAnsi="Times New Roman" w:cs="Times New Roman"/>
                      <w:color w:val="auto"/>
                      <w:sz w:val="21"/>
                      <w:highlight w:val="none"/>
                      <w:lang w:eastAsia="zh-CN"/>
                    </w:rPr>
                    <w:t>气浮+A/O+沉淀</w:t>
                  </w:r>
                </w:p>
              </w:tc>
              <w:tc>
                <w:tcPr>
                  <w:tcW w:w="835" w:type="dxa"/>
                  <w:tcBorders>
                    <w:tl2br w:val="nil"/>
                    <w:tr2bl w:val="nil"/>
                  </w:tcBorders>
                  <w:vAlign w:val="center"/>
                </w:tcPr>
                <w:p w14:paraId="6A44BEA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是</w:t>
                  </w:r>
                </w:p>
              </w:tc>
              <w:tc>
                <w:tcPr>
                  <w:tcW w:w="1000" w:type="dxa"/>
                  <w:tcBorders>
                    <w:tl2br w:val="nil"/>
                    <w:tr2bl w:val="nil"/>
                  </w:tcBorders>
                  <w:vAlign w:val="center"/>
                </w:tcPr>
                <w:p w14:paraId="5F3072C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eastAsia="zh-CN"/>
                    </w:rPr>
                  </w:pPr>
                  <w:r>
                    <w:rPr>
                      <w:rFonts w:ascii="Times New Roman" w:hAnsi="Times New Roman" w:eastAsia="宋体" w:cs="Times New Roman"/>
                      <w:color w:val="auto"/>
                      <w:sz w:val="21"/>
                      <w:highlight w:val="none"/>
                    </w:rPr>
                    <w:t>DW00</w:t>
                  </w:r>
                  <w:r>
                    <w:rPr>
                      <w:rFonts w:hint="eastAsia" w:ascii="Times New Roman" w:hAnsi="Times New Roman" w:cs="Times New Roman"/>
                      <w:color w:val="auto"/>
                      <w:sz w:val="21"/>
                      <w:highlight w:val="none"/>
                      <w:lang w:val="en-US" w:eastAsia="zh-CN"/>
                    </w:rPr>
                    <w:t>2</w:t>
                  </w:r>
                </w:p>
              </w:tc>
              <w:tc>
                <w:tcPr>
                  <w:tcW w:w="1400" w:type="dxa"/>
                  <w:vMerge w:val="restart"/>
                  <w:tcBorders>
                    <w:tl2br w:val="nil"/>
                    <w:tr2bl w:val="nil"/>
                  </w:tcBorders>
                  <w:vAlign w:val="center"/>
                </w:tcPr>
                <w:p w14:paraId="625D86C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是</w:t>
                  </w:r>
                </w:p>
              </w:tc>
            </w:tr>
            <w:tr w14:paraId="4540C1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071" w:hRule="atLeast"/>
              </w:trPr>
              <w:tc>
                <w:tcPr>
                  <w:tcW w:w="342" w:type="dxa"/>
                  <w:tcBorders>
                    <w:tl2br w:val="nil"/>
                    <w:tr2bl w:val="nil"/>
                  </w:tcBorders>
                  <w:vAlign w:val="center"/>
                </w:tcPr>
                <w:p w14:paraId="3F5B45E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2</w:t>
                  </w:r>
                </w:p>
              </w:tc>
              <w:tc>
                <w:tcPr>
                  <w:tcW w:w="746" w:type="dxa"/>
                  <w:tcBorders>
                    <w:tl2br w:val="nil"/>
                    <w:tr2bl w:val="nil"/>
                  </w:tcBorders>
                  <w:vAlign w:val="center"/>
                </w:tcPr>
                <w:p w14:paraId="780E64B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生活污</w:t>
                  </w:r>
                </w:p>
                <w:p w14:paraId="393F010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水</w:t>
                  </w:r>
                </w:p>
              </w:tc>
              <w:tc>
                <w:tcPr>
                  <w:tcW w:w="922" w:type="dxa"/>
                  <w:tcBorders>
                    <w:tl2br w:val="nil"/>
                    <w:tr2bl w:val="nil"/>
                  </w:tcBorders>
                  <w:vAlign w:val="center"/>
                </w:tcPr>
                <w:p w14:paraId="5875FA8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COD</w:t>
                  </w:r>
                  <w:r>
                    <w:rPr>
                      <w:rFonts w:ascii="Times New Roman" w:hAnsi="Times New Roman" w:eastAsia="宋体" w:cs="Times New Roman"/>
                      <w:color w:val="auto"/>
                      <w:sz w:val="21"/>
                      <w:highlight w:val="none"/>
                      <w:vertAlign w:val="subscript"/>
                    </w:rPr>
                    <w:t>Cr</w:t>
                  </w:r>
                  <w:r>
                    <w:rPr>
                      <w:rFonts w:ascii="Times New Roman" w:hAnsi="Times New Roman" w:eastAsia="宋体" w:cs="Times New Roman"/>
                      <w:color w:val="auto"/>
                      <w:sz w:val="21"/>
                      <w:highlight w:val="none"/>
                    </w:rPr>
                    <w:t>、</w:t>
                  </w:r>
                </w:p>
                <w:p w14:paraId="54A745C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BOD</w:t>
                  </w:r>
                  <w:r>
                    <w:rPr>
                      <w:rFonts w:ascii="Times New Roman" w:hAnsi="Times New Roman" w:eastAsia="宋体" w:cs="Times New Roman"/>
                      <w:color w:val="auto"/>
                      <w:sz w:val="21"/>
                      <w:highlight w:val="none"/>
                      <w:vertAlign w:val="subscript"/>
                    </w:rPr>
                    <w:t>5</w:t>
                  </w:r>
                  <w:r>
                    <w:rPr>
                      <w:rFonts w:ascii="Times New Roman" w:hAnsi="Times New Roman" w:eastAsia="宋体" w:cs="Times New Roman"/>
                      <w:color w:val="auto"/>
                      <w:sz w:val="21"/>
                      <w:highlight w:val="none"/>
                    </w:rPr>
                    <w:t>、</w:t>
                  </w:r>
                </w:p>
                <w:p w14:paraId="0076267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SS、</w:t>
                  </w:r>
                </w:p>
                <w:p w14:paraId="2AC2921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NH</w:t>
                  </w:r>
                  <w:r>
                    <w:rPr>
                      <w:rFonts w:ascii="Times New Roman" w:hAnsi="Times New Roman" w:eastAsia="宋体" w:cs="Times New Roman"/>
                      <w:color w:val="auto"/>
                      <w:sz w:val="21"/>
                      <w:highlight w:val="none"/>
                      <w:vertAlign w:val="subscript"/>
                    </w:rPr>
                    <w:t>3</w:t>
                  </w:r>
                  <w:r>
                    <w:rPr>
                      <w:rFonts w:ascii="Times New Roman" w:hAnsi="Times New Roman" w:eastAsia="宋体" w:cs="Times New Roman"/>
                      <w:color w:val="auto"/>
                      <w:sz w:val="21"/>
                      <w:highlight w:val="none"/>
                    </w:rPr>
                    <w:t>-N</w:t>
                  </w:r>
                </w:p>
              </w:tc>
              <w:tc>
                <w:tcPr>
                  <w:tcW w:w="955" w:type="dxa"/>
                  <w:vMerge w:val="continue"/>
                  <w:tcBorders>
                    <w:tl2br w:val="nil"/>
                    <w:tr2bl w:val="nil"/>
                  </w:tcBorders>
                  <w:vAlign w:val="center"/>
                </w:tcPr>
                <w:p w14:paraId="3ECD50F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597" w:type="dxa"/>
                  <w:tcBorders>
                    <w:tl2br w:val="nil"/>
                    <w:tr2bl w:val="nil"/>
                  </w:tcBorders>
                  <w:textDirection w:val="tbRlV"/>
                  <w:vAlign w:val="center"/>
                </w:tcPr>
                <w:p w14:paraId="2E7D259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间歇</w:t>
                  </w:r>
                </w:p>
              </w:tc>
              <w:tc>
                <w:tcPr>
                  <w:tcW w:w="818" w:type="dxa"/>
                  <w:tcBorders>
                    <w:tl2br w:val="nil"/>
                    <w:tr2bl w:val="nil"/>
                  </w:tcBorders>
                  <w:vAlign w:val="center"/>
                </w:tcPr>
                <w:p w14:paraId="6217B9E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化粪池</w:t>
                  </w:r>
                </w:p>
              </w:tc>
              <w:tc>
                <w:tcPr>
                  <w:tcW w:w="947" w:type="dxa"/>
                  <w:tcBorders>
                    <w:tl2br w:val="nil"/>
                    <w:tr2bl w:val="nil"/>
                  </w:tcBorders>
                  <w:vAlign w:val="center"/>
                </w:tcPr>
                <w:p w14:paraId="649D503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沉淀</w:t>
                  </w:r>
                </w:p>
              </w:tc>
              <w:tc>
                <w:tcPr>
                  <w:tcW w:w="835" w:type="dxa"/>
                  <w:tcBorders>
                    <w:tl2br w:val="nil"/>
                    <w:tr2bl w:val="nil"/>
                  </w:tcBorders>
                  <w:vAlign w:val="center"/>
                </w:tcPr>
                <w:p w14:paraId="401A195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是</w:t>
                  </w:r>
                </w:p>
              </w:tc>
              <w:tc>
                <w:tcPr>
                  <w:tcW w:w="1000" w:type="dxa"/>
                  <w:tcBorders>
                    <w:tl2br w:val="nil"/>
                    <w:tr2bl w:val="nil"/>
                  </w:tcBorders>
                  <w:vAlign w:val="center"/>
                </w:tcPr>
                <w:p w14:paraId="37BA2BA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DW001</w:t>
                  </w:r>
                </w:p>
              </w:tc>
              <w:tc>
                <w:tcPr>
                  <w:tcW w:w="1400" w:type="dxa"/>
                  <w:vMerge w:val="continue"/>
                  <w:tcBorders>
                    <w:tl2br w:val="nil"/>
                    <w:tr2bl w:val="nil"/>
                  </w:tcBorders>
                  <w:vAlign w:val="center"/>
                </w:tcPr>
                <w:p w14:paraId="7FB3CD7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r>
          </w:tbl>
          <w:p w14:paraId="7E809294">
            <w:pPr>
              <w:rPr>
                <w:rFonts w:hint="eastAsia"/>
                <w:color w:val="auto"/>
                <w:highlight w:val="none"/>
                <w:lang w:val="en-US" w:eastAsia="zh-CN"/>
              </w:rPr>
            </w:pPr>
          </w:p>
          <w:p w14:paraId="697B5F07">
            <w:pPr>
              <w:pStyle w:val="42"/>
              <w:keepNext/>
              <w:keepLines/>
              <w:pageBreakBefore w:val="0"/>
              <w:widowControl w:val="0"/>
              <w:numPr>
                <w:ilvl w:val="7"/>
                <w:numId w:val="1"/>
              </w:numPr>
              <w:kinsoku/>
              <w:wordWrap/>
              <w:overflowPunct/>
              <w:topLinePunct w:val="0"/>
              <w:autoSpaceDE/>
              <w:autoSpaceDN/>
              <w:bidi w:val="0"/>
              <w:adjustRightInd/>
              <w:snapToGrid/>
              <w:spacing w:before="157" w:beforeLines="50" w:after="0"/>
              <w:ind w:left="630" w:leftChars="0" w:firstLine="0" w:firstLineChars="0"/>
              <w:textAlignment w:val="auto"/>
              <w:rPr>
                <w:rFonts w:hint="eastAsia" w:ascii="Times New Roman" w:hAnsi="Times New Roman" w:eastAsia="宋体" w:cs="Times New Roman"/>
                <w:color w:val="auto"/>
                <w:highlight w:val="none"/>
                <w:lang w:val="en-US" w:eastAsia="zh-CN"/>
              </w:rPr>
            </w:pPr>
            <w:bookmarkStart w:id="49" w:name="_Ref27296"/>
            <w:r>
              <w:rPr>
                <w:rFonts w:hint="eastAsia" w:ascii="Times New Roman" w:hAnsi="Times New Roman" w:eastAsia="宋体" w:cs="Times New Roman"/>
                <w:color w:val="auto"/>
                <w:highlight w:val="none"/>
                <w:lang w:val="en-US" w:eastAsia="zh-CN"/>
              </w:rPr>
              <w:t>项目废水源核算一览表</w:t>
            </w:r>
            <w:bookmarkEnd w:id="49"/>
          </w:p>
          <w:tbl>
            <w:tblPr>
              <w:tblStyle w:val="33"/>
              <w:tblW w:w="490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378"/>
              <w:gridCol w:w="1182"/>
              <w:gridCol w:w="851"/>
              <w:gridCol w:w="814"/>
              <w:gridCol w:w="619"/>
              <w:gridCol w:w="837"/>
              <w:gridCol w:w="769"/>
              <w:gridCol w:w="392"/>
              <w:gridCol w:w="2157"/>
              <w:gridCol w:w="759"/>
            </w:tblGrid>
            <w:tr w14:paraId="1FED7C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216" w:type="pct"/>
                  <w:vMerge w:val="restart"/>
                  <w:tcBorders>
                    <w:tl2br w:val="nil"/>
                    <w:tr2bl w:val="nil"/>
                  </w:tcBorders>
                  <w:vAlign w:val="center"/>
                </w:tcPr>
                <w:p w14:paraId="2109E6A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类别</w:t>
                  </w:r>
                </w:p>
              </w:tc>
              <w:tc>
                <w:tcPr>
                  <w:tcW w:w="675" w:type="pct"/>
                  <w:vMerge w:val="restart"/>
                  <w:tcBorders>
                    <w:tl2br w:val="nil"/>
                    <w:tr2bl w:val="nil"/>
                  </w:tcBorders>
                  <w:vAlign w:val="center"/>
                </w:tcPr>
                <w:p w14:paraId="1696C0F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污染物种类</w:t>
                  </w:r>
                </w:p>
              </w:tc>
              <w:tc>
                <w:tcPr>
                  <w:tcW w:w="951" w:type="pct"/>
                  <w:gridSpan w:val="2"/>
                  <w:tcBorders>
                    <w:tl2br w:val="nil"/>
                    <w:tr2bl w:val="nil"/>
                  </w:tcBorders>
                  <w:vAlign w:val="center"/>
                </w:tcPr>
                <w:p w14:paraId="5ED53B8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污染物产生情况</w:t>
                  </w:r>
                </w:p>
              </w:tc>
              <w:tc>
                <w:tcPr>
                  <w:tcW w:w="353" w:type="pct"/>
                  <w:vMerge w:val="restart"/>
                  <w:tcBorders>
                    <w:tl2br w:val="nil"/>
                    <w:tr2bl w:val="nil"/>
                  </w:tcBorders>
                  <w:vAlign w:val="center"/>
                </w:tcPr>
                <w:p w14:paraId="77A8EBC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净化</w:t>
                  </w:r>
                </w:p>
                <w:p w14:paraId="7EF68B4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效率</w:t>
                  </w:r>
                </w:p>
              </w:tc>
              <w:tc>
                <w:tcPr>
                  <w:tcW w:w="917" w:type="pct"/>
                  <w:gridSpan w:val="2"/>
                  <w:tcBorders>
                    <w:tl2br w:val="nil"/>
                    <w:tr2bl w:val="nil"/>
                  </w:tcBorders>
                  <w:vAlign w:val="center"/>
                </w:tcPr>
                <w:p w14:paraId="53DEA50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污染物排放情况</w:t>
                  </w:r>
                </w:p>
              </w:tc>
              <w:tc>
                <w:tcPr>
                  <w:tcW w:w="224" w:type="pct"/>
                  <w:vMerge w:val="restart"/>
                  <w:tcBorders>
                    <w:tl2br w:val="nil"/>
                    <w:tr2bl w:val="nil"/>
                  </w:tcBorders>
                  <w:vAlign w:val="center"/>
                </w:tcPr>
                <w:p w14:paraId="3AD0419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排放方式</w:t>
                  </w:r>
                </w:p>
              </w:tc>
              <w:tc>
                <w:tcPr>
                  <w:tcW w:w="1231" w:type="pct"/>
                  <w:vMerge w:val="restart"/>
                  <w:tcBorders>
                    <w:tl2br w:val="nil"/>
                    <w:tr2bl w:val="nil"/>
                  </w:tcBorders>
                  <w:vAlign w:val="center"/>
                </w:tcPr>
                <w:p w14:paraId="0764C30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排放去向</w:t>
                  </w:r>
                </w:p>
              </w:tc>
              <w:tc>
                <w:tcPr>
                  <w:tcW w:w="428" w:type="pct"/>
                  <w:vMerge w:val="restart"/>
                  <w:tcBorders>
                    <w:tl2br w:val="nil"/>
                    <w:tr2bl w:val="nil"/>
                  </w:tcBorders>
                  <w:vAlign w:val="center"/>
                </w:tcPr>
                <w:p w14:paraId="36EF3F0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排放标准mg/</w:t>
                  </w:r>
                  <w:r>
                    <w:rPr>
                      <w:rFonts w:hint="eastAsia" w:ascii="Times New Roman" w:hAnsi="Times New Roman" w:eastAsia="宋体" w:cs="Times New Roman"/>
                      <w:color w:val="auto"/>
                      <w:sz w:val="21"/>
                      <w:highlight w:val="none"/>
                    </w:rPr>
                    <w:t>L</w:t>
                  </w:r>
                </w:p>
              </w:tc>
            </w:tr>
            <w:tr w14:paraId="6A3E0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tblHeader/>
                <w:jc w:val="center"/>
              </w:trPr>
              <w:tc>
                <w:tcPr>
                  <w:tcW w:w="216" w:type="pct"/>
                  <w:vMerge w:val="continue"/>
                  <w:tcBorders>
                    <w:tl2br w:val="nil"/>
                    <w:tr2bl w:val="nil"/>
                  </w:tcBorders>
                  <w:vAlign w:val="center"/>
                </w:tcPr>
                <w:p w14:paraId="0025B24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vMerge w:val="continue"/>
                  <w:tcBorders>
                    <w:tl2br w:val="nil"/>
                    <w:tr2bl w:val="nil"/>
                  </w:tcBorders>
                  <w:vAlign w:val="center"/>
                </w:tcPr>
                <w:p w14:paraId="61D8C48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86" w:type="pct"/>
                  <w:tcBorders>
                    <w:tl2br w:val="nil"/>
                    <w:tr2bl w:val="nil"/>
                  </w:tcBorders>
                  <w:vAlign w:val="center"/>
                </w:tcPr>
                <w:p w14:paraId="5E1C79B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产生浓度mg/</w:t>
                  </w:r>
                  <w:r>
                    <w:rPr>
                      <w:rFonts w:hint="eastAsia" w:ascii="Times New Roman" w:hAnsi="Times New Roman" w:eastAsia="宋体" w:cs="Times New Roman"/>
                      <w:color w:val="auto"/>
                      <w:sz w:val="21"/>
                      <w:highlight w:val="none"/>
                    </w:rPr>
                    <w:t>L</w:t>
                  </w:r>
                </w:p>
              </w:tc>
              <w:tc>
                <w:tcPr>
                  <w:tcW w:w="464" w:type="pct"/>
                  <w:tcBorders>
                    <w:tl2br w:val="nil"/>
                    <w:tr2bl w:val="nil"/>
                  </w:tcBorders>
                  <w:vAlign w:val="center"/>
                </w:tcPr>
                <w:p w14:paraId="16CD59E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产生量t/a</w:t>
                  </w:r>
                </w:p>
              </w:tc>
              <w:tc>
                <w:tcPr>
                  <w:tcW w:w="353" w:type="pct"/>
                  <w:vMerge w:val="continue"/>
                  <w:tcBorders>
                    <w:tl2br w:val="nil"/>
                    <w:tr2bl w:val="nil"/>
                  </w:tcBorders>
                  <w:vAlign w:val="center"/>
                </w:tcPr>
                <w:p w14:paraId="2AB5E41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78" w:type="pct"/>
                  <w:tcBorders>
                    <w:tl2br w:val="nil"/>
                    <w:tr2bl w:val="nil"/>
                  </w:tcBorders>
                  <w:vAlign w:val="center"/>
                </w:tcPr>
                <w:p w14:paraId="11751D2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排放浓度mg/</w:t>
                  </w:r>
                  <w:r>
                    <w:rPr>
                      <w:rFonts w:hint="eastAsia" w:ascii="Times New Roman" w:hAnsi="Times New Roman" w:eastAsia="宋体" w:cs="Times New Roman"/>
                      <w:color w:val="auto"/>
                      <w:sz w:val="21"/>
                      <w:highlight w:val="none"/>
                    </w:rPr>
                    <w:t>L</w:t>
                  </w:r>
                </w:p>
              </w:tc>
              <w:tc>
                <w:tcPr>
                  <w:tcW w:w="438" w:type="pct"/>
                  <w:tcBorders>
                    <w:tl2br w:val="nil"/>
                    <w:tr2bl w:val="nil"/>
                  </w:tcBorders>
                  <w:vAlign w:val="center"/>
                </w:tcPr>
                <w:p w14:paraId="4765E33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排放量t/a</w:t>
                  </w:r>
                </w:p>
              </w:tc>
              <w:tc>
                <w:tcPr>
                  <w:tcW w:w="224" w:type="pct"/>
                  <w:vMerge w:val="continue"/>
                  <w:tcBorders>
                    <w:tl2br w:val="nil"/>
                    <w:tr2bl w:val="nil"/>
                  </w:tcBorders>
                  <w:vAlign w:val="center"/>
                </w:tcPr>
                <w:p w14:paraId="54E886B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035265F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vMerge w:val="continue"/>
                  <w:tcBorders>
                    <w:tl2br w:val="nil"/>
                    <w:tr2bl w:val="nil"/>
                  </w:tcBorders>
                  <w:vAlign w:val="center"/>
                </w:tcPr>
                <w:p w14:paraId="6D3BBF9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r>
            <w:tr w14:paraId="4A610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restart"/>
                  <w:tcBorders>
                    <w:tl2br w:val="nil"/>
                    <w:tr2bl w:val="nil"/>
                  </w:tcBorders>
                  <w:vAlign w:val="center"/>
                </w:tcPr>
                <w:p w14:paraId="73ACBEA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生活污水</w:t>
                  </w:r>
                </w:p>
              </w:tc>
              <w:tc>
                <w:tcPr>
                  <w:tcW w:w="675" w:type="pct"/>
                  <w:tcBorders>
                    <w:tl2br w:val="nil"/>
                    <w:tr2bl w:val="nil"/>
                  </w:tcBorders>
                  <w:vAlign w:val="center"/>
                </w:tcPr>
                <w:p w14:paraId="556F4B5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废水量</w:t>
                  </w:r>
                </w:p>
              </w:tc>
              <w:tc>
                <w:tcPr>
                  <w:tcW w:w="486" w:type="pct"/>
                  <w:tcBorders>
                    <w:tl2br w:val="nil"/>
                    <w:tr2bl w:val="nil"/>
                  </w:tcBorders>
                  <w:vAlign w:val="center"/>
                </w:tcPr>
                <w:p w14:paraId="74EC8DE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w:t>
                  </w:r>
                </w:p>
              </w:tc>
              <w:tc>
                <w:tcPr>
                  <w:tcW w:w="464" w:type="pct"/>
                  <w:tcBorders>
                    <w:tl2br w:val="nil"/>
                    <w:tr2bl w:val="nil"/>
                  </w:tcBorders>
                  <w:vAlign w:val="center"/>
                </w:tcPr>
                <w:p w14:paraId="0EBF0C7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360</w:t>
                  </w:r>
                </w:p>
              </w:tc>
              <w:tc>
                <w:tcPr>
                  <w:tcW w:w="353" w:type="pct"/>
                  <w:tcBorders>
                    <w:tl2br w:val="nil"/>
                    <w:tr2bl w:val="nil"/>
                  </w:tcBorders>
                  <w:shd w:val="clear" w:color="auto" w:fill="auto"/>
                  <w:vAlign w:val="center"/>
                </w:tcPr>
                <w:p w14:paraId="4D89A42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478" w:type="pct"/>
                  <w:tcBorders>
                    <w:tl2br w:val="nil"/>
                    <w:tr2bl w:val="nil"/>
                  </w:tcBorders>
                  <w:vAlign w:val="center"/>
                </w:tcPr>
                <w:p w14:paraId="4084C02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w:t>
                  </w:r>
                </w:p>
              </w:tc>
              <w:tc>
                <w:tcPr>
                  <w:tcW w:w="438" w:type="pct"/>
                  <w:tcBorders>
                    <w:tl2br w:val="nil"/>
                    <w:tr2bl w:val="nil"/>
                  </w:tcBorders>
                  <w:vAlign w:val="center"/>
                </w:tcPr>
                <w:p w14:paraId="4B1B143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360</w:t>
                  </w:r>
                </w:p>
              </w:tc>
              <w:tc>
                <w:tcPr>
                  <w:tcW w:w="224" w:type="pct"/>
                  <w:vMerge w:val="restart"/>
                  <w:tcBorders>
                    <w:tl2br w:val="nil"/>
                    <w:tr2bl w:val="nil"/>
                  </w:tcBorders>
                  <w:vAlign w:val="center"/>
                </w:tcPr>
                <w:p w14:paraId="2DB44DC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间接排放</w:t>
                  </w:r>
                </w:p>
              </w:tc>
              <w:tc>
                <w:tcPr>
                  <w:tcW w:w="1231" w:type="pct"/>
                  <w:vMerge w:val="restart"/>
                  <w:tcBorders>
                    <w:tl2br w:val="nil"/>
                    <w:tr2bl w:val="nil"/>
                  </w:tcBorders>
                  <w:vAlign w:val="center"/>
                </w:tcPr>
                <w:p w14:paraId="40E3E38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eastAsia="zh-CN"/>
                    </w:rPr>
                  </w:pPr>
                  <w:r>
                    <w:rPr>
                      <w:rFonts w:hint="eastAsia" w:ascii="Times New Roman" w:hAnsi="Times New Roman" w:eastAsia="宋体" w:cs="Times New Roman"/>
                      <w:color w:val="auto"/>
                      <w:sz w:val="21"/>
                      <w:highlight w:val="none"/>
                      <w:lang w:eastAsia="zh-CN"/>
                    </w:rPr>
                    <w:t>经处理达标后通过厂区污水总排放口排入市政污水管网，送往福清市第二污水处理厂集中处理</w:t>
                  </w:r>
                </w:p>
              </w:tc>
              <w:tc>
                <w:tcPr>
                  <w:tcW w:w="428" w:type="pct"/>
                  <w:tcBorders>
                    <w:tl2br w:val="nil"/>
                    <w:tr2bl w:val="nil"/>
                  </w:tcBorders>
                  <w:shd w:val="clear" w:color="auto" w:fill="auto"/>
                  <w:vAlign w:val="center"/>
                </w:tcPr>
                <w:p w14:paraId="43B40F4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r>
            <w:tr w14:paraId="7B3894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1F2EC9D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vAlign w:val="center"/>
                </w:tcPr>
                <w:p w14:paraId="1870C91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pH</w:t>
                  </w:r>
                  <w:r>
                    <w:rPr>
                      <w:rFonts w:hint="eastAsia" w:ascii="Times New Roman" w:hAnsi="Times New Roman" w:cs="Times New Roman"/>
                      <w:color w:val="auto"/>
                      <w:sz w:val="21"/>
                      <w:highlight w:val="none"/>
                      <w:lang w:eastAsia="zh-CN"/>
                    </w:rPr>
                    <w:t>(</w:t>
                  </w:r>
                  <w:r>
                    <w:rPr>
                      <w:rFonts w:ascii="Times New Roman" w:hAnsi="Times New Roman" w:eastAsia="宋体" w:cs="Times New Roman"/>
                      <w:color w:val="auto"/>
                      <w:sz w:val="21"/>
                      <w:highlight w:val="none"/>
                    </w:rPr>
                    <w:t>无量纲</w:t>
                  </w:r>
                  <w:r>
                    <w:rPr>
                      <w:rFonts w:hint="eastAsia" w:ascii="Times New Roman" w:hAnsi="Times New Roman" w:cs="Times New Roman"/>
                      <w:color w:val="auto"/>
                      <w:sz w:val="21"/>
                      <w:highlight w:val="none"/>
                      <w:lang w:eastAsia="zh-CN"/>
                    </w:rPr>
                    <w:t>)</w:t>
                  </w:r>
                </w:p>
              </w:tc>
              <w:tc>
                <w:tcPr>
                  <w:tcW w:w="486" w:type="pct"/>
                  <w:tcBorders>
                    <w:tl2br w:val="nil"/>
                    <w:tr2bl w:val="nil"/>
                  </w:tcBorders>
                  <w:vAlign w:val="center"/>
                </w:tcPr>
                <w:p w14:paraId="2DD1866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6~9</w:t>
                  </w:r>
                </w:p>
              </w:tc>
              <w:tc>
                <w:tcPr>
                  <w:tcW w:w="464" w:type="pct"/>
                  <w:tcBorders>
                    <w:tl2br w:val="nil"/>
                    <w:tr2bl w:val="nil"/>
                  </w:tcBorders>
                  <w:vAlign w:val="center"/>
                </w:tcPr>
                <w:p w14:paraId="0A1B24F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353" w:type="pct"/>
                  <w:tcBorders>
                    <w:tl2br w:val="nil"/>
                    <w:tr2bl w:val="nil"/>
                  </w:tcBorders>
                  <w:shd w:val="clear" w:color="auto" w:fill="auto"/>
                  <w:vAlign w:val="center"/>
                </w:tcPr>
                <w:p w14:paraId="06B0360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478" w:type="pct"/>
                  <w:tcBorders>
                    <w:tl2br w:val="nil"/>
                    <w:tr2bl w:val="nil"/>
                  </w:tcBorders>
                  <w:vAlign w:val="center"/>
                </w:tcPr>
                <w:p w14:paraId="5B6F911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6~9</w:t>
                  </w:r>
                </w:p>
              </w:tc>
              <w:tc>
                <w:tcPr>
                  <w:tcW w:w="438" w:type="pct"/>
                  <w:tcBorders>
                    <w:tl2br w:val="nil"/>
                    <w:tr2bl w:val="nil"/>
                  </w:tcBorders>
                  <w:vAlign w:val="center"/>
                </w:tcPr>
                <w:p w14:paraId="225EDB7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w:t>
                  </w:r>
                </w:p>
              </w:tc>
              <w:tc>
                <w:tcPr>
                  <w:tcW w:w="224" w:type="pct"/>
                  <w:vMerge w:val="continue"/>
                  <w:tcBorders>
                    <w:tl2br w:val="nil"/>
                    <w:tr2bl w:val="nil"/>
                  </w:tcBorders>
                  <w:vAlign w:val="center"/>
                </w:tcPr>
                <w:p w14:paraId="08102D0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6140591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2F5989D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6~9</w:t>
                  </w:r>
                </w:p>
              </w:tc>
            </w:tr>
            <w:tr w14:paraId="587A12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433260C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vAlign w:val="center"/>
                </w:tcPr>
                <w:p w14:paraId="46132C7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CODcr</w:t>
                  </w:r>
                </w:p>
              </w:tc>
              <w:tc>
                <w:tcPr>
                  <w:tcW w:w="486" w:type="pct"/>
                  <w:tcBorders>
                    <w:tl2br w:val="nil"/>
                    <w:tr2bl w:val="nil"/>
                  </w:tcBorders>
                  <w:vAlign w:val="center"/>
                </w:tcPr>
                <w:p w14:paraId="4667083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300</w:t>
                  </w:r>
                </w:p>
              </w:tc>
              <w:tc>
                <w:tcPr>
                  <w:tcW w:w="464" w:type="pct"/>
                  <w:tcBorders>
                    <w:tl2br w:val="nil"/>
                    <w:tr2bl w:val="nil"/>
                  </w:tcBorders>
                  <w:vAlign w:val="center"/>
                </w:tcPr>
                <w:p w14:paraId="7F522D7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0.108</w:t>
                  </w:r>
                </w:p>
              </w:tc>
              <w:tc>
                <w:tcPr>
                  <w:tcW w:w="353" w:type="pct"/>
                  <w:tcBorders>
                    <w:tl2br w:val="nil"/>
                    <w:tr2bl w:val="nil"/>
                  </w:tcBorders>
                  <w:shd w:val="clear" w:color="auto" w:fill="auto"/>
                  <w:vAlign w:val="center"/>
                </w:tcPr>
                <w:p w14:paraId="33C084B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6.7%</w:t>
                  </w:r>
                </w:p>
              </w:tc>
              <w:tc>
                <w:tcPr>
                  <w:tcW w:w="478" w:type="pct"/>
                  <w:tcBorders>
                    <w:tl2br w:val="nil"/>
                    <w:tr2bl w:val="nil"/>
                  </w:tcBorders>
                  <w:vAlign w:val="center"/>
                </w:tcPr>
                <w:p w14:paraId="2B9FB00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280</w:t>
                  </w:r>
                </w:p>
              </w:tc>
              <w:tc>
                <w:tcPr>
                  <w:tcW w:w="438" w:type="pct"/>
                  <w:tcBorders>
                    <w:tl2br w:val="nil"/>
                    <w:tr2bl w:val="nil"/>
                  </w:tcBorders>
                  <w:vAlign w:val="center"/>
                </w:tcPr>
                <w:p w14:paraId="62C93CF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0.1</w:t>
                  </w:r>
                  <w:r>
                    <w:rPr>
                      <w:rFonts w:hint="eastAsia" w:ascii="Times New Roman" w:hAnsi="Times New Roman" w:cs="Times New Roman"/>
                      <w:color w:val="auto"/>
                      <w:sz w:val="21"/>
                      <w:highlight w:val="none"/>
                      <w:lang w:val="en-US" w:eastAsia="zh-CN"/>
                    </w:rPr>
                    <w:t>008</w:t>
                  </w:r>
                </w:p>
              </w:tc>
              <w:tc>
                <w:tcPr>
                  <w:tcW w:w="224" w:type="pct"/>
                  <w:vMerge w:val="continue"/>
                  <w:tcBorders>
                    <w:tl2br w:val="nil"/>
                    <w:tr2bl w:val="nil"/>
                  </w:tcBorders>
                  <w:vAlign w:val="center"/>
                </w:tcPr>
                <w:p w14:paraId="2F275DB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79784EC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5FC9F17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500</w:t>
                  </w:r>
                </w:p>
              </w:tc>
            </w:tr>
            <w:tr w14:paraId="22BCB8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7EE5BA4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vAlign w:val="center"/>
                </w:tcPr>
                <w:p w14:paraId="3C51869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BOD</w:t>
                  </w:r>
                  <w:r>
                    <w:rPr>
                      <w:rFonts w:ascii="Times New Roman" w:hAnsi="Times New Roman" w:eastAsia="宋体" w:cs="Times New Roman"/>
                      <w:color w:val="auto"/>
                      <w:sz w:val="21"/>
                      <w:highlight w:val="none"/>
                      <w:vertAlign w:val="subscript"/>
                    </w:rPr>
                    <w:t>5</w:t>
                  </w:r>
                </w:p>
              </w:tc>
              <w:tc>
                <w:tcPr>
                  <w:tcW w:w="486" w:type="pct"/>
                  <w:tcBorders>
                    <w:tl2br w:val="nil"/>
                    <w:tr2bl w:val="nil"/>
                  </w:tcBorders>
                  <w:vAlign w:val="center"/>
                </w:tcPr>
                <w:p w14:paraId="21CBB26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150</w:t>
                  </w:r>
                </w:p>
              </w:tc>
              <w:tc>
                <w:tcPr>
                  <w:tcW w:w="464" w:type="pct"/>
                  <w:tcBorders>
                    <w:tl2br w:val="nil"/>
                    <w:tr2bl w:val="nil"/>
                  </w:tcBorders>
                  <w:vAlign w:val="center"/>
                </w:tcPr>
                <w:p w14:paraId="34DBE95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0.054</w:t>
                  </w:r>
                </w:p>
              </w:tc>
              <w:tc>
                <w:tcPr>
                  <w:tcW w:w="353" w:type="pct"/>
                  <w:tcBorders>
                    <w:tl2br w:val="nil"/>
                    <w:tr2bl w:val="nil"/>
                  </w:tcBorders>
                  <w:shd w:val="clear" w:color="auto" w:fill="auto"/>
                  <w:vAlign w:val="center"/>
                </w:tcPr>
                <w:p w14:paraId="6F718DC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6.7%</w:t>
                  </w:r>
                </w:p>
              </w:tc>
              <w:tc>
                <w:tcPr>
                  <w:tcW w:w="478" w:type="pct"/>
                  <w:tcBorders>
                    <w:tl2br w:val="nil"/>
                    <w:tr2bl w:val="nil"/>
                  </w:tcBorders>
                  <w:vAlign w:val="center"/>
                </w:tcPr>
                <w:p w14:paraId="5E0BAC1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zh-CN"/>
                    </w:rPr>
                  </w:pPr>
                  <w:r>
                    <w:rPr>
                      <w:rFonts w:ascii="Times New Roman" w:hAnsi="Times New Roman" w:eastAsia="宋体" w:cs="Times New Roman"/>
                      <w:color w:val="auto"/>
                      <w:sz w:val="21"/>
                      <w:highlight w:val="none"/>
                    </w:rPr>
                    <w:t>140</w:t>
                  </w:r>
                </w:p>
              </w:tc>
              <w:tc>
                <w:tcPr>
                  <w:tcW w:w="438" w:type="pct"/>
                  <w:tcBorders>
                    <w:tl2br w:val="nil"/>
                    <w:tr2bl w:val="nil"/>
                  </w:tcBorders>
                  <w:vAlign w:val="center"/>
                </w:tcPr>
                <w:p w14:paraId="0CA91DA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0.5038</w:t>
                  </w:r>
                </w:p>
              </w:tc>
              <w:tc>
                <w:tcPr>
                  <w:tcW w:w="224" w:type="pct"/>
                  <w:vMerge w:val="continue"/>
                  <w:tcBorders>
                    <w:tl2br w:val="nil"/>
                    <w:tr2bl w:val="nil"/>
                  </w:tcBorders>
                  <w:vAlign w:val="center"/>
                </w:tcPr>
                <w:p w14:paraId="09131F3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3F524A4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068CD62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300</w:t>
                  </w:r>
                </w:p>
              </w:tc>
            </w:tr>
            <w:tr w14:paraId="1324F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4A48790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vAlign w:val="center"/>
                </w:tcPr>
                <w:p w14:paraId="7AF4F4E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NH</w:t>
                  </w:r>
                  <w:r>
                    <w:rPr>
                      <w:rFonts w:ascii="Times New Roman" w:hAnsi="Times New Roman" w:eastAsia="宋体" w:cs="Times New Roman"/>
                      <w:color w:val="auto"/>
                      <w:sz w:val="21"/>
                      <w:highlight w:val="none"/>
                      <w:vertAlign w:val="subscript"/>
                    </w:rPr>
                    <w:t>3</w:t>
                  </w:r>
                  <w:r>
                    <w:rPr>
                      <w:rFonts w:ascii="Times New Roman" w:hAnsi="Times New Roman" w:eastAsia="宋体" w:cs="Times New Roman"/>
                      <w:color w:val="auto"/>
                      <w:sz w:val="21"/>
                      <w:highlight w:val="none"/>
                    </w:rPr>
                    <w:t>-N</w:t>
                  </w:r>
                </w:p>
              </w:tc>
              <w:tc>
                <w:tcPr>
                  <w:tcW w:w="486" w:type="pct"/>
                  <w:tcBorders>
                    <w:tl2br w:val="nil"/>
                    <w:tr2bl w:val="nil"/>
                  </w:tcBorders>
                  <w:vAlign w:val="center"/>
                </w:tcPr>
                <w:p w14:paraId="2436E0C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25</w:t>
                  </w:r>
                </w:p>
              </w:tc>
              <w:tc>
                <w:tcPr>
                  <w:tcW w:w="464" w:type="pct"/>
                  <w:tcBorders>
                    <w:tl2br w:val="nil"/>
                    <w:tr2bl w:val="nil"/>
                  </w:tcBorders>
                  <w:vAlign w:val="center"/>
                </w:tcPr>
                <w:p w14:paraId="16C8505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0.009</w:t>
                  </w:r>
                </w:p>
              </w:tc>
              <w:tc>
                <w:tcPr>
                  <w:tcW w:w="353" w:type="pct"/>
                  <w:tcBorders>
                    <w:tl2br w:val="nil"/>
                    <w:tr2bl w:val="nil"/>
                  </w:tcBorders>
                  <w:shd w:val="clear" w:color="auto" w:fill="auto"/>
                  <w:vAlign w:val="center"/>
                </w:tcPr>
                <w:p w14:paraId="57247B6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4%</w:t>
                  </w:r>
                </w:p>
              </w:tc>
              <w:tc>
                <w:tcPr>
                  <w:tcW w:w="478" w:type="pct"/>
                  <w:tcBorders>
                    <w:tl2br w:val="nil"/>
                    <w:tr2bl w:val="nil"/>
                  </w:tcBorders>
                  <w:vAlign w:val="center"/>
                </w:tcPr>
                <w:p w14:paraId="3AF09E5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24</w:t>
                  </w:r>
                </w:p>
              </w:tc>
              <w:tc>
                <w:tcPr>
                  <w:tcW w:w="438" w:type="pct"/>
                  <w:tcBorders>
                    <w:tl2br w:val="nil"/>
                    <w:tr2bl w:val="nil"/>
                  </w:tcBorders>
                  <w:vAlign w:val="center"/>
                </w:tcPr>
                <w:p w14:paraId="4483117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0.00864</w:t>
                  </w:r>
                </w:p>
              </w:tc>
              <w:tc>
                <w:tcPr>
                  <w:tcW w:w="224" w:type="pct"/>
                  <w:vMerge w:val="continue"/>
                  <w:tcBorders>
                    <w:tl2br w:val="nil"/>
                    <w:tr2bl w:val="nil"/>
                  </w:tcBorders>
                  <w:vAlign w:val="center"/>
                </w:tcPr>
                <w:p w14:paraId="1657176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214C4C7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1F97B9A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45</w:t>
                  </w:r>
                </w:p>
              </w:tc>
            </w:tr>
            <w:tr w14:paraId="773B5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5A87A76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vAlign w:val="center"/>
                </w:tcPr>
                <w:p w14:paraId="2ECF3E6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r>
                    <w:rPr>
                      <w:rFonts w:ascii="Times New Roman" w:hAnsi="Times New Roman" w:eastAsia="宋体" w:cs="Times New Roman"/>
                      <w:color w:val="auto"/>
                      <w:sz w:val="21"/>
                      <w:highlight w:val="none"/>
                    </w:rPr>
                    <w:t>SS</w:t>
                  </w:r>
                </w:p>
              </w:tc>
              <w:tc>
                <w:tcPr>
                  <w:tcW w:w="486" w:type="pct"/>
                  <w:tcBorders>
                    <w:tl2br w:val="nil"/>
                    <w:tr2bl w:val="nil"/>
                  </w:tcBorders>
                  <w:vAlign w:val="center"/>
                </w:tcPr>
                <w:p w14:paraId="5B881DD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200</w:t>
                  </w:r>
                </w:p>
              </w:tc>
              <w:tc>
                <w:tcPr>
                  <w:tcW w:w="464" w:type="pct"/>
                  <w:tcBorders>
                    <w:tl2br w:val="nil"/>
                    <w:tr2bl w:val="nil"/>
                  </w:tcBorders>
                  <w:vAlign w:val="center"/>
                </w:tcPr>
                <w:p w14:paraId="1BB6350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0.072</w:t>
                  </w:r>
                </w:p>
              </w:tc>
              <w:tc>
                <w:tcPr>
                  <w:tcW w:w="353" w:type="pct"/>
                  <w:tcBorders>
                    <w:tl2br w:val="nil"/>
                    <w:tr2bl w:val="nil"/>
                  </w:tcBorders>
                  <w:shd w:val="clear" w:color="auto" w:fill="auto"/>
                  <w:vAlign w:val="center"/>
                </w:tcPr>
                <w:p w14:paraId="36C3EFE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25%</w:t>
                  </w:r>
                </w:p>
              </w:tc>
              <w:tc>
                <w:tcPr>
                  <w:tcW w:w="478" w:type="pct"/>
                  <w:tcBorders>
                    <w:tl2br w:val="nil"/>
                    <w:tr2bl w:val="nil"/>
                  </w:tcBorders>
                  <w:vAlign w:val="center"/>
                </w:tcPr>
                <w:p w14:paraId="3F8BE19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150</w:t>
                  </w:r>
                </w:p>
              </w:tc>
              <w:tc>
                <w:tcPr>
                  <w:tcW w:w="438" w:type="pct"/>
                  <w:tcBorders>
                    <w:tl2br w:val="nil"/>
                    <w:tr2bl w:val="nil"/>
                  </w:tcBorders>
                  <w:vAlign w:val="center"/>
                </w:tcPr>
                <w:p w14:paraId="4B17793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0.054</w:t>
                  </w:r>
                </w:p>
              </w:tc>
              <w:tc>
                <w:tcPr>
                  <w:tcW w:w="224" w:type="pct"/>
                  <w:vMerge w:val="continue"/>
                  <w:tcBorders>
                    <w:tl2br w:val="nil"/>
                    <w:tr2bl w:val="nil"/>
                  </w:tcBorders>
                  <w:vAlign w:val="center"/>
                </w:tcPr>
                <w:p w14:paraId="49A46D5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7A9144A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26AF22A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400</w:t>
                  </w:r>
                </w:p>
              </w:tc>
            </w:tr>
            <w:tr w14:paraId="5D242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54D4FF0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vAlign w:val="center"/>
                </w:tcPr>
                <w:p w14:paraId="5209B94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TN</w:t>
                  </w:r>
                </w:p>
              </w:tc>
              <w:tc>
                <w:tcPr>
                  <w:tcW w:w="486" w:type="pct"/>
                  <w:tcBorders>
                    <w:tl2br w:val="nil"/>
                    <w:tr2bl w:val="nil"/>
                  </w:tcBorders>
                  <w:shd w:val="clear" w:color="auto" w:fill="auto"/>
                  <w:vAlign w:val="center"/>
                </w:tcPr>
                <w:p w14:paraId="2560DBA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40</w:t>
                  </w:r>
                </w:p>
              </w:tc>
              <w:tc>
                <w:tcPr>
                  <w:tcW w:w="464" w:type="pct"/>
                  <w:tcBorders>
                    <w:tl2br w:val="nil"/>
                    <w:tr2bl w:val="nil"/>
                  </w:tcBorders>
                  <w:shd w:val="clear" w:color="auto" w:fill="auto"/>
                  <w:vAlign w:val="center"/>
                </w:tcPr>
                <w:p w14:paraId="75A5D1D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0.0144</w:t>
                  </w:r>
                </w:p>
              </w:tc>
              <w:tc>
                <w:tcPr>
                  <w:tcW w:w="353" w:type="pct"/>
                  <w:tcBorders>
                    <w:tl2br w:val="nil"/>
                    <w:tr2bl w:val="nil"/>
                  </w:tcBorders>
                  <w:shd w:val="clear" w:color="auto" w:fill="auto"/>
                  <w:vAlign w:val="center"/>
                </w:tcPr>
                <w:p w14:paraId="5509A93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12.5%</w:t>
                  </w:r>
                </w:p>
              </w:tc>
              <w:tc>
                <w:tcPr>
                  <w:tcW w:w="478" w:type="pct"/>
                  <w:tcBorders>
                    <w:tl2br w:val="nil"/>
                    <w:tr2bl w:val="nil"/>
                  </w:tcBorders>
                  <w:shd w:val="clear" w:color="auto" w:fill="auto"/>
                  <w:vAlign w:val="center"/>
                </w:tcPr>
                <w:p w14:paraId="50B0633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35</w:t>
                  </w:r>
                </w:p>
              </w:tc>
              <w:tc>
                <w:tcPr>
                  <w:tcW w:w="438" w:type="pct"/>
                  <w:tcBorders>
                    <w:tl2br w:val="nil"/>
                    <w:tr2bl w:val="nil"/>
                  </w:tcBorders>
                  <w:shd w:val="clear" w:color="auto" w:fill="auto"/>
                  <w:vAlign w:val="center"/>
                </w:tcPr>
                <w:p w14:paraId="1C5DED4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0.0126</w:t>
                  </w:r>
                </w:p>
              </w:tc>
              <w:tc>
                <w:tcPr>
                  <w:tcW w:w="224" w:type="pct"/>
                  <w:vMerge w:val="continue"/>
                  <w:tcBorders>
                    <w:tl2br w:val="nil"/>
                    <w:tr2bl w:val="nil"/>
                  </w:tcBorders>
                  <w:vAlign w:val="center"/>
                </w:tcPr>
                <w:p w14:paraId="5A1F3D2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2737071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234E8EF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40</w:t>
                  </w:r>
                </w:p>
              </w:tc>
            </w:tr>
            <w:tr w14:paraId="054DA1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802" w:hRule="exact"/>
                <w:jc w:val="center"/>
              </w:trPr>
              <w:tc>
                <w:tcPr>
                  <w:tcW w:w="216" w:type="pct"/>
                  <w:vMerge w:val="restart"/>
                  <w:tcBorders>
                    <w:tl2br w:val="nil"/>
                    <w:tr2bl w:val="nil"/>
                  </w:tcBorders>
                  <w:vAlign w:val="center"/>
                </w:tcPr>
                <w:p w14:paraId="57327A1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生产废水</w:t>
                  </w:r>
                </w:p>
              </w:tc>
              <w:tc>
                <w:tcPr>
                  <w:tcW w:w="675" w:type="pct"/>
                  <w:tcBorders>
                    <w:tl2br w:val="nil"/>
                    <w:tr2bl w:val="nil"/>
                  </w:tcBorders>
                  <w:shd w:val="clear" w:color="auto" w:fill="auto"/>
                  <w:vAlign w:val="center"/>
                </w:tcPr>
                <w:p w14:paraId="1229FDC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en-US"/>
                    </w:rPr>
                  </w:pPr>
                  <w:r>
                    <w:rPr>
                      <w:rFonts w:ascii="Times New Roman" w:hAnsi="Times New Roman" w:eastAsia="宋体" w:cs="Times New Roman"/>
                      <w:color w:val="auto"/>
                      <w:sz w:val="21"/>
                      <w:highlight w:val="none"/>
                    </w:rPr>
                    <w:t>废水量</w:t>
                  </w:r>
                </w:p>
              </w:tc>
              <w:tc>
                <w:tcPr>
                  <w:tcW w:w="486" w:type="pct"/>
                  <w:tcBorders>
                    <w:tl2br w:val="nil"/>
                    <w:tr2bl w:val="nil"/>
                  </w:tcBorders>
                  <w:shd w:val="clear" w:color="auto" w:fill="auto"/>
                  <w:vAlign w:val="center"/>
                </w:tcPr>
                <w:p w14:paraId="5EC96A8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464" w:type="pct"/>
                  <w:tcBorders>
                    <w:tl2br w:val="nil"/>
                    <w:tr2bl w:val="nil"/>
                  </w:tcBorders>
                  <w:shd w:val="clear" w:color="auto" w:fill="auto"/>
                  <w:vAlign w:val="center"/>
                </w:tcPr>
                <w:p w14:paraId="348FEED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510</w:t>
                  </w:r>
                </w:p>
              </w:tc>
              <w:tc>
                <w:tcPr>
                  <w:tcW w:w="353" w:type="pct"/>
                  <w:tcBorders>
                    <w:tl2br w:val="nil"/>
                    <w:tr2bl w:val="nil"/>
                  </w:tcBorders>
                  <w:shd w:val="clear" w:color="auto" w:fill="auto"/>
                  <w:vAlign w:val="center"/>
                </w:tcPr>
                <w:p w14:paraId="3A9EF37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478" w:type="pct"/>
                  <w:tcBorders>
                    <w:tl2br w:val="nil"/>
                    <w:tr2bl w:val="nil"/>
                  </w:tcBorders>
                  <w:shd w:val="clear" w:color="auto" w:fill="auto"/>
                  <w:vAlign w:val="center"/>
                </w:tcPr>
                <w:p w14:paraId="3AEC287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438" w:type="pct"/>
                  <w:tcBorders>
                    <w:tl2br w:val="nil"/>
                    <w:tr2bl w:val="nil"/>
                  </w:tcBorders>
                  <w:shd w:val="clear" w:color="auto" w:fill="auto"/>
                  <w:vAlign w:val="center"/>
                </w:tcPr>
                <w:p w14:paraId="5012B25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510</w:t>
                  </w:r>
                </w:p>
              </w:tc>
              <w:tc>
                <w:tcPr>
                  <w:tcW w:w="224" w:type="pct"/>
                  <w:vMerge w:val="continue"/>
                  <w:tcBorders>
                    <w:tl2br w:val="nil"/>
                    <w:tr2bl w:val="nil"/>
                  </w:tcBorders>
                  <w:vAlign w:val="center"/>
                </w:tcPr>
                <w:p w14:paraId="601A5E9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2BB85DB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4CD396B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r>
            <w:tr w14:paraId="7FE49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11" w:hRule="exact"/>
                <w:jc w:val="center"/>
              </w:trPr>
              <w:tc>
                <w:tcPr>
                  <w:tcW w:w="216" w:type="pct"/>
                  <w:vMerge w:val="continue"/>
                  <w:tcBorders>
                    <w:tl2br w:val="nil"/>
                    <w:tr2bl w:val="nil"/>
                  </w:tcBorders>
                  <w:vAlign w:val="center"/>
                </w:tcPr>
                <w:p w14:paraId="0DE5D75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shd w:val="clear" w:color="auto" w:fill="auto"/>
                  <w:vAlign w:val="center"/>
                </w:tcPr>
                <w:p w14:paraId="3069E62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en-US"/>
                    </w:rPr>
                  </w:pPr>
                  <w:r>
                    <w:rPr>
                      <w:rFonts w:ascii="Times New Roman" w:hAnsi="Times New Roman" w:eastAsia="宋体" w:cs="Times New Roman"/>
                      <w:color w:val="auto"/>
                      <w:sz w:val="21"/>
                      <w:highlight w:val="none"/>
                    </w:rPr>
                    <w:t>pH</w:t>
                  </w:r>
                  <w:r>
                    <w:rPr>
                      <w:rFonts w:hint="eastAsia" w:ascii="Times New Roman" w:hAnsi="Times New Roman" w:cs="Times New Roman"/>
                      <w:color w:val="auto"/>
                      <w:sz w:val="21"/>
                      <w:highlight w:val="none"/>
                      <w:lang w:eastAsia="zh-CN"/>
                    </w:rPr>
                    <w:t>(</w:t>
                  </w:r>
                  <w:r>
                    <w:rPr>
                      <w:rFonts w:ascii="Times New Roman" w:hAnsi="Times New Roman" w:eastAsia="宋体" w:cs="Times New Roman"/>
                      <w:color w:val="auto"/>
                      <w:sz w:val="21"/>
                      <w:highlight w:val="none"/>
                    </w:rPr>
                    <w:t>无量纲</w:t>
                  </w:r>
                  <w:r>
                    <w:rPr>
                      <w:rFonts w:hint="eastAsia" w:ascii="Times New Roman" w:hAnsi="Times New Roman" w:cs="Times New Roman"/>
                      <w:color w:val="auto"/>
                      <w:sz w:val="21"/>
                      <w:highlight w:val="none"/>
                      <w:lang w:eastAsia="zh-CN"/>
                    </w:rPr>
                    <w:t>)</w:t>
                  </w:r>
                </w:p>
              </w:tc>
              <w:tc>
                <w:tcPr>
                  <w:tcW w:w="486" w:type="pct"/>
                  <w:tcBorders>
                    <w:tl2br w:val="nil"/>
                    <w:tr2bl w:val="nil"/>
                  </w:tcBorders>
                  <w:shd w:val="clear" w:color="auto" w:fill="auto"/>
                  <w:vAlign w:val="center"/>
                </w:tcPr>
                <w:p w14:paraId="24F4253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6~9</w:t>
                  </w:r>
                </w:p>
              </w:tc>
              <w:tc>
                <w:tcPr>
                  <w:tcW w:w="464" w:type="pct"/>
                  <w:tcBorders>
                    <w:tl2br w:val="nil"/>
                    <w:tr2bl w:val="nil"/>
                  </w:tcBorders>
                  <w:shd w:val="clear" w:color="auto" w:fill="auto"/>
                  <w:vAlign w:val="center"/>
                </w:tcPr>
                <w:p w14:paraId="3061928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353" w:type="pct"/>
                  <w:tcBorders>
                    <w:tl2br w:val="nil"/>
                    <w:tr2bl w:val="nil"/>
                  </w:tcBorders>
                  <w:shd w:val="clear" w:color="auto" w:fill="auto"/>
                  <w:vAlign w:val="center"/>
                </w:tcPr>
                <w:p w14:paraId="301E9BA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478" w:type="pct"/>
                  <w:tcBorders>
                    <w:tl2br w:val="nil"/>
                    <w:tr2bl w:val="nil"/>
                  </w:tcBorders>
                  <w:shd w:val="clear" w:color="auto" w:fill="auto"/>
                  <w:vAlign w:val="center"/>
                </w:tcPr>
                <w:p w14:paraId="6302BA0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6~9</w:t>
                  </w:r>
                </w:p>
              </w:tc>
              <w:tc>
                <w:tcPr>
                  <w:tcW w:w="438" w:type="pct"/>
                  <w:tcBorders>
                    <w:tl2br w:val="nil"/>
                    <w:tr2bl w:val="nil"/>
                  </w:tcBorders>
                  <w:shd w:val="clear" w:color="auto" w:fill="auto"/>
                  <w:vAlign w:val="center"/>
                </w:tcPr>
                <w:p w14:paraId="38A6B99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w:t>
                  </w:r>
                </w:p>
              </w:tc>
              <w:tc>
                <w:tcPr>
                  <w:tcW w:w="224" w:type="pct"/>
                  <w:vMerge w:val="continue"/>
                  <w:tcBorders>
                    <w:tl2br w:val="nil"/>
                    <w:tr2bl w:val="nil"/>
                  </w:tcBorders>
                  <w:vAlign w:val="center"/>
                </w:tcPr>
                <w:p w14:paraId="0C25DAA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0995BF7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6750E9A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6~9</w:t>
                  </w:r>
                </w:p>
              </w:tc>
            </w:tr>
            <w:tr w14:paraId="57498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0736875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shd w:val="clear" w:color="auto" w:fill="auto"/>
                  <w:vAlign w:val="center"/>
                </w:tcPr>
                <w:p w14:paraId="3E7DDCB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CODcr</w:t>
                  </w:r>
                </w:p>
              </w:tc>
              <w:tc>
                <w:tcPr>
                  <w:tcW w:w="486" w:type="pct"/>
                  <w:tcBorders>
                    <w:tl2br w:val="nil"/>
                    <w:tr2bl w:val="nil"/>
                  </w:tcBorders>
                  <w:shd w:val="clear" w:color="auto" w:fill="auto"/>
                  <w:vAlign w:val="center"/>
                </w:tcPr>
                <w:p w14:paraId="7DA36F5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857.84</w:t>
                  </w:r>
                </w:p>
              </w:tc>
              <w:tc>
                <w:tcPr>
                  <w:tcW w:w="464" w:type="pct"/>
                  <w:tcBorders>
                    <w:tl2br w:val="nil"/>
                    <w:tr2bl w:val="nil"/>
                  </w:tcBorders>
                  <w:shd w:val="clear" w:color="auto" w:fill="auto"/>
                  <w:vAlign w:val="center"/>
                </w:tcPr>
                <w:p w14:paraId="746B248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0.4375</w:t>
                  </w:r>
                </w:p>
              </w:tc>
              <w:tc>
                <w:tcPr>
                  <w:tcW w:w="353" w:type="pct"/>
                  <w:tcBorders>
                    <w:tl2br w:val="nil"/>
                    <w:tr2bl w:val="nil"/>
                  </w:tcBorders>
                  <w:shd w:val="clear" w:color="auto" w:fill="auto"/>
                  <w:vAlign w:val="center"/>
                </w:tcPr>
                <w:p w14:paraId="5901B42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65%</w:t>
                  </w:r>
                </w:p>
              </w:tc>
              <w:tc>
                <w:tcPr>
                  <w:tcW w:w="478" w:type="pct"/>
                  <w:tcBorders>
                    <w:tl2br w:val="nil"/>
                    <w:tr2bl w:val="nil"/>
                  </w:tcBorders>
                  <w:shd w:val="clear" w:color="auto" w:fill="auto"/>
                  <w:vAlign w:val="center"/>
                </w:tcPr>
                <w:p w14:paraId="6D37F18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300.2</w:t>
                  </w:r>
                </w:p>
              </w:tc>
              <w:tc>
                <w:tcPr>
                  <w:tcW w:w="438" w:type="pct"/>
                  <w:tcBorders>
                    <w:tl2br w:val="nil"/>
                    <w:tr2bl w:val="nil"/>
                  </w:tcBorders>
                  <w:shd w:val="clear" w:color="auto" w:fill="auto"/>
                  <w:vAlign w:val="center"/>
                </w:tcPr>
                <w:p w14:paraId="2F30192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0.1531</w:t>
                  </w:r>
                </w:p>
              </w:tc>
              <w:tc>
                <w:tcPr>
                  <w:tcW w:w="224" w:type="pct"/>
                  <w:vMerge w:val="continue"/>
                  <w:tcBorders>
                    <w:tl2br w:val="nil"/>
                    <w:tr2bl w:val="nil"/>
                  </w:tcBorders>
                  <w:vAlign w:val="center"/>
                </w:tcPr>
                <w:p w14:paraId="6F8E007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3816721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18DA9DA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500</w:t>
                  </w:r>
                </w:p>
              </w:tc>
            </w:tr>
            <w:tr w14:paraId="25AF4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33A3F26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shd w:val="clear" w:color="auto" w:fill="auto"/>
                  <w:vAlign w:val="center"/>
                </w:tcPr>
                <w:p w14:paraId="34E8588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BOD5</w:t>
                  </w:r>
                </w:p>
              </w:tc>
              <w:tc>
                <w:tcPr>
                  <w:tcW w:w="486" w:type="pct"/>
                  <w:tcBorders>
                    <w:tl2br w:val="nil"/>
                    <w:tr2bl w:val="nil"/>
                  </w:tcBorders>
                  <w:shd w:val="clear" w:color="auto" w:fill="auto"/>
                  <w:vAlign w:val="center"/>
                </w:tcPr>
                <w:p w14:paraId="550F568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334.11</w:t>
                  </w:r>
                </w:p>
              </w:tc>
              <w:tc>
                <w:tcPr>
                  <w:tcW w:w="464" w:type="pct"/>
                  <w:tcBorders>
                    <w:tl2br w:val="nil"/>
                    <w:tr2bl w:val="nil"/>
                  </w:tcBorders>
                  <w:shd w:val="clear" w:color="auto" w:fill="auto"/>
                  <w:vAlign w:val="center"/>
                </w:tcPr>
                <w:p w14:paraId="6908907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0.1704</w:t>
                  </w:r>
                </w:p>
              </w:tc>
              <w:tc>
                <w:tcPr>
                  <w:tcW w:w="353" w:type="pct"/>
                  <w:tcBorders>
                    <w:tl2br w:val="nil"/>
                    <w:tr2bl w:val="nil"/>
                  </w:tcBorders>
                  <w:shd w:val="clear" w:color="auto" w:fill="auto"/>
                  <w:vAlign w:val="center"/>
                </w:tcPr>
                <w:p w14:paraId="0C198B0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65%</w:t>
                  </w:r>
                </w:p>
              </w:tc>
              <w:tc>
                <w:tcPr>
                  <w:tcW w:w="478" w:type="pct"/>
                  <w:tcBorders>
                    <w:tl2br w:val="nil"/>
                    <w:tr2bl w:val="nil"/>
                  </w:tcBorders>
                  <w:shd w:val="clear" w:color="auto" w:fill="auto"/>
                  <w:vAlign w:val="center"/>
                </w:tcPr>
                <w:p w14:paraId="33E1D04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116.9</w:t>
                  </w:r>
                </w:p>
              </w:tc>
              <w:tc>
                <w:tcPr>
                  <w:tcW w:w="438" w:type="pct"/>
                  <w:tcBorders>
                    <w:tl2br w:val="nil"/>
                    <w:tr2bl w:val="nil"/>
                  </w:tcBorders>
                  <w:shd w:val="clear" w:color="auto" w:fill="auto"/>
                  <w:vAlign w:val="center"/>
                </w:tcPr>
                <w:p w14:paraId="38C3EAD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0.0596</w:t>
                  </w:r>
                </w:p>
              </w:tc>
              <w:tc>
                <w:tcPr>
                  <w:tcW w:w="224" w:type="pct"/>
                  <w:vMerge w:val="continue"/>
                  <w:tcBorders>
                    <w:tl2br w:val="nil"/>
                    <w:tr2bl w:val="nil"/>
                  </w:tcBorders>
                  <w:vAlign w:val="center"/>
                </w:tcPr>
                <w:p w14:paraId="02637D5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57F2840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156DB43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300</w:t>
                  </w:r>
                </w:p>
              </w:tc>
            </w:tr>
            <w:tr w14:paraId="2A230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68866D6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shd w:val="clear" w:color="auto" w:fill="auto"/>
                  <w:vAlign w:val="center"/>
                </w:tcPr>
                <w:p w14:paraId="10B3738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SS</w:t>
                  </w:r>
                </w:p>
              </w:tc>
              <w:tc>
                <w:tcPr>
                  <w:tcW w:w="486" w:type="pct"/>
                  <w:tcBorders>
                    <w:tl2br w:val="nil"/>
                    <w:tr2bl w:val="nil"/>
                  </w:tcBorders>
                  <w:shd w:val="clear" w:color="auto" w:fill="auto"/>
                  <w:vAlign w:val="center"/>
                </w:tcPr>
                <w:p w14:paraId="0671D06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509.41</w:t>
                  </w:r>
                </w:p>
              </w:tc>
              <w:tc>
                <w:tcPr>
                  <w:tcW w:w="464" w:type="pct"/>
                  <w:tcBorders>
                    <w:tl2br w:val="nil"/>
                    <w:tr2bl w:val="nil"/>
                  </w:tcBorders>
                  <w:shd w:val="clear" w:color="auto" w:fill="auto"/>
                  <w:vAlign w:val="center"/>
                </w:tcPr>
                <w:p w14:paraId="0D2F57E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0.2598</w:t>
                  </w:r>
                </w:p>
              </w:tc>
              <w:tc>
                <w:tcPr>
                  <w:tcW w:w="353" w:type="pct"/>
                  <w:tcBorders>
                    <w:tl2br w:val="nil"/>
                    <w:tr2bl w:val="nil"/>
                  </w:tcBorders>
                  <w:shd w:val="clear" w:color="auto" w:fill="auto"/>
                  <w:vAlign w:val="center"/>
                </w:tcPr>
                <w:p w14:paraId="4ED5E8A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60%</w:t>
                  </w:r>
                </w:p>
              </w:tc>
              <w:tc>
                <w:tcPr>
                  <w:tcW w:w="478" w:type="pct"/>
                  <w:tcBorders>
                    <w:tl2br w:val="nil"/>
                    <w:tr2bl w:val="nil"/>
                  </w:tcBorders>
                  <w:shd w:val="clear" w:color="auto" w:fill="auto"/>
                  <w:vAlign w:val="center"/>
                </w:tcPr>
                <w:p w14:paraId="48502A3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203.7</w:t>
                  </w:r>
                </w:p>
              </w:tc>
              <w:tc>
                <w:tcPr>
                  <w:tcW w:w="438" w:type="pct"/>
                  <w:tcBorders>
                    <w:tl2br w:val="nil"/>
                    <w:tr2bl w:val="nil"/>
                  </w:tcBorders>
                  <w:shd w:val="clear" w:color="auto" w:fill="auto"/>
                  <w:vAlign w:val="center"/>
                </w:tcPr>
                <w:p w14:paraId="7F025DB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0.1039</w:t>
                  </w:r>
                </w:p>
              </w:tc>
              <w:tc>
                <w:tcPr>
                  <w:tcW w:w="224" w:type="pct"/>
                  <w:vMerge w:val="continue"/>
                  <w:tcBorders>
                    <w:tl2br w:val="nil"/>
                    <w:tr2bl w:val="nil"/>
                  </w:tcBorders>
                  <w:vAlign w:val="center"/>
                </w:tcPr>
                <w:p w14:paraId="719CE8F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5E97C66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3B7E25B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400</w:t>
                  </w:r>
                </w:p>
              </w:tc>
            </w:tr>
            <w:tr w14:paraId="71AD5D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3EB14BE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shd w:val="clear" w:color="auto" w:fill="auto"/>
                  <w:vAlign w:val="center"/>
                </w:tcPr>
                <w:p w14:paraId="15B3ABE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en-US"/>
                    </w:rPr>
                  </w:pPr>
                  <w:r>
                    <w:rPr>
                      <w:rFonts w:ascii="Times New Roman" w:hAnsi="Times New Roman" w:eastAsia="宋体" w:cs="Times New Roman"/>
                      <w:color w:val="auto"/>
                      <w:sz w:val="21"/>
                      <w:highlight w:val="none"/>
                    </w:rPr>
                    <w:t>石油类</w:t>
                  </w:r>
                </w:p>
              </w:tc>
              <w:tc>
                <w:tcPr>
                  <w:tcW w:w="486" w:type="pct"/>
                  <w:tcBorders>
                    <w:tl2br w:val="nil"/>
                    <w:tr2bl w:val="nil"/>
                  </w:tcBorders>
                  <w:shd w:val="clear" w:color="auto" w:fill="auto"/>
                  <w:vAlign w:val="center"/>
                </w:tcPr>
                <w:p w14:paraId="3B2F2D77">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75.29</w:t>
                  </w:r>
                </w:p>
              </w:tc>
              <w:tc>
                <w:tcPr>
                  <w:tcW w:w="464" w:type="pct"/>
                  <w:tcBorders>
                    <w:tl2br w:val="nil"/>
                    <w:tr2bl w:val="nil"/>
                  </w:tcBorders>
                  <w:shd w:val="clear" w:color="auto" w:fill="auto"/>
                  <w:vAlign w:val="center"/>
                </w:tcPr>
                <w:p w14:paraId="634B9BD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0.0894</w:t>
                  </w:r>
                </w:p>
              </w:tc>
              <w:tc>
                <w:tcPr>
                  <w:tcW w:w="353" w:type="pct"/>
                  <w:tcBorders>
                    <w:tl2br w:val="nil"/>
                    <w:tr2bl w:val="nil"/>
                  </w:tcBorders>
                  <w:shd w:val="clear" w:color="auto" w:fill="auto"/>
                  <w:vAlign w:val="center"/>
                </w:tcPr>
                <w:p w14:paraId="6A5945D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90%</w:t>
                  </w:r>
                </w:p>
              </w:tc>
              <w:tc>
                <w:tcPr>
                  <w:tcW w:w="478" w:type="pct"/>
                  <w:tcBorders>
                    <w:tl2br w:val="nil"/>
                    <w:tr2bl w:val="nil"/>
                  </w:tcBorders>
                  <w:shd w:val="clear" w:color="auto" w:fill="auto"/>
                  <w:vAlign w:val="center"/>
                </w:tcPr>
                <w:p w14:paraId="0C127C4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17.5</w:t>
                  </w:r>
                </w:p>
              </w:tc>
              <w:tc>
                <w:tcPr>
                  <w:tcW w:w="438" w:type="pct"/>
                  <w:tcBorders>
                    <w:tl2br w:val="nil"/>
                    <w:tr2bl w:val="nil"/>
                  </w:tcBorders>
                  <w:shd w:val="clear" w:color="auto" w:fill="auto"/>
                  <w:vAlign w:val="center"/>
                </w:tcPr>
                <w:p w14:paraId="49961E9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0.0089</w:t>
                  </w:r>
                </w:p>
              </w:tc>
              <w:tc>
                <w:tcPr>
                  <w:tcW w:w="224" w:type="pct"/>
                  <w:vMerge w:val="continue"/>
                  <w:tcBorders>
                    <w:tl2br w:val="nil"/>
                    <w:tr2bl w:val="nil"/>
                  </w:tcBorders>
                  <w:vAlign w:val="center"/>
                </w:tcPr>
                <w:p w14:paraId="3A904C4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433591B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7B9472F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30</w:t>
                  </w:r>
                </w:p>
              </w:tc>
            </w:tr>
            <w:tr w14:paraId="43845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20710E9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shd w:val="clear" w:color="auto" w:fill="auto"/>
                  <w:vAlign w:val="center"/>
                </w:tcPr>
                <w:p w14:paraId="693AB91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LAS</w:t>
                  </w:r>
                </w:p>
              </w:tc>
              <w:tc>
                <w:tcPr>
                  <w:tcW w:w="486" w:type="pct"/>
                  <w:tcBorders>
                    <w:tl2br w:val="nil"/>
                    <w:tr2bl w:val="nil"/>
                  </w:tcBorders>
                  <w:shd w:val="clear" w:color="auto" w:fill="auto"/>
                  <w:vAlign w:val="center"/>
                </w:tcPr>
                <w:p w14:paraId="2DFFAE7F">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4.92</w:t>
                  </w:r>
                </w:p>
              </w:tc>
              <w:tc>
                <w:tcPr>
                  <w:tcW w:w="464" w:type="pct"/>
                  <w:tcBorders>
                    <w:tl2br w:val="nil"/>
                    <w:tr2bl w:val="nil"/>
                  </w:tcBorders>
                  <w:shd w:val="clear" w:color="auto" w:fill="auto"/>
                  <w:vAlign w:val="center"/>
                </w:tcPr>
                <w:p w14:paraId="19198AC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0.0025</w:t>
                  </w:r>
                </w:p>
              </w:tc>
              <w:tc>
                <w:tcPr>
                  <w:tcW w:w="353" w:type="pct"/>
                  <w:tcBorders>
                    <w:tl2br w:val="nil"/>
                    <w:tr2bl w:val="nil"/>
                  </w:tcBorders>
                  <w:shd w:val="clear" w:color="auto" w:fill="auto"/>
                  <w:vAlign w:val="center"/>
                </w:tcPr>
                <w:p w14:paraId="0AA15E8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50%</w:t>
                  </w:r>
                </w:p>
              </w:tc>
              <w:tc>
                <w:tcPr>
                  <w:tcW w:w="478" w:type="pct"/>
                  <w:tcBorders>
                    <w:tl2br w:val="nil"/>
                    <w:tr2bl w:val="nil"/>
                  </w:tcBorders>
                  <w:shd w:val="clear" w:color="auto" w:fill="auto"/>
                  <w:vAlign w:val="center"/>
                </w:tcPr>
                <w:p w14:paraId="3B21D31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2.46</w:t>
                  </w:r>
                </w:p>
              </w:tc>
              <w:tc>
                <w:tcPr>
                  <w:tcW w:w="438" w:type="pct"/>
                  <w:tcBorders>
                    <w:tl2br w:val="nil"/>
                    <w:tr2bl w:val="nil"/>
                  </w:tcBorders>
                  <w:shd w:val="clear" w:color="auto" w:fill="auto"/>
                  <w:vAlign w:val="center"/>
                </w:tcPr>
                <w:p w14:paraId="4B856D4C">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0.0012</w:t>
                  </w:r>
                </w:p>
              </w:tc>
              <w:tc>
                <w:tcPr>
                  <w:tcW w:w="224" w:type="pct"/>
                  <w:vMerge w:val="continue"/>
                  <w:tcBorders>
                    <w:tl2br w:val="nil"/>
                    <w:tr2bl w:val="nil"/>
                  </w:tcBorders>
                  <w:vAlign w:val="center"/>
                </w:tcPr>
                <w:p w14:paraId="27073C38">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00421A25">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64F277E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20</w:t>
                  </w:r>
                </w:p>
              </w:tc>
            </w:tr>
            <w:tr w14:paraId="2A9A02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7992F3A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shd w:val="clear" w:color="auto" w:fill="auto"/>
                  <w:vAlign w:val="center"/>
                </w:tcPr>
                <w:p w14:paraId="296C406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NH</w:t>
                  </w:r>
                  <w:r>
                    <w:rPr>
                      <w:rFonts w:ascii="Times New Roman" w:hAnsi="Times New Roman" w:eastAsia="宋体" w:cs="Times New Roman"/>
                      <w:color w:val="auto"/>
                      <w:sz w:val="21"/>
                      <w:highlight w:val="none"/>
                      <w:vertAlign w:val="subscript"/>
                    </w:rPr>
                    <w:t>3</w:t>
                  </w:r>
                  <w:r>
                    <w:rPr>
                      <w:rFonts w:ascii="Times New Roman" w:hAnsi="Times New Roman" w:eastAsia="宋体" w:cs="Times New Roman"/>
                      <w:color w:val="auto"/>
                      <w:sz w:val="21"/>
                      <w:highlight w:val="none"/>
                    </w:rPr>
                    <w:t>-N</w:t>
                  </w:r>
                </w:p>
              </w:tc>
              <w:tc>
                <w:tcPr>
                  <w:tcW w:w="486" w:type="pct"/>
                  <w:tcBorders>
                    <w:tl2br w:val="nil"/>
                    <w:tr2bl w:val="nil"/>
                  </w:tcBorders>
                  <w:shd w:val="clear" w:color="auto" w:fill="auto"/>
                  <w:vAlign w:val="center"/>
                </w:tcPr>
                <w:p w14:paraId="71303A5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10.06</w:t>
                  </w:r>
                </w:p>
              </w:tc>
              <w:tc>
                <w:tcPr>
                  <w:tcW w:w="464" w:type="pct"/>
                  <w:tcBorders>
                    <w:tl2br w:val="nil"/>
                    <w:tr2bl w:val="nil"/>
                  </w:tcBorders>
                  <w:shd w:val="clear" w:color="auto" w:fill="auto"/>
                  <w:vAlign w:val="center"/>
                </w:tcPr>
                <w:p w14:paraId="3661256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0.0051</w:t>
                  </w:r>
                </w:p>
              </w:tc>
              <w:tc>
                <w:tcPr>
                  <w:tcW w:w="353" w:type="pct"/>
                  <w:tcBorders>
                    <w:tl2br w:val="nil"/>
                    <w:tr2bl w:val="nil"/>
                  </w:tcBorders>
                  <w:shd w:val="clear" w:color="auto" w:fill="auto"/>
                  <w:vAlign w:val="center"/>
                </w:tcPr>
                <w:p w14:paraId="57643CC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40%</w:t>
                  </w:r>
                </w:p>
              </w:tc>
              <w:tc>
                <w:tcPr>
                  <w:tcW w:w="478" w:type="pct"/>
                  <w:tcBorders>
                    <w:tl2br w:val="nil"/>
                    <w:tr2bl w:val="nil"/>
                  </w:tcBorders>
                  <w:shd w:val="clear" w:color="auto" w:fill="auto"/>
                  <w:vAlign w:val="center"/>
                </w:tcPr>
                <w:p w14:paraId="1F5DF04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6.03</w:t>
                  </w:r>
                </w:p>
              </w:tc>
              <w:tc>
                <w:tcPr>
                  <w:tcW w:w="438" w:type="pct"/>
                  <w:tcBorders>
                    <w:tl2br w:val="nil"/>
                    <w:tr2bl w:val="nil"/>
                  </w:tcBorders>
                  <w:shd w:val="clear" w:color="auto" w:fill="auto"/>
                  <w:vAlign w:val="center"/>
                </w:tcPr>
                <w:p w14:paraId="636F1B8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0.0031</w:t>
                  </w:r>
                </w:p>
              </w:tc>
              <w:tc>
                <w:tcPr>
                  <w:tcW w:w="224" w:type="pct"/>
                  <w:vMerge w:val="continue"/>
                  <w:tcBorders>
                    <w:tl2br w:val="nil"/>
                    <w:tr2bl w:val="nil"/>
                  </w:tcBorders>
                  <w:vAlign w:val="center"/>
                </w:tcPr>
                <w:p w14:paraId="48A4796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18A9C6E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22F053B0">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45</w:t>
                  </w:r>
                </w:p>
              </w:tc>
            </w:tr>
            <w:tr w14:paraId="4F831A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97" w:hRule="exact"/>
                <w:jc w:val="center"/>
              </w:trPr>
              <w:tc>
                <w:tcPr>
                  <w:tcW w:w="216" w:type="pct"/>
                  <w:vMerge w:val="continue"/>
                  <w:tcBorders>
                    <w:tl2br w:val="nil"/>
                    <w:tr2bl w:val="nil"/>
                  </w:tcBorders>
                  <w:vAlign w:val="center"/>
                </w:tcPr>
                <w:p w14:paraId="57AB2DA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675" w:type="pct"/>
                  <w:tcBorders>
                    <w:tl2br w:val="nil"/>
                    <w:tr2bl w:val="nil"/>
                  </w:tcBorders>
                  <w:shd w:val="clear" w:color="auto" w:fill="auto"/>
                  <w:vAlign w:val="center"/>
                </w:tcPr>
                <w:p w14:paraId="3E817D81">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TN</w:t>
                  </w:r>
                </w:p>
              </w:tc>
              <w:tc>
                <w:tcPr>
                  <w:tcW w:w="486" w:type="pct"/>
                  <w:tcBorders>
                    <w:tl2br w:val="nil"/>
                    <w:tr2bl w:val="nil"/>
                  </w:tcBorders>
                  <w:shd w:val="clear" w:color="auto" w:fill="auto"/>
                  <w:vAlign w:val="center"/>
                </w:tcPr>
                <w:p w14:paraId="11FF4C0D">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16.67</w:t>
                  </w:r>
                </w:p>
              </w:tc>
              <w:tc>
                <w:tcPr>
                  <w:tcW w:w="464" w:type="pct"/>
                  <w:tcBorders>
                    <w:tl2br w:val="nil"/>
                    <w:tr2bl w:val="nil"/>
                  </w:tcBorders>
                  <w:shd w:val="clear" w:color="auto" w:fill="auto"/>
                  <w:vAlign w:val="center"/>
                </w:tcPr>
                <w:p w14:paraId="4F826E59">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0.0085</w:t>
                  </w:r>
                </w:p>
              </w:tc>
              <w:tc>
                <w:tcPr>
                  <w:tcW w:w="353" w:type="pct"/>
                  <w:tcBorders>
                    <w:tl2br w:val="nil"/>
                    <w:tr2bl w:val="nil"/>
                  </w:tcBorders>
                  <w:shd w:val="clear" w:color="auto" w:fill="auto"/>
                  <w:vAlign w:val="center"/>
                </w:tcPr>
                <w:p w14:paraId="324EF8E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40%</w:t>
                  </w:r>
                </w:p>
              </w:tc>
              <w:tc>
                <w:tcPr>
                  <w:tcW w:w="478" w:type="pct"/>
                  <w:tcBorders>
                    <w:tl2br w:val="nil"/>
                    <w:tr2bl w:val="nil"/>
                  </w:tcBorders>
                  <w:shd w:val="clear" w:color="auto" w:fill="auto"/>
                  <w:vAlign w:val="center"/>
                </w:tcPr>
                <w:p w14:paraId="452D358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10.0</w:t>
                  </w:r>
                </w:p>
              </w:tc>
              <w:tc>
                <w:tcPr>
                  <w:tcW w:w="438" w:type="pct"/>
                  <w:tcBorders>
                    <w:tl2br w:val="nil"/>
                    <w:tr2bl w:val="nil"/>
                  </w:tcBorders>
                  <w:shd w:val="clear" w:color="auto" w:fill="auto"/>
                  <w:vAlign w:val="center"/>
                </w:tcPr>
                <w:p w14:paraId="62E3CB64">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lang w:val="en-US" w:eastAsia="zh-CN"/>
                    </w:rPr>
                  </w:pPr>
                  <w:r>
                    <w:rPr>
                      <w:rFonts w:ascii="Times New Roman" w:hAnsi="Times New Roman" w:eastAsia="宋体" w:cs="Times New Roman"/>
                      <w:color w:val="auto"/>
                      <w:sz w:val="21"/>
                      <w:highlight w:val="none"/>
                    </w:rPr>
                    <w:t>0.0051</w:t>
                  </w:r>
                </w:p>
              </w:tc>
              <w:tc>
                <w:tcPr>
                  <w:tcW w:w="224" w:type="pct"/>
                  <w:vMerge w:val="continue"/>
                  <w:tcBorders>
                    <w:tl2br w:val="nil"/>
                    <w:tr2bl w:val="nil"/>
                  </w:tcBorders>
                  <w:vAlign w:val="center"/>
                </w:tcPr>
                <w:p w14:paraId="388DB6A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1231" w:type="pct"/>
                  <w:vMerge w:val="continue"/>
                  <w:tcBorders>
                    <w:tl2br w:val="nil"/>
                    <w:tr2bl w:val="nil"/>
                  </w:tcBorders>
                  <w:vAlign w:val="center"/>
                </w:tcPr>
                <w:p w14:paraId="61CACA9E">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ascii="Times New Roman" w:hAnsi="Times New Roman" w:eastAsia="宋体" w:cs="Times New Roman"/>
                      <w:color w:val="auto"/>
                      <w:sz w:val="21"/>
                      <w:highlight w:val="none"/>
                    </w:rPr>
                  </w:pPr>
                </w:p>
              </w:tc>
              <w:tc>
                <w:tcPr>
                  <w:tcW w:w="428" w:type="pct"/>
                  <w:tcBorders>
                    <w:tl2br w:val="nil"/>
                    <w:tr2bl w:val="nil"/>
                  </w:tcBorders>
                  <w:shd w:val="clear" w:color="auto" w:fill="auto"/>
                  <w:vAlign w:val="center"/>
                </w:tcPr>
                <w:p w14:paraId="3DFED58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highlight w:val="none"/>
                      <w:lang w:val="en-US" w:eastAsia="zh-CN"/>
                    </w:rPr>
                    <w:t>40</w:t>
                  </w:r>
                </w:p>
              </w:tc>
            </w:tr>
            <w:tr w14:paraId="4BEBE7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39" w:hRule="exact"/>
                <w:jc w:val="center"/>
              </w:trPr>
              <w:tc>
                <w:tcPr>
                  <w:tcW w:w="5000" w:type="pct"/>
                  <w:gridSpan w:val="10"/>
                  <w:tcBorders>
                    <w:tl2br w:val="nil"/>
                    <w:tr2bl w:val="nil"/>
                  </w:tcBorders>
                  <w:vAlign w:val="center"/>
                </w:tcPr>
                <w:p w14:paraId="7B3BF995">
                  <w:pPr>
                    <w:keepNext w:val="0"/>
                    <w:keepLines w:val="0"/>
                    <w:pageBreakBefore w:val="0"/>
                    <w:kinsoku/>
                    <w:wordWrap/>
                    <w:overflowPunct/>
                    <w:topLinePunct w:val="0"/>
                    <w:autoSpaceDE/>
                    <w:autoSpaceDN/>
                    <w:bidi w:val="0"/>
                    <w:spacing w:line="240" w:lineRule="auto"/>
                    <w:ind w:left="0" w:leftChars="0" w:right="0" w:firstLine="0"/>
                    <w:jc w:val="both"/>
                    <w:rPr>
                      <w:rFonts w:ascii="Times New Roman" w:hAnsi="Times New Roman" w:eastAsia="宋体" w:cs="Times New Roman"/>
                      <w:color w:val="auto"/>
                      <w:spacing w:val="2"/>
                      <w:position w:val="1"/>
                      <w:sz w:val="21"/>
                      <w:szCs w:val="20"/>
                      <w:highlight w:val="none"/>
                    </w:rPr>
                  </w:pPr>
                  <w:r>
                    <w:rPr>
                      <w:rFonts w:ascii="Times New Roman" w:hAnsi="Times New Roman" w:eastAsia="宋体" w:cs="Times New Roman"/>
                      <w:color w:val="auto"/>
                      <w:spacing w:val="2"/>
                      <w:position w:val="1"/>
                      <w:sz w:val="21"/>
                      <w:szCs w:val="20"/>
                      <w:highlight w:val="none"/>
                    </w:rPr>
                    <w:t>注：废水净化效率取值依据为《污染源源强核算技术指南汽车制造》（HJ 1097-2020）、《废水污染控制技术手册》（化学工业出版社）。</w:t>
                  </w:r>
                </w:p>
              </w:tc>
            </w:tr>
          </w:tbl>
          <w:p w14:paraId="6DE5466A">
            <w:pPr>
              <w:pStyle w:val="5"/>
              <w:numPr>
                <w:ilvl w:val="3"/>
                <w:numId w:val="13"/>
              </w:numPr>
              <w:tabs>
                <w:tab w:val="left" w:pos="0"/>
              </w:tabs>
              <w:bidi w:val="0"/>
              <w:ind w:left="864" w:leftChars="0" w:hanging="864" w:firstLineChars="0"/>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生活污水</w:t>
            </w:r>
          </w:p>
          <w:p w14:paraId="1C41A7B3">
            <w:pPr>
              <w:pStyle w:val="44"/>
              <w:ind w:firstLine="480"/>
              <w:rPr>
                <w:color w:val="auto"/>
                <w:highlight w:val="none"/>
              </w:rPr>
            </w:pPr>
            <w:r>
              <w:rPr>
                <w:color w:val="auto"/>
                <w:highlight w:val="none"/>
              </w:rPr>
              <w:t>本项目生活污水产生量为生活用水的80%，则生活污水产生量为</w:t>
            </w:r>
            <w:r>
              <w:rPr>
                <w:rFonts w:hint="eastAsia"/>
                <w:color w:val="auto"/>
                <w:highlight w:val="none"/>
                <w:lang w:val="en-US" w:eastAsia="zh-CN"/>
              </w:rPr>
              <w:t>360</w:t>
            </w:r>
            <w:r>
              <w:rPr>
                <w:color w:val="auto"/>
                <w:highlight w:val="none"/>
              </w:rPr>
              <w:t>t/a(</w:t>
            </w:r>
            <w:r>
              <w:rPr>
                <w:rFonts w:hint="eastAsia"/>
                <w:color w:val="auto"/>
                <w:highlight w:val="none"/>
                <w:lang w:val="en-US" w:eastAsia="zh-CN"/>
              </w:rPr>
              <w:t>1.2</w:t>
            </w:r>
            <w:r>
              <w:rPr>
                <w:color w:val="auto"/>
                <w:highlight w:val="none"/>
              </w:rPr>
              <w:t>t/d</w:t>
            </w:r>
            <w:r>
              <w:rPr>
                <w:rFonts w:hint="eastAsia"/>
                <w:color w:val="auto"/>
                <w:highlight w:val="none"/>
                <w:lang w:eastAsia="zh-CN"/>
              </w:rPr>
              <w:t>)</w:t>
            </w:r>
            <w:r>
              <w:rPr>
                <w:color w:val="auto"/>
                <w:highlight w:val="none"/>
              </w:rPr>
              <w:t>，</w:t>
            </w:r>
            <w:r>
              <w:rPr>
                <w:rFonts w:hint="eastAsia"/>
                <w:color w:val="auto"/>
                <w:highlight w:val="none"/>
              </w:rPr>
              <w:t>参考</w:t>
            </w:r>
            <w:r>
              <w:rPr>
                <w:color w:val="auto"/>
                <w:highlight w:val="none"/>
              </w:rPr>
              <w:t>根据《给排水设计手册》</w:t>
            </w:r>
            <w:r>
              <w:rPr>
                <w:rFonts w:hint="eastAsia"/>
                <w:color w:val="auto"/>
                <w:highlight w:val="none"/>
                <w:lang w:eastAsia="zh-CN"/>
              </w:rPr>
              <w:t>(</w:t>
            </w:r>
            <w:r>
              <w:rPr>
                <w:color w:val="auto"/>
                <w:highlight w:val="none"/>
              </w:rPr>
              <w:t>第五册城镇排水</w:t>
            </w:r>
            <w:r>
              <w:rPr>
                <w:rFonts w:hint="eastAsia"/>
                <w:color w:val="auto"/>
                <w:highlight w:val="none"/>
                <w:lang w:eastAsia="zh-CN"/>
              </w:rPr>
              <w:t>)</w:t>
            </w:r>
            <w:r>
              <w:rPr>
                <w:color w:val="auto"/>
                <w:highlight w:val="none"/>
              </w:rPr>
              <w:t>典型生活污水水质示例，本环评项目生活污水中主要污染指标浓度取值为COD400mg/L、BOD</w:t>
            </w:r>
            <w:r>
              <w:rPr>
                <w:color w:val="auto"/>
                <w:highlight w:val="none"/>
                <w:vertAlign w:val="subscript"/>
              </w:rPr>
              <w:t>5</w:t>
            </w:r>
            <w:r>
              <w:rPr>
                <w:color w:val="auto"/>
                <w:highlight w:val="none"/>
              </w:rPr>
              <w:t>200mg/L、SS</w:t>
            </w:r>
            <w:r>
              <w:rPr>
                <w:rFonts w:hint="eastAsia"/>
                <w:color w:val="auto"/>
                <w:highlight w:val="none"/>
                <w:lang w:eastAsia="zh-CN"/>
              </w:rPr>
              <w:t>200m</w:t>
            </w:r>
            <w:r>
              <w:rPr>
                <w:color w:val="auto"/>
                <w:highlight w:val="none"/>
              </w:rPr>
              <w:t>g/L、氨氮35mg/L，生活污水经化粪池处理</w:t>
            </w:r>
            <w:r>
              <w:rPr>
                <w:rFonts w:hint="eastAsia"/>
                <w:color w:val="auto"/>
                <w:highlight w:val="none"/>
                <w:lang w:eastAsia="zh-CN"/>
              </w:rPr>
              <w:t>达到</w:t>
            </w:r>
            <w:r>
              <w:rPr>
                <w:color w:val="auto"/>
                <w:highlight w:val="none"/>
              </w:rPr>
              <w:t>《污水综合排放标准》（GB8978-1996）表4中三级标准（其中氨氮执行《污水排入城镇下水道水质标准》（</w:t>
            </w:r>
            <w:r>
              <w:rPr>
                <w:rFonts w:hint="eastAsia"/>
                <w:color w:val="auto"/>
                <w:highlight w:val="none"/>
                <w:lang w:eastAsia="zh-CN"/>
              </w:rPr>
              <w:t>GB/T 31962-2015</w:t>
            </w:r>
            <w:r>
              <w:rPr>
                <w:color w:val="auto"/>
                <w:highlight w:val="none"/>
              </w:rPr>
              <w:t>）表1的B等级标准）后接入</w:t>
            </w:r>
            <w:r>
              <w:rPr>
                <w:rFonts w:hint="eastAsia"/>
                <w:color w:val="auto"/>
                <w:highlight w:val="none"/>
              </w:rPr>
              <w:t>市</w:t>
            </w:r>
            <w:r>
              <w:rPr>
                <w:color w:val="auto"/>
                <w:highlight w:val="none"/>
              </w:rPr>
              <w:t>政污水管网，排入福清市第二污水处理厂处理；废水净化效率取值依据为《污染源源强核算技术指南汽车制造》（HJ 1097-2020）、《废水污染控制技术手册》（化学工业出版社）</w:t>
            </w:r>
            <w:r>
              <w:rPr>
                <w:rFonts w:hint="eastAsia"/>
                <w:color w:val="auto"/>
                <w:highlight w:val="none"/>
                <w:lang w:eastAsia="zh-CN"/>
              </w:rPr>
              <w:t>，</w:t>
            </w:r>
            <w:r>
              <w:rPr>
                <w:color w:val="auto"/>
                <w:highlight w:val="none"/>
              </w:rPr>
              <w:t>则生活污水产生量及排放量见</w:t>
            </w:r>
            <w:r>
              <w:rPr>
                <w:rFonts w:hint="eastAsia"/>
                <w:color w:val="auto"/>
                <w:highlight w:val="none"/>
              </w:rPr>
              <w:t>表</w:t>
            </w:r>
            <w:r>
              <w:rPr>
                <w:rFonts w:hint="eastAsia"/>
                <w:color w:val="auto"/>
                <w:highlight w:val="none"/>
                <w:lang w:val="en-US" w:eastAsia="zh-CN"/>
              </w:rPr>
              <w:t>4.3-1、</w:t>
            </w:r>
            <w:r>
              <w:rPr>
                <w:rFonts w:hint="eastAsia"/>
                <w:color w:val="auto"/>
                <w:highlight w:val="none"/>
              </w:rPr>
              <w:t>表</w:t>
            </w:r>
            <w:r>
              <w:rPr>
                <w:rFonts w:hint="eastAsia"/>
                <w:color w:val="auto"/>
                <w:highlight w:val="none"/>
                <w:lang w:val="en-US" w:eastAsia="zh-CN"/>
              </w:rPr>
              <w:t>4.3-2</w:t>
            </w:r>
            <w:r>
              <w:rPr>
                <w:color w:val="auto"/>
                <w:highlight w:val="none"/>
              </w:rPr>
              <w:t>。</w:t>
            </w:r>
          </w:p>
          <w:p w14:paraId="4DDB3B10">
            <w:pPr>
              <w:pStyle w:val="5"/>
              <w:numPr>
                <w:ilvl w:val="3"/>
                <w:numId w:val="13"/>
              </w:numPr>
              <w:tabs>
                <w:tab w:val="left" w:pos="0"/>
              </w:tabs>
              <w:bidi w:val="0"/>
              <w:ind w:left="864" w:leftChars="0" w:hanging="864" w:firstLineChars="0"/>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vertAlign w:val="baseline"/>
                <w:lang w:val="en-US" w:eastAsia="zh-CN"/>
              </w:rPr>
              <w:t>生产废水</w:t>
            </w:r>
          </w:p>
          <w:p w14:paraId="3016A70B">
            <w:pPr>
              <w:pStyle w:val="44"/>
              <w:ind w:firstLine="480"/>
              <w:rPr>
                <w:rFonts w:hint="eastAsia"/>
                <w:color w:val="auto"/>
                <w:highlight w:val="none"/>
                <w:lang w:val="en-US" w:eastAsia="zh-CN"/>
              </w:rPr>
            </w:pPr>
            <w:r>
              <w:rPr>
                <w:color w:val="auto"/>
                <w:highlight w:val="none"/>
              </w:rPr>
              <w:t>项目废水主要为脱脂废水、脱脂后水洗废水、硅烷后水洗废水、</w:t>
            </w:r>
            <w:r>
              <w:rPr>
                <w:rFonts w:hint="eastAsia"/>
                <w:color w:val="auto"/>
                <w:highlight w:val="none"/>
                <w:lang w:val="en-US" w:eastAsia="zh-CN"/>
              </w:rPr>
              <w:t>纯</w:t>
            </w:r>
            <w:r>
              <w:rPr>
                <w:color w:val="auto"/>
                <w:highlight w:val="none"/>
              </w:rPr>
              <w:t>水洗</w:t>
            </w:r>
            <w:r>
              <w:rPr>
                <w:rFonts w:hint="eastAsia"/>
                <w:color w:val="auto"/>
                <w:highlight w:val="none"/>
                <w:lang w:val="en-US" w:eastAsia="zh-CN"/>
              </w:rPr>
              <w:t>2</w:t>
            </w:r>
            <w:r>
              <w:rPr>
                <w:color w:val="auto"/>
                <w:highlight w:val="none"/>
              </w:rPr>
              <w:t>废水、纯水制备尾水</w:t>
            </w:r>
            <w:r>
              <w:rPr>
                <w:rFonts w:hint="eastAsia"/>
                <w:color w:val="auto"/>
                <w:highlight w:val="none"/>
                <w:lang w:val="en-US" w:eastAsia="zh-CN"/>
              </w:rPr>
              <w:t>。</w:t>
            </w:r>
          </w:p>
          <w:p w14:paraId="5B8913EE">
            <w:pPr>
              <w:pStyle w:val="44"/>
              <w:ind w:firstLine="480"/>
              <w:rPr>
                <w:rFonts w:hint="eastAsia"/>
                <w:color w:val="auto"/>
                <w:highlight w:val="none"/>
                <w:lang w:val="en-US" w:eastAsia="zh-CN"/>
              </w:rPr>
            </w:pPr>
            <w:r>
              <w:rPr>
                <w:rFonts w:hint="eastAsia"/>
                <w:color w:val="auto"/>
                <w:highlight w:val="none"/>
                <w:lang w:val="en-US" w:eastAsia="zh-CN"/>
              </w:rPr>
              <w:t>（1）源强核算</w:t>
            </w:r>
          </w:p>
          <w:p w14:paraId="33643482">
            <w:pPr>
              <w:pStyle w:val="44"/>
              <w:ind w:firstLine="480"/>
              <w:rPr>
                <w:rFonts w:hint="eastAsia"/>
                <w:color w:val="auto"/>
                <w:highlight w:val="none"/>
                <w:lang w:val="en-US" w:eastAsia="zh-CN"/>
              </w:rPr>
            </w:pPr>
            <w:r>
              <w:rPr>
                <w:rFonts w:hint="eastAsia"/>
                <w:color w:val="auto"/>
                <w:highlight w:val="none"/>
                <w:lang w:val="en-US" w:eastAsia="zh-CN"/>
              </w:rPr>
              <w:t>①脱脂废水W1：项目脱脂槽液循环使用，定期更换（约6个月更换一次（33.9m</w:t>
            </w:r>
            <w:r>
              <w:rPr>
                <w:rFonts w:hint="eastAsia"/>
                <w:color w:val="auto"/>
                <w:highlight w:val="none"/>
                <w:vertAlign w:val="superscript"/>
                <w:lang w:val="en-US" w:eastAsia="zh-CN"/>
              </w:rPr>
              <w:t>3</w:t>
            </w:r>
            <w:r>
              <w:rPr>
                <w:rFonts w:hint="eastAsia"/>
                <w:color w:val="auto"/>
                <w:highlight w:val="none"/>
                <w:lang w:val="en-US" w:eastAsia="zh-CN"/>
              </w:rPr>
              <w:t>/次）），产生脱脂废水W1，产生量为57m</w:t>
            </w:r>
            <w:r>
              <w:rPr>
                <w:rFonts w:hint="eastAsia"/>
                <w:color w:val="auto"/>
                <w:highlight w:val="none"/>
                <w:vertAlign w:val="superscript"/>
                <w:lang w:val="en-US" w:eastAsia="zh-CN"/>
              </w:rPr>
              <w:t>3</w:t>
            </w:r>
            <w:r>
              <w:rPr>
                <w:rFonts w:hint="eastAsia"/>
                <w:color w:val="auto"/>
                <w:highlight w:val="none"/>
                <w:lang w:val="en-US" w:eastAsia="zh-CN"/>
              </w:rPr>
              <w:t>/a。主要污染物为pH、CODcr、BOD5、SS、石油类、LAS。</w:t>
            </w:r>
          </w:p>
          <w:p w14:paraId="327FADE3">
            <w:pPr>
              <w:pStyle w:val="44"/>
              <w:ind w:firstLine="480"/>
              <w:rPr>
                <w:rFonts w:hint="eastAsia"/>
                <w:color w:val="auto"/>
                <w:highlight w:val="none"/>
                <w:lang w:val="en-US" w:eastAsia="zh-CN"/>
              </w:rPr>
            </w:pPr>
            <w:r>
              <w:rPr>
                <w:rFonts w:hint="eastAsia"/>
                <w:color w:val="auto"/>
                <w:highlight w:val="none"/>
                <w:lang w:val="en-US" w:eastAsia="zh-CN"/>
              </w:rPr>
              <w:t>②脱脂后水洗废水W2、W3：项目脱脂后需要进行水洗，包括2道水洗，每个水洗槽每周需要排水一次（2m</w:t>
            </w:r>
            <w:r>
              <w:rPr>
                <w:rFonts w:hint="eastAsia"/>
                <w:color w:val="auto"/>
                <w:highlight w:val="none"/>
                <w:vertAlign w:val="superscript"/>
                <w:lang w:val="en-US" w:eastAsia="zh-CN"/>
              </w:rPr>
              <w:t>3</w:t>
            </w:r>
            <w:r>
              <w:rPr>
                <w:rFonts w:hint="eastAsia"/>
                <w:color w:val="auto"/>
                <w:highlight w:val="none"/>
                <w:lang w:val="en-US" w:eastAsia="zh-CN"/>
              </w:rPr>
              <w:t>/次）。经核算，脱脂后水洗废水产生量为171m</w:t>
            </w:r>
            <w:r>
              <w:rPr>
                <w:rFonts w:hint="eastAsia"/>
                <w:color w:val="auto"/>
                <w:highlight w:val="none"/>
                <w:vertAlign w:val="superscript"/>
                <w:lang w:val="en-US" w:eastAsia="zh-CN"/>
              </w:rPr>
              <w:t>3</w:t>
            </w:r>
            <w:r>
              <w:rPr>
                <w:rFonts w:hint="eastAsia"/>
                <w:color w:val="auto"/>
                <w:highlight w:val="none"/>
                <w:lang w:val="en-US" w:eastAsia="zh-CN"/>
              </w:rPr>
              <w:t>/a。主要污染物为pH、CODcr、BOD5、SS、石油类、LAS。</w:t>
            </w:r>
          </w:p>
          <w:p w14:paraId="1CCE6785">
            <w:pPr>
              <w:pStyle w:val="44"/>
              <w:ind w:firstLine="480"/>
              <w:rPr>
                <w:rFonts w:hint="eastAsia"/>
                <w:color w:val="auto"/>
                <w:highlight w:val="none"/>
                <w:lang w:val="en-US" w:eastAsia="zh-CN"/>
              </w:rPr>
            </w:pPr>
            <w:r>
              <w:rPr>
                <w:rFonts w:hint="eastAsia"/>
                <w:color w:val="auto"/>
                <w:highlight w:val="none"/>
                <w:lang w:val="en-US" w:eastAsia="zh-CN"/>
              </w:rPr>
              <w:t>③硅烷后水洗废水W4、W5：项目硅烷后需要进行水洗，包括1道水洗，1道纯水洗，每个水洗槽每周需要排水一次（2m</w:t>
            </w:r>
            <w:r>
              <w:rPr>
                <w:rFonts w:hint="eastAsia"/>
                <w:color w:val="auto"/>
                <w:highlight w:val="none"/>
                <w:vertAlign w:val="superscript"/>
                <w:lang w:val="en-US" w:eastAsia="zh-CN"/>
              </w:rPr>
              <w:t>3</w:t>
            </w:r>
            <w:r>
              <w:rPr>
                <w:rFonts w:hint="eastAsia"/>
                <w:color w:val="auto"/>
                <w:highlight w:val="none"/>
                <w:lang w:val="en-US" w:eastAsia="zh-CN"/>
              </w:rPr>
              <w:t>/次）。经核算，硅烷后水洗废水产生量为171m</w:t>
            </w:r>
            <w:r>
              <w:rPr>
                <w:rFonts w:hint="eastAsia"/>
                <w:color w:val="auto"/>
                <w:highlight w:val="none"/>
                <w:vertAlign w:val="superscript"/>
                <w:lang w:val="en-US" w:eastAsia="zh-CN"/>
              </w:rPr>
              <w:t>3</w:t>
            </w:r>
            <w:r>
              <w:rPr>
                <w:rFonts w:hint="eastAsia"/>
                <w:color w:val="auto"/>
                <w:highlight w:val="none"/>
                <w:lang w:val="en-US" w:eastAsia="zh-CN"/>
              </w:rPr>
              <w:t>/a。主要污染物为pH、CODcr、BOD</w:t>
            </w:r>
            <w:r>
              <w:rPr>
                <w:rFonts w:hint="eastAsia"/>
                <w:color w:val="auto"/>
                <w:highlight w:val="none"/>
                <w:vertAlign w:val="subscript"/>
                <w:lang w:val="en-US" w:eastAsia="zh-CN"/>
              </w:rPr>
              <w:t>5</w:t>
            </w:r>
            <w:r>
              <w:rPr>
                <w:rFonts w:hint="eastAsia"/>
                <w:color w:val="auto"/>
                <w:highlight w:val="none"/>
                <w:lang w:val="en-US" w:eastAsia="zh-CN"/>
              </w:rPr>
              <w:t>、NH</w:t>
            </w:r>
            <w:r>
              <w:rPr>
                <w:rFonts w:hint="eastAsia"/>
                <w:color w:val="auto"/>
                <w:highlight w:val="none"/>
                <w:vertAlign w:val="subscript"/>
                <w:lang w:val="en-US" w:eastAsia="zh-CN"/>
              </w:rPr>
              <w:t>3</w:t>
            </w:r>
            <w:r>
              <w:rPr>
                <w:rFonts w:hint="eastAsia"/>
                <w:color w:val="auto"/>
                <w:highlight w:val="none"/>
                <w:lang w:val="en-US" w:eastAsia="zh-CN"/>
              </w:rPr>
              <w:t>-N、SS、TN。</w:t>
            </w:r>
          </w:p>
          <w:p w14:paraId="63D8BB15">
            <w:pPr>
              <w:pStyle w:val="44"/>
              <w:ind w:firstLine="480"/>
              <w:rPr>
                <w:rFonts w:hint="eastAsia"/>
                <w:color w:val="auto"/>
                <w:highlight w:val="none"/>
                <w:lang w:val="en-US" w:eastAsia="zh-CN"/>
              </w:rPr>
            </w:pPr>
            <w:r>
              <w:rPr>
                <w:rFonts w:hint="eastAsia"/>
                <w:color w:val="auto"/>
                <w:highlight w:val="none"/>
                <w:lang w:val="en-US" w:eastAsia="zh-CN"/>
              </w:rPr>
              <w:t>④纯水洗2废水W6：项目水洗槽清洗水循环使用，定期更换（约1周更换一次（2.565m</w:t>
            </w:r>
            <w:r>
              <w:rPr>
                <w:rFonts w:hint="eastAsia"/>
                <w:color w:val="auto"/>
                <w:highlight w:val="none"/>
                <w:vertAlign w:val="superscript"/>
                <w:lang w:val="en-US" w:eastAsia="zh-CN"/>
              </w:rPr>
              <w:t>3</w:t>
            </w:r>
            <w:r>
              <w:rPr>
                <w:rFonts w:hint="eastAsia"/>
                <w:color w:val="auto"/>
                <w:highlight w:val="none"/>
                <w:lang w:val="en-US" w:eastAsia="zh-CN"/>
              </w:rPr>
              <w:t>/次）），产生纯水洗2废水W6，产生量为111m</w:t>
            </w:r>
            <w:r>
              <w:rPr>
                <w:rFonts w:hint="eastAsia"/>
                <w:color w:val="auto"/>
                <w:highlight w:val="none"/>
                <w:vertAlign w:val="superscript"/>
                <w:lang w:val="en-US" w:eastAsia="zh-CN"/>
              </w:rPr>
              <w:t>3</w:t>
            </w:r>
            <w:r>
              <w:rPr>
                <w:rFonts w:hint="eastAsia"/>
                <w:color w:val="auto"/>
                <w:highlight w:val="none"/>
                <w:lang w:val="en-US" w:eastAsia="zh-CN"/>
              </w:rPr>
              <w:t>/a。主要污染物为pH、CODcr、BOD</w:t>
            </w:r>
            <w:r>
              <w:rPr>
                <w:rFonts w:hint="eastAsia"/>
                <w:color w:val="auto"/>
                <w:highlight w:val="none"/>
                <w:vertAlign w:val="subscript"/>
                <w:lang w:val="en-US" w:eastAsia="zh-CN"/>
              </w:rPr>
              <w:t>5</w:t>
            </w:r>
            <w:r>
              <w:rPr>
                <w:rFonts w:hint="eastAsia"/>
                <w:color w:val="auto"/>
                <w:highlight w:val="none"/>
                <w:lang w:val="en-US" w:eastAsia="zh-CN"/>
              </w:rPr>
              <w:t>、SS、石油类。</w:t>
            </w:r>
          </w:p>
          <w:p w14:paraId="5504631E">
            <w:pPr>
              <w:pStyle w:val="44"/>
              <w:ind w:firstLine="480"/>
              <w:rPr>
                <w:rFonts w:hint="eastAsia"/>
                <w:color w:val="auto"/>
                <w:highlight w:val="none"/>
                <w:lang w:val="en-US" w:eastAsia="zh-CN"/>
              </w:rPr>
            </w:pPr>
            <w:r>
              <w:rPr>
                <w:rFonts w:hint="eastAsia"/>
                <w:color w:val="auto"/>
                <w:highlight w:val="none"/>
                <w:lang w:val="en-US" w:eastAsia="zh-CN"/>
              </w:rPr>
              <w:t>⑤纯水制备尾水W7：本项目纯水制备过程会有纯水制备尾水产生。根据项目设计方案，项目纯水用量为30m</w:t>
            </w:r>
            <w:r>
              <w:rPr>
                <w:rFonts w:hint="eastAsia"/>
                <w:color w:val="auto"/>
                <w:highlight w:val="none"/>
                <w:vertAlign w:val="superscript"/>
                <w:lang w:val="en-US" w:eastAsia="zh-CN"/>
              </w:rPr>
              <w:t>3</w:t>
            </w:r>
            <w:r>
              <w:rPr>
                <w:rFonts w:hint="eastAsia"/>
                <w:color w:val="auto"/>
                <w:highlight w:val="none"/>
                <w:lang w:val="en-US" w:eastAsia="zh-CN"/>
              </w:rPr>
              <w:t>/a，纯水制备率约40%，则纯水制备尾水的产生量为18m</w:t>
            </w:r>
            <w:r>
              <w:rPr>
                <w:rFonts w:hint="eastAsia"/>
                <w:color w:val="auto"/>
                <w:highlight w:val="none"/>
                <w:vertAlign w:val="superscript"/>
                <w:lang w:val="en-US" w:eastAsia="zh-CN"/>
              </w:rPr>
              <w:t>3</w:t>
            </w:r>
            <w:r>
              <w:rPr>
                <w:rFonts w:hint="eastAsia"/>
                <w:color w:val="auto"/>
                <w:highlight w:val="none"/>
                <w:lang w:val="en-US" w:eastAsia="zh-CN"/>
              </w:rPr>
              <w:t>/a，主要污染物为pH、CODcr、SS。纯水制备尾水回用于硅烷后水洗3工序。</w:t>
            </w:r>
          </w:p>
          <w:p w14:paraId="58A5ED70">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eastAsia="宋体"/>
                <w:color w:val="auto"/>
                <w:highlight w:val="none"/>
                <w:lang w:val="en-US" w:eastAsia="zh-CN"/>
              </w:rPr>
            </w:pPr>
            <w:r>
              <w:rPr>
                <w:rFonts w:hint="eastAsia"/>
                <w:color w:val="auto"/>
                <w:highlight w:val="none"/>
              </w:rPr>
              <w:t>⑥喷淋塔补充用水</w:t>
            </w:r>
          </w:p>
          <w:p w14:paraId="6D1F6055">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hint="eastAsia"/>
                <w:color w:val="auto"/>
                <w:highlight w:val="none"/>
                <w:lang w:val="en-US" w:eastAsia="zh-CN"/>
              </w:rPr>
            </w:pPr>
            <w:r>
              <w:rPr>
                <w:rFonts w:hint="eastAsia"/>
                <w:color w:val="auto"/>
                <w:highlight w:val="none"/>
              </w:rPr>
              <w:t>本项目废气处理设施配套设置1套喷淋塔，喷淋塔储水量约为</w:t>
            </w:r>
            <w:r>
              <w:rPr>
                <w:rFonts w:hint="eastAsia"/>
                <w:color w:val="auto"/>
                <w:highlight w:val="none"/>
                <w:lang w:val="en-US" w:eastAsia="zh-CN"/>
              </w:rPr>
              <w:t>0.5t</w:t>
            </w:r>
            <w:r>
              <w:rPr>
                <w:rFonts w:hint="eastAsia"/>
                <w:color w:val="auto"/>
                <w:highlight w:val="none"/>
              </w:rPr>
              <w:t>，根据经验估算，预计每天补充用水量按储水量的10%计，则项目喷淋塔补充新鲜水量为</w:t>
            </w:r>
            <w:r>
              <w:rPr>
                <w:rFonts w:hint="eastAsia"/>
                <w:color w:val="auto"/>
                <w:highlight w:val="none"/>
                <w:lang w:val="en-US" w:eastAsia="zh-CN"/>
              </w:rPr>
              <w:t>0.05</w:t>
            </w:r>
            <w:r>
              <w:rPr>
                <w:rFonts w:hint="eastAsia"/>
                <w:color w:val="auto"/>
                <w:highlight w:val="none"/>
              </w:rPr>
              <w:t>t/d(</w:t>
            </w:r>
            <w:r>
              <w:rPr>
                <w:rFonts w:hint="eastAsia"/>
                <w:color w:val="auto"/>
                <w:highlight w:val="none"/>
                <w:lang w:val="en-US" w:eastAsia="zh-CN"/>
              </w:rPr>
              <w:t>15</w:t>
            </w:r>
            <w:r>
              <w:rPr>
                <w:rFonts w:hint="eastAsia"/>
                <w:color w:val="auto"/>
                <w:highlight w:val="none"/>
              </w:rPr>
              <w:t>t/a)。喷淋塔喷淋水定期排入废水处理设施处理后循环使用不外排。</w:t>
            </w:r>
          </w:p>
          <w:p w14:paraId="0AEF3089">
            <w:pPr>
              <w:pStyle w:val="44"/>
              <w:ind w:firstLine="480"/>
              <w:rPr>
                <w:rFonts w:hint="eastAsia"/>
                <w:color w:val="auto"/>
                <w:highlight w:val="none"/>
                <w:lang w:val="en-US" w:eastAsia="zh-CN"/>
              </w:rPr>
            </w:pPr>
            <w:r>
              <w:rPr>
                <w:rFonts w:hint="eastAsia"/>
                <w:color w:val="auto"/>
                <w:highlight w:val="none"/>
                <w:lang w:val="en-US" w:eastAsia="zh-CN"/>
              </w:rPr>
              <w:t>⑦生活污水W8：项目劳动定员30人，年生产300天，采用单班工作制。根据《建筑给水排水设计标准》（GB50015-2019），办公用水定额为日均25~40L/人•班，办公用水量取30L/人•班，由此得出项目员工生活用水总量为1.5m</w:t>
            </w:r>
            <w:r>
              <w:rPr>
                <w:rFonts w:hint="eastAsia"/>
                <w:color w:val="auto"/>
                <w:highlight w:val="none"/>
                <w:vertAlign w:val="superscript"/>
                <w:lang w:val="en-US" w:eastAsia="zh-CN"/>
              </w:rPr>
              <w:t>3</w:t>
            </w:r>
            <w:r>
              <w:rPr>
                <w:rFonts w:hint="eastAsia"/>
                <w:color w:val="auto"/>
                <w:highlight w:val="none"/>
                <w:lang w:val="en-US" w:eastAsia="zh-CN"/>
              </w:rPr>
              <w:t>/d（450m</w:t>
            </w:r>
            <w:r>
              <w:rPr>
                <w:rFonts w:hint="eastAsia"/>
                <w:color w:val="auto"/>
                <w:highlight w:val="none"/>
                <w:vertAlign w:val="superscript"/>
                <w:lang w:val="en-US" w:eastAsia="zh-CN"/>
              </w:rPr>
              <w:t>3</w:t>
            </w:r>
            <w:r>
              <w:rPr>
                <w:rFonts w:hint="eastAsia"/>
                <w:color w:val="auto"/>
                <w:highlight w:val="none"/>
                <w:lang w:val="en-US" w:eastAsia="zh-CN"/>
              </w:rPr>
              <w:t>/a）。生活污水产生量按照用水量的80%计算，则生活污水产生量为1.2m</w:t>
            </w:r>
            <w:r>
              <w:rPr>
                <w:rFonts w:hint="eastAsia"/>
                <w:color w:val="auto"/>
                <w:highlight w:val="none"/>
                <w:vertAlign w:val="superscript"/>
                <w:lang w:val="en-US" w:eastAsia="zh-CN"/>
              </w:rPr>
              <w:t>3</w:t>
            </w:r>
            <w:r>
              <w:rPr>
                <w:rFonts w:hint="eastAsia"/>
                <w:color w:val="auto"/>
                <w:highlight w:val="none"/>
                <w:lang w:val="en-US" w:eastAsia="zh-CN"/>
              </w:rPr>
              <w:t>/d，即360m</w:t>
            </w:r>
            <w:r>
              <w:rPr>
                <w:rFonts w:hint="eastAsia"/>
                <w:color w:val="auto"/>
                <w:highlight w:val="none"/>
                <w:vertAlign w:val="superscript"/>
                <w:lang w:val="en-US" w:eastAsia="zh-CN"/>
              </w:rPr>
              <w:t>3</w:t>
            </w:r>
            <w:r>
              <w:rPr>
                <w:rFonts w:hint="eastAsia"/>
                <w:color w:val="auto"/>
                <w:highlight w:val="none"/>
                <w:lang w:val="en-US" w:eastAsia="zh-CN"/>
              </w:rPr>
              <w:t>/a。主要污染物为CODcr、BOD</w:t>
            </w:r>
            <w:r>
              <w:rPr>
                <w:rFonts w:hint="eastAsia"/>
                <w:color w:val="auto"/>
                <w:highlight w:val="none"/>
                <w:vertAlign w:val="subscript"/>
                <w:lang w:val="en-US" w:eastAsia="zh-CN"/>
              </w:rPr>
              <w:t>5</w:t>
            </w:r>
            <w:r>
              <w:rPr>
                <w:rFonts w:hint="eastAsia"/>
                <w:color w:val="auto"/>
                <w:highlight w:val="none"/>
                <w:lang w:val="en-US" w:eastAsia="zh-CN"/>
              </w:rPr>
              <w:t>、SS、NH</w:t>
            </w:r>
            <w:r>
              <w:rPr>
                <w:rFonts w:hint="eastAsia"/>
                <w:color w:val="auto"/>
                <w:highlight w:val="none"/>
                <w:vertAlign w:val="subscript"/>
                <w:lang w:val="en-US" w:eastAsia="zh-CN"/>
              </w:rPr>
              <w:t>3</w:t>
            </w:r>
            <w:r>
              <w:rPr>
                <w:rFonts w:hint="eastAsia"/>
                <w:color w:val="auto"/>
                <w:highlight w:val="none"/>
                <w:lang w:val="en-US" w:eastAsia="zh-CN"/>
              </w:rPr>
              <w:t>-N、TN等。</w:t>
            </w:r>
          </w:p>
          <w:p w14:paraId="01FB6978">
            <w:pPr>
              <w:pStyle w:val="44"/>
              <w:ind w:firstLine="480"/>
              <w:rPr>
                <w:rFonts w:hint="eastAsia"/>
                <w:color w:val="auto"/>
                <w:highlight w:val="none"/>
                <w:lang w:val="en-US" w:eastAsia="zh-CN"/>
              </w:rPr>
            </w:pPr>
            <w:r>
              <w:rPr>
                <w:rFonts w:hint="eastAsia"/>
                <w:color w:val="auto"/>
                <w:highlight w:val="none"/>
                <w:lang w:val="en-US" w:eastAsia="zh-CN"/>
              </w:rPr>
              <w:t>本项目废水源强类比同类企业（延锋安道拓座椅有限公司，该企业主要从事汽车零部件制造，生产工艺与本项目类似，具有较好的可类比性）。</w:t>
            </w:r>
          </w:p>
          <w:p w14:paraId="6BE2DD07">
            <w:pPr>
              <w:pStyle w:val="44"/>
              <w:ind w:firstLine="480"/>
              <w:rPr>
                <w:rFonts w:hint="eastAsia"/>
                <w:color w:val="auto"/>
                <w:highlight w:val="none"/>
                <w:lang w:val="en-US" w:eastAsia="zh-CN"/>
              </w:rPr>
            </w:pPr>
            <w:r>
              <w:rPr>
                <w:rFonts w:hint="eastAsia"/>
                <w:color w:val="auto"/>
                <w:highlight w:val="none"/>
                <w:lang w:val="en-US" w:eastAsia="zh-CN"/>
              </w:rPr>
              <w:t>本项目废水产生情况见下表。</w:t>
            </w:r>
          </w:p>
          <w:p w14:paraId="29898293">
            <w:pPr>
              <w:pStyle w:val="42"/>
              <w:keepNext/>
              <w:keepLines/>
              <w:pageBreakBefore w:val="0"/>
              <w:widowControl w:val="0"/>
              <w:numPr>
                <w:ilvl w:val="7"/>
                <w:numId w:val="1"/>
              </w:numPr>
              <w:kinsoku/>
              <w:wordWrap/>
              <w:overflowPunct/>
              <w:topLinePunct w:val="0"/>
              <w:autoSpaceDE/>
              <w:autoSpaceDN/>
              <w:bidi w:val="0"/>
              <w:adjustRightInd/>
              <w:snapToGrid/>
              <w:spacing w:before="157" w:beforeLines="50" w:after="0"/>
              <w:ind w:left="210" w:leftChars="0" w:firstLine="0" w:firstLineChars="0"/>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本项目主要水污染物产生情况一览表</w:t>
            </w:r>
          </w:p>
          <w:tbl>
            <w:tblPr>
              <w:tblStyle w:val="34"/>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2"/>
              <w:gridCol w:w="1453"/>
              <w:gridCol w:w="1453"/>
              <w:gridCol w:w="1470"/>
              <w:gridCol w:w="1457"/>
              <w:gridCol w:w="1456"/>
            </w:tblGrid>
            <w:tr w14:paraId="32148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tcBorders>
                    <w:tl2br w:val="nil"/>
                    <w:tr2bl w:val="nil"/>
                  </w:tcBorders>
                  <w:shd w:val="clear" w:color="auto" w:fill="auto"/>
                  <w:vAlign w:val="center"/>
                </w:tcPr>
                <w:p w14:paraId="18AD6CC3">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b/>
                      <w:bCs/>
                      <w:color w:val="auto"/>
                      <w:spacing w:val="4"/>
                      <w:sz w:val="21"/>
                      <w:highlight w:val="none"/>
                    </w:rPr>
                    <w:t>代号</w:t>
                  </w:r>
                </w:p>
              </w:tc>
              <w:tc>
                <w:tcPr>
                  <w:tcW w:w="1453" w:type="dxa"/>
                  <w:vMerge w:val="restart"/>
                  <w:tcBorders>
                    <w:tl2br w:val="nil"/>
                    <w:tr2bl w:val="nil"/>
                  </w:tcBorders>
                  <w:shd w:val="clear" w:color="auto" w:fill="auto"/>
                  <w:vAlign w:val="center"/>
                </w:tcPr>
                <w:p w14:paraId="04F28B9A">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b/>
                      <w:bCs/>
                      <w:color w:val="auto"/>
                      <w:spacing w:val="4"/>
                      <w:sz w:val="21"/>
                      <w:highlight w:val="none"/>
                    </w:rPr>
                    <w:t>源名</w:t>
                  </w:r>
                </w:p>
              </w:tc>
              <w:tc>
                <w:tcPr>
                  <w:tcW w:w="1453" w:type="dxa"/>
                  <w:vMerge w:val="restart"/>
                  <w:tcBorders>
                    <w:tl2br w:val="nil"/>
                    <w:tr2bl w:val="nil"/>
                  </w:tcBorders>
                  <w:shd w:val="clear" w:color="auto" w:fill="auto"/>
                  <w:vAlign w:val="center"/>
                </w:tcPr>
                <w:p w14:paraId="7F9192E8">
                  <w:pPr>
                    <w:pStyle w:val="113"/>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废水量</w:t>
                  </w:r>
                </w:p>
                <w:p w14:paraId="5618A726">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b/>
                      <w:bCs/>
                      <w:color w:val="auto"/>
                      <w:spacing w:val="2"/>
                      <w:sz w:val="21"/>
                      <w:szCs w:val="20"/>
                      <w:highlight w:val="none"/>
                    </w:rPr>
                    <w:t>(m</w:t>
                  </w:r>
                  <w:r>
                    <w:rPr>
                      <w:rFonts w:ascii="Times New Roman" w:hAnsi="Times New Roman" w:eastAsia="宋体" w:cs="Times New Roman"/>
                      <w:b/>
                      <w:bCs/>
                      <w:color w:val="auto"/>
                      <w:spacing w:val="2"/>
                      <w:position w:val="6"/>
                      <w:sz w:val="21"/>
                      <w:szCs w:val="13"/>
                      <w:highlight w:val="none"/>
                    </w:rPr>
                    <w:t>3</w:t>
                  </w:r>
                  <w:r>
                    <w:rPr>
                      <w:rFonts w:ascii="Times New Roman" w:hAnsi="Times New Roman" w:eastAsia="宋体" w:cs="Times New Roman"/>
                      <w:b/>
                      <w:bCs/>
                      <w:color w:val="auto"/>
                      <w:spacing w:val="2"/>
                      <w:sz w:val="21"/>
                      <w:szCs w:val="20"/>
                      <w:highlight w:val="none"/>
                    </w:rPr>
                    <w:t>/a)</w:t>
                  </w:r>
                </w:p>
              </w:tc>
              <w:tc>
                <w:tcPr>
                  <w:tcW w:w="4383" w:type="dxa"/>
                  <w:gridSpan w:val="3"/>
                  <w:tcBorders>
                    <w:tl2br w:val="nil"/>
                    <w:tr2bl w:val="nil"/>
                  </w:tcBorders>
                  <w:shd w:val="clear" w:color="auto" w:fill="auto"/>
                  <w:vAlign w:val="center"/>
                </w:tcPr>
                <w:p w14:paraId="1F70CED2">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宋体"/>
                      <w:color w:val="auto"/>
                      <w:kern w:val="2"/>
                      <w:sz w:val="21"/>
                      <w:szCs w:val="24"/>
                      <w:highlight w:val="none"/>
                      <w:lang w:val="en-US" w:eastAsia="zh-CN" w:bidi="ar-SA"/>
                    </w:rPr>
                  </w:pPr>
                  <w:r>
                    <w:rPr>
                      <w:rFonts w:ascii="Times New Roman" w:hAnsi="Times New Roman" w:eastAsia="宋体"/>
                      <w:b/>
                      <w:bCs/>
                      <w:color w:val="auto"/>
                      <w:spacing w:val="6"/>
                      <w:sz w:val="21"/>
                      <w:highlight w:val="none"/>
                    </w:rPr>
                    <w:t>产生情况</w:t>
                  </w:r>
                </w:p>
              </w:tc>
            </w:tr>
            <w:tr w14:paraId="06651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057B2390">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182E97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212AC76">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7874097C">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宋体"/>
                      <w:color w:val="auto"/>
                      <w:kern w:val="2"/>
                      <w:sz w:val="21"/>
                      <w:szCs w:val="24"/>
                      <w:highlight w:val="none"/>
                      <w:lang w:val="en-US" w:eastAsia="zh-CN" w:bidi="ar-SA"/>
                    </w:rPr>
                  </w:pPr>
                  <w:r>
                    <w:rPr>
                      <w:rFonts w:ascii="Times New Roman" w:hAnsi="Times New Roman" w:eastAsia="宋体"/>
                      <w:b/>
                      <w:bCs/>
                      <w:color w:val="auto"/>
                      <w:spacing w:val="5"/>
                      <w:sz w:val="21"/>
                      <w:highlight w:val="none"/>
                    </w:rPr>
                    <w:t>污染物</w:t>
                  </w:r>
                </w:p>
              </w:tc>
              <w:tc>
                <w:tcPr>
                  <w:tcW w:w="1457" w:type="dxa"/>
                  <w:tcBorders>
                    <w:tl2br w:val="nil"/>
                    <w:tr2bl w:val="nil"/>
                  </w:tcBorders>
                  <w:shd w:val="clear" w:color="auto" w:fill="auto"/>
                  <w:vAlign w:val="center"/>
                </w:tcPr>
                <w:p w14:paraId="256F944C">
                  <w:pPr>
                    <w:pStyle w:val="113"/>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产生浓度</w:t>
                  </w:r>
                </w:p>
                <w:p w14:paraId="5F3021E6">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b/>
                      <w:bCs/>
                      <w:color w:val="auto"/>
                      <w:spacing w:val="4"/>
                      <w:sz w:val="21"/>
                      <w:szCs w:val="20"/>
                      <w:highlight w:val="none"/>
                    </w:rPr>
                    <w:t>(</w:t>
                  </w:r>
                  <w:r>
                    <w:rPr>
                      <w:rFonts w:ascii="Times New Roman" w:hAnsi="Times New Roman" w:eastAsia="宋体" w:cs="Times New Roman"/>
                      <w:b/>
                      <w:bCs/>
                      <w:color w:val="auto"/>
                      <w:sz w:val="21"/>
                      <w:szCs w:val="20"/>
                      <w:highlight w:val="none"/>
                    </w:rPr>
                    <w:t>mg</w:t>
                  </w:r>
                  <w:r>
                    <w:rPr>
                      <w:rFonts w:ascii="Times New Roman" w:hAnsi="Times New Roman" w:eastAsia="宋体" w:cs="Times New Roman"/>
                      <w:b/>
                      <w:bCs/>
                      <w:color w:val="auto"/>
                      <w:spacing w:val="4"/>
                      <w:sz w:val="21"/>
                      <w:szCs w:val="20"/>
                      <w:highlight w:val="none"/>
                    </w:rPr>
                    <w:t>/L)</w:t>
                  </w:r>
                </w:p>
              </w:tc>
              <w:tc>
                <w:tcPr>
                  <w:tcW w:w="1456" w:type="dxa"/>
                  <w:tcBorders>
                    <w:tl2br w:val="nil"/>
                    <w:tr2bl w:val="nil"/>
                  </w:tcBorders>
                  <w:shd w:val="clear" w:color="auto" w:fill="auto"/>
                  <w:vAlign w:val="center"/>
                </w:tcPr>
                <w:p w14:paraId="09B95613">
                  <w:pPr>
                    <w:pStyle w:val="113"/>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产生量</w:t>
                  </w:r>
                </w:p>
                <w:p w14:paraId="5F108A1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b/>
                      <w:bCs/>
                      <w:color w:val="auto"/>
                      <w:spacing w:val="1"/>
                      <w:sz w:val="21"/>
                      <w:szCs w:val="20"/>
                      <w:highlight w:val="none"/>
                    </w:rPr>
                    <w:t>(t/a)</w:t>
                  </w:r>
                </w:p>
              </w:tc>
            </w:tr>
            <w:tr w14:paraId="4D5AC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tcBorders>
                    <w:tl2br w:val="nil"/>
                    <w:tr2bl w:val="nil"/>
                  </w:tcBorders>
                  <w:shd w:val="clear" w:color="auto" w:fill="auto"/>
                  <w:vAlign w:val="center"/>
                </w:tcPr>
                <w:p w14:paraId="7154B96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color w:val="auto"/>
                      <w:spacing w:val="4"/>
                      <w:position w:val="2"/>
                      <w:sz w:val="21"/>
                      <w:szCs w:val="20"/>
                      <w:highlight w:val="none"/>
                    </w:rPr>
                    <w:t>W</w:t>
                  </w:r>
                  <w:r>
                    <w:rPr>
                      <w:rFonts w:hint="eastAsia" w:ascii="Times New Roman" w:hAnsi="Times New Roman" w:eastAsia="宋体" w:cs="Times New Roman"/>
                      <w:color w:val="auto"/>
                      <w:spacing w:val="4"/>
                      <w:position w:val="2"/>
                      <w:sz w:val="21"/>
                      <w:szCs w:val="20"/>
                      <w:highlight w:val="none"/>
                      <w:lang w:val="en-US" w:eastAsia="zh-CN"/>
                    </w:rPr>
                    <w:t>1</w:t>
                  </w:r>
                </w:p>
              </w:tc>
              <w:tc>
                <w:tcPr>
                  <w:tcW w:w="1453" w:type="dxa"/>
                  <w:vMerge w:val="restart"/>
                  <w:tcBorders>
                    <w:tl2br w:val="nil"/>
                    <w:tr2bl w:val="nil"/>
                  </w:tcBorders>
                  <w:shd w:val="clear" w:color="auto" w:fill="auto"/>
                  <w:vAlign w:val="center"/>
                </w:tcPr>
                <w:p w14:paraId="29F726B4">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olor w:val="auto"/>
                      <w:spacing w:val="7"/>
                      <w:sz w:val="21"/>
                      <w:highlight w:val="none"/>
                    </w:rPr>
                    <w:t>脱脂废水</w:t>
                  </w:r>
                </w:p>
              </w:tc>
              <w:tc>
                <w:tcPr>
                  <w:tcW w:w="1453" w:type="dxa"/>
                  <w:vMerge w:val="restart"/>
                  <w:tcBorders>
                    <w:tl2br w:val="nil"/>
                    <w:tr2bl w:val="nil"/>
                  </w:tcBorders>
                  <w:shd w:val="clear" w:color="auto" w:fill="auto"/>
                  <w:vAlign w:val="center"/>
                </w:tcPr>
                <w:p w14:paraId="686F232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szCs w:val="20"/>
                      <w:highlight w:val="none"/>
                    </w:rPr>
                    <w:t>57</w:t>
                  </w:r>
                </w:p>
              </w:tc>
              <w:tc>
                <w:tcPr>
                  <w:tcW w:w="1470" w:type="dxa"/>
                  <w:tcBorders>
                    <w:tl2br w:val="nil"/>
                    <w:tr2bl w:val="nil"/>
                  </w:tcBorders>
                  <w:shd w:val="clear" w:color="auto" w:fill="auto"/>
                  <w:vAlign w:val="center"/>
                </w:tcPr>
                <w:p w14:paraId="488042DC">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Times New Roman"/>
                      <w:color w:val="auto"/>
                      <w:sz w:val="21"/>
                      <w:highlight w:val="none"/>
                    </w:rPr>
                    <w:t>pH</w:t>
                  </w:r>
                  <w:r>
                    <w:rPr>
                      <w:rFonts w:hint="eastAsia" w:ascii="Times New Roman" w:hAnsi="Times New Roman" w:cs="Times New Roman"/>
                      <w:color w:val="auto"/>
                      <w:sz w:val="21"/>
                      <w:highlight w:val="none"/>
                      <w:lang w:eastAsia="zh-CN"/>
                    </w:rPr>
                    <w:t>(</w:t>
                  </w:r>
                  <w:r>
                    <w:rPr>
                      <w:rFonts w:ascii="Times New Roman" w:hAnsi="Times New Roman" w:eastAsia="宋体"/>
                      <w:color w:val="auto"/>
                      <w:spacing w:val="9"/>
                      <w:sz w:val="21"/>
                      <w:highlight w:val="none"/>
                    </w:rPr>
                    <w:t>无量纲</w:t>
                  </w:r>
                  <w:r>
                    <w:rPr>
                      <w:rFonts w:hint="eastAsia" w:ascii="Times New Roman" w:hAnsi="Times New Roman"/>
                      <w:color w:val="auto"/>
                      <w:spacing w:val="9"/>
                      <w:sz w:val="21"/>
                      <w:highlight w:val="none"/>
                      <w:lang w:eastAsia="zh-CN"/>
                    </w:rPr>
                    <w:t>)</w:t>
                  </w:r>
                </w:p>
              </w:tc>
              <w:tc>
                <w:tcPr>
                  <w:tcW w:w="1457" w:type="dxa"/>
                  <w:tcBorders>
                    <w:tl2br w:val="nil"/>
                    <w:tr2bl w:val="nil"/>
                  </w:tcBorders>
                  <w:shd w:val="clear" w:color="auto" w:fill="auto"/>
                  <w:vAlign w:val="center"/>
                </w:tcPr>
                <w:p w14:paraId="7DAFE3F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5"/>
                      <w:position w:val="1"/>
                      <w:sz w:val="21"/>
                      <w:szCs w:val="20"/>
                      <w:highlight w:val="none"/>
                    </w:rPr>
                    <w:t>8~10</w:t>
                  </w:r>
                </w:p>
              </w:tc>
              <w:tc>
                <w:tcPr>
                  <w:tcW w:w="1456" w:type="dxa"/>
                  <w:tcBorders>
                    <w:tl2br w:val="nil"/>
                    <w:tr2bl w:val="nil"/>
                  </w:tcBorders>
                  <w:shd w:val="clear" w:color="auto" w:fill="auto"/>
                  <w:vAlign w:val="center"/>
                </w:tcPr>
                <w:p w14:paraId="2114391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position w:val="-2"/>
                      <w:sz w:val="21"/>
                      <w:szCs w:val="20"/>
                      <w:highlight w:val="none"/>
                    </w:rPr>
                    <w:t>-----</w:t>
                  </w:r>
                </w:p>
              </w:tc>
            </w:tr>
            <w:tr w14:paraId="7CE33A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48F6EFC9">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518287A">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1744D96A">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7EDAD66B">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13"/>
                      <w:highlight w:val="none"/>
                      <w:lang w:val="en-US" w:eastAsia="zh-CN" w:bidi="ar-SA"/>
                    </w:rPr>
                  </w:pPr>
                  <w:r>
                    <w:rPr>
                      <w:rFonts w:ascii="Times New Roman" w:hAnsi="Times New Roman" w:eastAsia="宋体" w:cs="Times New Roman"/>
                      <w:color w:val="auto"/>
                      <w:spacing w:val="3"/>
                      <w:sz w:val="21"/>
                      <w:szCs w:val="20"/>
                      <w:highlight w:val="none"/>
                    </w:rPr>
                    <w:t>COD</w:t>
                  </w:r>
                  <w:r>
                    <w:rPr>
                      <w:rFonts w:ascii="Times New Roman" w:hAnsi="Times New Roman" w:eastAsia="宋体" w:cs="Times New Roman"/>
                      <w:color w:val="auto"/>
                      <w:spacing w:val="3"/>
                      <w:position w:val="-1"/>
                      <w:sz w:val="21"/>
                      <w:szCs w:val="13"/>
                      <w:highlight w:val="none"/>
                    </w:rPr>
                    <w:t>cr</w:t>
                  </w:r>
                </w:p>
              </w:tc>
              <w:tc>
                <w:tcPr>
                  <w:tcW w:w="1457" w:type="dxa"/>
                  <w:tcBorders>
                    <w:tl2br w:val="nil"/>
                    <w:tr2bl w:val="nil"/>
                  </w:tcBorders>
                  <w:shd w:val="clear" w:color="auto" w:fill="auto"/>
                  <w:vAlign w:val="center"/>
                </w:tcPr>
                <w:p w14:paraId="5F2B4010">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4"/>
                      <w:sz w:val="21"/>
                      <w:szCs w:val="20"/>
                      <w:highlight w:val="none"/>
                    </w:rPr>
                    <w:t>2000</w:t>
                  </w:r>
                </w:p>
              </w:tc>
              <w:tc>
                <w:tcPr>
                  <w:tcW w:w="1456" w:type="dxa"/>
                  <w:tcBorders>
                    <w:tl2br w:val="nil"/>
                    <w:tr2bl w:val="nil"/>
                  </w:tcBorders>
                  <w:shd w:val="clear" w:color="auto" w:fill="auto"/>
                  <w:vAlign w:val="center"/>
                </w:tcPr>
                <w:p w14:paraId="5047A616">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sz w:val="21"/>
                      <w:szCs w:val="20"/>
                      <w:highlight w:val="none"/>
                    </w:rPr>
                    <w:t>0.114</w:t>
                  </w:r>
                </w:p>
              </w:tc>
            </w:tr>
            <w:tr w14:paraId="3F3D2F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4AEF51A0">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2C19749">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4E35224">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209C741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13"/>
                      <w:highlight w:val="none"/>
                      <w:lang w:val="en-US" w:eastAsia="zh-CN" w:bidi="ar-SA"/>
                    </w:rPr>
                  </w:pPr>
                  <w:r>
                    <w:rPr>
                      <w:rFonts w:ascii="Times New Roman" w:hAnsi="Times New Roman" w:eastAsia="宋体" w:cs="Times New Roman"/>
                      <w:color w:val="auto"/>
                      <w:spacing w:val="5"/>
                      <w:sz w:val="21"/>
                      <w:szCs w:val="20"/>
                      <w:highlight w:val="none"/>
                    </w:rPr>
                    <w:t>BOD</w:t>
                  </w:r>
                  <w:r>
                    <w:rPr>
                      <w:rFonts w:ascii="Times New Roman" w:hAnsi="Times New Roman" w:eastAsia="宋体" w:cs="Times New Roman"/>
                      <w:color w:val="auto"/>
                      <w:spacing w:val="5"/>
                      <w:position w:val="-1"/>
                      <w:sz w:val="21"/>
                      <w:szCs w:val="13"/>
                      <w:highlight w:val="none"/>
                      <w:vertAlign w:val="subscript"/>
                    </w:rPr>
                    <w:t>5</w:t>
                  </w:r>
                </w:p>
              </w:tc>
              <w:tc>
                <w:tcPr>
                  <w:tcW w:w="1457" w:type="dxa"/>
                  <w:tcBorders>
                    <w:tl2br w:val="nil"/>
                    <w:tr2bl w:val="nil"/>
                  </w:tcBorders>
                  <w:shd w:val="clear" w:color="auto" w:fill="auto"/>
                  <w:vAlign w:val="center"/>
                </w:tcPr>
                <w:p w14:paraId="4C13EBC2">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position w:val="1"/>
                      <w:sz w:val="21"/>
                      <w:szCs w:val="20"/>
                      <w:highlight w:val="none"/>
                    </w:rPr>
                    <w:t>800</w:t>
                  </w:r>
                </w:p>
              </w:tc>
              <w:tc>
                <w:tcPr>
                  <w:tcW w:w="1456" w:type="dxa"/>
                  <w:tcBorders>
                    <w:tl2br w:val="nil"/>
                    <w:tr2bl w:val="nil"/>
                  </w:tcBorders>
                  <w:shd w:val="clear" w:color="auto" w:fill="auto"/>
                  <w:vAlign w:val="center"/>
                </w:tcPr>
                <w:p w14:paraId="07718260">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1"/>
                      <w:sz w:val="21"/>
                      <w:szCs w:val="20"/>
                      <w:highlight w:val="none"/>
                    </w:rPr>
                    <w:t>0.0456</w:t>
                  </w:r>
                </w:p>
              </w:tc>
            </w:tr>
            <w:tr w14:paraId="047BB6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3C9787C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2402013E">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3B8F666E">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3560D36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SS</w:t>
                  </w:r>
                </w:p>
              </w:tc>
              <w:tc>
                <w:tcPr>
                  <w:tcW w:w="1457" w:type="dxa"/>
                  <w:tcBorders>
                    <w:tl2br w:val="nil"/>
                    <w:tr2bl w:val="nil"/>
                  </w:tcBorders>
                  <w:shd w:val="clear" w:color="auto" w:fill="auto"/>
                  <w:vAlign w:val="center"/>
                </w:tcPr>
                <w:p w14:paraId="7092FCE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sz w:val="21"/>
                      <w:szCs w:val="20"/>
                      <w:highlight w:val="none"/>
                    </w:rPr>
                    <w:t>600</w:t>
                  </w:r>
                </w:p>
              </w:tc>
              <w:tc>
                <w:tcPr>
                  <w:tcW w:w="1456" w:type="dxa"/>
                  <w:tcBorders>
                    <w:tl2br w:val="nil"/>
                    <w:tr2bl w:val="nil"/>
                  </w:tcBorders>
                  <w:shd w:val="clear" w:color="auto" w:fill="auto"/>
                  <w:vAlign w:val="center"/>
                </w:tcPr>
                <w:p w14:paraId="3D81F7E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0.0342</w:t>
                  </w:r>
                </w:p>
              </w:tc>
            </w:tr>
            <w:tr w14:paraId="22622E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40E52DC9">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72D91F2">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AC8971E">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5B53B1CB">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宋体"/>
                      <w:color w:val="auto"/>
                      <w:kern w:val="2"/>
                      <w:sz w:val="21"/>
                      <w:szCs w:val="24"/>
                      <w:highlight w:val="none"/>
                      <w:lang w:val="en-US" w:eastAsia="zh-CN" w:bidi="ar-SA"/>
                    </w:rPr>
                  </w:pPr>
                  <w:r>
                    <w:rPr>
                      <w:rFonts w:ascii="Times New Roman" w:hAnsi="Times New Roman" w:eastAsia="宋体"/>
                      <w:color w:val="auto"/>
                      <w:spacing w:val="6"/>
                      <w:sz w:val="21"/>
                      <w:highlight w:val="none"/>
                    </w:rPr>
                    <w:t>石油类</w:t>
                  </w:r>
                </w:p>
              </w:tc>
              <w:tc>
                <w:tcPr>
                  <w:tcW w:w="1457" w:type="dxa"/>
                  <w:tcBorders>
                    <w:tl2br w:val="nil"/>
                    <w:tr2bl w:val="nil"/>
                  </w:tcBorders>
                  <w:shd w:val="clear" w:color="auto" w:fill="auto"/>
                  <w:vAlign w:val="center"/>
                </w:tcPr>
                <w:p w14:paraId="11495C4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position w:val="1"/>
                      <w:sz w:val="21"/>
                      <w:szCs w:val="20"/>
                      <w:highlight w:val="none"/>
                    </w:rPr>
                    <w:t>800</w:t>
                  </w:r>
                </w:p>
              </w:tc>
              <w:tc>
                <w:tcPr>
                  <w:tcW w:w="1456" w:type="dxa"/>
                  <w:tcBorders>
                    <w:tl2br w:val="nil"/>
                    <w:tr2bl w:val="nil"/>
                  </w:tcBorders>
                  <w:shd w:val="clear" w:color="auto" w:fill="auto"/>
                  <w:vAlign w:val="center"/>
                </w:tcPr>
                <w:p w14:paraId="4B75AB10">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1"/>
                      <w:sz w:val="21"/>
                      <w:szCs w:val="20"/>
                      <w:highlight w:val="none"/>
                    </w:rPr>
                    <w:t>0.0456</w:t>
                  </w:r>
                </w:p>
              </w:tc>
            </w:tr>
            <w:tr w14:paraId="0672A7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2E54A27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2616CDB0">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233BA7F3">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2A7A78D6">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4"/>
                      <w:sz w:val="21"/>
                      <w:szCs w:val="20"/>
                      <w:highlight w:val="none"/>
                    </w:rPr>
                    <w:t>LAS</w:t>
                  </w:r>
                </w:p>
              </w:tc>
              <w:tc>
                <w:tcPr>
                  <w:tcW w:w="1457" w:type="dxa"/>
                  <w:tcBorders>
                    <w:tl2br w:val="nil"/>
                    <w:tr2bl w:val="nil"/>
                  </w:tcBorders>
                  <w:shd w:val="clear" w:color="auto" w:fill="auto"/>
                  <w:vAlign w:val="center"/>
                </w:tcPr>
                <w:p w14:paraId="79011A5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position w:val="1"/>
                      <w:sz w:val="21"/>
                      <w:szCs w:val="20"/>
                      <w:highlight w:val="none"/>
                    </w:rPr>
                    <w:t>30</w:t>
                  </w:r>
                </w:p>
              </w:tc>
              <w:tc>
                <w:tcPr>
                  <w:tcW w:w="1456" w:type="dxa"/>
                  <w:tcBorders>
                    <w:tl2br w:val="nil"/>
                    <w:tr2bl w:val="nil"/>
                  </w:tcBorders>
                  <w:shd w:val="clear" w:color="auto" w:fill="auto"/>
                  <w:vAlign w:val="center"/>
                </w:tcPr>
                <w:p w14:paraId="3314097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1"/>
                      <w:sz w:val="21"/>
                      <w:szCs w:val="20"/>
                      <w:highlight w:val="none"/>
                    </w:rPr>
                    <w:t>0.00171</w:t>
                  </w:r>
                </w:p>
              </w:tc>
            </w:tr>
            <w:tr w14:paraId="5149D5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tcBorders>
                    <w:tl2br w:val="nil"/>
                    <w:tr2bl w:val="nil"/>
                  </w:tcBorders>
                  <w:shd w:val="clear" w:color="auto" w:fill="auto"/>
                  <w:vAlign w:val="center"/>
                </w:tcPr>
                <w:p w14:paraId="17EF9E9D">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color w:val="auto"/>
                      <w:spacing w:val="-7"/>
                      <w:position w:val="2"/>
                      <w:sz w:val="21"/>
                      <w:highlight w:val="none"/>
                    </w:rPr>
                    <w:t>W</w:t>
                  </w:r>
                  <w:r>
                    <w:rPr>
                      <w:rFonts w:hint="eastAsia" w:ascii="Times New Roman" w:hAnsi="Times New Roman" w:eastAsia="宋体" w:cs="Times New Roman"/>
                      <w:color w:val="auto"/>
                      <w:spacing w:val="-7"/>
                      <w:position w:val="2"/>
                      <w:sz w:val="21"/>
                      <w:highlight w:val="none"/>
                      <w:lang w:val="en-US" w:eastAsia="zh-CN"/>
                    </w:rPr>
                    <w:t>2</w:t>
                  </w:r>
                  <w:r>
                    <w:rPr>
                      <w:rFonts w:ascii="Times New Roman" w:hAnsi="Times New Roman" w:eastAsia="宋体"/>
                      <w:color w:val="auto"/>
                      <w:spacing w:val="-7"/>
                      <w:position w:val="2"/>
                      <w:sz w:val="21"/>
                      <w:highlight w:val="none"/>
                    </w:rPr>
                    <w:t>、</w:t>
                  </w:r>
                  <w:r>
                    <w:rPr>
                      <w:rFonts w:ascii="Times New Roman" w:hAnsi="Times New Roman" w:eastAsia="宋体" w:cs="Times New Roman"/>
                      <w:color w:val="auto"/>
                      <w:spacing w:val="-7"/>
                      <w:position w:val="2"/>
                      <w:sz w:val="21"/>
                      <w:highlight w:val="none"/>
                    </w:rPr>
                    <w:t>W</w:t>
                  </w:r>
                  <w:r>
                    <w:rPr>
                      <w:rFonts w:hint="eastAsia" w:ascii="Times New Roman" w:hAnsi="Times New Roman" w:eastAsia="宋体" w:cs="Times New Roman"/>
                      <w:color w:val="auto"/>
                      <w:spacing w:val="-7"/>
                      <w:position w:val="2"/>
                      <w:sz w:val="21"/>
                      <w:highlight w:val="none"/>
                      <w:lang w:val="en-US" w:eastAsia="zh-CN"/>
                    </w:rPr>
                    <w:t>3</w:t>
                  </w:r>
                </w:p>
              </w:tc>
              <w:tc>
                <w:tcPr>
                  <w:tcW w:w="1453" w:type="dxa"/>
                  <w:vMerge w:val="restart"/>
                  <w:tcBorders>
                    <w:tl2br w:val="nil"/>
                    <w:tr2bl w:val="nil"/>
                  </w:tcBorders>
                  <w:shd w:val="clear" w:color="auto" w:fill="auto"/>
                  <w:vAlign w:val="center"/>
                </w:tcPr>
                <w:p w14:paraId="0E24A419">
                  <w:pPr>
                    <w:pStyle w:val="113"/>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脱脂后水洗废</w:t>
                  </w:r>
                </w:p>
                <w:p w14:paraId="5F8D8A96">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olor w:val="auto"/>
                      <w:sz w:val="21"/>
                      <w:highlight w:val="none"/>
                    </w:rPr>
                    <w:t>水</w:t>
                  </w:r>
                </w:p>
              </w:tc>
              <w:tc>
                <w:tcPr>
                  <w:tcW w:w="1453" w:type="dxa"/>
                  <w:vMerge w:val="restart"/>
                  <w:tcBorders>
                    <w:tl2br w:val="nil"/>
                    <w:tr2bl w:val="nil"/>
                  </w:tcBorders>
                  <w:shd w:val="clear" w:color="auto" w:fill="auto"/>
                  <w:vAlign w:val="center"/>
                </w:tcPr>
                <w:p w14:paraId="4B6B429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2"/>
                      <w:sz w:val="21"/>
                      <w:szCs w:val="20"/>
                      <w:highlight w:val="none"/>
                    </w:rPr>
                    <w:t>171</w:t>
                  </w:r>
                </w:p>
              </w:tc>
              <w:tc>
                <w:tcPr>
                  <w:tcW w:w="1470" w:type="dxa"/>
                  <w:tcBorders>
                    <w:tl2br w:val="nil"/>
                    <w:tr2bl w:val="nil"/>
                  </w:tcBorders>
                  <w:shd w:val="clear" w:color="auto" w:fill="auto"/>
                  <w:vAlign w:val="center"/>
                </w:tcPr>
                <w:p w14:paraId="6097FBAE">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Times New Roman"/>
                      <w:color w:val="auto"/>
                      <w:sz w:val="21"/>
                      <w:highlight w:val="none"/>
                    </w:rPr>
                    <w:t>pH</w:t>
                  </w:r>
                  <w:r>
                    <w:rPr>
                      <w:rFonts w:hint="eastAsia" w:ascii="Times New Roman" w:hAnsi="Times New Roman" w:cs="Times New Roman"/>
                      <w:color w:val="auto"/>
                      <w:sz w:val="21"/>
                      <w:highlight w:val="none"/>
                      <w:lang w:eastAsia="zh-CN"/>
                    </w:rPr>
                    <w:t>(</w:t>
                  </w:r>
                  <w:r>
                    <w:rPr>
                      <w:rFonts w:ascii="Times New Roman" w:hAnsi="Times New Roman" w:eastAsia="宋体"/>
                      <w:color w:val="auto"/>
                      <w:spacing w:val="9"/>
                      <w:sz w:val="21"/>
                      <w:highlight w:val="none"/>
                    </w:rPr>
                    <w:t>无量纲</w:t>
                  </w:r>
                  <w:r>
                    <w:rPr>
                      <w:rFonts w:hint="eastAsia" w:ascii="Times New Roman" w:hAnsi="Times New Roman"/>
                      <w:color w:val="auto"/>
                      <w:spacing w:val="9"/>
                      <w:sz w:val="21"/>
                      <w:highlight w:val="none"/>
                      <w:lang w:eastAsia="zh-CN"/>
                    </w:rPr>
                    <w:t>)</w:t>
                  </w:r>
                </w:p>
              </w:tc>
              <w:tc>
                <w:tcPr>
                  <w:tcW w:w="1457" w:type="dxa"/>
                  <w:tcBorders>
                    <w:tl2br w:val="nil"/>
                    <w:tr2bl w:val="nil"/>
                  </w:tcBorders>
                  <w:shd w:val="clear" w:color="auto" w:fill="auto"/>
                  <w:vAlign w:val="center"/>
                </w:tcPr>
                <w:p w14:paraId="794014C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2"/>
                      <w:position w:val="1"/>
                      <w:sz w:val="21"/>
                      <w:szCs w:val="20"/>
                      <w:highlight w:val="none"/>
                    </w:rPr>
                    <w:t>7~9</w:t>
                  </w:r>
                </w:p>
              </w:tc>
              <w:tc>
                <w:tcPr>
                  <w:tcW w:w="1456" w:type="dxa"/>
                  <w:tcBorders>
                    <w:tl2br w:val="nil"/>
                    <w:tr2bl w:val="nil"/>
                  </w:tcBorders>
                  <w:shd w:val="clear" w:color="auto" w:fill="auto"/>
                  <w:vAlign w:val="center"/>
                </w:tcPr>
                <w:p w14:paraId="58565398">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position w:val="-2"/>
                      <w:sz w:val="21"/>
                      <w:szCs w:val="20"/>
                      <w:highlight w:val="none"/>
                    </w:rPr>
                    <w:t>-----</w:t>
                  </w:r>
                </w:p>
              </w:tc>
            </w:tr>
            <w:tr w14:paraId="22EC1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3BA56783">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8C0FDD9">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75C625B0">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4E88FFF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13"/>
                      <w:highlight w:val="none"/>
                      <w:lang w:val="en-US" w:eastAsia="zh-CN" w:bidi="ar-SA"/>
                    </w:rPr>
                  </w:pPr>
                  <w:r>
                    <w:rPr>
                      <w:rFonts w:ascii="Times New Roman" w:hAnsi="Times New Roman" w:eastAsia="宋体" w:cs="Times New Roman"/>
                      <w:color w:val="auto"/>
                      <w:spacing w:val="3"/>
                      <w:sz w:val="21"/>
                      <w:szCs w:val="20"/>
                      <w:highlight w:val="none"/>
                    </w:rPr>
                    <w:t>COD</w:t>
                  </w:r>
                  <w:r>
                    <w:rPr>
                      <w:rFonts w:ascii="Times New Roman" w:hAnsi="Times New Roman" w:eastAsia="宋体" w:cs="Times New Roman"/>
                      <w:color w:val="auto"/>
                      <w:spacing w:val="3"/>
                      <w:position w:val="-1"/>
                      <w:sz w:val="21"/>
                      <w:szCs w:val="13"/>
                      <w:highlight w:val="none"/>
                    </w:rPr>
                    <w:t>cr</w:t>
                  </w:r>
                </w:p>
              </w:tc>
              <w:tc>
                <w:tcPr>
                  <w:tcW w:w="1457" w:type="dxa"/>
                  <w:tcBorders>
                    <w:tl2br w:val="nil"/>
                    <w:tr2bl w:val="nil"/>
                  </w:tcBorders>
                  <w:shd w:val="clear" w:color="auto" w:fill="auto"/>
                  <w:vAlign w:val="center"/>
                </w:tcPr>
                <w:p w14:paraId="0572DF97">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szCs w:val="20"/>
                      <w:highlight w:val="none"/>
                    </w:rPr>
                    <w:t>800</w:t>
                  </w:r>
                </w:p>
              </w:tc>
              <w:tc>
                <w:tcPr>
                  <w:tcW w:w="1456" w:type="dxa"/>
                  <w:tcBorders>
                    <w:tl2br w:val="nil"/>
                    <w:tr2bl w:val="nil"/>
                  </w:tcBorders>
                  <w:shd w:val="clear" w:color="auto" w:fill="auto"/>
                  <w:vAlign w:val="center"/>
                </w:tcPr>
                <w:p w14:paraId="052F0082">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0.1368</w:t>
                  </w:r>
                </w:p>
              </w:tc>
            </w:tr>
            <w:tr w14:paraId="32CD04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2A427452">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05952318">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715EA80B">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2317EB0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13"/>
                      <w:highlight w:val="none"/>
                      <w:lang w:val="en-US" w:eastAsia="zh-CN" w:bidi="ar-SA"/>
                    </w:rPr>
                  </w:pPr>
                  <w:r>
                    <w:rPr>
                      <w:rFonts w:ascii="Times New Roman" w:hAnsi="Times New Roman" w:eastAsia="宋体" w:cs="Times New Roman"/>
                      <w:color w:val="auto"/>
                      <w:spacing w:val="5"/>
                      <w:sz w:val="21"/>
                      <w:szCs w:val="20"/>
                      <w:highlight w:val="none"/>
                    </w:rPr>
                    <w:t>BOD</w:t>
                  </w:r>
                  <w:r>
                    <w:rPr>
                      <w:rFonts w:ascii="Times New Roman" w:hAnsi="Times New Roman" w:eastAsia="宋体" w:cs="Times New Roman"/>
                      <w:color w:val="auto"/>
                      <w:spacing w:val="5"/>
                      <w:position w:val="-1"/>
                      <w:sz w:val="21"/>
                      <w:szCs w:val="13"/>
                      <w:highlight w:val="none"/>
                      <w:vertAlign w:val="subscript"/>
                    </w:rPr>
                    <w:t>5</w:t>
                  </w:r>
                </w:p>
              </w:tc>
              <w:tc>
                <w:tcPr>
                  <w:tcW w:w="1457" w:type="dxa"/>
                  <w:tcBorders>
                    <w:tl2br w:val="nil"/>
                    <w:tr2bl w:val="nil"/>
                  </w:tcBorders>
                  <w:shd w:val="clear" w:color="auto" w:fill="auto"/>
                  <w:vAlign w:val="center"/>
                </w:tcPr>
                <w:p w14:paraId="744D514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2"/>
                      <w:sz w:val="21"/>
                      <w:szCs w:val="20"/>
                      <w:highlight w:val="none"/>
                    </w:rPr>
                    <w:t>300</w:t>
                  </w:r>
                </w:p>
              </w:tc>
              <w:tc>
                <w:tcPr>
                  <w:tcW w:w="1456" w:type="dxa"/>
                  <w:tcBorders>
                    <w:tl2br w:val="nil"/>
                    <w:tr2bl w:val="nil"/>
                  </w:tcBorders>
                  <w:shd w:val="clear" w:color="auto" w:fill="auto"/>
                  <w:vAlign w:val="center"/>
                </w:tcPr>
                <w:p w14:paraId="126CF39B">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0.0513</w:t>
                  </w:r>
                </w:p>
              </w:tc>
            </w:tr>
            <w:tr w14:paraId="2A18B9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03D0CD06">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6A3E52A5">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60177CC7">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4B9A9DE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SS</w:t>
                  </w:r>
                </w:p>
              </w:tc>
              <w:tc>
                <w:tcPr>
                  <w:tcW w:w="1457" w:type="dxa"/>
                  <w:tcBorders>
                    <w:tl2br w:val="nil"/>
                    <w:tr2bl w:val="nil"/>
                  </w:tcBorders>
                  <w:shd w:val="clear" w:color="auto" w:fill="auto"/>
                  <w:vAlign w:val="center"/>
                </w:tcPr>
                <w:p w14:paraId="4775965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4"/>
                      <w:position w:val="1"/>
                      <w:sz w:val="21"/>
                      <w:szCs w:val="20"/>
                      <w:highlight w:val="none"/>
                    </w:rPr>
                    <w:t>400</w:t>
                  </w:r>
                </w:p>
              </w:tc>
              <w:tc>
                <w:tcPr>
                  <w:tcW w:w="1456" w:type="dxa"/>
                  <w:tcBorders>
                    <w:tl2br w:val="nil"/>
                    <w:tr2bl w:val="nil"/>
                  </w:tcBorders>
                  <w:shd w:val="clear" w:color="auto" w:fill="auto"/>
                  <w:vAlign w:val="center"/>
                </w:tcPr>
                <w:p w14:paraId="30ECA786">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1"/>
                      <w:sz w:val="21"/>
                      <w:szCs w:val="20"/>
                      <w:highlight w:val="none"/>
                    </w:rPr>
                    <w:t>0.0684</w:t>
                  </w:r>
                </w:p>
              </w:tc>
            </w:tr>
            <w:tr w14:paraId="4D447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0A772049">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0F8234E8">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1FB17E20">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7DCA69F1">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宋体"/>
                      <w:color w:val="auto"/>
                      <w:kern w:val="2"/>
                      <w:sz w:val="21"/>
                      <w:szCs w:val="24"/>
                      <w:highlight w:val="none"/>
                      <w:lang w:val="en-US" w:eastAsia="zh-CN" w:bidi="ar-SA"/>
                    </w:rPr>
                  </w:pPr>
                  <w:r>
                    <w:rPr>
                      <w:rFonts w:ascii="Times New Roman" w:hAnsi="Times New Roman" w:eastAsia="宋体"/>
                      <w:color w:val="auto"/>
                      <w:spacing w:val="6"/>
                      <w:sz w:val="21"/>
                      <w:highlight w:val="none"/>
                    </w:rPr>
                    <w:t>石油类</w:t>
                  </w:r>
                </w:p>
              </w:tc>
              <w:tc>
                <w:tcPr>
                  <w:tcW w:w="1457" w:type="dxa"/>
                  <w:tcBorders>
                    <w:tl2br w:val="nil"/>
                    <w:tr2bl w:val="nil"/>
                  </w:tcBorders>
                  <w:shd w:val="clear" w:color="auto" w:fill="auto"/>
                  <w:vAlign w:val="center"/>
                </w:tcPr>
                <w:p w14:paraId="0335FEB8">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140</w:t>
                  </w:r>
                </w:p>
              </w:tc>
              <w:tc>
                <w:tcPr>
                  <w:tcW w:w="1456" w:type="dxa"/>
                  <w:tcBorders>
                    <w:tl2br w:val="nil"/>
                    <w:tr2bl w:val="nil"/>
                  </w:tcBorders>
                  <w:shd w:val="clear" w:color="auto" w:fill="auto"/>
                  <w:vAlign w:val="center"/>
                </w:tcPr>
                <w:p w14:paraId="0B13DCA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0.0239</w:t>
                  </w:r>
                </w:p>
              </w:tc>
            </w:tr>
            <w:tr w14:paraId="5AC534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1115D34D">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025F4A1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797B369D">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5BC65455">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4"/>
                      <w:sz w:val="21"/>
                      <w:szCs w:val="20"/>
                      <w:highlight w:val="none"/>
                    </w:rPr>
                    <w:t>LAS</w:t>
                  </w:r>
                </w:p>
              </w:tc>
              <w:tc>
                <w:tcPr>
                  <w:tcW w:w="1457" w:type="dxa"/>
                  <w:tcBorders>
                    <w:tl2br w:val="nil"/>
                    <w:tr2bl w:val="nil"/>
                  </w:tcBorders>
                  <w:shd w:val="clear" w:color="auto" w:fill="auto"/>
                  <w:vAlign w:val="center"/>
                </w:tcPr>
                <w:p w14:paraId="2D6D3EF5">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szCs w:val="20"/>
                      <w:highlight w:val="none"/>
                    </w:rPr>
                    <w:t>5</w:t>
                  </w:r>
                </w:p>
              </w:tc>
              <w:tc>
                <w:tcPr>
                  <w:tcW w:w="1456" w:type="dxa"/>
                  <w:tcBorders>
                    <w:tl2br w:val="nil"/>
                    <w:tr2bl w:val="nil"/>
                  </w:tcBorders>
                  <w:shd w:val="clear" w:color="auto" w:fill="auto"/>
                  <w:vAlign w:val="center"/>
                </w:tcPr>
                <w:p w14:paraId="56685ED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1"/>
                      <w:sz w:val="21"/>
                      <w:szCs w:val="20"/>
                      <w:highlight w:val="none"/>
                    </w:rPr>
                    <w:t>0.0008</w:t>
                  </w:r>
                </w:p>
              </w:tc>
            </w:tr>
            <w:tr w14:paraId="70332B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tcBorders>
                    <w:tl2br w:val="nil"/>
                    <w:tr2bl w:val="nil"/>
                  </w:tcBorders>
                  <w:shd w:val="clear" w:color="auto" w:fill="auto"/>
                  <w:vAlign w:val="center"/>
                </w:tcPr>
                <w:p w14:paraId="751314A7">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color w:val="auto"/>
                      <w:spacing w:val="-7"/>
                      <w:position w:val="2"/>
                      <w:sz w:val="21"/>
                      <w:highlight w:val="none"/>
                    </w:rPr>
                    <w:t>W</w:t>
                  </w:r>
                  <w:r>
                    <w:rPr>
                      <w:rFonts w:hint="eastAsia" w:ascii="Times New Roman" w:hAnsi="Times New Roman" w:eastAsia="宋体" w:cs="Times New Roman"/>
                      <w:color w:val="auto"/>
                      <w:spacing w:val="-7"/>
                      <w:position w:val="2"/>
                      <w:sz w:val="21"/>
                      <w:highlight w:val="none"/>
                      <w:lang w:val="en-US" w:eastAsia="zh-CN"/>
                    </w:rPr>
                    <w:t>4</w:t>
                  </w:r>
                  <w:r>
                    <w:rPr>
                      <w:rFonts w:ascii="Times New Roman" w:hAnsi="Times New Roman" w:eastAsia="宋体"/>
                      <w:color w:val="auto"/>
                      <w:spacing w:val="-7"/>
                      <w:position w:val="2"/>
                      <w:sz w:val="21"/>
                      <w:highlight w:val="none"/>
                    </w:rPr>
                    <w:t>、</w:t>
                  </w:r>
                  <w:r>
                    <w:rPr>
                      <w:rFonts w:ascii="Times New Roman" w:hAnsi="Times New Roman" w:eastAsia="宋体" w:cs="Times New Roman"/>
                      <w:color w:val="auto"/>
                      <w:spacing w:val="-7"/>
                      <w:position w:val="2"/>
                      <w:sz w:val="21"/>
                      <w:highlight w:val="none"/>
                    </w:rPr>
                    <w:t>W</w:t>
                  </w:r>
                  <w:r>
                    <w:rPr>
                      <w:rFonts w:hint="eastAsia" w:ascii="Times New Roman" w:hAnsi="Times New Roman" w:eastAsia="宋体" w:cs="Times New Roman"/>
                      <w:color w:val="auto"/>
                      <w:spacing w:val="-7"/>
                      <w:position w:val="2"/>
                      <w:sz w:val="21"/>
                      <w:highlight w:val="none"/>
                      <w:lang w:val="en-US" w:eastAsia="zh-CN"/>
                    </w:rPr>
                    <w:t>5</w:t>
                  </w:r>
                </w:p>
              </w:tc>
              <w:tc>
                <w:tcPr>
                  <w:tcW w:w="1453" w:type="dxa"/>
                  <w:vMerge w:val="restart"/>
                  <w:tcBorders>
                    <w:tl2br w:val="nil"/>
                    <w:tr2bl w:val="nil"/>
                  </w:tcBorders>
                  <w:shd w:val="clear" w:color="auto" w:fill="auto"/>
                  <w:vAlign w:val="center"/>
                </w:tcPr>
                <w:p w14:paraId="0FD74B07">
                  <w:pPr>
                    <w:pStyle w:val="113"/>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olor w:val="auto"/>
                      <w:spacing w:val="8"/>
                      <w:sz w:val="21"/>
                      <w:highlight w:val="none"/>
                    </w:rPr>
                    <w:t>硅烷后水洗废</w:t>
                  </w:r>
                  <w:r>
                    <w:rPr>
                      <w:rFonts w:ascii="Times New Roman" w:hAnsi="Times New Roman" w:eastAsia="宋体"/>
                      <w:color w:val="auto"/>
                      <w:sz w:val="21"/>
                      <w:highlight w:val="none"/>
                    </w:rPr>
                    <w:t>水</w:t>
                  </w:r>
                </w:p>
              </w:tc>
              <w:tc>
                <w:tcPr>
                  <w:tcW w:w="1453" w:type="dxa"/>
                  <w:vMerge w:val="restart"/>
                  <w:tcBorders>
                    <w:tl2br w:val="nil"/>
                    <w:tr2bl w:val="nil"/>
                  </w:tcBorders>
                  <w:shd w:val="clear" w:color="auto" w:fill="auto"/>
                  <w:vAlign w:val="center"/>
                </w:tcPr>
                <w:p w14:paraId="7FD347A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2"/>
                      <w:sz w:val="21"/>
                      <w:szCs w:val="20"/>
                      <w:highlight w:val="none"/>
                    </w:rPr>
                    <w:t>171</w:t>
                  </w:r>
                </w:p>
              </w:tc>
              <w:tc>
                <w:tcPr>
                  <w:tcW w:w="1470" w:type="dxa"/>
                  <w:tcBorders>
                    <w:tl2br w:val="nil"/>
                    <w:tr2bl w:val="nil"/>
                  </w:tcBorders>
                  <w:shd w:val="clear" w:color="auto" w:fill="auto"/>
                  <w:vAlign w:val="center"/>
                </w:tcPr>
                <w:p w14:paraId="1553FC1C">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Times New Roman"/>
                      <w:color w:val="auto"/>
                      <w:sz w:val="21"/>
                      <w:highlight w:val="none"/>
                    </w:rPr>
                    <w:t>pH</w:t>
                  </w:r>
                  <w:r>
                    <w:rPr>
                      <w:rFonts w:hint="eastAsia" w:ascii="Times New Roman" w:hAnsi="Times New Roman" w:cs="Times New Roman"/>
                      <w:color w:val="auto"/>
                      <w:sz w:val="21"/>
                      <w:highlight w:val="none"/>
                      <w:lang w:eastAsia="zh-CN"/>
                    </w:rPr>
                    <w:t>(</w:t>
                  </w:r>
                  <w:r>
                    <w:rPr>
                      <w:rFonts w:ascii="Times New Roman" w:hAnsi="Times New Roman" w:eastAsia="宋体"/>
                      <w:color w:val="auto"/>
                      <w:spacing w:val="9"/>
                      <w:sz w:val="21"/>
                      <w:highlight w:val="none"/>
                    </w:rPr>
                    <w:t>无量纲</w:t>
                  </w:r>
                  <w:r>
                    <w:rPr>
                      <w:rFonts w:hint="eastAsia" w:ascii="Times New Roman" w:hAnsi="Times New Roman"/>
                      <w:color w:val="auto"/>
                      <w:spacing w:val="9"/>
                      <w:sz w:val="21"/>
                      <w:highlight w:val="none"/>
                      <w:lang w:eastAsia="zh-CN"/>
                    </w:rPr>
                    <w:t>)</w:t>
                  </w:r>
                </w:p>
              </w:tc>
              <w:tc>
                <w:tcPr>
                  <w:tcW w:w="1457" w:type="dxa"/>
                  <w:tcBorders>
                    <w:tl2br w:val="nil"/>
                    <w:tr2bl w:val="nil"/>
                  </w:tcBorders>
                  <w:shd w:val="clear" w:color="auto" w:fill="auto"/>
                  <w:vAlign w:val="center"/>
                </w:tcPr>
                <w:p w14:paraId="331486B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position w:val="1"/>
                      <w:sz w:val="21"/>
                      <w:szCs w:val="20"/>
                      <w:highlight w:val="none"/>
                    </w:rPr>
                    <w:t>6~7</w:t>
                  </w:r>
                </w:p>
              </w:tc>
              <w:tc>
                <w:tcPr>
                  <w:tcW w:w="1456" w:type="dxa"/>
                  <w:tcBorders>
                    <w:tl2br w:val="nil"/>
                    <w:tr2bl w:val="nil"/>
                  </w:tcBorders>
                  <w:shd w:val="clear" w:color="auto" w:fill="auto"/>
                  <w:vAlign w:val="center"/>
                </w:tcPr>
                <w:p w14:paraId="3DDFC7D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position w:val="-2"/>
                      <w:sz w:val="21"/>
                      <w:szCs w:val="20"/>
                      <w:highlight w:val="none"/>
                    </w:rPr>
                    <w:t>-----</w:t>
                  </w:r>
                </w:p>
              </w:tc>
            </w:tr>
            <w:tr w14:paraId="491490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6BB079B2">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6E56BF47">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262F22A3">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51CC7061">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13"/>
                      <w:highlight w:val="none"/>
                      <w:lang w:val="en-US" w:eastAsia="zh-CN" w:bidi="ar-SA"/>
                    </w:rPr>
                  </w:pPr>
                  <w:r>
                    <w:rPr>
                      <w:rFonts w:ascii="Times New Roman" w:hAnsi="Times New Roman" w:eastAsia="宋体" w:cs="Times New Roman"/>
                      <w:color w:val="auto"/>
                      <w:spacing w:val="3"/>
                      <w:sz w:val="21"/>
                      <w:szCs w:val="20"/>
                      <w:highlight w:val="none"/>
                    </w:rPr>
                    <w:t>COD</w:t>
                  </w:r>
                  <w:r>
                    <w:rPr>
                      <w:rFonts w:ascii="Times New Roman" w:hAnsi="Times New Roman" w:eastAsia="宋体" w:cs="Times New Roman"/>
                      <w:color w:val="auto"/>
                      <w:spacing w:val="3"/>
                      <w:position w:val="-1"/>
                      <w:sz w:val="21"/>
                      <w:szCs w:val="13"/>
                      <w:highlight w:val="none"/>
                    </w:rPr>
                    <w:t>cr</w:t>
                  </w:r>
                </w:p>
              </w:tc>
              <w:tc>
                <w:tcPr>
                  <w:tcW w:w="1457" w:type="dxa"/>
                  <w:tcBorders>
                    <w:tl2br w:val="nil"/>
                    <w:tr2bl w:val="nil"/>
                  </w:tcBorders>
                  <w:shd w:val="clear" w:color="auto" w:fill="auto"/>
                  <w:vAlign w:val="center"/>
                </w:tcPr>
                <w:p w14:paraId="415331A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szCs w:val="20"/>
                      <w:highlight w:val="none"/>
                    </w:rPr>
                    <w:t>800</w:t>
                  </w:r>
                </w:p>
              </w:tc>
              <w:tc>
                <w:tcPr>
                  <w:tcW w:w="1456" w:type="dxa"/>
                  <w:tcBorders>
                    <w:tl2br w:val="nil"/>
                    <w:tr2bl w:val="nil"/>
                  </w:tcBorders>
                  <w:shd w:val="clear" w:color="auto" w:fill="auto"/>
                  <w:vAlign w:val="center"/>
                </w:tcPr>
                <w:p w14:paraId="333B16F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1"/>
                      <w:sz w:val="21"/>
                      <w:szCs w:val="20"/>
                      <w:highlight w:val="none"/>
                    </w:rPr>
                    <w:t>0.1368</w:t>
                  </w:r>
                </w:p>
              </w:tc>
            </w:tr>
            <w:tr w14:paraId="3FC86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590C768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837A45A">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64E1E228">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7D57F622">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13"/>
                      <w:highlight w:val="none"/>
                      <w:lang w:val="en-US" w:eastAsia="zh-CN" w:bidi="ar-SA"/>
                    </w:rPr>
                  </w:pPr>
                  <w:r>
                    <w:rPr>
                      <w:rFonts w:ascii="Times New Roman" w:hAnsi="Times New Roman" w:eastAsia="宋体" w:cs="Times New Roman"/>
                      <w:color w:val="auto"/>
                      <w:spacing w:val="5"/>
                      <w:sz w:val="21"/>
                      <w:szCs w:val="20"/>
                      <w:highlight w:val="none"/>
                    </w:rPr>
                    <w:t>BOD</w:t>
                  </w:r>
                  <w:r>
                    <w:rPr>
                      <w:rFonts w:ascii="Times New Roman" w:hAnsi="Times New Roman" w:eastAsia="宋体" w:cs="Times New Roman"/>
                      <w:color w:val="auto"/>
                      <w:spacing w:val="5"/>
                      <w:position w:val="-1"/>
                      <w:sz w:val="21"/>
                      <w:szCs w:val="13"/>
                      <w:highlight w:val="none"/>
                      <w:vertAlign w:val="subscript"/>
                    </w:rPr>
                    <w:t>5</w:t>
                  </w:r>
                </w:p>
              </w:tc>
              <w:tc>
                <w:tcPr>
                  <w:tcW w:w="1457" w:type="dxa"/>
                  <w:tcBorders>
                    <w:tl2br w:val="nil"/>
                    <w:tr2bl w:val="nil"/>
                  </w:tcBorders>
                  <w:shd w:val="clear" w:color="auto" w:fill="auto"/>
                  <w:vAlign w:val="center"/>
                </w:tcPr>
                <w:p w14:paraId="09CED06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sz w:val="21"/>
                      <w:szCs w:val="20"/>
                      <w:highlight w:val="none"/>
                    </w:rPr>
                    <w:t>300</w:t>
                  </w:r>
                </w:p>
              </w:tc>
              <w:tc>
                <w:tcPr>
                  <w:tcW w:w="1456" w:type="dxa"/>
                  <w:tcBorders>
                    <w:tl2br w:val="nil"/>
                    <w:tr2bl w:val="nil"/>
                  </w:tcBorders>
                  <w:shd w:val="clear" w:color="auto" w:fill="auto"/>
                  <w:vAlign w:val="center"/>
                </w:tcPr>
                <w:p w14:paraId="0FB8B20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0.0513</w:t>
                  </w:r>
                </w:p>
              </w:tc>
            </w:tr>
            <w:tr w14:paraId="733004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068AEEE2">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10CF1CA7">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392F2BD7">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64BFE6C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szCs w:val="20"/>
                      <w:highlight w:val="none"/>
                    </w:rPr>
                    <w:t>NH</w:t>
                  </w:r>
                  <w:r>
                    <w:rPr>
                      <w:rFonts w:ascii="Times New Roman" w:hAnsi="Times New Roman" w:eastAsia="宋体" w:cs="Times New Roman"/>
                      <w:color w:val="auto"/>
                      <w:spacing w:val="9"/>
                      <w:sz w:val="21"/>
                      <w:szCs w:val="13"/>
                      <w:highlight w:val="none"/>
                    </w:rPr>
                    <w:t>3</w:t>
                  </w:r>
                  <w:r>
                    <w:rPr>
                      <w:rFonts w:ascii="Times New Roman" w:hAnsi="Times New Roman" w:eastAsia="宋体" w:cs="Times New Roman"/>
                      <w:color w:val="auto"/>
                      <w:spacing w:val="9"/>
                      <w:sz w:val="21"/>
                      <w:szCs w:val="20"/>
                      <w:highlight w:val="none"/>
                    </w:rPr>
                    <w:t>-N</w:t>
                  </w:r>
                </w:p>
              </w:tc>
              <w:tc>
                <w:tcPr>
                  <w:tcW w:w="1457" w:type="dxa"/>
                  <w:tcBorders>
                    <w:tl2br w:val="nil"/>
                    <w:tr2bl w:val="nil"/>
                  </w:tcBorders>
                  <w:shd w:val="clear" w:color="auto" w:fill="auto"/>
                  <w:vAlign w:val="center"/>
                </w:tcPr>
                <w:p w14:paraId="128C893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szCs w:val="20"/>
                      <w:highlight w:val="none"/>
                    </w:rPr>
                    <w:t>30</w:t>
                  </w:r>
                </w:p>
              </w:tc>
              <w:tc>
                <w:tcPr>
                  <w:tcW w:w="1456" w:type="dxa"/>
                  <w:tcBorders>
                    <w:tl2br w:val="nil"/>
                    <w:tr2bl w:val="nil"/>
                  </w:tcBorders>
                  <w:shd w:val="clear" w:color="auto" w:fill="auto"/>
                  <w:vAlign w:val="center"/>
                </w:tcPr>
                <w:p w14:paraId="7D083381">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0.00513</w:t>
                  </w:r>
                </w:p>
              </w:tc>
            </w:tr>
            <w:tr w14:paraId="0909D8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3EA3D28E">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66E115D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A382386">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4C476167">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SS</w:t>
                  </w:r>
                </w:p>
              </w:tc>
              <w:tc>
                <w:tcPr>
                  <w:tcW w:w="1457" w:type="dxa"/>
                  <w:tcBorders>
                    <w:tl2br w:val="nil"/>
                    <w:tr2bl w:val="nil"/>
                  </w:tcBorders>
                  <w:shd w:val="clear" w:color="auto" w:fill="auto"/>
                  <w:vAlign w:val="center"/>
                </w:tcPr>
                <w:p w14:paraId="04FB8450">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400</w:t>
                  </w:r>
                </w:p>
              </w:tc>
              <w:tc>
                <w:tcPr>
                  <w:tcW w:w="1456" w:type="dxa"/>
                  <w:tcBorders>
                    <w:tl2br w:val="nil"/>
                    <w:tr2bl w:val="nil"/>
                  </w:tcBorders>
                  <w:shd w:val="clear" w:color="auto" w:fill="auto"/>
                  <w:vAlign w:val="center"/>
                </w:tcPr>
                <w:p w14:paraId="7706B78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0.0684</w:t>
                  </w:r>
                </w:p>
              </w:tc>
            </w:tr>
            <w:tr w14:paraId="208F51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00BC6EB8">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0A1C1F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30D730D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34A57C5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2"/>
                      <w:sz w:val="21"/>
                      <w:szCs w:val="20"/>
                      <w:highlight w:val="none"/>
                    </w:rPr>
                    <w:t>TN</w:t>
                  </w:r>
                </w:p>
              </w:tc>
              <w:tc>
                <w:tcPr>
                  <w:tcW w:w="1457" w:type="dxa"/>
                  <w:tcBorders>
                    <w:tl2br w:val="nil"/>
                    <w:tr2bl w:val="nil"/>
                  </w:tcBorders>
                  <w:shd w:val="clear" w:color="auto" w:fill="auto"/>
                  <w:vAlign w:val="center"/>
                </w:tcPr>
                <w:p w14:paraId="041650C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szCs w:val="20"/>
                      <w:highlight w:val="none"/>
                    </w:rPr>
                    <w:t>50</w:t>
                  </w:r>
                </w:p>
              </w:tc>
              <w:tc>
                <w:tcPr>
                  <w:tcW w:w="1456" w:type="dxa"/>
                  <w:tcBorders>
                    <w:tl2br w:val="nil"/>
                    <w:tr2bl w:val="nil"/>
                  </w:tcBorders>
                  <w:shd w:val="clear" w:color="auto" w:fill="auto"/>
                  <w:vAlign w:val="center"/>
                </w:tcPr>
                <w:p w14:paraId="627A0E2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0.0085</w:t>
                  </w:r>
                </w:p>
              </w:tc>
            </w:tr>
            <w:tr w14:paraId="16323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tcBorders>
                    <w:tl2br w:val="nil"/>
                    <w:tr2bl w:val="nil"/>
                  </w:tcBorders>
                  <w:vAlign w:val="center"/>
                </w:tcPr>
                <w:p w14:paraId="6840CEE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color w:val="auto"/>
                      <w:spacing w:val="14"/>
                      <w:position w:val="2"/>
                      <w:sz w:val="21"/>
                      <w:szCs w:val="20"/>
                      <w:highlight w:val="none"/>
                    </w:rPr>
                    <w:t>W</w:t>
                  </w:r>
                  <w:r>
                    <w:rPr>
                      <w:rFonts w:hint="eastAsia" w:ascii="Times New Roman" w:hAnsi="Times New Roman" w:eastAsia="宋体" w:cs="Times New Roman"/>
                      <w:color w:val="auto"/>
                      <w:spacing w:val="14"/>
                      <w:position w:val="2"/>
                      <w:sz w:val="21"/>
                      <w:szCs w:val="20"/>
                      <w:highlight w:val="none"/>
                      <w:lang w:val="en-US" w:eastAsia="zh-CN"/>
                    </w:rPr>
                    <w:t>6</w:t>
                  </w:r>
                </w:p>
              </w:tc>
              <w:tc>
                <w:tcPr>
                  <w:tcW w:w="1453" w:type="dxa"/>
                  <w:vMerge w:val="restart"/>
                  <w:tcBorders>
                    <w:tl2br w:val="nil"/>
                    <w:tr2bl w:val="nil"/>
                  </w:tcBorders>
                  <w:vAlign w:val="center"/>
                </w:tcPr>
                <w:p w14:paraId="3F5EB9ED">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hint="eastAsia" w:ascii="Times New Roman" w:hAnsi="Times New Roman" w:eastAsia="宋体"/>
                      <w:color w:val="auto"/>
                      <w:spacing w:val="6"/>
                      <w:sz w:val="21"/>
                      <w:highlight w:val="none"/>
                      <w:lang w:val="en-US" w:eastAsia="zh-CN"/>
                    </w:rPr>
                    <w:t>纯</w:t>
                  </w:r>
                  <w:r>
                    <w:rPr>
                      <w:rFonts w:ascii="Times New Roman" w:hAnsi="Times New Roman" w:eastAsia="宋体"/>
                      <w:color w:val="auto"/>
                      <w:spacing w:val="6"/>
                      <w:sz w:val="21"/>
                      <w:highlight w:val="none"/>
                    </w:rPr>
                    <w:t>水洗</w:t>
                  </w:r>
                  <w:r>
                    <w:rPr>
                      <w:rFonts w:hint="eastAsia" w:ascii="Times New Roman" w:hAnsi="Times New Roman"/>
                      <w:color w:val="auto"/>
                      <w:spacing w:val="6"/>
                      <w:sz w:val="21"/>
                      <w:highlight w:val="none"/>
                      <w:lang w:val="en-US" w:eastAsia="zh-CN"/>
                    </w:rPr>
                    <w:t>2</w:t>
                  </w:r>
                  <w:r>
                    <w:rPr>
                      <w:rFonts w:ascii="Times New Roman" w:hAnsi="Times New Roman" w:eastAsia="宋体"/>
                      <w:color w:val="auto"/>
                      <w:spacing w:val="6"/>
                      <w:sz w:val="21"/>
                      <w:highlight w:val="none"/>
                    </w:rPr>
                    <w:t>废水</w:t>
                  </w:r>
                </w:p>
              </w:tc>
              <w:tc>
                <w:tcPr>
                  <w:tcW w:w="1453" w:type="dxa"/>
                  <w:vMerge w:val="restart"/>
                  <w:tcBorders>
                    <w:tl2br w:val="nil"/>
                    <w:tr2bl w:val="nil"/>
                  </w:tcBorders>
                  <w:vAlign w:val="center"/>
                </w:tcPr>
                <w:p w14:paraId="05E72B1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color w:val="auto"/>
                      <w:spacing w:val="-7"/>
                      <w:position w:val="1"/>
                      <w:sz w:val="21"/>
                      <w:szCs w:val="20"/>
                      <w:highlight w:val="none"/>
                    </w:rPr>
                    <w:t>111</w:t>
                  </w:r>
                </w:p>
              </w:tc>
              <w:tc>
                <w:tcPr>
                  <w:tcW w:w="1470" w:type="dxa"/>
                  <w:tcBorders>
                    <w:tl2br w:val="nil"/>
                    <w:tr2bl w:val="nil"/>
                  </w:tcBorders>
                  <w:shd w:val="clear" w:color="auto" w:fill="auto"/>
                  <w:vAlign w:val="center"/>
                </w:tcPr>
                <w:p w14:paraId="1C03ED44">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olor w:val="auto"/>
                      <w:spacing w:val="6"/>
                      <w:sz w:val="21"/>
                      <w:highlight w:val="none"/>
                    </w:rPr>
                  </w:pPr>
                  <w:r>
                    <w:rPr>
                      <w:rFonts w:ascii="Times New Roman" w:hAnsi="Times New Roman" w:eastAsia="宋体" w:cs="Times New Roman"/>
                      <w:color w:val="auto"/>
                      <w:sz w:val="21"/>
                      <w:highlight w:val="none"/>
                    </w:rPr>
                    <w:t>pH</w:t>
                  </w:r>
                  <w:r>
                    <w:rPr>
                      <w:rFonts w:hint="eastAsia" w:ascii="Times New Roman" w:hAnsi="Times New Roman" w:cs="Times New Roman"/>
                      <w:color w:val="auto"/>
                      <w:sz w:val="21"/>
                      <w:highlight w:val="none"/>
                      <w:lang w:eastAsia="zh-CN"/>
                    </w:rPr>
                    <w:t>(</w:t>
                  </w:r>
                  <w:r>
                    <w:rPr>
                      <w:rFonts w:ascii="Times New Roman" w:hAnsi="Times New Roman" w:eastAsia="宋体"/>
                      <w:color w:val="auto"/>
                      <w:spacing w:val="9"/>
                      <w:sz w:val="21"/>
                      <w:highlight w:val="none"/>
                    </w:rPr>
                    <w:t>无量纲</w:t>
                  </w:r>
                  <w:r>
                    <w:rPr>
                      <w:rFonts w:hint="eastAsia" w:ascii="Times New Roman" w:hAnsi="Times New Roman"/>
                      <w:color w:val="auto"/>
                      <w:spacing w:val="9"/>
                      <w:sz w:val="21"/>
                      <w:highlight w:val="none"/>
                      <w:lang w:eastAsia="zh-CN"/>
                    </w:rPr>
                    <w:t>)</w:t>
                  </w:r>
                </w:p>
              </w:tc>
              <w:tc>
                <w:tcPr>
                  <w:tcW w:w="1457" w:type="dxa"/>
                  <w:tcBorders>
                    <w:tl2br w:val="nil"/>
                    <w:tr2bl w:val="nil"/>
                  </w:tcBorders>
                  <w:shd w:val="clear" w:color="auto" w:fill="auto"/>
                  <w:vAlign w:val="center"/>
                </w:tcPr>
                <w:p w14:paraId="727E5887">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1"/>
                      <w:position w:val="1"/>
                      <w:sz w:val="21"/>
                      <w:szCs w:val="20"/>
                      <w:highlight w:val="none"/>
                    </w:rPr>
                    <w:t>6~9</w:t>
                  </w:r>
                </w:p>
              </w:tc>
              <w:tc>
                <w:tcPr>
                  <w:tcW w:w="1456" w:type="dxa"/>
                  <w:tcBorders>
                    <w:tl2br w:val="nil"/>
                    <w:tr2bl w:val="nil"/>
                  </w:tcBorders>
                  <w:shd w:val="clear" w:color="auto" w:fill="auto"/>
                  <w:vAlign w:val="center"/>
                </w:tcPr>
                <w:p w14:paraId="172931DD">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1"/>
                      <w:position w:val="-2"/>
                      <w:sz w:val="21"/>
                      <w:szCs w:val="20"/>
                      <w:highlight w:val="none"/>
                    </w:rPr>
                    <w:t>-----</w:t>
                  </w:r>
                </w:p>
              </w:tc>
            </w:tr>
            <w:tr w14:paraId="14009B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223A508A">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725EE928">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2D56E6EA">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47B709D7">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olor w:val="auto"/>
                      <w:spacing w:val="6"/>
                      <w:sz w:val="21"/>
                      <w:highlight w:val="none"/>
                    </w:rPr>
                  </w:pPr>
                  <w:r>
                    <w:rPr>
                      <w:rFonts w:ascii="Times New Roman" w:hAnsi="Times New Roman" w:eastAsia="宋体" w:cs="Times New Roman"/>
                      <w:color w:val="auto"/>
                      <w:spacing w:val="3"/>
                      <w:sz w:val="21"/>
                      <w:szCs w:val="20"/>
                      <w:highlight w:val="none"/>
                    </w:rPr>
                    <w:t>COD</w:t>
                  </w:r>
                  <w:r>
                    <w:rPr>
                      <w:rFonts w:ascii="Times New Roman" w:hAnsi="Times New Roman" w:eastAsia="宋体" w:cs="Times New Roman"/>
                      <w:color w:val="auto"/>
                      <w:spacing w:val="3"/>
                      <w:position w:val="-1"/>
                      <w:sz w:val="21"/>
                      <w:szCs w:val="13"/>
                      <w:highlight w:val="none"/>
                    </w:rPr>
                    <w:t>cr</w:t>
                  </w:r>
                </w:p>
              </w:tc>
              <w:tc>
                <w:tcPr>
                  <w:tcW w:w="1457" w:type="dxa"/>
                  <w:tcBorders>
                    <w:tl2br w:val="nil"/>
                    <w:tr2bl w:val="nil"/>
                  </w:tcBorders>
                  <w:shd w:val="clear" w:color="auto" w:fill="auto"/>
                  <w:vAlign w:val="center"/>
                </w:tcPr>
                <w:p w14:paraId="7ABD526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4"/>
                      <w:sz w:val="21"/>
                      <w:szCs w:val="20"/>
                      <w:highlight w:val="none"/>
                    </w:rPr>
                    <w:t>450</w:t>
                  </w:r>
                </w:p>
              </w:tc>
              <w:tc>
                <w:tcPr>
                  <w:tcW w:w="1456" w:type="dxa"/>
                  <w:tcBorders>
                    <w:tl2br w:val="nil"/>
                    <w:tr2bl w:val="nil"/>
                  </w:tcBorders>
                  <w:shd w:val="clear" w:color="auto" w:fill="auto"/>
                  <w:vAlign w:val="center"/>
                </w:tcPr>
                <w:p w14:paraId="2E184C68">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3"/>
                      <w:sz w:val="21"/>
                      <w:szCs w:val="20"/>
                      <w:highlight w:val="none"/>
                    </w:rPr>
                    <w:t>0.0499</w:t>
                  </w:r>
                </w:p>
              </w:tc>
            </w:tr>
            <w:tr w14:paraId="37FA3B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59B5856A">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A2EE112">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D0CCF2D">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489E36A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olor w:val="auto"/>
                      <w:spacing w:val="6"/>
                      <w:sz w:val="21"/>
                      <w:highlight w:val="none"/>
                    </w:rPr>
                  </w:pPr>
                  <w:r>
                    <w:rPr>
                      <w:rFonts w:ascii="Times New Roman" w:hAnsi="Times New Roman" w:eastAsia="宋体" w:cs="Times New Roman"/>
                      <w:color w:val="auto"/>
                      <w:spacing w:val="5"/>
                      <w:sz w:val="21"/>
                      <w:szCs w:val="20"/>
                      <w:highlight w:val="none"/>
                    </w:rPr>
                    <w:t>BOD</w:t>
                  </w:r>
                  <w:r>
                    <w:rPr>
                      <w:rFonts w:ascii="Times New Roman" w:hAnsi="Times New Roman" w:eastAsia="宋体" w:cs="Times New Roman"/>
                      <w:color w:val="auto"/>
                      <w:spacing w:val="5"/>
                      <w:position w:val="-1"/>
                      <w:sz w:val="21"/>
                      <w:szCs w:val="13"/>
                      <w:highlight w:val="none"/>
                      <w:vertAlign w:val="subscript"/>
                    </w:rPr>
                    <w:t>5</w:t>
                  </w:r>
                </w:p>
              </w:tc>
              <w:tc>
                <w:tcPr>
                  <w:tcW w:w="1457" w:type="dxa"/>
                  <w:tcBorders>
                    <w:tl2br w:val="nil"/>
                    <w:tr2bl w:val="nil"/>
                  </w:tcBorders>
                  <w:shd w:val="clear" w:color="auto" w:fill="auto"/>
                  <w:vAlign w:val="center"/>
                </w:tcPr>
                <w:p w14:paraId="0683B87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2"/>
                      <w:sz w:val="21"/>
                      <w:szCs w:val="20"/>
                      <w:highlight w:val="none"/>
                    </w:rPr>
                    <w:t>200</w:t>
                  </w:r>
                </w:p>
              </w:tc>
              <w:tc>
                <w:tcPr>
                  <w:tcW w:w="1456" w:type="dxa"/>
                  <w:tcBorders>
                    <w:tl2br w:val="nil"/>
                    <w:tr2bl w:val="nil"/>
                  </w:tcBorders>
                  <w:shd w:val="clear" w:color="auto" w:fill="auto"/>
                  <w:vAlign w:val="center"/>
                </w:tcPr>
                <w:p w14:paraId="4DF7081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3"/>
                      <w:sz w:val="21"/>
                      <w:szCs w:val="20"/>
                      <w:highlight w:val="none"/>
                    </w:rPr>
                    <w:t>0.0222</w:t>
                  </w:r>
                </w:p>
              </w:tc>
            </w:tr>
            <w:tr w14:paraId="374BB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685EAAAD">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3BB8435C">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6DFD1BBA">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6C898048">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olor w:val="auto"/>
                      <w:spacing w:val="6"/>
                      <w:sz w:val="21"/>
                      <w:highlight w:val="none"/>
                    </w:rPr>
                  </w:pPr>
                  <w:r>
                    <w:rPr>
                      <w:rFonts w:ascii="Times New Roman" w:hAnsi="Times New Roman" w:eastAsia="宋体" w:cs="Times New Roman"/>
                      <w:color w:val="auto"/>
                      <w:spacing w:val="-3"/>
                      <w:sz w:val="21"/>
                      <w:szCs w:val="20"/>
                      <w:highlight w:val="none"/>
                    </w:rPr>
                    <w:t>SS</w:t>
                  </w:r>
                </w:p>
              </w:tc>
              <w:tc>
                <w:tcPr>
                  <w:tcW w:w="1457" w:type="dxa"/>
                  <w:tcBorders>
                    <w:tl2br w:val="nil"/>
                    <w:tr2bl w:val="nil"/>
                  </w:tcBorders>
                  <w:shd w:val="clear" w:color="auto" w:fill="auto"/>
                  <w:vAlign w:val="center"/>
                </w:tcPr>
                <w:p w14:paraId="04A5D03B">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position w:val="1"/>
                      <w:sz w:val="21"/>
                      <w:szCs w:val="20"/>
                      <w:highlight w:val="none"/>
                    </w:rPr>
                    <w:t>800</w:t>
                  </w:r>
                </w:p>
              </w:tc>
              <w:tc>
                <w:tcPr>
                  <w:tcW w:w="1456" w:type="dxa"/>
                  <w:tcBorders>
                    <w:tl2br w:val="nil"/>
                    <w:tr2bl w:val="nil"/>
                  </w:tcBorders>
                  <w:shd w:val="clear" w:color="auto" w:fill="auto"/>
                  <w:vAlign w:val="center"/>
                </w:tcPr>
                <w:p w14:paraId="604142C7">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3"/>
                      <w:position w:val="1"/>
                      <w:sz w:val="21"/>
                      <w:szCs w:val="20"/>
                      <w:highlight w:val="none"/>
                    </w:rPr>
                    <w:t>0.0888</w:t>
                  </w:r>
                </w:p>
              </w:tc>
            </w:tr>
            <w:tr w14:paraId="3E2F65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2F42F060">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20F648A3">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1E4992A4">
                  <w:pPr>
                    <w:pStyle w:val="44"/>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2CD7766E">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olor w:val="auto"/>
                      <w:spacing w:val="6"/>
                      <w:sz w:val="21"/>
                      <w:highlight w:val="none"/>
                    </w:rPr>
                  </w:pPr>
                  <w:r>
                    <w:rPr>
                      <w:rFonts w:ascii="Times New Roman" w:hAnsi="Times New Roman" w:eastAsia="宋体"/>
                      <w:color w:val="auto"/>
                      <w:spacing w:val="6"/>
                      <w:sz w:val="21"/>
                      <w:highlight w:val="none"/>
                    </w:rPr>
                    <w:t>石油类</w:t>
                  </w:r>
                </w:p>
              </w:tc>
              <w:tc>
                <w:tcPr>
                  <w:tcW w:w="1457" w:type="dxa"/>
                  <w:tcBorders>
                    <w:tl2br w:val="nil"/>
                    <w:tr2bl w:val="nil"/>
                  </w:tcBorders>
                  <w:shd w:val="clear" w:color="auto" w:fill="auto"/>
                  <w:vAlign w:val="center"/>
                </w:tcPr>
                <w:p w14:paraId="6A79E74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3"/>
                      <w:position w:val="1"/>
                      <w:sz w:val="21"/>
                      <w:szCs w:val="20"/>
                      <w:highlight w:val="none"/>
                    </w:rPr>
                    <w:t>180</w:t>
                  </w:r>
                </w:p>
              </w:tc>
              <w:tc>
                <w:tcPr>
                  <w:tcW w:w="1456" w:type="dxa"/>
                  <w:tcBorders>
                    <w:tl2br w:val="nil"/>
                    <w:tr2bl w:val="nil"/>
                  </w:tcBorders>
                  <w:shd w:val="clear" w:color="auto" w:fill="auto"/>
                  <w:vAlign w:val="center"/>
                </w:tcPr>
                <w:p w14:paraId="204F3CC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ascii="Times New Roman" w:hAnsi="Times New Roman" w:eastAsia="宋体" w:cs="Times New Roman"/>
                      <w:color w:val="auto"/>
                      <w:spacing w:val="3"/>
                      <w:position w:val="1"/>
                      <w:sz w:val="21"/>
                      <w:szCs w:val="20"/>
                      <w:highlight w:val="none"/>
                    </w:rPr>
                  </w:pPr>
                  <w:r>
                    <w:rPr>
                      <w:rFonts w:ascii="Times New Roman" w:hAnsi="Times New Roman" w:eastAsia="宋体" w:cs="Times New Roman"/>
                      <w:color w:val="auto"/>
                      <w:spacing w:val="3"/>
                      <w:position w:val="1"/>
                      <w:sz w:val="21"/>
                      <w:szCs w:val="20"/>
                      <w:highlight w:val="none"/>
                    </w:rPr>
                    <w:t>0.0199</w:t>
                  </w:r>
                </w:p>
              </w:tc>
            </w:tr>
            <w:tr w14:paraId="5E098B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tcBorders>
                    <w:tl2br w:val="nil"/>
                    <w:tr2bl w:val="nil"/>
                  </w:tcBorders>
                  <w:shd w:val="clear" w:color="auto" w:fill="auto"/>
                  <w:vAlign w:val="center"/>
                </w:tcPr>
                <w:p w14:paraId="6D26B595">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color w:val="auto"/>
                      <w:spacing w:val="6"/>
                      <w:sz w:val="21"/>
                      <w:szCs w:val="20"/>
                      <w:highlight w:val="none"/>
                    </w:rPr>
                    <w:t>W7</w:t>
                  </w:r>
                </w:p>
              </w:tc>
              <w:tc>
                <w:tcPr>
                  <w:tcW w:w="1453" w:type="dxa"/>
                  <w:vMerge w:val="restart"/>
                  <w:tcBorders>
                    <w:tl2br w:val="nil"/>
                    <w:tr2bl w:val="nil"/>
                  </w:tcBorders>
                  <w:shd w:val="clear" w:color="auto" w:fill="auto"/>
                  <w:vAlign w:val="center"/>
                </w:tcPr>
                <w:p w14:paraId="0E1C5D68">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olor w:val="auto"/>
                      <w:spacing w:val="7"/>
                      <w:sz w:val="21"/>
                      <w:highlight w:val="none"/>
                    </w:rPr>
                    <w:t>纯水制备尾水</w:t>
                  </w:r>
                </w:p>
              </w:tc>
              <w:tc>
                <w:tcPr>
                  <w:tcW w:w="1453" w:type="dxa"/>
                  <w:vMerge w:val="restart"/>
                  <w:tcBorders>
                    <w:tl2br w:val="nil"/>
                    <w:tr2bl w:val="nil"/>
                  </w:tcBorders>
                  <w:shd w:val="clear" w:color="auto" w:fill="auto"/>
                  <w:vAlign w:val="center"/>
                </w:tcPr>
                <w:p w14:paraId="51B53D30">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color w:val="auto"/>
                      <w:spacing w:val="-8"/>
                      <w:position w:val="2"/>
                      <w:sz w:val="21"/>
                      <w:szCs w:val="20"/>
                      <w:highlight w:val="none"/>
                    </w:rPr>
                    <w:t>18</w:t>
                  </w:r>
                </w:p>
              </w:tc>
              <w:tc>
                <w:tcPr>
                  <w:tcW w:w="1470" w:type="dxa"/>
                  <w:tcBorders>
                    <w:tl2br w:val="nil"/>
                    <w:tr2bl w:val="nil"/>
                  </w:tcBorders>
                  <w:shd w:val="clear" w:color="auto" w:fill="auto"/>
                  <w:vAlign w:val="center"/>
                </w:tcPr>
                <w:p w14:paraId="5BF913AD">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Times New Roman"/>
                      <w:color w:val="auto"/>
                      <w:sz w:val="21"/>
                      <w:highlight w:val="none"/>
                    </w:rPr>
                    <w:t>pH</w:t>
                  </w:r>
                  <w:r>
                    <w:rPr>
                      <w:rFonts w:hint="eastAsia" w:ascii="Times New Roman" w:hAnsi="Times New Roman" w:cs="Times New Roman"/>
                      <w:color w:val="auto"/>
                      <w:sz w:val="21"/>
                      <w:highlight w:val="none"/>
                      <w:lang w:eastAsia="zh-CN"/>
                    </w:rPr>
                    <w:t>(</w:t>
                  </w:r>
                  <w:r>
                    <w:rPr>
                      <w:rFonts w:ascii="Times New Roman" w:hAnsi="Times New Roman" w:eastAsia="宋体"/>
                      <w:color w:val="auto"/>
                      <w:spacing w:val="9"/>
                      <w:sz w:val="21"/>
                      <w:highlight w:val="none"/>
                    </w:rPr>
                    <w:t>无量纲</w:t>
                  </w:r>
                  <w:r>
                    <w:rPr>
                      <w:rFonts w:hint="eastAsia" w:ascii="Times New Roman" w:hAnsi="Times New Roman"/>
                      <w:color w:val="auto"/>
                      <w:spacing w:val="9"/>
                      <w:sz w:val="21"/>
                      <w:highlight w:val="none"/>
                      <w:lang w:eastAsia="zh-CN"/>
                    </w:rPr>
                    <w:t>)</w:t>
                  </w:r>
                </w:p>
              </w:tc>
              <w:tc>
                <w:tcPr>
                  <w:tcW w:w="1457" w:type="dxa"/>
                  <w:tcBorders>
                    <w:tl2br w:val="nil"/>
                    <w:tr2bl w:val="nil"/>
                  </w:tcBorders>
                  <w:shd w:val="clear" w:color="auto" w:fill="auto"/>
                  <w:vAlign w:val="center"/>
                </w:tcPr>
                <w:p w14:paraId="34E4BE92">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position w:val="1"/>
                      <w:sz w:val="21"/>
                      <w:szCs w:val="20"/>
                      <w:highlight w:val="none"/>
                    </w:rPr>
                    <w:t>6~9</w:t>
                  </w:r>
                </w:p>
              </w:tc>
              <w:tc>
                <w:tcPr>
                  <w:tcW w:w="1456" w:type="dxa"/>
                  <w:tcBorders>
                    <w:tl2br w:val="nil"/>
                    <w:tr2bl w:val="nil"/>
                  </w:tcBorders>
                  <w:shd w:val="clear" w:color="auto" w:fill="auto"/>
                  <w:vAlign w:val="center"/>
                </w:tcPr>
                <w:p w14:paraId="49856B2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position w:val="-2"/>
                      <w:sz w:val="21"/>
                      <w:szCs w:val="20"/>
                      <w:highlight w:val="none"/>
                    </w:rPr>
                    <w:t>-----</w:t>
                  </w:r>
                </w:p>
              </w:tc>
            </w:tr>
            <w:tr w14:paraId="7F985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5C112306">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75E11915">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39790FFC">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18F14B83">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13"/>
                      <w:highlight w:val="none"/>
                      <w:lang w:val="en-US" w:eastAsia="zh-CN" w:bidi="ar-SA"/>
                    </w:rPr>
                  </w:pPr>
                  <w:r>
                    <w:rPr>
                      <w:rFonts w:ascii="Times New Roman" w:hAnsi="Times New Roman" w:eastAsia="宋体" w:cs="Times New Roman"/>
                      <w:color w:val="auto"/>
                      <w:spacing w:val="3"/>
                      <w:sz w:val="21"/>
                      <w:szCs w:val="20"/>
                      <w:highlight w:val="none"/>
                    </w:rPr>
                    <w:t>COD</w:t>
                  </w:r>
                  <w:r>
                    <w:rPr>
                      <w:rFonts w:ascii="Times New Roman" w:hAnsi="Times New Roman" w:eastAsia="宋体" w:cs="Times New Roman"/>
                      <w:color w:val="auto"/>
                      <w:spacing w:val="3"/>
                      <w:position w:val="-1"/>
                      <w:sz w:val="21"/>
                      <w:szCs w:val="13"/>
                      <w:highlight w:val="none"/>
                    </w:rPr>
                    <w:t>cr</w:t>
                  </w:r>
                </w:p>
              </w:tc>
              <w:tc>
                <w:tcPr>
                  <w:tcW w:w="1457" w:type="dxa"/>
                  <w:tcBorders>
                    <w:tl2br w:val="nil"/>
                    <w:tr2bl w:val="nil"/>
                  </w:tcBorders>
                  <w:shd w:val="clear" w:color="auto" w:fill="auto"/>
                  <w:vAlign w:val="center"/>
                </w:tcPr>
                <w:p w14:paraId="48FF684A">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150</w:t>
                  </w:r>
                </w:p>
              </w:tc>
              <w:tc>
                <w:tcPr>
                  <w:tcW w:w="1456" w:type="dxa"/>
                  <w:tcBorders>
                    <w:tl2br w:val="nil"/>
                    <w:tr2bl w:val="nil"/>
                  </w:tcBorders>
                  <w:shd w:val="clear" w:color="auto" w:fill="auto"/>
                  <w:vAlign w:val="center"/>
                </w:tcPr>
                <w:p w14:paraId="0E7E39C8">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0.0027</w:t>
                  </w:r>
                </w:p>
              </w:tc>
            </w:tr>
            <w:tr w14:paraId="71ED01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30C6778A">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1872566B">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F18A025">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37D303B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SS</w:t>
                  </w:r>
                </w:p>
              </w:tc>
              <w:tc>
                <w:tcPr>
                  <w:tcW w:w="1457" w:type="dxa"/>
                  <w:tcBorders>
                    <w:tl2br w:val="nil"/>
                    <w:tr2bl w:val="nil"/>
                  </w:tcBorders>
                  <w:shd w:val="clear" w:color="auto" w:fill="auto"/>
                  <w:vAlign w:val="center"/>
                </w:tcPr>
                <w:p w14:paraId="65F4EA61">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1"/>
                      <w:sz w:val="21"/>
                      <w:szCs w:val="20"/>
                      <w:highlight w:val="none"/>
                    </w:rPr>
                    <w:t>100</w:t>
                  </w:r>
                </w:p>
              </w:tc>
              <w:tc>
                <w:tcPr>
                  <w:tcW w:w="1456" w:type="dxa"/>
                  <w:tcBorders>
                    <w:tl2br w:val="nil"/>
                    <w:tr2bl w:val="nil"/>
                  </w:tcBorders>
                  <w:shd w:val="clear" w:color="auto" w:fill="auto"/>
                  <w:vAlign w:val="center"/>
                </w:tcPr>
                <w:p w14:paraId="5217590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position w:val="1"/>
                      <w:sz w:val="21"/>
                      <w:szCs w:val="20"/>
                      <w:highlight w:val="none"/>
                    </w:rPr>
                    <w:t>0.0018</w:t>
                  </w:r>
                </w:p>
              </w:tc>
            </w:tr>
            <w:tr w14:paraId="26967A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restart"/>
                  <w:tcBorders>
                    <w:tl2br w:val="nil"/>
                    <w:tr2bl w:val="nil"/>
                  </w:tcBorders>
                  <w:shd w:val="clear" w:color="auto" w:fill="auto"/>
                  <w:vAlign w:val="center"/>
                </w:tcPr>
                <w:p w14:paraId="3958CED8">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s="Times New Roman"/>
                      <w:color w:val="auto"/>
                      <w:spacing w:val="4"/>
                      <w:position w:val="2"/>
                      <w:sz w:val="21"/>
                      <w:szCs w:val="20"/>
                      <w:highlight w:val="none"/>
                    </w:rPr>
                    <w:t>W8</w:t>
                  </w:r>
                </w:p>
              </w:tc>
              <w:tc>
                <w:tcPr>
                  <w:tcW w:w="1453" w:type="dxa"/>
                  <w:vMerge w:val="restart"/>
                  <w:tcBorders>
                    <w:tl2br w:val="nil"/>
                    <w:tr2bl w:val="nil"/>
                  </w:tcBorders>
                  <w:shd w:val="clear" w:color="auto" w:fill="auto"/>
                  <w:vAlign w:val="center"/>
                </w:tcPr>
                <w:p w14:paraId="713CFB51">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olor w:val="auto"/>
                      <w:sz w:val="21"/>
                      <w:highlight w:val="none"/>
                      <w:vertAlign w:val="baseline"/>
                      <w:lang w:val="en-US" w:eastAsia="zh-CN"/>
                    </w:rPr>
                  </w:pPr>
                  <w:r>
                    <w:rPr>
                      <w:rFonts w:ascii="Times New Roman" w:hAnsi="Times New Roman" w:eastAsia="宋体"/>
                      <w:color w:val="auto"/>
                      <w:spacing w:val="6"/>
                      <w:sz w:val="21"/>
                      <w:highlight w:val="none"/>
                    </w:rPr>
                    <w:t>生活污水</w:t>
                  </w:r>
                </w:p>
              </w:tc>
              <w:tc>
                <w:tcPr>
                  <w:tcW w:w="1453" w:type="dxa"/>
                  <w:vMerge w:val="restart"/>
                  <w:tcBorders>
                    <w:tl2br w:val="nil"/>
                    <w:tr2bl w:val="nil"/>
                  </w:tcBorders>
                  <w:shd w:val="clear" w:color="auto" w:fill="auto"/>
                  <w:vAlign w:val="center"/>
                </w:tcPr>
                <w:p w14:paraId="035EE717">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olor w:val="auto"/>
                      <w:sz w:val="21"/>
                      <w:highlight w:val="none"/>
                      <w:vertAlign w:val="baseline"/>
                      <w:lang w:val="en-US" w:eastAsia="zh-CN"/>
                    </w:rPr>
                  </w:pPr>
                  <w:r>
                    <w:rPr>
                      <w:rFonts w:hint="eastAsia" w:ascii="Times New Roman" w:hAnsi="Times New Roman" w:eastAsia="宋体" w:cs="Times New Roman"/>
                      <w:color w:val="auto"/>
                      <w:spacing w:val="1"/>
                      <w:position w:val="2"/>
                      <w:sz w:val="21"/>
                      <w:szCs w:val="20"/>
                      <w:highlight w:val="none"/>
                      <w:lang w:val="en-US" w:eastAsia="zh-CN"/>
                    </w:rPr>
                    <w:t>360</w:t>
                  </w:r>
                </w:p>
              </w:tc>
              <w:tc>
                <w:tcPr>
                  <w:tcW w:w="1470" w:type="dxa"/>
                  <w:tcBorders>
                    <w:tl2br w:val="nil"/>
                    <w:tr2bl w:val="nil"/>
                  </w:tcBorders>
                  <w:shd w:val="clear" w:color="auto" w:fill="auto"/>
                  <w:vAlign w:val="center"/>
                </w:tcPr>
                <w:p w14:paraId="29EEDD10">
                  <w:pPr>
                    <w:pStyle w:val="113"/>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Times New Roman"/>
                      <w:color w:val="auto"/>
                      <w:sz w:val="21"/>
                      <w:highlight w:val="none"/>
                    </w:rPr>
                    <w:t>pH</w:t>
                  </w:r>
                  <w:r>
                    <w:rPr>
                      <w:rFonts w:hint="eastAsia" w:ascii="Times New Roman" w:hAnsi="Times New Roman" w:cs="Times New Roman"/>
                      <w:color w:val="auto"/>
                      <w:sz w:val="21"/>
                      <w:highlight w:val="none"/>
                      <w:lang w:eastAsia="zh-CN"/>
                    </w:rPr>
                    <w:t>(</w:t>
                  </w:r>
                  <w:r>
                    <w:rPr>
                      <w:rFonts w:ascii="Times New Roman" w:hAnsi="Times New Roman" w:eastAsia="宋体"/>
                      <w:color w:val="auto"/>
                      <w:spacing w:val="9"/>
                      <w:sz w:val="21"/>
                      <w:highlight w:val="none"/>
                    </w:rPr>
                    <w:t>无量纲</w:t>
                  </w:r>
                  <w:r>
                    <w:rPr>
                      <w:rFonts w:hint="eastAsia" w:ascii="Times New Roman" w:hAnsi="Times New Roman"/>
                      <w:color w:val="auto"/>
                      <w:spacing w:val="9"/>
                      <w:sz w:val="21"/>
                      <w:highlight w:val="none"/>
                      <w:lang w:eastAsia="zh-CN"/>
                    </w:rPr>
                    <w:t>)</w:t>
                  </w:r>
                </w:p>
              </w:tc>
              <w:tc>
                <w:tcPr>
                  <w:tcW w:w="1457" w:type="dxa"/>
                  <w:tcBorders>
                    <w:tl2br w:val="nil"/>
                    <w:tr2bl w:val="nil"/>
                  </w:tcBorders>
                  <w:shd w:val="clear" w:color="auto" w:fill="auto"/>
                  <w:vAlign w:val="center"/>
                </w:tcPr>
                <w:p w14:paraId="6ACE3F8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position w:val="1"/>
                      <w:sz w:val="21"/>
                      <w:szCs w:val="20"/>
                      <w:highlight w:val="none"/>
                    </w:rPr>
                    <w:t>6~9</w:t>
                  </w:r>
                </w:p>
              </w:tc>
              <w:tc>
                <w:tcPr>
                  <w:tcW w:w="1456" w:type="dxa"/>
                  <w:tcBorders>
                    <w:tl2br w:val="nil"/>
                    <w:tr2bl w:val="nil"/>
                  </w:tcBorders>
                  <w:shd w:val="clear" w:color="auto" w:fill="auto"/>
                  <w:vAlign w:val="center"/>
                </w:tcPr>
                <w:p w14:paraId="43CDAC06">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highlight w:val="none"/>
                    </w:rPr>
                    <w:t>-----</w:t>
                  </w:r>
                </w:p>
              </w:tc>
            </w:tr>
            <w:tr w14:paraId="5E151B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5CB721C5">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16567911">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197B0BED">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7AE9D08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4"/>
                      <w:sz w:val="21"/>
                      <w:szCs w:val="20"/>
                      <w:highlight w:val="none"/>
                    </w:rPr>
                    <w:t>CODcr</w:t>
                  </w:r>
                </w:p>
              </w:tc>
              <w:tc>
                <w:tcPr>
                  <w:tcW w:w="1457" w:type="dxa"/>
                  <w:tcBorders>
                    <w:tl2br w:val="nil"/>
                    <w:tr2bl w:val="nil"/>
                  </w:tcBorders>
                  <w:shd w:val="clear" w:color="auto" w:fill="auto"/>
                  <w:vAlign w:val="center"/>
                </w:tcPr>
                <w:p w14:paraId="6789FDD9">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2"/>
                      <w:position w:val="2"/>
                      <w:sz w:val="21"/>
                      <w:szCs w:val="20"/>
                      <w:highlight w:val="none"/>
                    </w:rPr>
                    <w:t>300</w:t>
                  </w:r>
                </w:p>
              </w:tc>
              <w:tc>
                <w:tcPr>
                  <w:tcW w:w="1456" w:type="dxa"/>
                  <w:tcBorders>
                    <w:tl2br w:val="nil"/>
                    <w:tr2bl w:val="nil"/>
                  </w:tcBorders>
                  <w:shd w:val="clear" w:color="auto" w:fill="auto"/>
                  <w:vAlign w:val="center"/>
                </w:tcPr>
                <w:p w14:paraId="78E4D612">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kern w:val="2"/>
                      <w:sz w:val="21"/>
                      <w:szCs w:val="20"/>
                      <w:highlight w:val="none"/>
                      <w:lang w:val="en-US" w:eastAsia="zh-CN" w:bidi="ar-SA"/>
                    </w:rPr>
                  </w:pPr>
                  <w:r>
                    <w:rPr>
                      <w:rFonts w:hint="eastAsia" w:ascii="Times New Roman" w:hAnsi="Times New Roman" w:cs="Times New Roman"/>
                      <w:color w:val="auto"/>
                      <w:sz w:val="21"/>
                      <w:highlight w:val="none"/>
                      <w:lang w:val="en-US" w:eastAsia="zh-CN"/>
                    </w:rPr>
                    <w:t>0.108</w:t>
                  </w:r>
                </w:p>
              </w:tc>
            </w:tr>
            <w:tr w14:paraId="29C82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769788C5">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04807846">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EA386E6">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5221055C">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13"/>
                      <w:highlight w:val="none"/>
                      <w:lang w:val="en-US" w:eastAsia="zh-CN" w:bidi="ar-SA"/>
                    </w:rPr>
                  </w:pPr>
                  <w:r>
                    <w:rPr>
                      <w:rFonts w:ascii="Times New Roman" w:hAnsi="Times New Roman" w:eastAsia="宋体" w:cs="Times New Roman"/>
                      <w:color w:val="auto"/>
                      <w:spacing w:val="5"/>
                      <w:sz w:val="21"/>
                      <w:szCs w:val="20"/>
                      <w:highlight w:val="none"/>
                    </w:rPr>
                    <w:t>BOD</w:t>
                  </w:r>
                  <w:r>
                    <w:rPr>
                      <w:rFonts w:ascii="Times New Roman" w:hAnsi="Times New Roman" w:eastAsia="宋体" w:cs="Times New Roman"/>
                      <w:color w:val="auto"/>
                      <w:spacing w:val="5"/>
                      <w:position w:val="-1"/>
                      <w:sz w:val="21"/>
                      <w:szCs w:val="13"/>
                      <w:highlight w:val="none"/>
                      <w:vertAlign w:val="subscript"/>
                    </w:rPr>
                    <w:t>5</w:t>
                  </w:r>
                </w:p>
              </w:tc>
              <w:tc>
                <w:tcPr>
                  <w:tcW w:w="1457" w:type="dxa"/>
                  <w:tcBorders>
                    <w:tl2br w:val="nil"/>
                    <w:tr2bl w:val="nil"/>
                  </w:tcBorders>
                  <w:shd w:val="clear" w:color="auto" w:fill="auto"/>
                  <w:vAlign w:val="center"/>
                </w:tcPr>
                <w:p w14:paraId="63398027">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4"/>
                      <w:position w:val="1"/>
                      <w:sz w:val="21"/>
                      <w:szCs w:val="20"/>
                      <w:highlight w:val="none"/>
                    </w:rPr>
                    <w:t>150</w:t>
                  </w:r>
                </w:p>
              </w:tc>
              <w:tc>
                <w:tcPr>
                  <w:tcW w:w="1456" w:type="dxa"/>
                  <w:tcBorders>
                    <w:tl2br w:val="nil"/>
                    <w:tr2bl w:val="nil"/>
                  </w:tcBorders>
                  <w:shd w:val="clear" w:color="auto" w:fill="auto"/>
                  <w:vAlign w:val="center"/>
                </w:tcPr>
                <w:p w14:paraId="600B35FB">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kern w:val="2"/>
                      <w:sz w:val="21"/>
                      <w:szCs w:val="20"/>
                      <w:highlight w:val="none"/>
                      <w:lang w:val="en-US" w:eastAsia="zh-CN" w:bidi="ar-SA"/>
                    </w:rPr>
                  </w:pPr>
                  <w:r>
                    <w:rPr>
                      <w:rFonts w:hint="eastAsia" w:ascii="Times New Roman" w:hAnsi="Times New Roman" w:cs="Times New Roman"/>
                      <w:color w:val="auto"/>
                      <w:sz w:val="21"/>
                      <w:highlight w:val="none"/>
                      <w:lang w:val="en-US" w:eastAsia="zh-CN"/>
                    </w:rPr>
                    <w:t>0.054</w:t>
                  </w:r>
                </w:p>
              </w:tc>
            </w:tr>
            <w:tr w14:paraId="58B859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355A507F">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C1F43A3">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2FFC2613">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1DDAE3CB">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z w:val="21"/>
                      <w:szCs w:val="20"/>
                      <w:highlight w:val="none"/>
                    </w:rPr>
                    <w:t>NH</w:t>
                  </w:r>
                  <w:r>
                    <w:rPr>
                      <w:rFonts w:ascii="Times New Roman" w:hAnsi="Times New Roman" w:eastAsia="宋体" w:cs="Times New Roman"/>
                      <w:color w:val="auto"/>
                      <w:spacing w:val="9"/>
                      <w:sz w:val="21"/>
                      <w:szCs w:val="13"/>
                      <w:highlight w:val="none"/>
                      <w:vertAlign w:val="subscript"/>
                    </w:rPr>
                    <w:t>3</w:t>
                  </w:r>
                  <w:r>
                    <w:rPr>
                      <w:rFonts w:ascii="Times New Roman" w:hAnsi="Times New Roman" w:eastAsia="宋体" w:cs="Times New Roman"/>
                      <w:color w:val="auto"/>
                      <w:spacing w:val="9"/>
                      <w:sz w:val="21"/>
                      <w:szCs w:val="20"/>
                      <w:highlight w:val="none"/>
                    </w:rPr>
                    <w:t>-N</w:t>
                  </w:r>
                </w:p>
              </w:tc>
              <w:tc>
                <w:tcPr>
                  <w:tcW w:w="1457" w:type="dxa"/>
                  <w:tcBorders>
                    <w:tl2br w:val="nil"/>
                    <w:tr2bl w:val="nil"/>
                  </w:tcBorders>
                  <w:shd w:val="clear" w:color="auto" w:fill="auto"/>
                  <w:vAlign w:val="center"/>
                </w:tcPr>
                <w:p w14:paraId="4BC6BE34">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1"/>
                      <w:position w:val="1"/>
                      <w:sz w:val="21"/>
                      <w:szCs w:val="20"/>
                      <w:highlight w:val="none"/>
                    </w:rPr>
                    <w:t>25</w:t>
                  </w:r>
                </w:p>
              </w:tc>
              <w:tc>
                <w:tcPr>
                  <w:tcW w:w="1456" w:type="dxa"/>
                  <w:tcBorders>
                    <w:tl2br w:val="nil"/>
                    <w:tr2bl w:val="nil"/>
                  </w:tcBorders>
                  <w:shd w:val="clear" w:color="auto" w:fill="auto"/>
                  <w:vAlign w:val="center"/>
                </w:tcPr>
                <w:p w14:paraId="75AC7B83">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kern w:val="2"/>
                      <w:sz w:val="21"/>
                      <w:szCs w:val="20"/>
                      <w:highlight w:val="none"/>
                      <w:lang w:val="en-US" w:eastAsia="zh-CN" w:bidi="ar-SA"/>
                    </w:rPr>
                  </w:pPr>
                  <w:r>
                    <w:rPr>
                      <w:rFonts w:hint="eastAsia" w:ascii="Times New Roman" w:hAnsi="Times New Roman" w:cs="Times New Roman"/>
                      <w:color w:val="auto"/>
                      <w:sz w:val="21"/>
                      <w:highlight w:val="none"/>
                      <w:lang w:val="en-US" w:eastAsia="zh-CN"/>
                    </w:rPr>
                    <w:t>0.009</w:t>
                  </w:r>
                </w:p>
              </w:tc>
            </w:tr>
            <w:tr w14:paraId="2D400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66ABE8F9">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4353625E">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5832CBB8">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0ABC50C2">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3"/>
                      <w:sz w:val="21"/>
                      <w:szCs w:val="20"/>
                      <w:highlight w:val="none"/>
                    </w:rPr>
                    <w:t>SS</w:t>
                  </w:r>
                </w:p>
              </w:tc>
              <w:tc>
                <w:tcPr>
                  <w:tcW w:w="1457" w:type="dxa"/>
                  <w:tcBorders>
                    <w:tl2br w:val="nil"/>
                    <w:tr2bl w:val="nil"/>
                  </w:tcBorders>
                  <w:shd w:val="clear" w:color="auto" w:fill="auto"/>
                  <w:vAlign w:val="center"/>
                </w:tcPr>
                <w:p w14:paraId="0323DD5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2"/>
                      <w:position w:val="1"/>
                      <w:sz w:val="21"/>
                      <w:szCs w:val="20"/>
                      <w:highlight w:val="none"/>
                    </w:rPr>
                    <w:t>200</w:t>
                  </w:r>
                </w:p>
              </w:tc>
              <w:tc>
                <w:tcPr>
                  <w:tcW w:w="1456" w:type="dxa"/>
                  <w:tcBorders>
                    <w:tl2br w:val="nil"/>
                    <w:tr2bl w:val="nil"/>
                  </w:tcBorders>
                  <w:shd w:val="clear" w:color="auto" w:fill="auto"/>
                  <w:vAlign w:val="center"/>
                </w:tcPr>
                <w:p w14:paraId="552DDCDA">
                  <w:pPr>
                    <w:pStyle w:val="96"/>
                    <w:keepNext w:val="0"/>
                    <w:keepLines w:val="0"/>
                    <w:pageBreakBefore w:val="0"/>
                    <w:widowControl w:val="0"/>
                    <w:kinsoku/>
                    <w:wordWrap/>
                    <w:overflowPunct/>
                    <w:topLinePunct w:val="0"/>
                    <w:autoSpaceDE/>
                    <w:autoSpaceDN/>
                    <w:bidi w:val="0"/>
                    <w:adjustRightInd w:val="0"/>
                    <w:snapToGrid w:val="0"/>
                    <w:spacing w:line="240" w:lineRule="auto"/>
                    <w:jc w:val="center"/>
                    <w:textAlignment w:val="baseline"/>
                    <w:rPr>
                      <w:rFonts w:hint="eastAsia" w:ascii="Times New Roman" w:hAnsi="Times New Roman" w:eastAsia="宋体" w:cs="Times New Roman"/>
                      <w:color w:val="auto"/>
                      <w:kern w:val="2"/>
                      <w:sz w:val="21"/>
                      <w:szCs w:val="20"/>
                      <w:highlight w:val="none"/>
                      <w:lang w:val="en-US" w:eastAsia="zh-CN" w:bidi="ar-SA"/>
                    </w:rPr>
                  </w:pPr>
                  <w:r>
                    <w:rPr>
                      <w:rFonts w:hint="eastAsia" w:ascii="Times New Roman" w:hAnsi="Times New Roman" w:cs="Times New Roman"/>
                      <w:color w:val="auto"/>
                      <w:sz w:val="21"/>
                      <w:highlight w:val="none"/>
                      <w:lang w:val="en-US" w:eastAsia="zh-CN"/>
                    </w:rPr>
                    <w:t>0.072</w:t>
                  </w:r>
                </w:p>
              </w:tc>
            </w:tr>
            <w:tr w14:paraId="0160A1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52" w:type="dxa"/>
                  <w:vMerge w:val="continue"/>
                  <w:tcBorders>
                    <w:tl2br w:val="nil"/>
                    <w:tr2bl w:val="nil"/>
                  </w:tcBorders>
                  <w:vAlign w:val="center"/>
                </w:tcPr>
                <w:p w14:paraId="20726389">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35729F3D">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53" w:type="dxa"/>
                  <w:vMerge w:val="continue"/>
                  <w:tcBorders>
                    <w:tl2br w:val="nil"/>
                    <w:tr2bl w:val="nil"/>
                  </w:tcBorders>
                  <w:vAlign w:val="center"/>
                </w:tcPr>
                <w:p w14:paraId="1EA1A24B">
                  <w:pPr>
                    <w:pStyle w:val="44"/>
                    <w:keepNext w:val="0"/>
                    <w:keepLines w:val="0"/>
                    <w:pageBreakBefore w:val="0"/>
                    <w:widowControl w:val="0"/>
                    <w:kinsoku/>
                    <w:wordWrap/>
                    <w:overflowPunct/>
                    <w:topLinePunct w:val="0"/>
                    <w:bidi w:val="0"/>
                    <w:adjustRightInd/>
                    <w:snapToGrid/>
                    <w:spacing w:line="240" w:lineRule="auto"/>
                    <w:ind w:left="0" w:firstLine="0" w:firstLineChars="0"/>
                    <w:jc w:val="center"/>
                    <w:textAlignment w:val="auto"/>
                    <w:rPr>
                      <w:rFonts w:hint="eastAsia" w:ascii="Times New Roman" w:hAnsi="Times New Roman" w:eastAsia="宋体"/>
                      <w:color w:val="auto"/>
                      <w:sz w:val="21"/>
                      <w:highlight w:val="none"/>
                      <w:vertAlign w:val="baseline"/>
                      <w:lang w:val="en-US" w:eastAsia="zh-CN"/>
                    </w:rPr>
                  </w:pPr>
                </w:p>
              </w:tc>
              <w:tc>
                <w:tcPr>
                  <w:tcW w:w="1470" w:type="dxa"/>
                  <w:tcBorders>
                    <w:tl2br w:val="nil"/>
                    <w:tr2bl w:val="nil"/>
                  </w:tcBorders>
                  <w:shd w:val="clear" w:color="auto" w:fill="auto"/>
                  <w:vAlign w:val="center"/>
                </w:tcPr>
                <w:p w14:paraId="0ED90B7F">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2"/>
                      <w:sz w:val="21"/>
                      <w:szCs w:val="20"/>
                      <w:highlight w:val="none"/>
                    </w:rPr>
                    <w:t>TN</w:t>
                  </w:r>
                </w:p>
              </w:tc>
              <w:tc>
                <w:tcPr>
                  <w:tcW w:w="1457" w:type="dxa"/>
                  <w:tcBorders>
                    <w:tl2br w:val="nil"/>
                    <w:tr2bl w:val="nil"/>
                  </w:tcBorders>
                  <w:shd w:val="clear" w:color="auto" w:fill="auto"/>
                  <w:vAlign w:val="center"/>
                </w:tcPr>
                <w:p w14:paraId="6C19952E">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0"/>
                      <w:highlight w:val="none"/>
                      <w:lang w:val="en-US" w:eastAsia="zh-CN" w:bidi="ar-SA"/>
                    </w:rPr>
                  </w:pPr>
                  <w:r>
                    <w:rPr>
                      <w:rFonts w:ascii="Times New Roman" w:hAnsi="Times New Roman" w:eastAsia="宋体" w:cs="Times New Roman"/>
                      <w:color w:val="auto"/>
                      <w:spacing w:val="2"/>
                      <w:position w:val="1"/>
                      <w:sz w:val="21"/>
                      <w:szCs w:val="20"/>
                      <w:highlight w:val="none"/>
                    </w:rPr>
                    <w:t>40</w:t>
                  </w:r>
                </w:p>
              </w:tc>
              <w:tc>
                <w:tcPr>
                  <w:tcW w:w="1456" w:type="dxa"/>
                  <w:tcBorders>
                    <w:tl2br w:val="nil"/>
                    <w:tr2bl w:val="nil"/>
                  </w:tcBorders>
                  <w:shd w:val="clear" w:color="auto" w:fill="auto"/>
                  <w:vAlign w:val="center"/>
                </w:tcPr>
                <w:p w14:paraId="5BA965E5">
                  <w:pPr>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color w:val="auto"/>
                      <w:spacing w:val="3"/>
                      <w:position w:val="1"/>
                      <w:sz w:val="21"/>
                      <w:szCs w:val="20"/>
                      <w:highlight w:val="none"/>
                      <w:lang w:val="en-US" w:eastAsia="zh-CN"/>
                    </w:rPr>
                    <w:t>0.0144</w:t>
                  </w:r>
                </w:p>
              </w:tc>
            </w:tr>
          </w:tbl>
          <w:p w14:paraId="2702A510">
            <w:pPr>
              <w:pStyle w:val="44"/>
              <w:ind w:firstLine="480"/>
              <w:rPr>
                <w:rFonts w:hint="eastAsia"/>
                <w:color w:val="auto"/>
                <w:highlight w:val="none"/>
                <w:lang w:val="en-US" w:eastAsia="zh-CN"/>
              </w:rPr>
            </w:pPr>
          </w:p>
          <w:p w14:paraId="1E412746">
            <w:pPr>
              <w:pStyle w:val="44"/>
              <w:numPr>
                <w:ilvl w:val="0"/>
                <w:numId w:val="15"/>
              </w:numPr>
              <w:ind w:firstLine="480"/>
              <w:rPr>
                <w:rFonts w:hint="eastAsia"/>
                <w:color w:val="auto"/>
                <w:highlight w:val="none"/>
                <w:lang w:val="en-US" w:eastAsia="zh-CN"/>
              </w:rPr>
            </w:pPr>
            <w:r>
              <w:rPr>
                <w:rFonts w:hint="eastAsia"/>
                <w:color w:val="auto"/>
                <w:highlight w:val="none"/>
                <w:lang w:val="en-US" w:eastAsia="zh-CN"/>
              </w:rPr>
              <w:t>防治措施</w:t>
            </w:r>
          </w:p>
          <w:p w14:paraId="23639097">
            <w:pPr>
              <w:pStyle w:val="44"/>
              <w:ind w:firstLine="48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本项目将配套建设1座污水处理设施处理工艺为“</w:t>
            </w:r>
            <w:r>
              <w:rPr>
                <w:rFonts w:hint="eastAsia" w:cs="宋体"/>
                <w:color w:val="auto"/>
                <w:highlight w:val="none"/>
                <w:lang w:val="en-US" w:eastAsia="zh-CN"/>
              </w:rPr>
              <w:t>气浮+A/O+沉淀</w:t>
            </w:r>
            <w:r>
              <w:rPr>
                <w:rFonts w:hint="eastAsia" w:ascii="Times New Roman" w:hAnsi="Times New Roman" w:eastAsia="宋体" w:cs="宋体"/>
                <w:color w:val="auto"/>
                <w:highlight w:val="none"/>
                <w:lang w:val="en-US" w:eastAsia="zh-CN"/>
              </w:rPr>
              <w:t>”，设计处理能力为2m</w:t>
            </w:r>
            <w:r>
              <w:rPr>
                <w:rFonts w:hint="eastAsia" w:ascii="Times New Roman" w:hAnsi="Times New Roman" w:eastAsia="宋体" w:cs="宋体"/>
                <w:color w:val="auto"/>
                <w:highlight w:val="none"/>
                <w:vertAlign w:val="superscript"/>
                <w:lang w:val="en-US" w:eastAsia="zh-CN"/>
              </w:rPr>
              <w:t>3</w:t>
            </w:r>
            <w:r>
              <w:rPr>
                <w:rFonts w:hint="eastAsia" w:ascii="Times New Roman" w:hAnsi="Times New Roman" w:eastAsia="宋体" w:cs="宋体"/>
                <w:color w:val="auto"/>
                <w:highlight w:val="none"/>
                <w:lang w:val="en-US" w:eastAsia="zh-CN"/>
              </w:rPr>
              <w:t>/d）。</w:t>
            </w:r>
          </w:p>
          <w:p w14:paraId="7FACE696">
            <w:pPr>
              <w:pStyle w:val="44"/>
              <w:ind w:firstLine="48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本项目脱脂废水、脱脂后水洗废水、硅烷后水洗废水</w:t>
            </w:r>
            <w:r>
              <w:rPr>
                <w:rFonts w:hint="eastAsia" w:cs="宋体"/>
                <w:color w:val="auto"/>
                <w:highlight w:val="none"/>
                <w:lang w:val="en-US" w:eastAsia="zh-CN"/>
              </w:rPr>
              <w:t>纯</w:t>
            </w:r>
            <w:r>
              <w:rPr>
                <w:rFonts w:hint="eastAsia" w:ascii="Times New Roman" w:hAnsi="Times New Roman" w:eastAsia="宋体" w:cs="宋体"/>
                <w:color w:val="auto"/>
                <w:highlight w:val="none"/>
                <w:lang w:val="en-US" w:eastAsia="zh-CN"/>
              </w:rPr>
              <w:t>水洗</w:t>
            </w:r>
            <w:r>
              <w:rPr>
                <w:rFonts w:hint="eastAsia" w:cs="宋体"/>
                <w:color w:val="auto"/>
                <w:highlight w:val="none"/>
                <w:lang w:val="en-US" w:eastAsia="zh-CN"/>
              </w:rPr>
              <w:t>2</w:t>
            </w:r>
            <w:r>
              <w:rPr>
                <w:rFonts w:hint="eastAsia" w:ascii="Times New Roman" w:hAnsi="Times New Roman" w:eastAsia="宋体" w:cs="宋体"/>
                <w:color w:val="auto"/>
                <w:highlight w:val="none"/>
                <w:lang w:val="en-US" w:eastAsia="zh-CN"/>
              </w:rPr>
              <w:t>废水经收集后进入污水处理设施净化处理后，出水进入厂区污水管道；生活污水单独进入厂区污水管道；项目废水最终纳入市政污水管网，进入</w:t>
            </w:r>
            <w:r>
              <w:rPr>
                <w:rFonts w:hint="eastAsia" w:cs="宋体"/>
                <w:color w:val="auto"/>
                <w:highlight w:val="none"/>
                <w:lang w:val="en-US" w:eastAsia="zh-CN"/>
              </w:rPr>
              <w:t>福清市第二污水处理厂</w:t>
            </w:r>
            <w:r>
              <w:rPr>
                <w:rFonts w:hint="eastAsia" w:ascii="Times New Roman" w:hAnsi="Times New Roman" w:eastAsia="宋体" w:cs="宋体"/>
                <w:color w:val="auto"/>
                <w:highlight w:val="none"/>
                <w:lang w:val="en-US" w:eastAsia="zh-CN"/>
              </w:rPr>
              <w:t>集中处理。</w:t>
            </w:r>
          </w:p>
          <w:p w14:paraId="5E28B9BA">
            <w:pPr>
              <w:pStyle w:val="44"/>
              <w:ind w:firstLine="48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废水处理工艺如下：</w:t>
            </w:r>
          </w:p>
          <w:p w14:paraId="61C59BE5">
            <w:pPr>
              <w:pStyle w:val="44"/>
              <w:numPr>
                <w:ilvl w:val="0"/>
                <w:numId w:val="0"/>
              </w:numPr>
              <w:jc w:val="center"/>
              <w:rPr>
                <w:rFonts w:hint="eastAsia"/>
                <w:color w:val="auto"/>
                <w:highlight w:val="none"/>
                <w:lang w:val="en-US" w:eastAsia="zh-CN"/>
              </w:rPr>
            </w:pPr>
            <w:r>
              <w:rPr>
                <w:color w:val="auto"/>
              </w:rPr>
              <w:drawing>
                <wp:inline distT="0" distB="0" distL="114300" distR="114300">
                  <wp:extent cx="5663565" cy="3458845"/>
                  <wp:effectExtent l="0" t="0" r="13335" b="8255"/>
                  <wp:docPr id="26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6"/>
                          <pic:cNvPicPr>
                            <a:picLocks noChangeAspect="1"/>
                          </pic:cNvPicPr>
                        </pic:nvPicPr>
                        <pic:blipFill>
                          <a:blip r:embed="rId28"/>
                          <a:stretch>
                            <a:fillRect/>
                          </a:stretch>
                        </pic:blipFill>
                        <pic:spPr>
                          <a:xfrm>
                            <a:off x="0" y="0"/>
                            <a:ext cx="5663565" cy="3458845"/>
                          </a:xfrm>
                          <a:prstGeom prst="rect">
                            <a:avLst/>
                          </a:prstGeom>
                          <a:noFill/>
                          <a:ln>
                            <a:noFill/>
                          </a:ln>
                        </pic:spPr>
                      </pic:pic>
                    </a:graphicData>
                  </a:graphic>
                </wp:inline>
              </w:drawing>
            </w:r>
          </w:p>
          <w:p w14:paraId="7B2F2F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eastAsia" w:ascii="Times New Roman" w:hAnsi="Times New Roman" w:eastAsia="宋体" w:cs="Times New Roman"/>
                <w:b/>
                <w:bCs/>
                <w:color w:val="auto"/>
                <w:kern w:val="2"/>
                <w:sz w:val="24"/>
                <w:szCs w:val="20"/>
                <w:highlight w:val="none"/>
                <w:lang w:val="en-US" w:eastAsia="zh-CN" w:bidi="ar-SA"/>
              </w:rPr>
            </w:pPr>
            <w:r>
              <w:rPr>
                <w:rFonts w:hint="eastAsia" w:ascii="Times New Roman" w:hAnsi="Times New Roman" w:eastAsia="宋体" w:cs="Times New Roman"/>
                <w:b/>
                <w:bCs/>
                <w:color w:val="auto"/>
                <w:kern w:val="2"/>
                <w:sz w:val="24"/>
                <w:szCs w:val="20"/>
                <w:highlight w:val="none"/>
                <w:lang w:val="en-US" w:eastAsia="zh-CN" w:bidi="ar-SA"/>
              </w:rPr>
              <w:t>图4.3-1废水处理站废水处理工艺流程图</w:t>
            </w:r>
          </w:p>
          <w:p w14:paraId="28EE94BB">
            <w:pPr>
              <w:pStyle w:val="44"/>
              <w:ind w:left="0" w:leftChars="0" w:firstLine="0" w:firstLineChars="0"/>
              <w:rPr>
                <w:rFonts w:hint="eastAsia"/>
                <w:color w:val="auto"/>
                <w:highlight w:val="none"/>
              </w:rPr>
            </w:pPr>
            <w:r>
              <w:rPr>
                <w:rFonts w:hint="eastAsia"/>
                <w:color w:val="auto"/>
                <w:highlight w:val="none"/>
                <w:lang w:val="en-US" w:eastAsia="zh-CN"/>
              </w:rPr>
              <w:t>生产</w:t>
            </w:r>
            <w:r>
              <w:rPr>
                <w:rFonts w:hint="eastAsia"/>
                <w:color w:val="auto"/>
                <w:highlight w:val="none"/>
              </w:rPr>
              <w:t>废水处理工艺说明：</w:t>
            </w:r>
          </w:p>
          <w:p w14:paraId="78AF0077">
            <w:pPr>
              <w:pStyle w:val="44"/>
              <w:ind w:firstLine="480"/>
              <w:rPr>
                <w:rFonts w:hint="eastAsia"/>
                <w:color w:val="auto"/>
                <w:highlight w:val="none"/>
              </w:rPr>
            </w:pPr>
            <w:r>
              <w:rPr>
                <w:rFonts w:hint="eastAsia"/>
                <w:color w:val="auto"/>
                <w:highlight w:val="none"/>
              </w:rPr>
              <w:t>脱脂废水、脱脂后水洗废水、硅烷后水洗废水</w:t>
            </w:r>
            <w:r>
              <w:rPr>
                <w:rFonts w:hint="eastAsia"/>
                <w:color w:val="auto"/>
                <w:highlight w:val="none"/>
                <w:lang w:val="en-US" w:eastAsia="zh-CN"/>
              </w:rPr>
              <w:t>等生产废水</w:t>
            </w:r>
            <w:r>
              <w:rPr>
                <w:rFonts w:hint="eastAsia"/>
                <w:color w:val="auto"/>
                <w:highlight w:val="none"/>
              </w:rPr>
              <w:t>分别收集后进入调节池，经调匀水质、水量后，通过泵提进入气浮系统，在进入气浮系统前，需要加入PAC和PAM药剂，混合搅拌后，可以将水中溶解的COD/BOD以及少量的N/P等离子，形成悬浮物，经过纳米级气泡，将产生的悬浮物浮于水面，从而去除水中的溶解的杂质，可以有效去除水中的油类杂质，从而降低废水中的COD，以减轻后续A/O系统负担。</w:t>
            </w:r>
          </w:p>
          <w:p w14:paraId="54C1B202">
            <w:pPr>
              <w:pStyle w:val="113"/>
              <w:spacing w:before="42" w:line="355" w:lineRule="auto"/>
              <w:ind w:left="107" w:right="39" w:firstLine="502"/>
              <w:jc w:val="both"/>
              <w:rPr>
                <w:color w:val="auto"/>
                <w:spacing w:val="-1"/>
                <w:sz w:val="24"/>
                <w:szCs w:val="24"/>
                <w:highlight w:val="none"/>
              </w:rPr>
            </w:pPr>
            <w:r>
              <w:rPr>
                <w:rFonts w:hint="eastAsia"/>
                <w:color w:val="auto"/>
                <w:highlight w:val="none"/>
              </w:rPr>
              <w:t>气浮出水经泵提升去厌氧池，在厌氧池内利用异养型兼性细菌和厌菌将废水中难降解的大分子有机物转化为易降解的小分子有机物，将复杂的有机物转变成简单的有机物，提高废水的可生化性。出厌氧池废水自流入好池，在充分曝气的环境下，通过活性污泥的作用，充分降解有机物，同时将氨氮向硝态氮转化。好氧池出水自流入二沉池，生化污泥在此沉淀分离，污泥回流至好氧池，上清液自流入管网。二沉池的剩余污泥排入污泥池。</w:t>
            </w:r>
            <w:r>
              <w:rPr>
                <w:color w:val="auto"/>
                <w:sz w:val="24"/>
                <w:szCs w:val="24"/>
                <w:highlight w:val="none"/>
              </w:rPr>
              <w:t>污</w:t>
            </w:r>
            <w:r>
              <w:rPr>
                <w:color w:val="auto"/>
                <w:spacing w:val="-1"/>
                <w:sz w:val="24"/>
                <w:szCs w:val="24"/>
                <w:highlight w:val="none"/>
              </w:rPr>
              <w:t>泥池内</w:t>
            </w:r>
            <w:r>
              <w:rPr>
                <w:color w:val="auto"/>
                <w:sz w:val="24"/>
                <w:szCs w:val="24"/>
                <w:highlight w:val="none"/>
              </w:rPr>
              <w:t>污泥脱水采用袋式重力脱水工艺，将污泥装入专用滤袋后，通过重力作用实现泥水分离，袋内污泥含水率逐步降低，滤液回流至调节池进一步处理。</w:t>
            </w:r>
          </w:p>
          <w:p w14:paraId="72577782">
            <w:pPr>
              <w:pStyle w:val="4"/>
              <w:numPr>
                <w:ilvl w:val="2"/>
                <w:numId w:val="1"/>
              </w:numPr>
              <w:bidi w:val="0"/>
              <w:ind w:left="720" w:leftChars="0" w:hanging="720" w:firstLineChars="0"/>
              <w:rPr>
                <w:rFonts w:hint="eastAsia" w:eastAsia="宋体"/>
                <w:color w:val="auto"/>
                <w:highlight w:val="none"/>
              </w:rPr>
            </w:pPr>
            <w:r>
              <w:rPr>
                <w:rFonts w:hint="eastAsia" w:eastAsia="宋体"/>
                <w:color w:val="auto"/>
                <w:highlight w:val="none"/>
              </w:rPr>
              <w:t>依托污水处理厂的可行性分析</w:t>
            </w:r>
          </w:p>
          <w:p w14:paraId="19613686">
            <w:pPr>
              <w:pStyle w:val="44"/>
              <w:ind w:firstLine="480"/>
              <w:rPr>
                <w:rFonts w:hint="eastAsia" w:ascii="Times New Roman" w:hAnsi="Times New Roman" w:eastAsia="宋体" w:cs="宋体"/>
                <w:color w:val="auto"/>
                <w:szCs w:val="20"/>
                <w:highlight w:val="none"/>
                <w:lang w:val="en-US" w:eastAsia="en-US" w:bidi="ar"/>
              </w:rPr>
            </w:pPr>
            <w:r>
              <w:rPr>
                <w:rFonts w:hint="eastAsia" w:ascii="Times New Roman" w:hAnsi="Times New Roman" w:eastAsia="宋体" w:cs="宋体"/>
                <w:color w:val="auto"/>
                <w:szCs w:val="20"/>
                <w:highlight w:val="none"/>
                <w:lang w:val="en-US" w:eastAsia="en-US" w:bidi="ar"/>
              </w:rPr>
              <w:t>项目生活污水经处理达标后汇合通过厂区污水总排放口排入市政污水管网，送往福清市第二污水处理厂集中处理，属于间接排放，根据《建设项目环境影响报告表编制技术指南</w:t>
            </w:r>
            <w:r>
              <w:rPr>
                <w:rFonts w:hint="eastAsia" w:cs="宋体"/>
                <w:color w:val="auto"/>
                <w:szCs w:val="20"/>
                <w:highlight w:val="none"/>
                <w:lang w:val="en-US" w:eastAsia="zh-CN" w:bidi="ar"/>
              </w:rPr>
              <w:t>(</w:t>
            </w:r>
            <w:r>
              <w:rPr>
                <w:rFonts w:hint="eastAsia" w:ascii="Times New Roman" w:hAnsi="Times New Roman" w:eastAsia="宋体" w:cs="宋体"/>
                <w:color w:val="auto"/>
                <w:szCs w:val="20"/>
                <w:highlight w:val="none"/>
                <w:lang w:val="en-US" w:eastAsia="en-US" w:bidi="ar"/>
              </w:rPr>
              <w:t>污染影响类</w:t>
            </w:r>
            <w:r>
              <w:rPr>
                <w:rFonts w:hint="eastAsia" w:cs="宋体"/>
                <w:color w:val="auto"/>
                <w:szCs w:val="20"/>
                <w:highlight w:val="none"/>
                <w:lang w:val="en-US" w:eastAsia="zh-CN" w:bidi="ar"/>
              </w:rPr>
              <w:t>)(</w:t>
            </w:r>
            <w:r>
              <w:rPr>
                <w:rFonts w:hint="eastAsia" w:ascii="Times New Roman" w:hAnsi="Times New Roman" w:eastAsia="宋体" w:cs="宋体"/>
                <w:color w:val="auto"/>
                <w:szCs w:val="20"/>
                <w:highlight w:val="none"/>
                <w:lang w:val="en-US" w:eastAsia="en-US" w:bidi="ar"/>
              </w:rPr>
              <w:t>试行</w:t>
            </w:r>
            <w:r>
              <w:rPr>
                <w:rFonts w:hint="eastAsia" w:cs="宋体"/>
                <w:color w:val="auto"/>
                <w:szCs w:val="20"/>
                <w:highlight w:val="none"/>
                <w:lang w:val="en-US" w:eastAsia="zh-CN" w:bidi="ar"/>
              </w:rPr>
              <w:t>)</w:t>
            </w:r>
            <w:r>
              <w:rPr>
                <w:rFonts w:hint="eastAsia" w:ascii="Times New Roman" w:hAnsi="Times New Roman" w:eastAsia="宋体" w:cs="宋体"/>
                <w:color w:val="auto"/>
                <w:szCs w:val="20"/>
                <w:highlight w:val="none"/>
                <w:lang w:val="en-US" w:eastAsia="en-US" w:bidi="ar"/>
              </w:rPr>
              <w:t>》</w:t>
            </w:r>
            <w:r>
              <w:rPr>
                <w:rFonts w:hint="eastAsia" w:cs="宋体"/>
                <w:color w:val="auto"/>
                <w:szCs w:val="20"/>
                <w:highlight w:val="none"/>
                <w:lang w:val="en-US" w:eastAsia="zh-CN" w:bidi="ar"/>
              </w:rPr>
              <w:t>(</w:t>
            </w:r>
            <w:r>
              <w:rPr>
                <w:rFonts w:hint="eastAsia" w:ascii="Times New Roman" w:hAnsi="Times New Roman" w:eastAsia="宋体" w:cs="宋体"/>
                <w:color w:val="auto"/>
                <w:szCs w:val="20"/>
                <w:highlight w:val="none"/>
                <w:lang w:val="en-US" w:eastAsia="en-US" w:bidi="ar"/>
              </w:rPr>
              <w:t>环办环评〔2020〕33号</w:t>
            </w:r>
            <w:r>
              <w:rPr>
                <w:rFonts w:hint="eastAsia" w:cs="宋体"/>
                <w:color w:val="auto"/>
                <w:szCs w:val="20"/>
                <w:highlight w:val="none"/>
                <w:lang w:val="en-US" w:eastAsia="zh-CN" w:bidi="ar"/>
              </w:rPr>
              <w:t>)</w:t>
            </w:r>
            <w:r>
              <w:rPr>
                <w:rFonts w:hint="eastAsia" w:ascii="Times New Roman" w:hAnsi="Times New Roman" w:eastAsia="宋体" w:cs="宋体"/>
                <w:color w:val="auto"/>
                <w:szCs w:val="20"/>
                <w:highlight w:val="none"/>
                <w:lang w:val="en-US" w:eastAsia="en-US" w:bidi="ar"/>
              </w:rPr>
              <w:t>要求，废水间接排放的建设项目应从处理能力、处理工艺、设计进出水水质等方面，分析依托集中污水处理厂的可行性。</w:t>
            </w:r>
          </w:p>
          <w:p w14:paraId="5996C9A4">
            <w:pPr>
              <w:pStyle w:val="44"/>
              <w:ind w:firstLine="480"/>
              <w:rPr>
                <w:rFonts w:hint="eastAsia"/>
                <w:color w:val="auto"/>
                <w:highlight w:val="none"/>
              </w:rPr>
            </w:pPr>
            <w:bookmarkStart w:id="50" w:name="_Ref12541"/>
            <w:r>
              <w:rPr>
                <w:rFonts w:hint="eastAsia"/>
                <w:color w:val="auto"/>
                <w:highlight w:val="none"/>
              </w:rPr>
              <w:t>(1)福清市第二污水处理厂基本情况</w:t>
            </w:r>
          </w:p>
          <w:p w14:paraId="284C7432">
            <w:pPr>
              <w:pStyle w:val="44"/>
              <w:ind w:firstLine="480"/>
              <w:rPr>
                <w:rFonts w:hint="eastAsia"/>
                <w:color w:val="auto"/>
                <w:highlight w:val="none"/>
              </w:rPr>
            </w:pPr>
            <w:r>
              <w:rPr>
                <w:rFonts w:hint="eastAsia"/>
                <w:color w:val="auto"/>
                <w:highlight w:val="none"/>
              </w:rPr>
              <w:t>福清市第二污水处理厂现由福建省融海环境科技有限公司运营，福清市第二污水处理厂是一座具有现代化水准的花园式地下污水处理厂，位于福清市宏路街道大浦村和溪下村境内，为福建省首家</w:t>
            </w:r>
            <w:r>
              <w:rPr>
                <w:rFonts w:hint="eastAsia"/>
                <w:color w:val="auto"/>
                <w:highlight w:val="none"/>
                <w:lang w:eastAsia="zh-CN"/>
              </w:rPr>
              <w:t>一级</w:t>
            </w:r>
            <w:r>
              <w:rPr>
                <w:rFonts w:hint="eastAsia"/>
                <w:color w:val="auto"/>
                <w:highlight w:val="none"/>
              </w:rPr>
              <w:t>A排放标准的地下污水处理厂。</w:t>
            </w:r>
            <w:r>
              <w:rPr>
                <w:rFonts w:hint="eastAsia"/>
                <w:color w:val="auto"/>
                <w:highlight w:val="none"/>
                <w:lang w:eastAsia="zh-CN"/>
              </w:rPr>
              <w:t>污水处理厂</w:t>
            </w:r>
            <w:r>
              <w:rPr>
                <w:rFonts w:hint="eastAsia"/>
                <w:color w:val="auto"/>
                <w:highlight w:val="none"/>
              </w:rPr>
              <w:t>采用“曝气沉砂池+水解酸化AO+高效沉淀池+转盘滤池”工艺，并建设地面休闲公园，规划绿化率高达70%。</w:t>
            </w:r>
          </w:p>
          <w:p w14:paraId="472716F0">
            <w:pPr>
              <w:pStyle w:val="44"/>
              <w:ind w:firstLine="480"/>
              <w:rPr>
                <w:rFonts w:hint="eastAsia"/>
                <w:color w:val="auto"/>
                <w:highlight w:val="none"/>
              </w:rPr>
            </w:pPr>
            <w:r>
              <w:rPr>
                <w:rFonts w:hint="eastAsia"/>
                <w:color w:val="auto"/>
                <w:highlight w:val="none"/>
              </w:rPr>
              <w:t>设计处理污水规模近期为6万m</w:t>
            </w:r>
            <w:r>
              <w:rPr>
                <w:rFonts w:hint="eastAsia"/>
                <w:color w:val="auto"/>
                <w:highlight w:val="none"/>
                <w:vertAlign w:val="superscript"/>
              </w:rPr>
              <w:t>3</w:t>
            </w:r>
            <w:r>
              <w:rPr>
                <w:rFonts w:hint="eastAsia"/>
                <w:color w:val="auto"/>
                <w:highlight w:val="none"/>
              </w:rPr>
              <w:t>/d,远期为12万m³/d,占地面积为80278平方米。</w:t>
            </w:r>
            <w:r>
              <w:rPr>
                <w:rFonts w:hint="eastAsia"/>
                <w:color w:val="auto"/>
                <w:highlight w:val="none"/>
                <w:lang w:eastAsia="zh-CN"/>
              </w:rPr>
              <w:t>污水处理厂</w:t>
            </w:r>
            <w:r>
              <w:rPr>
                <w:rFonts w:hint="eastAsia"/>
                <w:color w:val="auto"/>
                <w:highlight w:val="none"/>
              </w:rPr>
              <w:t>一期6万m³/d于2015年7月开工建设，于2015年12月局部通水试运行，2016年9月进行污泥培养，2016年12月6日正式投产。</w:t>
            </w:r>
          </w:p>
          <w:p w14:paraId="3846A874">
            <w:pPr>
              <w:pStyle w:val="44"/>
              <w:ind w:firstLine="480"/>
              <w:rPr>
                <w:rFonts w:hint="eastAsia"/>
                <w:color w:val="auto"/>
                <w:highlight w:val="none"/>
              </w:rPr>
            </w:pPr>
            <w:r>
              <w:rPr>
                <w:rFonts w:hint="eastAsia"/>
                <w:color w:val="auto"/>
                <w:highlight w:val="none"/>
              </w:rPr>
              <w:t>该污水处理厂承担融侨西片区、南片区以及东张镇、镜洋镇的工业废水和生活污水处理任务，服务面积19.47km²,服务人口约为20万人。处理后的尾水执行《城镇污水处理厂污染物排放标准》(GB18918-2002)及其修改单中的一级A标准，尾水排放龙江。</w:t>
            </w:r>
          </w:p>
          <w:p w14:paraId="42D820FF">
            <w:pPr>
              <w:pStyle w:val="44"/>
              <w:ind w:firstLine="480"/>
              <w:rPr>
                <w:rFonts w:hint="eastAsia" w:ascii="Times New Roman" w:hAnsi="Times New Roman" w:eastAsia="宋体" w:cs="宋体"/>
                <w:color w:val="auto"/>
                <w:highlight w:val="none"/>
                <w:lang w:val="zh-CN" w:eastAsia="zh-CN"/>
              </w:rPr>
            </w:pPr>
            <w:r>
              <w:rPr>
                <w:rFonts w:hint="eastAsia" w:ascii="Times New Roman" w:hAnsi="Times New Roman" w:eastAsia="宋体" w:cs="宋体"/>
                <w:color w:val="auto"/>
                <w:highlight w:val="none"/>
                <w:lang w:val="zh-CN" w:eastAsia="zh-CN"/>
              </w:rPr>
              <w:t>①设计进出水水质</w:t>
            </w:r>
          </w:p>
          <w:p w14:paraId="104469A9">
            <w:pPr>
              <w:pStyle w:val="44"/>
              <w:ind w:firstLine="480"/>
              <w:rPr>
                <w:rFonts w:hint="eastAsia" w:ascii="Times New Roman" w:hAnsi="Times New Roman" w:eastAsia="宋体" w:cs="宋体"/>
                <w:color w:val="auto"/>
                <w:highlight w:val="none"/>
                <w:lang w:val="zh-CN" w:eastAsia="zh-CN"/>
              </w:rPr>
            </w:pPr>
            <w:r>
              <w:rPr>
                <w:rFonts w:hint="eastAsia" w:ascii="Times New Roman" w:hAnsi="Times New Roman" w:eastAsia="宋体" w:cs="宋体"/>
                <w:color w:val="auto"/>
                <w:highlight w:val="none"/>
                <w:lang w:val="zh-CN" w:eastAsia="zh-CN"/>
              </w:rPr>
              <w:t>根据《福清桑德水务有限公司福清市第二污水处理厂工程(一期)环境影响报告书(报批本)》可知，福清市第二污水处理厂进出水水质见表4.</w:t>
            </w:r>
            <w:r>
              <w:rPr>
                <w:rFonts w:hint="eastAsia" w:ascii="Times New Roman" w:hAnsi="Times New Roman" w:eastAsia="宋体" w:cs="宋体"/>
                <w:color w:val="auto"/>
                <w:highlight w:val="none"/>
                <w:lang w:val="en-US" w:eastAsia="zh-CN"/>
              </w:rPr>
              <w:t>3</w:t>
            </w:r>
            <w:r>
              <w:rPr>
                <w:rFonts w:hint="eastAsia" w:ascii="Times New Roman" w:hAnsi="Times New Roman" w:eastAsia="宋体" w:cs="宋体"/>
                <w:color w:val="auto"/>
                <w:highlight w:val="none"/>
                <w:lang w:val="zh-CN" w:eastAsia="zh-CN"/>
              </w:rPr>
              <w:t>-</w:t>
            </w:r>
            <w:r>
              <w:rPr>
                <w:rFonts w:hint="eastAsia" w:ascii="Times New Roman" w:hAnsi="Times New Roman" w:eastAsia="宋体" w:cs="宋体"/>
                <w:color w:val="auto"/>
                <w:highlight w:val="none"/>
                <w:lang w:val="en-US" w:eastAsia="zh-CN"/>
              </w:rPr>
              <w:t>5</w:t>
            </w:r>
            <w:r>
              <w:rPr>
                <w:rFonts w:hint="eastAsia" w:ascii="Times New Roman" w:hAnsi="Times New Roman" w:eastAsia="宋体" w:cs="宋体"/>
                <w:color w:val="auto"/>
                <w:highlight w:val="none"/>
                <w:lang w:val="zh-CN" w:eastAsia="zh-CN"/>
              </w:rPr>
              <w:t>。</w:t>
            </w:r>
          </w:p>
          <w:p w14:paraId="53139484">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0" w:after="0"/>
              <w:ind w:left="630" w:leftChars="0" w:firstLine="0" w:firstLineChars="0"/>
              <w:jc w:val="center"/>
              <w:textAlignment w:val="auto"/>
              <w:rPr>
                <w:rFonts w:hint="eastAsia"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en-US" w:eastAsia="zh-CN"/>
              </w:rPr>
              <w:t xml:space="preserve"> </w:t>
            </w:r>
            <w:r>
              <w:rPr>
                <w:rFonts w:hint="eastAsia" w:cs="Times New Roman"/>
                <w:color w:val="auto"/>
                <w:highlight w:val="none"/>
                <w:lang w:val="en-US" w:eastAsia="zh-CN"/>
              </w:rPr>
              <w:t>污水处理厂</w:t>
            </w:r>
            <w:r>
              <w:rPr>
                <w:rFonts w:hint="eastAsia" w:ascii="Times New Roman" w:hAnsi="Times New Roman" w:eastAsia="宋体" w:cs="Times New Roman"/>
                <w:color w:val="auto"/>
                <w:highlight w:val="none"/>
                <w:lang w:val="en-US" w:eastAsia="zh-CN"/>
              </w:rPr>
              <w:t>进出水水质标准(mg/L pH除外)</w:t>
            </w:r>
          </w:p>
          <w:tbl>
            <w:tblPr>
              <w:tblStyle w:val="34"/>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51"/>
              <w:gridCol w:w="1920"/>
              <w:gridCol w:w="1036"/>
              <w:gridCol w:w="1140"/>
              <w:gridCol w:w="986"/>
              <w:gridCol w:w="1267"/>
              <w:gridCol w:w="825"/>
            </w:tblGrid>
            <w:tr w14:paraId="3E22F1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980" w:type="pct"/>
                  <w:tcBorders>
                    <w:bottom w:val="single" w:color="auto" w:sz="12" w:space="0"/>
                  </w:tcBorders>
                  <w:shd w:val="clear" w:color="auto" w:fill="auto"/>
                  <w:vAlign w:val="center"/>
                </w:tcPr>
                <w:p w14:paraId="1670053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2"/>
                      <w:sz w:val="21"/>
                      <w:szCs w:val="24"/>
                      <w:highlight w:val="none"/>
                    </w:rPr>
                    <w:t>水质指标</w:t>
                  </w:r>
                </w:p>
              </w:tc>
              <w:tc>
                <w:tcPr>
                  <w:tcW w:w="1075" w:type="pct"/>
                  <w:tcBorders>
                    <w:bottom w:val="single" w:color="auto" w:sz="12" w:space="0"/>
                  </w:tcBorders>
                  <w:shd w:val="clear" w:color="auto" w:fill="auto"/>
                  <w:vAlign w:val="center"/>
                </w:tcPr>
                <w:p w14:paraId="45FA5ED2">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2"/>
                      <w:sz w:val="21"/>
                      <w:szCs w:val="24"/>
                      <w:highlight w:val="none"/>
                    </w:rPr>
                    <w:t>pH</w:t>
                  </w:r>
                </w:p>
              </w:tc>
              <w:tc>
                <w:tcPr>
                  <w:tcW w:w="580" w:type="pct"/>
                  <w:tcBorders>
                    <w:bottom w:val="single" w:color="auto" w:sz="12" w:space="0"/>
                  </w:tcBorders>
                  <w:shd w:val="clear" w:color="auto" w:fill="auto"/>
                  <w:vAlign w:val="center"/>
                </w:tcPr>
                <w:p w14:paraId="54B4EBE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2"/>
                      <w:sz w:val="21"/>
                      <w:szCs w:val="24"/>
                      <w:highlight w:val="none"/>
                    </w:rPr>
                    <w:t>COD</w:t>
                  </w:r>
                </w:p>
              </w:tc>
              <w:tc>
                <w:tcPr>
                  <w:tcW w:w="638" w:type="pct"/>
                  <w:tcBorders>
                    <w:bottom w:val="single" w:color="auto" w:sz="12" w:space="0"/>
                  </w:tcBorders>
                  <w:shd w:val="clear" w:color="auto" w:fill="auto"/>
                  <w:vAlign w:val="center"/>
                </w:tcPr>
                <w:p w14:paraId="7C86DC8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Calibri"/>
                      <w:color w:val="auto"/>
                      <w:kern w:val="2"/>
                      <w:sz w:val="21"/>
                      <w:szCs w:val="24"/>
                      <w:highlight w:val="none"/>
                      <w:lang w:val="zh-CN" w:eastAsia="zh-CN" w:bidi="ar-SA"/>
                    </w:rPr>
                  </w:pPr>
                  <w:r>
                    <w:rPr>
                      <w:rFonts w:ascii="Times New Roman" w:hAnsi="Times New Roman" w:eastAsia="宋体"/>
                      <w:color w:val="auto"/>
                      <w:spacing w:val="-1"/>
                      <w:sz w:val="21"/>
                      <w:szCs w:val="24"/>
                      <w:highlight w:val="none"/>
                    </w:rPr>
                    <w:t>BOD</w:t>
                  </w:r>
                  <w:r>
                    <w:rPr>
                      <w:rFonts w:ascii="Times New Roman" w:hAnsi="Times New Roman" w:eastAsia="宋体" w:cs="Calibri"/>
                      <w:color w:val="auto"/>
                      <w:spacing w:val="-1"/>
                      <w:sz w:val="21"/>
                      <w:szCs w:val="24"/>
                      <w:highlight w:val="none"/>
                    </w:rPr>
                    <w:t>₃</w:t>
                  </w:r>
                </w:p>
              </w:tc>
              <w:tc>
                <w:tcPr>
                  <w:tcW w:w="552" w:type="pct"/>
                  <w:tcBorders>
                    <w:bottom w:val="single" w:color="auto" w:sz="12" w:space="0"/>
                  </w:tcBorders>
                  <w:shd w:val="clear" w:color="auto" w:fill="auto"/>
                  <w:vAlign w:val="center"/>
                </w:tcPr>
                <w:p w14:paraId="204CCBF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3"/>
                      <w:sz w:val="21"/>
                      <w:szCs w:val="24"/>
                      <w:highlight w:val="none"/>
                    </w:rPr>
                    <w:t>SS</w:t>
                  </w:r>
                </w:p>
              </w:tc>
              <w:tc>
                <w:tcPr>
                  <w:tcW w:w="709" w:type="pct"/>
                  <w:tcBorders>
                    <w:bottom w:val="single" w:color="auto" w:sz="12" w:space="0"/>
                  </w:tcBorders>
                  <w:shd w:val="clear" w:color="auto" w:fill="auto"/>
                  <w:vAlign w:val="center"/>
                </w:tcPr>
                <w:p w14:paraId="0706378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1"/>
                      <w:sz w:val="21"/>
                      <w:szCs w:val="24"/>
                      <w:highlight w:val="none"/>
                    </w:rPr>
                    <w:t>NH</w:t>
                  </w:r>
                  <w:r>
                    <w:rPr>
                      <w:rFonts w:ascii="Times New Roman" w:hAnsi="Times New Roman" w:eastAsia="宋体" w:cs="Calibri"/>
                      <w:color w:val="auto"/>
                      <w:spacing w:val="-1"/>
                      <w:sz w:val="21"/>
                      <w:szCs w:val="24"/>
                      <w:highlight w:val="none"/>
                    </w:rPr>
                    <w:t>₃</w:t>
                  </w:r>
                  <w:r>
                    <w:rPr>
                      <w:rFonts w:ascii="Times New Roman" w:hAnsi="Times New Roman" w:eastAsia="宋体"/>
                      <w:color w:val="auto"/>
                      <w:spacing w:val="-1"/>
                      <w:sz w:val="21"/>
                      <w:szCs w:val="24"/>
                      <w:highlight w:val="none"/>
                    </w:rPr>
                    <w:t>-N</w:t>
                  </w:r>
                </w:p>
              </w:tc>
              <w:tc>
                <w:tcPr>
                  <w:tcW w:w="462" w:type="pct"/>
                  <w:tcBorders>
                    <w:bottom w:val="single" w:color="auto" w:sz="12" w:space="0"/>
                  </w:tcBorders>
                  <w:shd w:val="clear" w:color="auto" w:fill="auto"/>
                  <w:vAlign w:val="center"/>
                </w:tcPr>
                <w:p w14:paraId="7F50461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2"/>
                      <w:sz w:val="21"/>
                      <w:szCs w:val="24"/>
                      <w:highlight w:val="none"/>
                    </w:rPr>
                    <w:t>TN</w:t>
                  </w:r>
                </w:p>
              </w:tc>
            </w:tr>
            <w:tr w14:paraId="52A0FD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tcBorders>
                    <w:top w:val="single" w:color="auto" w:sz="12" w:space="0"/>
                    <w:tl2br w:val="nil"/>
                    <w:tr2bl w:val="nil"/>
                  </w:tcBorders>
                  <w:shd w:val="clear" w:color="auto" w:fill="auto"/>
                  <w:vAlign w:val="center"/>
                </w:tcPr>
                <w:p w14:paraId="3ECA6AB3">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6"/>
                      <w:sz w:val="21"/>
                      <w:szCs w:val="24"/>
                      <w:highlight w:val="none"/>
                    </w:rPr>
                    <w:t>进水水质</w:t>
                  </w:r>
                </w:p>
              </w:tc>
              <w:tc>
                <w:tcPr>
                  <w:tcW w:w="1075" w:type="pct"/>
                  <w:tcBorders>
                    <w:top w:val="single" w:color="auto" w:sz="12" w:space="0"/>
                    <w:tl2br w:val="nil"/>
                    <w:tr2bl w:val="nil"/>
                  </w:tcBorders>
                  <w:shd w:val="clear" w:color="auto" w:fill="auto"/>
                  <w:vAlign w:val="center"/>
                </w:tcPr>
                <w:p w14:paraId="19E7A8EE">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9"/>
                      <w:sz w:val="21"/>
                      <w:szCs w:val="24"/>
                      <w:highlight w:val="none"/>
                    </w:rPr>
                    <w:t>6~9(无量纲)</w:t>
                  </w:r>
                </w:p>
              </w:tc>
              <w:tc>
                <w:tcPr>
                  <w:tcW w:w="580" w:type="pct"/>
                  <w:tcBorders>
                    <w:top w:val="single" w:color="auto" w:sz="12" w:space="0"/>
                    <w:tl2br w:val="nil"/>
                    <w:tr2bl w:val="nil"/>
                  </w:tcBorders>
                  <w:shd w:val="clear" w:color="auto" w:fill="auto"/>
                  <w:vAlign w:val="center"/>
                </w:tcPr>
                <w:p w14:paraId="0B545F33">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6"/>
                      <w:sz w:val="21"/>
                      <w:szCs w:val="24"/>
                      <w:highlight w:val="none"/>
                    </w:rPr>
                    <w:t>≤400</w:t>
                  </w:r>
                </w:p>
              </w:tc>
              <w:tc>
                <w:tcPr>
                  <w:tcW w:w="638" w:type="pct"/>
                  <w:tcBorders>
                    <w:top w:val="single" w:color="auto" w:sz="12" w:space="0"/>
                    <w:tl2br w:val="nil"/>
                    <w:tr2bl w:val="nil"/>
                  </w:tcBorders>
                  <w:shd w:val="clear" w:color="auto" w:fill="auto"/>
                  <w:vAlign w:val="center"/>
                </w:tcPr>
                <w:p w14:paraId="2218643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7"/>
                      <w:sz w:val="21"/>
                      <w:szCs w:val="24"/>
                      <w:highlight w:val="none"/>
                    </w:rPr>
                    <w:t>≤</w:t>
                  </w:r>
                  <w:r>
                    <w:rPr>
                      <w:rFonts w:hint="eastAsia" w:ascii="Times New Roman" w:hAnsi="Times New Roman"/>
                      <w:color w:val="auto"/>
                      <w:spacing w:val="-7"/>
                      <w:sz w:val="21"/>
                      <w:szCs w:val="24"/>
                      <w:highlight w:val="none"/>
                      <w:lang w:val="en-US" w:eastAsia="zh-CN"/>
                    </w:rPr>
                    <w:t>2</w:t>
                  </w:r>
                  <w:r>
                    <w:rPr>
                      <w:rFonts w:ascii="Times New Roman" w:hAnsi="Times New Roman" w:eastAsia="宋体"/>
                      <w:color w:val="auto"/>
                      <w:spacing w:val="-7"/>
                      <w:sz w:val="21"/>
                      <w:szCs w:val="24"/>
                      <w:highlight w:val="none"/>
                    </w:rPr>
                    <w:t>20</w:t>
                  </w:r>
                </w:p>
              </w:tc>
              <w:tc>
                <w:tcPr>
                  <w:tcW w:w="552" w:type="pct"/>
                  <w:tcBorders>
                    <w:top w:val="single" w:color="auto" w:sz="12" w:space="0"/>
                    <w:tl2br w:val="nil"/>
                    <w:tr2bl w:val="nil"/>
                  </w:tcBorders>
                  <w:shd w:val="clear" w:color="auto" w:fill="auto"/>
                  <w:vAlign w:val="center"/>
                </w:tcPr>
                <w:p w14:paraId="3344C194">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6"/>
                      <w:sz w:val="21"/>
                      <w:szCs w:val="24"/>
                      <w:highlight w:val="none"/>
                    </w:rPr>
                    <w:t>≤280</w:t>
                  </w:r>
                </w:p>
              </w:tc>
              <w:tc>
                <w:tcPr>
                  <w:tcW w:w="709" w:type="pct"/>
                  <w:tcBorders>
                    <w:top w:val="single" w:color="auto" w:sz="12" w:space="0"/>
                    <w:tl2br w:val="nil"/>
                    <w:tr2bl w:val="nil"/>
                  </w:tcBorders>
                  <w:shd w:val="clear" w:color="auto" w:fill="auto"/>
                  <w:vAlign w:val="center"/>
                </w:tcPr>
                <w:p w14:paraId="5E125159">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9"/>
                      <w:sz w:val="21"/>
                      <w:szCs w:val="24"/>
                      <w:highlight w:val="none"/>
                    </w:rPr>
                    <w:t>≤</w:t>
                  </w:r>
                  <w:r>
                    <w:rPr>
                      <w:rFonts w:ascii="Times New Roman" w:hAnsi="Times New Roman" w:eastAsia="宋体"/>
                      <w:color w:val="auto"/>
                      <w:spacing w:val="-4"/>
                      <w:sz w:val="21"/>
                      <w:szCs w:val="24"/>
                      <w:highlight w:val="none"/>
                    </w:rPr>
                    <w:t>37</w:t>
                  </w:r>
                </w:p>
              </w:tc>
              <w:tc>
                <w:tcPr>
                  <w:tcW w:w="462" w:type="pct"/>
                  <w:tcBorders>
                    <w:top w:val="single" w:color="auto" w:sz="12" w:space="0"/>
                    <w:tl2br w:val="nil"/>
                    <w:tr2bl w:val="nil"/>
                  </w:tcBorders>
                  <w:shd w:val="clear" w:color="auto" w:fill="auto"/>
                  <w:vAlign w:val="center"/>
                </w:tcPr>
                <w:p w14:paraId="72C56E3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7"/>
                      <w:sz w:val="21"/>
                      <w:szCs w:val="24"/>
                      <w:highlight w:val="none"/>
                    </w:rPr>
                    <w:t>≤4</w:t>
                  </w:r>
                </w:p>
              </w:tc>
            </w:tr>
            <w:tr w14:paraId="674D7C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80" w:type="pct"/>
                  <w:tcBorders>
                    <w:tl2br w:val="nil"/>
                    <w:tr2bl w:val="nil"/>
                  </w:tcBorders>
                  <w:shd w:val="clear" w:color="auto" w:fill="auto"/>
                  <w:vAlign w:val="center"/>
                </w:tcPr>
                <w:p w14:paraId="61E3E58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2"/>
                      <w:sz w:val="21"/>
                      <w:szCs w:val="24"/>
                      <w:highlight w:val="none"/>
                    </w:rPr>
                    <w:t>出水标准</w:t>
                  </w:r>
                </w:p>
              </w:tc>
              <w:tc>
                <w:tcPr>
                  <w:tcW w:w="1075" w:type="pct"/>
                  <w:tcBorders>
                    <w:tl2br w:val="nil"/>
                    <w:tr2bl w:val="nil"/>
                  </w:tcBorders>
                  <w:shd w:val="clear" w:color="auto" w:fill="auto"/>
                  <w:vAlign w:val="center"/>
                </w:tcPr>
                <w:p w14:paraId="47D3415D">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9"/>
                      <w:sz w:val="21"/>
                      <w:szCs w:val="24"/>
                      <w:highlight w:val="none"/>
                    </w:rPr>
                    <w:t>6~9(无量纲)</w:t>
                  </w:r>
                </w:p>
              </w:tc>
              <w:tc>
                <w:tcPr>
                  <w:tcW w:w="580" w:type="pct"/>
                  <w:tcBorders>
                    <w:tl2br w:val="nil"/>
                    <w:tr2bl w:val="nil"/>
                  </w:tcBorders>
                  <w:shd w:val="clear" w:color="auto" w:fill="auto"/>
                  <w:vAlign w:val="center"/>
                </w:tcPr>
                <w:p w14:paraId="30700BF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7"/>
                      <w:sz w:val="21"/>
                      <w:szCs w:val="24"/>
                      <w:highlight w:val="none"/>
                    </w:rPr>
                    <w:t>≤50</w:t>
                  </w:r>
                </w:p>
              </w:tc>
              <w:tc>
                <w:tcPr>
                  <w:tcW w:w="638" w:type="pct"/>
                  <w:tcBorders>
                    <w:tl2br w:val="nil"/>
                    <w:tr2bl w:val="nil"/>
                  </w:tcBorders>
                  <w:shd w:val="clear" w:color="auto" w:fill="auto"/>
                  <w:vAlign w:val="center"/>
                </w:tcPr>
                <w:p w14:paraId="5144298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7"/>
                      <w:sz w:val="21"/>
                      <w:szCs w:val="24"/>
                      <w:highlight w:val="none"/>
                    </w:rPr>
                    <w:t>≤10</w:t>
                  </w:r>
                </w:p>
              </w:tc>
              <w:tc>
                <w:tcPr>
                  <w:tcW w:w="552" w:type="pct"/>
                  <w:tcBorders>
                    <w:tl2br w:val="nil"/>
                    <w:tr2bl w:val="nil"/>
                  </w:tcBorders>
                  <w:shd w:val="clear" w:color="auto" w:fill="auto"/>
                  <w:vAlign w:val="center"/>
                </w:tcPr>
                <w:p w14:paraId="194E321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7"/>
                      <w:sz w:val="21"/>
                      <w:szCs w:val="24"/>
                      <w:highlight w:val="none"/>
                    </w:rPr>
                    <w:t>≤10</w:t>
                  </w:r>
                </w:p>
              </w:tc>
              <w:tc>
                <w:tcPr>
                  <w:tcW w:w="709" w:type="pct"/>
                  <w:tcBorders>
                    <w:tl2br w:val="nil"/>
                    <w:tr2bl w:val="nil"/>
                  </w:tcBorders>
                  <w:shd w:val="clear" w:color="auto" w:fill="auto"/>
                  <w:vAlign w:val="center"/>
                </w:tcPr>
                <w:p w14:paraId="1FD1353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kern w:val="2"/>
                      <w:sz w:val="21"/>
                      <w:szCs w:val="24"/>
                      <w:highlight w:val="none"/>
                      <w:lang w:val="zh-CN" w:eastAsia="zh-CN" w:bidi="ar-SA"/>
                    </w:rPr>
                  </w:pPr>
                  <w:r>
                    <w:rPr>
                      <w:rFonts w:ascii="Times New Roman" w:hAnsi="Times New Roman" w:eastAsia="宋体"/>
                      <w:color w:val="auto"/>
                      <w:spacing w:val="-9"/>
                      <w:sz w:val="21"/>
                      <w:szCs w:val="24"/>
                      <w:highlight w:val="none"/>
                    </w:rPr>
                    <w:t>≤</w:t>
                  </w:r>
                  <w:r>
                    <w:rPr>
                      <w:rFonts w:hint="eastAsia" w:ascii="Times New Roman" w:hAnsi="Times New Roman"/>
                      <w:color w:val="auto"/>
                      <w:spacing w:val="-9"/>
                      <w:sz w:val="21"/>
                      <w:szCs w:val="24"/>
                      <w:highlight w:val="none"/>
                      <w:lang w:val="en-US" w:eastAsia="zh-CN"/>
                    </w:rPr>
                    <w:t>1</w:t>
                  </w:r>
                  <w:r>
                    <w:rPr>
                      <w:rFonts w:ascii="Times New Roman" w:hAnsi="Times New Roman" w:eastAsia="宋体"/>
                      <w:color w:val="auto"/>
                      <w:spacing w:val="-9"/>
                      <w:sz w:val="21"/>
                      <w:szCs w:val="24"/>
                      <w:highlight w:val="none"/>
                    </w:rPr>
                    <w:t>5</w:t>
                  </w:r>
                </w:p>
              </w:tc>
              <w:tc>
                <w:tcPr>
                  <w:tcW w:w="462" w:type="pct"/>
                  <w:tcBorders>
                    <w:tl2br w:val="nil"/>
                    <w:tr2bl w:val="nil"/>
                  </w:tcBorders>
                  <w:shd w:val="clear" w:color="auto" w:fill="auto"/>
                  <w:vAlign w:val="center"/>
                </w:tcPr>
                <w:p w14:paraId="2DE5BD9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kern w:val="2"/>
                      <w:sz w:val="21"/>
                      <w:szCs w:val="24"/>
                      <w:highlight w:val="none"/>
                      <w:lang w:val="en-US" w:eastAsia="zh-CN" w:bidi="ar-SA"/>
                    </w:rPr>
                  </w:pPr>
                  <w:r>
                    <w:rPr>
                      <w:rFonts w:ascii="Times New Roman" w:hAnsi="Times New Roman" w:eastAsia="宋体"/>
                      <w:color w:val="auto"/>
                      <w:spacing w:val="-7"/>
                      <w:sz w:val="21"/>
                      <w:szCs w:val="24"/>
                      <w:highlight w:val="none"/>
                    </w:rPr>
                    <w:t>≤</w:t>
                  </w:r>
                  <w:r>
                    <w:rPr>
                      <w:rFonts w:hint="eastAsia" w:ascii="Times New Roman" w:hAnsi="Times New Roman"/>
                      <w:color w:val="auto"/>
                      <w:spacing w:val="-7"/>
                      <w:sz w:val="21"/>
                      <w:szCs w:val="24"/>
                      <w:highlight w:val="none"/>
                      <w:lang w:val="en-US" w:eastAsia="zh-CN"/>
                    </w:rPr>
                    <w:t>0.5</w:t>
                  </w:r>
                </w:p>
              </w:tc>
            </w:tr>
          </w:tbl>
          <w:p w14:paraId="187DDC68">
            <w:pPr>
              <w:rPr>
                <w:rFonts w:hint="eastAsia"/>
                <w:color w:val="auto"/>
                <w:highlight w:val="none"/>
                <w:lang w:val="zh-CN" w:eastAsia="zh-CN"/>
              </w:rPr>
            </w:pPr>
          </w:p>
          <w:p w14:paraId="7B07CE24">
            <w:pPr>
              <w:pStyle w:val="44"/>
              <w:ind w:firstLine="480"/>
              <w:rPr>
                <w:rFonts w:hint="eastAsia"/>
                <w:color w:val="auto"/>
                <w:sz w:val="24"/>
                <w:szCs w:val="24"/>
                <w:highlight w:val="none"/>
              </w:rPr>
            </w:pPr>
            <w:r>
              <w:rPr>
                <w:rFonts w:hint="eastAsia"/>
                <w:color w:val="auto"/>
                <w:sz w:val="24"/>
                <w:szCs w:val="24"/>
                <w:highlight w:val="none"/>
              </w:rPr>
              <w:t>②处理工艺</w:t>
            </w:r>
          </w:p>
          <w:p w14:paraId="517D85CE">
            <w:pPr>
              <w:pStyle w:val="44"/>
              <w:ind w:firstLine="480"/>
              <w:rPr>
                <w:rFonts w:hint="eastAsia"/>
                <w:color w:val="auto"/>
                <w:sz w:val="24"/>
                <w:szCs w:val="24"/>
                <w:highlight w:val="none"/>
              </w:rPr>
            </w:pPr>
            <w:r>
              <w:rPr>
                <w:rFonts w:hint="eastAsia"/>
                <w:color w:val="auto"/>
                <w:sz w:val="24"/>
                <w:szCs w:val="24"/>
                <w:highlight w:val="none"/>
              </w:rPr>
              <w:t>污水处理工艺流程详见图4.</w:t>
            </w:r>
            <w:r>
              <w:rPr>
                <w:rFonts w:hint="eastAsia"/>
                <w:color w:val="auto"/>
                <w:sz w:val="24"/>
                <w:szCs w:val="24"/>
                <w:highlight w:val="none"/>
                <w:lang w:val="en-US" w:eastAsia="zh-CN"/>
              </w:rPr>
              <w:t>3</w:t>
            </w:r>
            <w:r>
              <w:rPr>
                <w:rFonts w:hint="eastAsia"/>
                <w:color w:val="auto"/>
                <w:sz w:val="24"/>
                <w:szCs w:val="24"/>
                <w:highlight w:val="none"/>
              </w:rPr>
              <w:t>-</w:t>
            </w:r>
            <w:r>
              <w:rPr>
                <w:rFonts w:hint="eastAsia"/>
                <w:color w:val="auto"/>
                <w:sz w:val="24"/>
                <w:szCs w:val="24"/>
                <w:highlight w:val="none"/>
                <w:lang w:val="en-US" w:eastAsia="zh-CN"/>
              </w:rPr>
              <w:t>2</w:t>
            </w:r>
            <w:r>
              <w:rPr>
                <w:rFonts w:hint="eastAsia"/>
                <w:color w:val="auto"/>
                <w:sz w:val="24"/>
                <w:szCs w:val="24"/>
                <w:highlight w:val="none"/>
              </w:rPr>
              <w:t>。</w:t>
            </w:r>
          </w:p>
          <w:p w14:paraId="60762757">
            <w:pPr>
              <w:pStyle w:val="44"/>
              <w:keepNext w:val="0"/>
              <w:keepLines w:val="0"/>
              <w:pageBreakBefore w:val="0"/>
              <w:widowControl w:val="0"/>
              <w:kinsoku/>
              <w:wordWrap/>
              <w:overflowPunct/>
              <w:topLinePunct w:val="0"/>
              <w:autoSpaceDE w:val="0"/>
              <w:autoSpaceDN w:val="0"/>
              <w:bidi w:val="0"/>
              <w:adjustRightInd/>
              <w:snapToGrid/>
              <w:ind w:firstLine="0" w:firstLineChars="0"/>
              <w:textAlignment w:val="auto"/>
              <w:rPr>
                <w:color w:val="auto"/>
                <w:highlight w:val="none"/>
              </w:rPr>
            </w:pPr>
            <w:r>
              <w:rPr>
                <w:color w:val="auto"/>
                <w:highlight w:val="none"/>
              </w:rPr>
              <w:drawing>
                <wp:inline distT="0" distB="0" distL="114300" distR="114300">
                  <wp:extent cx="5664200" cy="3925570"/>
                  <wp:effectExtent l="0" t="0" r="12700" b="1778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29"/>
                          <a:stretch>
                            <a:fillRect/>
                          </a:stretch>
                        </pic:blipFill>
                        <pic:spPr>
                          <a:xfrm>
                            <a:off x="0" y="0"/>
                            <a:ext cx="5664200" cy="3925570"/>
                          </a:xfrm>
                          <a:prstGeom prst="rect">
                            <a:avLst/>
                          </a:prstGeom>
                          <a:noFill/>
                          <a:ln>
                            <a:noFill/>
                          </a:ln>
                        </pic:spPr>
                      </pic:pic>
                    </a:graphicData>
                  </a:graphic>
                </wp:inline>
              </w:drawing>
            </w:r>
          </w:p>
          <w:p w14:paraId="7B352F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jc w:val="center"/>
              <w:textAlignment w:val="auto"/>
              <w:rPr>
                <w:rFonts w:hint="eastAsia" w:ascii="Times New Roman" w:hAnsi="Times New Roman" w:eastAsia="宋体" w:cs="Times New Roman"/>
                <w:b/>
                <w:bCs/>
                <w:color w:val="auto"/>
                <w:kern w:val="2"/>
                <w:sz w:val="24"/>
                <w:szCs w:val="20"/>
                <w:highlight w:val="none"/>
                <w:lang w:val="en-US" w:eastAsia="zh-CN" w:bidi="ar-SA"/>
              </w:rPr>
            </w:pPr>
            <w:r>
              <w:rPr>
                <w:rFonts w:hint="eastAsia" w:ascii="Times New Roman" w:hAnsi="Times New Roman" w:eastAsia="宋体" w:cs="Times New Roman"/>
                <w:b/>
                <w:bCs/>
                <w:color w:val="auto"/>
                <w:kern w:val="2"/>
                <w:sz w:val="24"/>
                <w:szCs w:val="20"/>
                <w:highlight w:val="none"/>
                <w:lang w:val="en-US" w:eastAsia="zh-CN" w:bidi="ar-SA"/>
              </w:rPr>
              <w:t>图4.3-2  福清市第二污水处理厂污水处理流程图</w:t>
            </w:r>
          </w:p>
          <w:p w14:paraId="1308322F">
            <w:pPr>
              <w:pStyle w:val="113"/>
              <w:keepNext w:val="0"/>
              <w:keepLines w:val="0"/>
              <w:pageBreakBefore w:val="0"/>
              <w:widowControl w:val="0"/>
              <w:kinsoku/>
              <w:wordWrap/>
              <w:overflowPunct/>
              <w:topLinePunct w:val="0"/>
              <w:bidi w:val="0"/>
              <w:adjustRightInd/>
              <w:snapToGrid/>
              <w:spacing w:line="360" w:lineRule="auto"/>
              <w:ind w:left="0" w:firstLine="500" w:firstLineChars="200"/>
              <w:textAlignment w:val="auto"/>
              <w:rPr>
                <w:color w:val="auto"/>
                <w:sz w:val="25"/>
                <w:szCs w:val="25"/>
                <w:highlight w:val="none"/>
              </w:rPr>
            </w:pPr>
            <w:r>
              <w:rPr>
                <w:color w:val="auto"/>
                <w:sz w:val="25"/>
                <w:szCs w:val="25"/>
                <w:highlight w:val="none"/>
              </w:rPr>
              <w:t>(2)依托可行性分析</w:t>
            </w:r>
          </w:p>
          <w:p w14:paraId="35992952">
            <w:pPr>
              <w:pStyle w:val="44"/>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rPr>
              <w:t>①接管可行性</w:t>
            </w:r>
          </w:p>
          <w:p w14:paraId="2E1EFDA1">
            <w:pPr>
              <w:pStyle w:val="44"/>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rPr>
              <w:t>福清市第二污水处理厂服务范围是融侨西片区、融侨南片区、东张镇和镜洋镇的生活污水和工业废水；本项目所在区域</w:t>
            </w:r>
            <w:r>
              <w:rPr>
                <w:rFonts w:hint="eastAsia" w:cs="宋体"/>
                <w:color w:val="auto"/>
                <w:highlight w:val="none"/>
                <w:lang w:eastAsia="zh-CN"/>
              </w:rPr>
              <w:t>位于</w:t>
            </w:r>
            <w:r>
              <w:rPr>
                <w:rFonts w:hint="eastAsia"/>
                <w:color w:val="auto"/>
                <w:spacing w:val="-2"/>
                <w:sz w:val="24"/>
                <w:lang w:val="en-US" w:eastAsia="zh-CN"/>
              </w:rPr>
              <w:t>福建省福州市福清市镜洋镇过洋39号（租赁福州清山压铸有限公司2#厂房、3#厂房）</w:t>
            </w:r>
            <w:r>
              <w:rPr>
                <w:rFonts w:hint="eastAsia" w:ascii="Times New Roman" w:hAnsi="Times New Roman" w:eastAsia="宋体" w:cs="宋体"/>
                <w:color w:val="auto"/>
                <w:highlight w:val="none"/>
              </w:rPr>
              <w:t>，属于福清市第二污水处理厂设计纳污范围内。</w:t>
            </w:r>
          </w:p>
          <w:p w14:paraId="6814D035">
            <w:pPr>
              <w:pStyle w:val="44"/>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rPr>
              <w:t>根据现场踏勘可知，本项目所在厂区已将厂区生活污水管网接入镜洋镇国道东侧市政排污总管，可引至福清市第二污水处理厂处理。</w:t>
            </w:r>
          </w:p>
          <w:p w14:paraId="3F1BAC6E">
            <w:pPr>
              <w:pStyle w:val="44"/>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rPr>
              <w:t>②水质负荷</w:t>
            </w:r>
          </w:p>
          <w:p w14:paraId="13FA50CE">
            <w:pPr>
              <w:pStyle w:val="44"/>
              <w:keepNext w:val="0"/>
              <w:keepLines w:val="0"/>
              <w:pageBreakBefore w:val="0"/>
              <w:widowControl w:val="0"/>
              <w:kinsoku/>
              <w:wordWrap/>
              <w:overflowPunct/>
              <w:topLinePunct w:val="0"/>
              <w:bidi w:val="0"/>
              <w:adjustRightInd/>
              <w:snapToGrid/>
              <w:spacing w:line="360" w:lineRule="auto"/>
              <w:ind w:left="0" w:firstLine="480" w:firstLineChars="200"/>
              <w:textAlignment w:val="auto"/>
              <w:rPr>
                <w:rFonts w:hint="eastAsia" w:ascii="Times New Roman" w:hAnsi="Times New Roman" w:eastAsia="宋体" w:cs="宋体"/>
                <w:color w:val="auto"/>
                <w:highlight w:val="none"/>
              </w:rPr>
            </w:pPr>
            <w:r>
              <w:rPr>
                <w:rFonts w:hint="eastAsia" w:ascii="Times New Roman" w:hAnsi="Times New Roman" w:eastAsia="宋体" w:cs="宋体"/>
                <w:color w:val="auto"/>
                <w:highlight w:val="none"/>
              </w:rPr>
              <w:t>项目生活污水经处理达标后通过厂区污水总排放口排入市政污水管网，送往福清市第二污水处理厂集中处理，根据工程分析预测可知，项目生活污水排入市政污水管网内污染物排放浓度情况</w:t>
            </w:r>
            <w:r>
              <w:rPr>
                <w:rFonts w:hint="eastAsia" w:cs="宋体"/>
                <w:color w:val="auto"/>
                <w:highlight w:val="none"/>
                <w:lang w:val="en-US" w:eastAsia="zh-CN"/>
              </w:rPr>
              <w:t>见</w:t>
            </w:r>
            <w:r>
              <w:rPr>
                <w:rFonts w:hint="eastAsia" w:ascii="Times New Roman" w:hAnsi="Times New Roman" w:eastAsia="宋体" w:cs="宋体"/>
                <w:color w:val="auto"/>
                <w:highlight w:val="none"/>
              </w:rPr>
              <w:t>表4.</w:t>
            </w:r>
            <w:r>
              <w:rPr>
                <w:rFonts w:hint="eastAsia" w:ascii="Times New Roman" w:hAnsi="Times New Roman" w:eastAsia="宋体" w:cs="宋体"/>
                <w:color w:val="auto"/>
                <w:highlight w:val="none"/>
                <w:lang w:val="en-US" w:eastAsia="zh-CN"/>
              </w:rPr>
              <w:t>3</w:t>
            </w:r>
            <w:r>
              <w:rPr>
                <w:rFonts w:hint="eastAsia" w:ascii="Times New Roman" w:hAnsi="Times New Roman" w:eastAsia="宋体" w:cs="宋体"/>
                <w:color w:val="auto"/>
                <w:highlight w:val="none"/>
              </w:rPr>
              <w:t>-</w:t>
            </w:r>
            <w:r>
              <w:rPr>
                <w:rFonts w:hint="eastAsia" w:cs="宋体"/>
                <w:color w:val="auto"/>
                <w:highlight w:val="none"/>
                <w:lang w:val="en-US" w:eastAsia="zh-CN"/>
              </w:rPr>
              <w:t>2</w:t>
            </w:r>
            <w:r>
              <w:rPr>
                <w:rFonts w:hint="eastAsia" w:ascii="Times New Roman" w:hAnsi="Times New Roman" w:eastAsia="宋体" w:cs="宋体"/>
                <w:color w:val="auto"/>
                <w:highlight w:val="none"/>
              </w:rPr>
              <w:t>。</w:t>
            </w:r>
          </w:p>
          <w:p w14:paraId="2F107C4F">
            <w:pPr>
              <w:pStyle w:val="44"/>
              <w:ind w:firstLine="480"/>
              <w:rPr>
                <w:rFonts w:hint="eastAsia" w:ascii="Times New Roman" w:hAnsi="Times New Roman" w:eastAsia="宋体" w:cs="宋体"/>
                <w:color w:val="auto"/>
                <w:szCs w:val="20"/>
                <w:highlight w:val="none"/>
                <w:lang w:bidi="ar"/>
              </w:rPr>
            </w:pPr>
            <w:r>
              <w:rPr>
                <w:rFonts w:hint="eastAsia" w:ascii="Times New Roman" w:hAnsi="Times New Roman" w:eastAsia="宋体" w:cs="宋体"/>
                <w:color w:val="auto"/>
                <w:szCs w:val="20"/>
                <w:highlight w:val="none"/>
                <w:lang w:bidi="ar"/>
              </w:rPr>
              <w:t>根据上表</w:t>
            </w:r>
            <w:r>
              <w:rPr>
                <w:rFonts w:hint="eastAsia" w:ascii="Times New Roman" w:hAnsi="Times New Roman" w:eastAsia="宋体" w:cs="宋体"/>
                <w:color w:val="auto"/>
                <w:highlight w:val="none"/>
              </w:rPr>
              <w:t>4.</w:t>
            </w:r>
            <w:r>
              <w:rPr>
                <w:rFonts w:hint="eastAsia" w:ascii="Times New Roman" w:hAnsi="Times New Roman" w:eastAsia="宋体" w:cs="宋体"/>
                <w:color w:val="auto"/>
                <w:highlight w:val="none"/>
                <w:lang w:val="en-US" w:eastAsia="zh-CN"/>
              </w:rPr>
              <w:t>3</w:t>
            </w:r>
            <w:r>
              <w:rPr>
                <w:rFonts w:hint="eastAsia" w:ascii="Times New Roman" w:hAnsi="Times New Roman" w:eastAsia="宋体" w:cs="宋体"/>
                <w:color w:val="auto"/>
                <w:highlight w:val="none"/>
              </w:rPr>
              <w:t>-</w:t>
            </w:r>
            <w:r>
              <w:rPr>
                <w:rFonts w:hint="eastAsia" w:cs="宋体"/>
                <w:color w:val="auto"/>
                <w:highlight w:val="none"/>
                <w:lang w:val="en-US" w:eastAsia="zh-CN"/>
              </w:rPr>
              <w:t>2</w:t>
            </w:r>
            <w:r>
              <w:rPr>
                <w:rFonts w:hint="eastAsia" w:ascii="Times New Roman" w:hAnsi="Times New Roman" w:eastAsia="宋体" w:cs="宋体"/>
                <w:color w:val="auto"/>
                <w:szCs w:val="20"/>
                <w:highlight w:val="none"/>
                <w:lang w:bidi="ar"/>
              </w:rPr>
              <w:t>所列数据，本项目生活污水主要污染物排放浓度均能满足《</w:t>
            </w:r>
            <w:r>
              <w:rPr>
                <w:rFonts w:hint="eastAsia" w:cs="宋体"/>
                <w:color w:val="auto"/>
                <w:szCs w:val="20"/>
                <w:highlight w:val="none"/>
                <w:lang w:eastAsia="zh-CN" w:bidi="ar"/>
              </w:rPr>
              <w:t>污水排入城镇下水道水质标准</w:t>
            </w:r>
            <w:r>
              <w:rPr>
                <w:rFonts w:hint="eastAsia" w:ascii="Times New Roman" w:hAnsi="Times New Roman" w:eastAsia="宋体" w:cs="宋体"/>
                <w:color w:val="auto"/>
                <w:szCs w:val="20"/>
                <w:highlight w:val="none"/>
                <w:lang w:bidi="ar"/>
              </w:rPr>
              <w:t>》(</w:t>
            </w:r>
            <w:r>
              <w:rPr>
                <w:rFonts w:hint="eastAsia" w:cs="宋体"/>
                <w:color w:val="auto"/>
                <w:szCs w:val="20"/>
                <w:highlight w:val="none"/>
                <w:lang w:eastAsia="zh-CN" w:bidi="ar"/>
              </w:rPr>
              <w:t>GB/T 31962-2015</w:t>
            </w:r>
            <w:r>
              <w:rPr>
                <w:rFonts w:hint="eastAsia" w:ascii="Times New Roman" w:hAnsi="Times New Roman" w:eastAsia="宋体" w:cs="宋体"/>
                <w:color w:val="auto"/>
                <w:szCs w:val="20"/>
                <w:highlight w:val="none"/>
                <w:lang w:bidi="ar"/>
              </w:rPr>
              <w:t>)表1中B级标准限值(即NH₃-N≤45mg/L),也可以符合</w:t>
            </w:r>
            <w:r>
              <w:rPr>
                <w:rFonts w:hint="eastAsia" w:cs="宋体"/>
                <w:color w:val="auto"/>
                <w:szCs w:val="20"/>
                <w:highlight w:val="none"/>
                <w:lang w:eastAsia="zh-CN" w:bidi="ar"/>
              </w:rPr>
              <w:t>污水处理厂</w:t>
            </w:r>
            <w:r>
              <w:rPr>
                <w:rFonts w:hint="eastAsia" w:ascii="Times New Roman" w:hAnsi="Times New Roman" w:eastAsia="宋体" w:cs="宋体"/>
                <w:color w:val="auto"/>
                <w:szCs w:val="20"/>
                <w:highlight w:val="none"/>
                <w:lang w:bidi="ar"/>
              </w:rPr>
              <w:t>进水水质要求。</w:t>
            </w:r>
          </w:p>
          <w:p w14:paraId="6F874622">
            <w:pPr>
              <w:pStyle w:val="44"/>
              <w:ind w:firstLine="480"/>
              <w:rPr>
                <w:rFonts w:hint="eastAsia" w:ascii="Times New Roman" w:hAnsi="Times New Roman" w:eastAsia="宋体" w:cs="宋体"/>
                <w:color w:val="auto"/>
                <w:szCs w:val="20"/>
                <w:highlight w:val="none"/>
                <w:lang w:bidi="ar"/>
              </w:rPr>
            </w:pPr>
            <w:r>
              <w:rPr>
                <w:rFonts w:hint="eastAsia" w:ascii="Times New Roman" w:hAnsi="Times New Roman" w:eastAsia="宋体" w:cs="宋体"/>
                <w:color w:val="auto"/>
                <w:szCs w:val="20"/>
                <w:highlight w:val="none"/>
                <w:lang w:bidi="ar"/>
              </w:rPr>
              <w:t>项目生活污水不涉及有毒有害污染物，不涉及持久性、重金属，也不含有腐蚀成分，因此，从水质方面分析，福清市第二污水处理厂可接纳项目生活污水，不会对</w:t>
            </w:r>
            <w:r>
              <w:rPr>
                <w:rFonts w:hint="eastAsia" w:cs="宋体"/>
                <w:color w:val="auto"/>
                <w:szCs w:val="20"/>
                <w:highlight w:val="none"/>
                <w:lang w:eastAsia="zh-CN" w:bidi="ar"/>
              </w:rPr>
              <w:t>污水处理厂</w:t>
            </w:r>
            <w:r>
              <w:rPr>
                <w:rFonts w:hint="eastAsia" w:ascii="Times New Roman" w:hAnsi="Times New Roman" w:eastAsia="宋体" w:cs="宋体"/>
                <w:color w:val="auto"/>
                <w:szCs w:val="20"/>
                <w:highlight w:val="none"/>
                <w:lang w:bidi="ar"/>
              </w:rPr>
              <w:t>水质负荷造成冲击。</w:t>
            </w:r>
          </w:p>
          <w:p w14:paraId="4F88796A">
            <w:pPr>
              <w:pStyle w:val="44"/>
              <w:ind w:firstLine="480"/>
              <w:rPr>
                <w:rFonts w:hint="eastAsia" w:ascii="Times New Roman" w:hAnsi="Times New Roman" w:eastAsia="宋体" w:cs="宋体"/>
                <w:color w:val="auto"/>
                <w:szCs w:val="20"/>
                <w:highlight w:val="none"/>
                <w:lang w:bidi="ar"/>
              </w:rPr>
            </w:pPr>
            <w:r>
              <w:rPr>
                <w:rFonts w:hint="eastAsia" w:ascii="Times New Roman" w:hAnsi="Times New Roman" w:eastAsia="宋体" w:cs="宋体"/>
                <w:color w:val="auto"/>
                <w:szCs w:val="20"/>
                <w:highlight w:val="none"/>
                <w:lang w:bidi="ar"/>
              </w:rPr>
              <w:t>③水量负荷</w:t>
            </w:r>
          </w:p>
          <w:p w14:paraId="6C4C510D">
            <w:pPr>
              <w:pStyle w:val="44"/>
              <w:ind w:firstLine="480"/>
              <w:rPr>
                <w:rFonts w:hint="eastAsia" w:ascii="Times New Roman" w:hAnsi="Times New Roman" w:eastAsia="宋体" w:cs="宋体"/>
                <w:color w:val="auto"/>
                <w:szCs w:val="20"/>
                <w:highlight w:val="none"/>
                <w:lang w:val="en-US" w:eastAsia="zh-CN" w:bidi="ar"/>
              </w:rPr>
            </w:pPr>
            <w:r>
              <w:rPr>
                <w:rFonts w:hint="eastAsia" w:ascii="Times New Roman" w:hAnsi="Times New Roman" w:eastAsia="宋体" w:cs="宋体"/>
                <w:color w:val="auto"/>
                <w:szCs w:val="20"/>
                <w:highlight w:val="none"/>
                <w:lang w:bidi="ar"/>
              </w:rPr>
              <w:t>福清市第二污水处理厂一期处理规模6万m</w:t>
            </w:r>
            <w:r>
              <w:rPr>
                <w:rFonts w:hint="eastAsia" w:ascii="Times New Roman" w:hAnsi="Times New Roman" w:eastAsia="宋体" w:cs="宋体"/>
                <w:color w:val="auto"/>
                <w:szCs w:val="20"/>
                <w:highlight w:val="none"/>
                <w:vertAlign w:val="superscript"/>
                <w:lang w:val="en-US" w:eastAsia="zh-CN" w:bidi="ar"/>
              </w:rPr>
              <w:t>3</w:t>
            </w:r>
            <w:r>
              <w:rPr>
                <w:rFonts w:hint="eastAsia" w:ascii="Times New Roman" w:hAnsi="Times New Roman" w:eastAsia="宋体" w:cs="宋体"/>
                <w:color w:val="auto"/>
                <w:szCs w:val="20"/>
                <w:highlight w:val="none"/>
                <w:lang w:bidi="ar"/>
              </w:rPr>
              <w:t>/d,依据福建省生态环境厅</w:t>
            </w:r>
            <w:r>
              <w:rPr>
                <w:rFonts w:hint="eastAsia" w:ascii="Times New Roman" w:hAnsi="Times New Roman" w:eastAsia="宋体" w:cs="宋体"/>
                <w:color w:val="auto"/>
                <w:szCs w:val="20"/>
                <w:highlight w:val="none"/>
                <w:lang w:val="en-US" w:eastAsia="zh-CN" w:bidi="ar"/>
              </w:rPr>
              <w:t>公布的福建省污染源监督性监测情况，福清市第二污水处理厂2023年全年污水处理量为17542058m</w:t>
            </w:r>
            <w:r>
              <w:rPr>
                <w:rFonts w:hint="eastAsia" w:ascii="Times New Roman" w:hAnsi="Times New Roman" w:eastAsia="宋体" w:cs="宋体"/>
                <w:color w:val="auto"/>
                <w:szCs w:val="20"/>
                <w:highlight w:val="none"/>
                <w:vertAlign w:val="superscript"/>
                <w:lang w:val="en-US" w:eastAsia="zh-CN" w:bidi="ar"/>
              </w:rPr>
              <w:t>3</w:t>
            </w:r>
            <w:r>
              <w:rPr>
                <w:rFonts w:hint="eastAsia" w:ascii="Times New Roman" w:hAnsi="Times New Roman" w:eastAsia="宋体" w:cs="宋体"/>
                <w:color w:val="auto"/>
                <w:szCs w:val="20"/>
                <w:highlight w:val="none"/>
                <w:lang w:val="en-US" w:eastAsia="zh-CN" w:bidi="ar"/>
              </w:rPr>
              <w:t>,日处理规模为48060.43m</w:t>
            </w:r>
            <w:r>
              <w:rPr>
                <w:rFonts w:hint="eastAsia" w:ascii="Times New Roman" w:hAnsi="Times New Roman" w:eastAsia="宋体" w:cs="宋体"/>
                <w:color w:val="auto"/>
                <w:szCs w:val="20"/>
                <w:highlight w:val="none"/>
                <w:vertAlign w:val="superscript"/>
                <w:lang w:val="en-US" w:eastAsia="zh-CN" w:bidi="ar"/>
              </w:rPr>
              <w:t>3</w:t>
            </w:r>
            <w:r>
              <w:rPr>
                <w:rFonts w:hint="eastAsia" w:ascii="Times New Roman" w:hAnsi="Times New Roman" w:eastAsia="宋体" w:cs="宋体"/>
                <w:color w:val="auto"/>
                <w:szCs w:val="20"/>
                <w:highlight w:val="none"/>
                <w:lang w:val="en-US" w:eastAsia="zh-CN" w:bidi="ar"/>
              </w:rPr>
              <w:t>/d,处理规模余量约1.2万m</w:t>
            </w:r>
            <w:r>
              <w:rPr>
                <w:rFonts w:hint="eastAsia" w:ascii="Times New Roman" w:hAnsi="Times New Roman" w:eastAsia="宋体" w:cs="宋体"/>
                <w:color w:val="auto"/>
                <w:szCs w:val="20"/>
                <w:highlight w:val="none"/>
                <w:vertAlign w:val="superscript"/>
                <w:lang w:val="en-US" w:eastAsia="zh-CN" w:bidi="ar"/>
              </w:rPr>
              <w:t>3</w:t>
            </w:r>
            <w:r>
              <w:rPr>
                <w:rFonts w:hint="eastAsia" w:ascii="Times New Roman" w:hAnsi="Times New Roman" w:eastAsia="宋体" w:cs="宋体"/>
                <w:color w:val="auto"/>
                <w:szCs w:val="20"/>
                <w:highlight w:val="none"/>
                <w:lang w:val="en-US" w:eastAsia="zh-CN" w:bidi="ar"/>
              </w:rPr>
              <w:t>/d,由此可见，福清市第二污水处理厂有足够余量接纳本项目新增废水排放量。本项目污水排放量</w:t>
            </w:r>
            <w:r>
              <w:rPr>
                <w:rFonts w:hint="eastAsia" w:cs="宋体"/>
                <w:color w:val="auto"/>
                <w:szCs w:val="20"/>
                <w:highlight w:val="none"/>
                <w:lang w:val="en-US" w:eastAsia="zh-CN" w:bidi="ar"/>
              </w:rPr>
              <w:t>2.9</w:t>
            </w:r>
            <w:r>
              <w:rPr>
                <w:rFonts w:hint="eastAsia" w:ascii="Times New Roman" w:hAnsi="Times New Roman" w:eastAsia="宋体" w:cs="宋体"/>
                <w:color w:val="auto"/>
                <w:szCs w:val="20"/>
                <w:highlight w:val="none"/>
                <w:lang w:val="en-US" w:eastAsia="zh-CN" w:bidi="ar"/>
              </w:rPr>
              <w:t>t/d,仅占福清市第二污水处理厂剩余处理规模的0.02417%,污水处理厂采用“曝气沉砂池+水解酸化AO+高效沉淀池+转盘滤池”工艺，属于城镇污水处理厂通用工艺，因此，从处理能力及处理工艺分析，福清市第二污水处理厂可接纳项目废水排放量，不会对</w:t>
            </w:r>
            <w:r>
              <w:rPr>
                <w:rFonts w:hint="eastAsia" w:cs="宋体"/>
                <w:color w:val="auto"/>
                <w:szCs w:val="20"/>
                <w:highlight w:val="none"/>
                <w:lang w:val="en-US" w:eastAsia="zh-CN" w:bidi="ar"/>
              </w:rPr>
              <w:t>污水处理厂</w:t>
            </w:r>
            <w:r>
              <w:rPr>
                <w:rFonts w:hint="eastAsia" w:ascii="Times New Roman" w:hAnsi="Times New Roman" w:eastAsia="宋体" w:cs="宋体"/>
                <w:color w:val="auto"/>
                <w:szCs w:val="20"/>
                <w:highlight w:val="none"/>
                <w:lang w:val="en-US" w:eastAsia="zh-CN" w:bidi="ar"/>
              </w:rPr>
              <w:t>水量负荷造成冲击。</w:t>
            </w:r>
          </w:p>
          <w:p w14:paraId="6EA8F554">
            <w:pPr>
              <w:pStyle w:val="44"/>
              <w:ind w:firstLine="480"/>
              <w:rPr>
                <w:rFonts w:hint="eastAsia" w:ascii="Times New Roman" w:hAnsi="Times New Roman" w:eastAsia="宋体" w:cs="宋体"/>
                <w:color w:val="auto"/>
                <w:szCs w:val="20"/>
                <w:highlight w:val="none"/>
                <w:lang w:val="en-US" w:eastAsia="zh-CN" w:bidi="ar"/>
              </w:rPr>
            </w:pPr>
            <w:r>
              <w:rPr>
                <w:rFonts w:hint="eastAsia" w:ascii="Times New Roman" w:hAnsi="Times New Roman" w:eastAsia="宋体" w:cs="宋体"/>
                <w:color w:val="auto"/>
                <w:szCs w:val="20"/>
                <w:highlight w:val="none"/>
                <w:lang w:val="en-US" w:eastAsia="zh-CN" w:bidi="ar"/>
              </w:rPr>
              <w:t>根据上述分析，</w:t>
            </w:r>
            <w:r>
              <w:rPr>
                <w:rFonts w:hint="eastAsia"/>
                <w:color w:val="auto"/>
                <w:lang w:val="en-US" w:eastAsia="zh-CN"/>
              </w:rPr>
              <w:t>项目生产废水通过新建</w:t>
            </w:r>
            <w:r>
              <w:rPr>
                <w:rFonts w:hint="eastAsia" w:ascii="Times New Roman" w:hAnsi="Times New Roman" w:eastAsia="宋体" w:cs="宋体"/>
                <w:color w:val="auto"/>
                <w:highlight w:val="none"/>
                <w:lang w:val="en-US" w:eastAsia="zh-CN"/>
              </w:rPr>
              <w:t>污水处理设施</w:t>
            </w:r>
            <w:r>
              <w:rPr>
                <w:rFonts w:hint="eastAsia" w:cs="宋体"/>
                <w:color w:val="auto"/>
                <w:highlight w:val="none"/>
                <w:lang w:val="en-US" w:eastAsia="zh-CN"/>
              </w:rPr>
              <w:t>（</w:t>
            </w:r>
            <w:r>
              <w:rPr>
                <w:rFonts w:hint="eastAsia" w:ascii="Times New Roman" w:hAnsi="Times New Roman" w:eastAsia="宋体" w:cs="宋体"/>
                <w:color w:val="auto"/>
                <w:highlight w:val="none"/>
                <w:lang w:val="en-US" w:eastAsia="zh-CN"/>
              </w:rPr>
              <w:t>处理工艺为“</w:t>
            </w:r>
            <w:r>
              <w:rPr>
                <w:rFonts w:hint="eastAsia" w:cs="宋体"/>
                <w:color w:val="auto"/>
                <w:highlight w:val="none"/>
                <w:lang w:val="en-US" w:eastAsia="zh-CN"/>
              </w:rPr>
              <w:t>气浮+A/O+沉淀</w:t>
            </w:r>
            <w:r>
              <w:rPr>
                <w:rFonts w:hint="eastAsia" w:ascii="Times New Roman" w:hAnsi="Times New Roman" w:eastAsia="宋体" w:cs="宋体"/>
                <w:color w:val="auto"/>
                <w:highlight w:val="none"/>
                <w:lang w:val="en-US" w:eastAsia="zh-CN"/>
              </w:rPr>
              <w:t>”</w:t>
            </w:r>
            <w:r>
              <w:rPr>
                <w:rFonts w:hint="eastAsia" w:cs="宋体"/>
                <w:color w:val="auto"/>
                <w:highlight w:val="none"/>
                <w:lang w:val="en-US" w:eastAsia="zh-CN"/>
              </w:rPr>
              <w:t>）处理；</w:t>
            </w:r>
            <w:r>
              <w:rPr>
                <w:rFonts w:hint="eastAsia" w:ascii="Times New Roman" w:hAnsi="Times New Roman" w:eastAsia="宋体" w:cs="宋体"/>
                <w:color w:val="auto"/>
                <w:szCs w:val="20"/>
                <w:highlight w:val="none"/>
                <w:lang w:val="en-US" w:eastAsia="zh-CN" w:bidi="ar"/>
              </w:rPr>
              <w:t>项目生活污水经化粪池预处理后</w:t>
            </w:r>
            <w:r>
              <w:rPr>
                <w:rFonts w:hint="eastAsia" w:cs="宋体"/>
                <w:color w:val="auto"/>
                <w:szCs w:val="20"/>
                <w:highlight w:val="none"/>
                <w:lang w:val="en-US" w:eastAsia="zh-CN" w:bidi="ar"/>
              </w:rPr>
              <w:t>；生活污水与生产废水处理后</w:t>
            </w:r>
            <w:r>
              <w:rPr>
                <w:rFonts w:hint="eastAsia" w:ascii="Times New Roman" w:hAnsi="Times New Roman" w:eastAsia="宋体" w:cs="宋体"/>
                <w:color w:val="auto"/>
                <w:szCs w:val="20"/>
                <w:highlight w:val="none"/>
                <w:lang w:val="en-US" w:eastAsia="zh-CN" w:bidi="ar"/>
              </w:rPr>
              <w:t>可以满足《污水综合排放标准》(GB8978-1996)表4三级标准(即COD≤500mg/L,BOD</w:t>
            </w:r>
            <w:r>
              <w:rPr>
                <w:rFonts w:hint="eastAsia" w:cs="宋体"/>
                <w:color w:val="auto"/>
                <w:szCs w:val="20"/>
                <w:highlight w:val="none"/>
                <w:vertAlign w:val="subscript"/>
                <w:lang w:val="en-US" w:eastAsia="zh-CN" w:bidi="ar"/>
              </w:rPr>
              <w:t>5</w:t>
            </w:r>
            <w:r>
              <w:rPr>
                <w:rFonts w:hint="eastAsia" w:ascii="Times New Roman" w:hAnsi="Times New Roman" w:eastAsia="宋体" w:cs="宋体"/>
                <w:color w:val="auto"/>
                <w:szCs w:val="20"/>
                <w:highlight w:val="none"/>
                <w:lang w:val="en-US" w:eastAsia="zh-CN" w:bidi="ar"/>
              </w:rPr>
              <w:t>≤300mg</w:t>
            </w:r>
            <w:r>
              <w:rPr>
                <w:rFonts w:hint="eastAsia" w:cs="宋体"/>
                <w:color w:val="auto"/>
                <w:szCs w:val="20"/>
                <w:highlight w:val="none"/>
                <w:lang w:val="en-US" w:eastAsia="zh-CN" w:bidi="ar"/>
              </w:rPr>
              <w:t>/</w:t>
            </w:r>
            <w:r>
              <w:rPr>
                <w:rFonts w:hint="eastAsia" w:ascii="Times New Roman" w:hAnsi="Times New Roman" w:eastAsia="宋体" w:cs="宋体"/>
                <w:color w:val="auto"/>
                <w:szCs w:val="20"/>
                <w:highlight w:val="none"/>
                <w:lang w:val="en-US" w:eastAsia="zh-CN" w:bidi="ar"/>
              </w:rPr>
              <w:t>L,SS≤400mg/L)及《污水排入城镇下水道水质标准》(</w:t>
            </w:r>
            <w:r>
              <w:rPr>
                <w:rFonts w:hint="eastAsia" w:cs="宋体"/>
                <w:color w:val="auto"/>
                <w:szCs w:val="20"/>
                <w:highlight w:val="none"/>
                <w:lang w:val="en-US" w:eastAsia="zh-CN" w:bidi="ar"/>
              </w:rPr>
              <w:t>GB/T 31962-2015</w:t>
            </w:r>
            <w:r>
              <w:rPr>
                <w:rFonts w:hint="eastAsia" w:ascii="Times New Roman" w:hAnsi="Times New Roman" w:eastAsia="宋体" w:cs="宋体"/>
                <w:color w:val="auto"/>
                <w:szCs w:val="20"/>
                <w:highlight w:val="none"/>
                <w:lang w:val="en-US" w:eastAsia="zh-CN" w:bidi="ar"/>
              </w:rPr>
              <w:t>)表1中B级标准限值(即NH</w:t>
            </w:r>
            <w:r>
              <w:rPr>
                <w:rFonts w:hint="eastAsia" w:cs="宋体"/>
                <w:color w:val="auto"/>
                <w:szCs w:val="20"/>
                <w:highlight w:val="none"/>
                <w:vertAlign w:val="subscript"/>
                <w:lang w:val="en-US" w:eastAsia="zh-CN" w:bidi="ar"/>
              </w:rPr>
              <w:t>3</w:t>
            </w:r>
            <w:r>
              <w:rPr>
                <w:rFonts w:hint="eastAsia" w:ascii="Times New Roman" w:hAnsi="Times New Roman" w:eastAsia="宋体" w:cs="宋体"/>
                <w:color w:val="auto"/>
                <w:szCs w:val="20"/>
                <w:highlight w:val="none"/>
                <w:lang w:val="en-US" w:eastAsia="zh-CN" w:bidi="ar"/>
              </w:rPr>
              <w:t>-N≤45mg/L),也可以符合</w:t>
            </w:r>
            <w:r>
              <w:rPr>
                <w:rFonts w:hint="eastAsia" w:cs="宋体"/>
                <w:color w:val="auto"/>
                <w:szCs w:val="20"/>
                <w:highlight w:val="none"/>
                <w:lang w:val="en-US" w:eastAsia="zh-CN" w:bidi="ar"/>
              </w:rPr>
              <w:t>污水处理厂</w:t>
            </w:r>
            <w:r>
              <w:rPr>
                <w:rFonts w:hint="eastAsia" w:ascii="Times New Roman" w:hAnsi="Times New Roman" w:eastAsia="宋体" w:cs="宋体"/>
                <w:color w:val="auto"/>
                <w:szCs w:val="20"/>
                <w:highlight w:val="none"/>
                <w:lang w:val="en-US" w:eastAsia="zh-CN" w:bidi="ar"/>
              </w:rPr>
              <w:t>进水水质要求，生活污水</w:t>
            </w:r>
            <w:r>
              <w:rPr>
                <w:rFonts w:hint="eastAsia" w:cs="宋体"/>
                <w:color w:val="auto"/>
                <w:szCs w:val="20"/>
                <w:highlight w:val="none"/>
                <w:lang w:val="en-US" w:eastAsia="zh-CN" w:bidi="ar"/>
              </w:rPr>
              <w:t>和生产废水</w:t>
            </w:r>
            <w:r>
              <w:rPr>
                <w:rFonts w:hint="eastAsia" w:ascii="Times New Roman" w:hAnsi="Times New Roman" w:eastAsia="宋体" w:cs="宋体"/>
                <w:color w:val="auto"/>
                <w:szCs w:val="20"/>
                <w:highlight w:val="none"/>
                <w:lang w:val="en-US" w:eastAsia="zh-CN" w:bidi="ar"/>
              </w:rPr>
              <w:t>通过厂区污水总排放口排入市政污水管网，最终送往福清市第二污水处理厂集中处理，项目废水水质、水量不会对污水处理厂造成负荷冲击，项目污水不直接排入地表水体，因此几乎不会对区域地表水环境产生直接不利影响。</w:t>
            </w:r>
          </w:p>
          <w:bookmarkEnd w:id="50"/>
          <w:p w14:paraId="1C208BE8">
            <w:pPr>
              <w:pStyle w:val="4"/>
              <w:numPr>
                <w:ilvl w:val="2"/>
                <w:numId w:val="1"/>
              </w:numPr>
              <w:bidi w:val="0"/>
              <w:ind w:left="720" w:leftChars="0" w:hanging="720" w:firstLineChars="0"/>
              <w:rPr>
                <w:rFonts w:hint="eastAsia" w:eastAsia="宋体"/>
                <w:color w:val="auto"/>
                <w:highlight w:val="none"/>
              </w:rPr>
            </w:pPr>
            <w:r>
              <w:rPr>
                <w:rFonts w:hint="eastAsia" w:eastAsia="宋体"/>
                <w:color w:val="auto"/>
                <w:highlight w:val="none"/>
              </w:rPr>
              <w:t>厂区</w:t>
            </w:r>
            <w:r>
              <w:rPr>
                <w:rFonts w:hint="eastAsia"/>
                <w:color w:val="auto"/>
                <w:highlight w:val="none"/>
                <w:lang w:val="en-US" w:eastAsia="zh-CN"/>
              </w:rPr>
              <w:t>污水</w:t>
            </w:r>
            <w:r>
              <w:rPr>
                <w:rFonts w:hint="eastAsia" w:eastAsia="宋体"/>
                <w:color w:val="auto"/>
                <w:highlight w:val="none"/>
              </w:rPr>
              <w:t>管网建设</w:t>
            </w:r>
          </w:p>
          <w:p w14:paraId="3BC9BFC4">
            <w:pPr>
              <w:pStyle w:val="44"/>
              <w:ind w:firstLine="480"/>
              <w:rPr>
                <w:rFonts w:hint="eastAsia" w:eastAsia="宋体" w:cs="宋体"/>
                <w:color w:val="auto"/>
                <w:sz w:val="24"/>
                <w:szCs w:val="20"/>
                <w:highlight w:val="none"/>
                <w:lang w:eastAsia="zh-CN" w:bidi="ar"/>
              </w:rPr>
            </w:pPr>
            <w:r>
              <w:rPr>
                <w:rFonts w:hint="eastAsia" w:cs="宋体"/>
                <w:color w:val="auto"/>
                <w:szCs w:val="20"/>
                <w:highlight w:val="none"/>
                <w:lang w:bidi="ar"/>
              </w:rPr>
              <w:t>本</w:t>
            </w:r>
            <w:r>
              <w:rPr>
                <w:rFonts w:hint="eastAsia" w:cs="宋体"/>
                <w:color w:val="auto"/>
                <w:sz w:val="24"/>
                <w:szCs w:val="20"/>
                <w:highlight w:val="none"/>
                <w:lang w:bidi="ar"/>
              </w:rPr>
              <w:t>项目污水分质分流由明管或通过管沟敷设方式接入相应设施；</w:t>
            </w:r>
            <w:r>
              <w:rPr>
                <w:rFonts w:hint="eastAsia"/>
                <w:color w:val="auto"/>
                <w:highlight w:val="none"/>
              </w:rPr>
              <w:t>管道采用防渗材料，</w:t>
            </w:r>
            <w:r>
              <w:rPr>
                <w:rFonts w:hint="eastAsia" w:cs="宋体"/>
                <w:color w:val="auto"/>
                <w:sz w:val="24"/>
                <w:szCs w:val="20"/>
                <w:highlight w:val="none"/>
                <w:lang w:bidi="ar"/>
              </w:rPr>
              <w:t>管沟进行防渗处理，避免发生泄漏时对地下水和土壤污染，同时建设单位定期组织巡查，排查泄漏隐患</w:t>
            </w:r>
            <w:r>
              <w:rPr>
                <w:rFonts w:hint="eastAsia" w:cs="宋体"/>
                <w:color w:val="auto"/>
                <w:sz w:val="24"/>
                <w:szCs w:val="20"/>
                <w:highlight w:val="none"/>
                <w:lang w:eastAsia="zh-CN" w:bidi="ar"/>
              </w:rPr>
              <w:t>。</w:t>
            </w:r>
          </w:p>
          <w:p w14:paraId="2C1C2C40">
            <w:pPr>
              <w:pStyle w:val="4"/>
              <w:numPr>
                <w:ilvl w:val="2"/>
                <w:numId w:val="1"/>
              </w:numPr>
              <w:bidi w:val="0"/>
              <w:ind w:left="720" w:leftChars="0" w:hanging="720" w:firstLineChars="0"/>
              <w:rPr>
                <w:rFonts w:hint="eastAsia" w:eastAsia="宋体"/>
                <w:color w:val="auto"/>
                <w:highlight w:val="none"/>
              </w:rPr>
            </w:pPr>
            <w:r>
              <w:rPr>
                <w:rFonts w:hint="eastAsia" w:eastAsia="宋体"/>
                <w:color w:val="auto"/>
                <w:highlight w:val="none"/>
                <w:lang w:val="en-US" w:eastAsia="zh-CN"/>
              </w:rPr>
              <w:t>自行监测计划</w:t>
            </w:r>
          </w:p>
          <w:p w14:paraId="4599B180">
            <w:pPr>
              <w:pStyle w:val="44"/>
              <w:ind w:firstLine="480"/>
              <w:rPr>
                <w:rFonts w:hint="eastAsia" w:cs="宋体"/>
                <w:color w:val="auto"/>
                <w:sz w:val="24"/>
                <w:szCs w:val="20"/>
                <w:highlight w:val="none"/>
                <w:lang w:bidi="ar"/>
              </w:rPr>
            </w:pPr>
            <w:r>
              <w:rPr>
                <w:rFonts w:hint="eastAsia" w:cs="宋体"/>
                <w:color w:val="auto"/>
                <w:sz w:val="24"/>
                <w:szCs w:val="20"/>
                <w:highlight w:val="none"/>
                <w:lang w:bidi="ar"/>
              </w:rPr>
              <w:t>本评价</w:t>
            </w:r>
            <w:r>
              <w:rPr>
                <w:rFonts w:hint="eastAsia" w:cs="宋体"/>
                <w:color w:val="auto"/>
                <w:sz w:val="24"/>
                <w:szCs w:val="20"/>
                <w:highlight w:val="none"/>
                <w:lang w:val="en-US" w:eastAsia="zh-CN" w:bidi="ar"/>
              </w:rPr>
              <w:t>根据</w:t>
            </w:r>
            <w:r>
              <w:rPr>
                <w:rFonts w:hint="eastAsia" w:cs="宋体"/>
                <w:color w:val="auto"/>
                <w:sz w:val="24"/>
                <w:szCs w:val="20"/>
                <w:highlight w:val="none"/>
                <w:lang w:bidi="ar"/>
              </w:rPr>
              <w:t>《排污单位自行监测技术指南总则》(HJ819-2017)、《排污单位自行监测技术指南</w:t>
            </w:r>
            <w:r>
              <w:rPr>
                <w:rFonts w:hint="eastAsia" w:cs="宋体"/>
                <w:color w:val="auto"/>
                <w:sz w:val="24"/>
                <w:szCs w:val="20"/>
                <w:highlight w:val="none"/>
                <w:lang w:val="en-US" w:eastAsia="zh-CN" w:bidi="ar"/>
              </w:rPr>
              <w:t xml:space="preserve"> </w:t>
            </w:r>
            <w:r>
              <w:rPr>
                <w:rFonts w:hint="eastAsia" w:cs="宋体"/>
                <w:color w:val="auto"/>
                <w:sz w:val="24"/>
                <w:szCs w:val="20"/>
                <w:highlight w:val="none"/>
                <w:lang w:bidi="ar"/>
              </w:rPr>
              <w:t>涂装》(HJ1086-2020)等要求，提出项目运营期废水自行监测计划，具体情况详见表4.3-</w:t>
            </w:r>
            <w:r>
              <w:rPr>
                <w:rFonts w:hint="eastAsia" w:cs="宋体"/>
                <w:color w:val="auto"/>
                <w:sz w:val="24"/>
                <w:szCs w:val="20"/>
                <w:highlight w:val="none"/>
                <w:lang w:val="en-US" w:eastAsia="zh-CN" w:bidi="ar"/>
              </w:rPr>
              <w:t>6</w:t>
            </w:r>
            <w:r>
              <w:rPr>
                <w:rFonts w:hint="eastAsia" w:cs="宋体"/>
                <w:color w:val="auto"/>
                <w:sz w:val="24"/>
                <w:szCs w:val="20"/>
                <w:highlight w:val="none"/>
                <w:lang w:bidi="ar"/>
              </w:rPr>
              <w:t>。</w:t>
            </w:r>
          </w:p>
          <w:p w14:paraId="1AE50875">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before="0" w:after="0"/>
              <w:ind w:left="630" w:leftChars="0" w:firstLine="0" w:firstLineChars="0"/>
              <w:jc w:val="center"/>
              <w:textAlignment w:val="auto"/>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项目废水自行监测计划</w:t>
            </w:r>
          </w:p>
          <w:tbl>
            <w:tblPr>
              <w:tblStyle w:val="34"/>
              <w:tblW w:w="872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30"/>
              <w:gridCol w:w="667"/>
              <w:gridCol w:w="661"/>
              <w:gridCol w:w="1731"/>
              <w:gridCol w:w="1634"/>
              <w:gridCol w:w="636"/>
              <w:gridCol w:w="1633"/>
              <w:gridCol w:w="834"/>
            </w:tblGrid>
            <w:tr w14:paraId="6D3C0E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6" w:hRule="atLeast"/>
                <w:jc w:val="center"/>
              </w:trPr>
              <w:tc>
                <w:tcPr>
                  <w:tcW w:w="930" w:type="dxa"/>
                  <w:vMerge w:val="restart"/>
                  <w:tcBorders>
                    <w:tl2br w:val="nil"/>
                    <w:tr2bl w:val="nil"/>
                  </w:tcBorders>
                  <w:vAlign w:val="center"/>
                </w:tcPr>
                <w:p w14:paraId="537FB656">
                  <w:pPr>
                    <w:jc w:val="center"/>
                    <w:rPr>
                      <w:color w:val="auto"/>
                      <w:szCs w:val="21"/>
                      <w:highlight w:val="none"/>
                    </w:rPr>
                  </w:pPr>
                  <w:r>
                    <w:rPr>
                      <w:color w:val="auto"/>
                      <w:szCs w:val="21"/>
                      <w:highlight w:val="none"/>
                    </w:rPr>
                    <w:t>编号</w:t>
                  </w:r>
                </w:p>
              </w:tc>
              <w:tc>
                <w:tcPr>
                  <w:tcW w:w="667" w:type="dxa"/>
                  <w:vMerge w:val="restart"/>
                  <w:tcBorders>
                    <w:tl2br w:val="nil"/>
                    <w:tr2bl w:val="nil"/>
                  </w:tcBorders>
                  <w:vAlign w:val="center"/>
                </w:tcPr>
                <w:p w14:paraId="0031E313">
                  <w:pPr>
                    <w:jc w:val="center"/>
                    <w:rPr>
                      <w:color w:val="auto"/>
                      <w:szCs w:val="21"/>
                      <w:highlight w:val="none"/>
                    </w:rPr>
                  </w:pPr>
                  <w:r>
                    <w:rPr>
                      <w:color w:val="auto"/>
                      <w:szCs w:val="21"/>
                      <w:highlight w:val="none"/>
                    </w:rPr>
                    <w:t>名称</w:t>
                  </w:r>
                </w:p>
              </w:tc>
              <w:tc>
                <w:tcPr>
                  <w:tcW w:w="661" w:type="dxa"/>
                  <w:vMerge w:val="restart"/>
                  <w:tcBorders>
                    <w:tl2br w:val="nil"/>
                    <w:tr2bl w:val="nil"/>
                  </w:tcBorders>
                  <w:vAlign w:val="center"/>
                </w:tcPr>
                <w:p w14:paraId="3C11CF95">
                  <w:pPr>
                    <w:jc w:val="center"/>
                    <w:rPr>
                      <w:color w:val="auto"/>
                      <w:szCs w:val="21"/>
                      <w:highlight w:val="none"/>
                    </w:rPr>
                  </w:pPr>
                  <w:r>
                    <w:rPr>
                      <w:color w:val="auto"/>
                      <w:szCs w:val="21"/>
                      <w:highlight w:val="none"/>
                    </w:rPr>
                    <w:t>类型</w:t>
                  </w:r>
                </w:p>
              </w:tc>
              <w:tc>
                <w:tcPr>
                  <w:tcW w:w="3365" w:type="dxa"/>
                  <w:gridSpan w:val="2"/>
                  <w:tcBorders>
                    <w:tl2br w:val="nil"/>
                    <w:tr2bl w:val="nil"/>
                  </w:tcBorders>
                  <w:vAlign w:val="center"/>
                </w:tcPr>
                <w:p w14:paraId="2496238F">
                  <w:pPr>
                    <w:jc w:val="center"/>
                    <w:rPr>
                      <w:color w:val="auto"/>
                      <w:szCs w:val="21"/>
                      <w:highlight w:val="none"/>
                    </w:rPr>
                  </w:pPr>
                  <w:r>
                    <w:rPr>
                      <w:color w:val="auto"/>
                      <w:szCs w:val="21"/>
                      <w:highlight w:val="none"/>
                    </w:rPr>
                    <w:t>地理坐标</w:t>
                  </w:r>
                </w:p>
              </w:tc>
              <w:tc>
                <w:tcPr>
                  <w:tcW w:w="636" w:type="dxa"/>
                  <w:vMerge w:val="restart"/>
                  <w:tcBorders>
                    <w:tl2br w:val="nil"/>
                    <w:tr2bl w:val="nil"/>
                  </w:tcBorders>
                  <w:vAlign w:val="center"/>
                </w:tcPr>
                <w:p w14:paraId="4F390A9D">
                  <w:pPr>
                    <w:jc w:val="center"/>
                    <w:rPr>
                      <w:color w:val="auto"/>
                      <w:szCs w:val="21"/>
                      <w:highlight w:val="none"/>
                    </w:rPr>
                  </w:pPr>
                  <w:r>
                    <w:rPr>
                      <w:color w:val="auto"/>
                      <w:szCs w:val="21"/>
                      <w:highlight w:val="none"/>
                    </w:rPr>
                    <w:t>排放规律</w:t>
                  </w:r>
                </w:p>
              </w:tc>
              <w:tc>
                <w:tcPr>
                  <w:tcW w:w="1633" w:type="dxa"/>
                  <w:vMerge w:val="restart"/>
                  <w:tcBorders>
                    <w:tl2br w:val="nil"/>
                    <w:tr2bl w:val="nil"/>
                  </w:tcBorders>
                  <w:vAlign w:val="center"/>
                </w:tcPr>
                <w:p w14:paraId="1930952F">
                  <w:pPr>
                    <w:jc w:val="center"/>
                    <w:rPr>
                      <w:color w:val="auto"/>
                      <w:szCs w:val="21"/>
                      <w:highlight w:val="none"/>
                    </w:rPr>
                  </w:pPr>
                  <w:r>
                    <w:rPr>
                      <w:color w:val="auto"/>
                      <w:szCs w:val="21"/>
                      <w:highlight w:val="none"/>
                    </w:rPr>
                    <w:t>监测因子</w:t>
                  </w:r>
                </w:p>
              </w:tc>
              <w:tc>
                <w:tcPr>
                  <w:tcW w:w="834" w:type="dxa"/>
                  <w:vMerge w:val="restart"/>
                  <w:tcBorders>
                    <w:tl2br w:val="nil"/>
                    <w:tr2bl w:val="nil"/>
                  </w:tcBorders>
                  <w:vAlign w:val="center"/>
                </w:tcPr>
                <w:p w14:paraId="2F7F1252">
                  <w:pPr>
                    <w:jc w:val="center"/>
                    <w:rPr>
                      <w:color w:val="auto"/>
                      <w:szCs w:val="21"/>
                      <w:highlight w:val="none"/>
                    </w:rPr>
                  </w:pPr>
                  <w:r>
                    <w:rPr>
                      <w:color w:val="auto"/>
                      <w:szCs w:val="21"/>
                      <w:highlight w:val="none"/>
                    </w:rPr>
                    <w:t>监测频次</w:t>
                  </w:r>
                </w:p>
              </w:tc>
            </w:tr>
            <w:tr w14:paraId="0C30A7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930" w:type="dxa"/>
                  <w:vMerge w:val="continue"/>
                  <w:tcBorders>
                    <w:tl2br w:val="nil"/>
                    <w:tr2bl w:val="nil"/>
                  </w:tcBorders>
                  <w:vAlign w:val="center"/>
                </w:tcPr>
                <w:p w14:paraId="41DA2FB4">
                  <w:pPr>
                    <w:jc w:val="center"/>
                    <w:rPr>
                      <w:color w:val="auto"/>
                      <w:szCs w:val="21"/>
                      <w:highlight w:val="none"/>
                    </w:rPr>
                  </w:pPr>
                </w:p>
              </w:tc>
              <w:tc>
                <w:tcPr>
                  <w:tcW w:w="667" w:type="dxa"/>
                  <w:vMerge w:val="continue"/>
                  <w:tcBorders>
                    <w:tl2br w:val="nil"/>
                    <w:tr2bl w:val="nil"/>
                  </w:tcBorders>
                  <w:vAlign w:val="center"/>
                </w:tcPr>
                <w:p w14:paraId="25FB37F9">
                  <w:pPr>
                    <w:jc w:val="center"/>
                    <w:rPr>
                      <w:color w:val="auto"/>
                      <w:szCs w:val="21"/>
                      <w:highlight w:val="none"/>
                    </w:rPr>
                  </w:pPr>
                </w:p>
              </w:tc>
              <w:tc>
                <w:tcPr>
                  <w:tcW w:w="661" w:type="dxa"/>
                  <w:vMerge w:val="continue"/>
                  <w:tcBorders>
                    <w:tl2br w:val="nil"/>
                    <w:tr2bl w:val="nil"/>
                  </w:tcBorders>
                  <w:vAlign w:val="center"/>
                </w:tcPr>
                <w:p w14:paraId="0150D8C2">
                  <w:pPr>
                    <w:jc w:val="center"/>
                    <w:rPr>
                      <w:color w:val="auto"/>
                      <w:szCs w:val="21"/>
                      <w:highlight w:val="none"/>
                    </w:rPr>
                  </w:pPr>
                </w:p>
              </w:tc>
              <w:tc>
                <w:tcPr>
                  <w:tcW w:w="1731" w:type="dxa"/>
                  <w:tcBorders>
                    <w:tl2br w:val="nil"/>
                    <w:tr2bl w:val="nil"/>
                  </w:tcBorders>
                  <w:vAlign w:val="center"/>
                </w:tcPr>
                <w:p w14:paraId="00875C75">
                  <w:pPr>
                    <w:jc w:val="center"/>
                    <w:rPr>
                      <w:color w:val="auto"/>
                      <w:szCs w:val="21"/>
                      <w:highlight w:val="none"/>
                    </w:rPr>
                  </w:pPr>
                  <w:r>
                    <w:rPr>
                      <w:color w:val="auto"/>
                      <w:szCs w:val="21"/>
                      <w:highlight w:val="none"/>
                    </w:rPr>
                    <w:t>E</w:t>
                  </w:r>
                </w:p>
              </w:tc>
              <w:tc>
                <w:tcPr>
                  <w:tcW w:w="1634" w:type="dxa"/>
                  <w:tcBorders>
                    <w:tl2br w:val="nil"/>
                    <w:tr2bl w:val="nil"/>
                  </w:tcBorders>
                  <w:vAlign w:val="center"/>
                </w:tcPr>
                <w:p w14:paraId="7F71DAA6">
                  <w:pPr>
                    <w:jc w:val="center"/>
                    <w:rPr>
                      <w:color w:val="auto"/>
                      <w:szCs w:val="21"/>
                      <w:highlight w:val="none"/>
                    </w:rPr>
                  </w:pPr>
                  <w:r>
                    <w:rPr>
                      <w:color w:val="auto"/>
                      <w:szCs w:val="21"/>
                      <w:highlight w:val="none"/>
                    </w:rPr>
                    <w:t>N</w:t>
                  </w:r>
                </w:p>
              </w:tc>
              <w:tc>
                <w:tcPr>
                  <w:tcW w:w="636" w:type="dxa"/>
                  <w:vMerge w:val="continue"/>
                  <w:tcBorders>
                    <w:tl2br w:val="nil"/>
                    <w:tr2bl w:val="nil"/>
                  </w:tcBorders>
                  <w:vAlign w:val="center"/>
                </w:tcPr>
                <w:p w14:paraId="5BE70B77">
                  <w:pPr>
                    <w:jc w:val="center"/>
                    <w:rPr>
                      <w:color w:val="auto"/>
                      <w:szCs w:val="21"/>
                      <w:highlight w:val="none"/>
                    </w:rPr>
                  </w:pPr>
                </w:p>
              </w:tc>
              <w:tc>
                <w:tcPr>
                  <w:tcW w:w="1633" w:type="dxa"/>
                  <w:vMerge w:val="continue"/>
                  <w:tcBorders>
                    <w:tl2br w:val="nil"/>
                    <w:tr2bl w:val="nil"/>
                  </w:tcBorders>
                  <w:vAlign w:val="center"/>
                </w:tcPr>
                <w:p w14:paraId="77630111">
                  <w:pPr>
                    <w:jc w:val="center"/>
                    <w:rPr>
                      <w:color w:val="auto"/>
                      <w:szCs w:val="21"/>
                      <w:highlight w:val="none"/>
                    </w:rPr>
                  </w:pPr>
                </w:p>
              </w:tc>
              <w:tc>
                <w:tcPr>
                  <w:tcW w:w="834" w:type="dxa"/>
                  <w:vMerge w:val="continue"/>
                  <w:tcBorders>
                    <w:tl2br w:val="nil"/>
                    <w:tr2bl w:val="nil"/>
                  </w:tcBorders>
                  <w:vAlign w:val="center"/>
                </w:tcPr>
                <w:p w14:paraId="4C47D1E0">
                  <w:pPr>
                    <w:jc w:val="center"/>
                    <w:rPr>
                      <w:color w:val="auto"/>
                      <w:szCs w:val="21"/>
                      <w:highlight w:val="none"/>
                    </w:rPr>
                  </w:pPr>
                </w:p>
              </w:tc>
            </w:tr>
            <w:tr w14:paraId="276C25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930" w:type="dxa"/>
                  <w:tcBorders>
                    <w:tl2br w:val="nil"/>
                    <w:tr2bl w:val="nil"/>
                  </w:tcBorders>
                  <w:vAlign w:val="center"/>
                </w:tcPr>
                <w:p w14:paraId="3F4F9D7D">
                  <w:pPr>
                    <w:pStyle w:val="17"/>
                    <w:adjustRightInd w:val="0"/>
                    <w:snapToGrid w:val="0"/>
                    <w:jc w:val="center"/>
                    <w:rPr>
                      <w:rFonts w:hint="eastAsia" w:ascii="Times New Roman" w:hAnsi="Times New Roman" w:eastAsia="宋体"/>
                      <w:color w:val="auto"/>
                      <w:szCs w:val="21"/>
                      <w:highlight w:val="none"/>
                      <w:lang w:eastAsia="zh-CN"/>
                    </w:rPr>
                  </w:pPr>
                  <w:r>
                    <w:rPr>
                      <w:rFonts w:ascii="Times New Roman" w:hAnsi="Times New Roman"/>
                      <w:color w:val="auto"/>
                      <w:szCs w:val="21"/>
                      <w:highlight w:val="none"/>
                    </w:rPr>
                    <w:t>DW00</w:t>
                  </w:r>
                  <w:r>
                    <w:rPr>
                      <w:rFonts w:hint="eastAsia" w:ascii="Times New Roman" w:hAnsi="Times New Roman"/>
                      <w:color w:val="auto"/>
                      <w:szCs w:val="21"/>
                      <w:highlight w:val="none"/>
                      <w:lang w:val="en-US" w:eastAsia="zh-CN"/>
                    </w:rPr>
                    <w:t>1</w:t>
                  </w:r>
                </w:p>
              </w:tc>
              <w:tc>
                <w:tcPr>
                  <w:tcW w:w="667" w:type="dxa"/>
                  <w:tcBorders>
                    <w:tl2br w:val="nil"/>
                    <w:tr2bl w:val="nil"/>
                  </w:tcBorders>
                  <w:vAlign w:val="center"/>
                </w:tcPr>
                <w:p w14:paraId="6D115332">
                  <w:pPr>
                    <w:pStyle w:val="96"/>
                    <w:spacing w:line="240" w:lineRule="auto"/>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cs="Times New Roman"/>
                      <w:color w:val="auto"/>
                      <w:sz w:val="21"/>
                      <w:szCs w:val="21"/>
                      <w:highlight w:val="none"/>
                      <w:lang w:val="en-US" w:eastAsia="zh-CN"/>
                    </w:rPr>
                    <w:t>生活污水排放</w:t>
                  </w:r>
                  <w:r>
                    <w:rPr>
                      <w:rFonts w:hint="eastAsia" w:ascii="Times New Roman" w:hAnsi="Times New Roman" w:cs="Times New Roman"/>
                      <w:color w:val="auto"/>
                      <w:sz w:val="21"/>
                      <w:highlight w:val="none"/>
                      <w:lang w:val="en-US" w:eastAsia="zh-CN"/>
                    </w:rPr>
                    <w:t>口</w:t>
                  </w:r>
                </w:p>
              </w:tc>
              <w:tc>
                <w:tcPr>
                  <w:tcW w:w="661" w:type="dxa"/>
                  <w:tcBorders>
                    <w:tl2br w:val="nil"/>
                    <w:tr2bl w:val="nil"/>
                  </w:tcBorders>
                  <w:vAlign w:val="center"/>
                </w:tcPr>
                <w:p w14:paraId="1106C021">
                  <w:pPr>
                    <w:pStyle w:val="17"/>
                    <w:adjustRightInd w:val="0"/>
                    <w:snapToGrid w:val="0"/>
                    <w:jc w:val="center"/>
                    <w:rPr>
                      <w:rFonts w:ascii="Times New Roman" w:hAnsi="Times New Roman"/>
                      <w:color w:val="auto"/>
                      <w:szCs w:val="21"/>
                      <w:highlight w:val="none"/>
                    </w:rPr>
                  </w:pPr>
                  <w:r>
                    <w:rPr>
                      <w:rFonts w:ascii="Times New Roman" w:hAnsi="Times New Roman"/>
                      <w:color w:val="auto"/>
                      <w:szCs w:val="21"/>
                      <w:highlight w:val="none"/>
                    </w:rPr>
                    <w:t>一般排放口</w:t>
                  </w:r>
                </w:p>
              </w:tc>
              <w:tc>
                <w:tcPr>
                  <w:tcW w:w="1731" w:type="dxa"/>
                  <w:tcBorders>
                    <w:tl2br w:val="nil"/>
                    <w:tr2bl w:val="nil"/>
                  </w:tcBorders>
                  <w:vAlign w:val="center"/>
                </w:tcPr>
                <w:p w14:paraId="69134772">
                  <w:pPr>
                    <w:pStyle w:val="17"/>
                    <w:adjustRightInd w:val="0"/>
                    <w:snapToGrid w:val="0"/>
                    <w:jc w:val="center"/>
                    <w:rPr>
                      <w:rFonts w:ascii="Times New Roman" w:hAnsi="Times New Roman"/>
                      <w:color w:val="auto"/>
                      <w:szCs w:val="21"/>
                      <w:highlight w:val="none"/>
                    </w:rPr>
                  </w:pPr>
                  <w:r>
                    <w:rPr>
                      <w:rFonts w:hint="eastAsia" w:ascii="Times New Roman" w:hAnsi="Times New Roman"/>
                      <w:color w:val="auto"/>
                      <w:szCs w:val="21"/>
                      <w:highlight w:val="none"/>
                    </w:rPr>
                    <w:t>119.292908°</w:t>
                  </w:r>
                </w:p>
              </w:tc>
              <w:tc>
                <w:tcPr>
                  <w:tcW w:w="1634" w:type="dxa"/>
                  <w:tcBorders>
                    <w:tl2br w:val="nil"/>
                    <w:tr2bl w:val="nil"/>
                  </w:tcBorders>
                  <w:vAlign w:val="center"/>
                </w:tcPr>
                <w:p w14:paraId="73330C68">
                  <w:pPr>
                    <w:pStyle w:val="17"/>
                    <w:adjustRightInd w:val="0"/>
                    <w:snapToGrid w:val="0"/>
                    <w:jc w:val="center"/>
                    <w:rPr>
                      <w:rFonts w:ascii="Times New Roman" w:hAnsi="Times New Roman"/>
                      <w:color w:val="auto"/>
                      <w:szCs w:val="21"/>
                      <w:highlight w:val="none"/>
                    </w:rPr>
                  </w:pPr>
                  <w:r>
                    <w:rPr>
                      <w:rFonts w:hint="eastAsia" w:ascii="Times New Roman" w:hAnsi="Times New Roman"/>
                      <w:color w:val="auto"/>
                      <w:szCs w:val="21"/>
                      <w:highlight w:val="none"/>
                    </w:rPr>
                    <w:t>25.806374°</w:t>
                  </w:r>
                </w:p>
              </w:tc>
              <w:tc>
                <w:tcPr>
                  <w:tcW w:w="636" w:type="dxa"/>
                  <w:tcBorders>
                    <w:tl2br w:val="nil"/>
                    <w:tr2bl w:val="nil"/>
                  </w:tcBorders>
                  <w:vAlign w:val="center"/>
                </w:tcPr>
                <w:p w14:paraId="71805B30">
                  <w:pPr>
                    <w:jc w:val="center"/>
                    <w:rPr>
                      <w:color w:val="auto"/>
                      <w:szCs w:val="21"/>
                      <w:highlight w:val="none"/>
                    </w:rPr>
                  </w:pPr>
                  <w:r>
                    <w:rPr>
                      <w:color w:val="auto"/>
                      <w:szCs w:val="21"/>
                      <w:highlight w:val="none"/>
                    </w:rPr>
                    <w:t>间歇排放</w:t>
                  </w:r>
                </w:p>
              </w:tc>
              <w:tc>
                <w:tcPr>
                  <w:tcW w:w="1633" w:type="dxa"/>
                  <w:tcBorders>
                    <w:tl2br w:val="nil"/>
                    <w:tr2bl w:val="nil"/>
                  </w:tcBorders>
                  <w:vAlign w:val="center"/>
                </w:tcPr>
                <w:p w14:paraId="0F3BAF33">
                  <w:pPr>
                    <w:pStyle w:val="99"/>
                    <w:adjustRightInd w:val="0"/>
                    <w:snapToGrid w:val="0"/>
                    <w:spacing w:line="240" w:lineRule="auto"/>
                    <w:rPr>
                      <w:rFonts w:ascii="Times New Roman" w:hAnsi="Times New Roman"/>
                      <w:color w:val="auto"/>
                      <w:sz w:val="21"/>
                      <w:szCs w:val="21"/>
                      <w:highlight w:val="none"/>
                    </w:rPr>
                  </w:pPr>
                  <w:r>
                    <w:rPr>
                      <w:rFonts w:ascii="Times New Roman" w:hAnsi="Times New Roman"/>
                      <w:color w:val="auto"/>
                      <w:sz w:val="21"/>
                      <w:szCs w:val="21"/>
                      <w:highlight w:val="none"/>
                    </w:rPr>
                    <w:t>pH、COD、BOD</w:t>
                  </w:r>
                  <w:r>
                    <w:rPr>
                      <w:rFonts w:ascii="Times New Roman" w:hAnsi="Times New Roman"/>
                      <w:color w:val="auto"/>
                      <w:sz w:val="21"/>
                      <w:szCs w:val="21"/>
                      <w:highlight w:val="none"/>
                      <w:vertAlign w:val="subscript"/>
                    </w:rPr>
                    <w:t>5</w:t>
                  </w:r>
                  <w:r>
                    <w:rPr>
                      <w:rFonts w:ascii="Times New Roman" w:hAnsi="Times New Roman"/>
                      <w:color w:val="auto"/>
                      <w:sz w:val="21"/>
                      <w:szCs w:val="21"/>
                      <w:highlight w:val="none"/>
                    </w:rPr>
                    <w:t>、NH</w:t>
                  </w:r>
                  <w:r>
                    <w:rPr>
                      <w:rFonts w:ascii="Times New Roman" w:hAnsi="Times New Roman"/>
                      <w:color w:val="auto"/>
                      <w:sz w:val="21"/>
                      <w:szCs w:val="21"/>
                      <w:highlight w:val="none"/>
                      <w:vertAlign w:val="subscript"/>
                    </w:rPr>
                    <w:t>3</w:t>
                  </w:r>
                  <w:r>
                    <w:rPr>
                      <w:rFonts w:ascii="Times New Roman" w:hAnsi="Times New Roman"/>
                      <w:color w:val="auto"/>
                      <w:sz w:val="21"/>
                      <w:szCs w:val="21"/>
                      <w:highlight w:val="none"/>
                    </w:rPr>
                    <w:t>-N、SS</w:t>
                  </w:r>
                </w:p>
              </w:tc>
              <w:tc>
                <w:tcPr>
                  <w:tcW w:w="834" w:type="dxa"/>
                  <w:tcBorders>
                    <w:tl2br w:val="nil"/>
                    <w:tr2bl w:val="nil"/>
                  </w:tcBorders>
                  <w:vAlign w:val="center"/>
                </w:tcPr>
                <w:p w14:paraId="00080A27">
                  <w:pPr>
                    <w:pStyle w:val="99"/>
                    <w:adjustRightInd w:val="0"/>
                    <w:snapToGrid w:val="0"/>
                    <w:spacing w:line="240" w:lineRule="auto"/>
                    <w:rPr>
                      <w:rFonts w:ascii="Times New Roman" w:hAnsi="Times New Roman"/>
                      <w:color w:val="auto"/>
                      <w:sz w:val="21"/>
                      <w:szCs w:val="21"/>
                      <w:highlight w:val="none"/>
                    </w:rPr>
                  </w:pPr>
                  <w:r>
                    <w:rPr>
                      <w:rFonts w:ascii="Times New Roman" w:hAnsi="Times New Roman"/>
                      <w:color w:val="auto"/>
                      <w:sz w:val="21"/>
                      <w:szCs w:val="21"/>
                      <w:highlight w:val="none"/>
                    </w:rPr>
                    <w:t>1次/</w:t>
                  </w:r>
                  <w:r>
                    <w:rPr>
                      <w:rFonts w:hint="eastAsia" w:ascii="Times New Roman" w:hAnsi="Times New Roman"/>
                      <w:color w:val="auto"/>
                      <w:sz w:val="21"/>
                      <w:szCs w:val="21"/>
                      <w:highlight w:val="none"/>
                      <w:lang w:val="en-US" w:eastAsia="zh-CN"/>
                    </w:rPr>
                    <w:t>半</w:t>
                  </w:r>
                  <w:r>
                    <w:rPr>
                      <w:rFonts w:ascii="Times New Roman" w:hAnsi="Times New Roman"/>
                      <w:color w:val="auto"/>
                      <w:sz w:val="21"/>
                      <w:szCs w:val="21"/>
                      <w:highlight w:val="none"/>
                    </w:rPr>
                    <w:t>年</w:t>
                  </w:r>
                </w:p>
              </w:tc>
            </w:tr>
            <w:tr w14:paraId="1E4603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2" w:hRule="atLeast"/>
                <w:jc w:val="center"/>
              </w:trPr>
              <w:tc>
                <w:tcPr>
                  <w:tcW w:w="930" w:type="dxa"/>
                  <w:tcBorders>
                    <w:tl2br w:val="nil"/>
                    <w:tr2bl w:val="nil"/>
                  </w:tcBorders>
                  <w:vAlign w:val="center"/>
                </w:tcPr>
                <w:p w14:paraId="2AF6F5A4">
                  <w:pPr>
                    <w:pStyle w:val="17"/>
                    <w:adjustRightInd w:val="0"/>
                    <w:snapToGrid w:val="0"/>
                    <w:jc w:val="center"/>
                    <w:rPr>
                      <w:rFonts w:hint="default" w:ascii="Times New Roman" w:hAnsi="Times New Roman" w:eastAsia="宋体"/>
                      <w:color w:val="auto"/>
                      <w:szCs w:val="21"/>
                      <w:highlight w:val="none"/>
                      <w:lang w:val="en-US" w:eastAsia="zh-CN"/>
                    </w:rPr>
                  </w:pPr>
                  <w:r>
                    <w:rPr>
                      <w:rFonts w:hint="eastAsia" w:ascii="Times New Roman" w:hAnsi="Times New Roman"/>
                      <w:color w:val="auto"/>
                      <w:szCs w:val="21"/>
                      <w:highlight w:val="none"/>
                      <w:lang w:val="en-US" w:eastAsia="zh-CN"/>
                    </w:rPr>
                    <w:t>DW002</w:t>
                  </w:r>
                </w:p>
              </w:tc>
              <w:tc>
                <w:tcPr>
                  <w:tcW w:w="667" w:type="dxa"/>
                  <w:tcBorders>
                    <w:tl2br w:val="nil"/>
                    <w:tr2bl w:val="nil"/>
                  </w:tcBorders>
                  <w:vAlign w:val="center"/>
                </w:tcPr>
                <w:p w14:paraId="46BA5954">
                  <w:pPr>
                    <w:pStyle w:val="96"/>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生产废水设施排放口</w:t>
                  </w:r>
                </w:p>
              </w:tc>
              <w:tc>
                <w:tcPr>
                  <w:tcW w:w="661" w:type="dxa"/>
                  <w:tcBorders>
                    <w:tl2br w:val="nil"/>
                    <w:tr2bl w:val="nil"/>
                  </w:tcBorders>
                  <w:vAlign w:val="center"/>
                </w:tcPr>
                <w:p w14:paraId="763468DF">
                  <w:pPr>
                    <w:pStyle w:val="17"/>
                    <w:adjustRightInd w:val="0"/>
                    <w:snapToGrid w:val="0"/>
                    <w:jc w:val="center"/>
                    <w:rPr>
                      <w:rFonts w:hint="default" w:ascii="Times New Roman" w:hAnsi="Times New Roman" w:eastAsia="宋体"/>
                      <w:color w:val="auto"/>
                      <w:szCs w:val="21"/>
                      <w:highlight w:val="none"/>
                      <w:lang w:val="en-US" w:eastAsia="zh-CN"/>
                    </w:rPr>
                  </w:pPr>
                  <w:r>
                    <w:rPr>
                      <w:rFonts w:ascii="Times New Roman" w:hAnsi="Times New Roman"/>
                      <w:color w:val="auto"/>
                      <w:szCs w:val="21"/>
                      <w:highlight w:val="none"/>
                    </w:rPr>
                    <w:t>一般排放口</w:t>
                  </w:r>
                </w:p>
              </w:tc>
              <w:tc>
                <w:tcPr>
                  <w:tcW w:w="1731" w:type="dxa"/>
                  <w:tcBorders>
                    <w:tl2br w:val="nil"/>
                    <w:tr2bl w:val="nil"/>
                  </w:tcBorders>
                  <w:vAlign w:val="center"/>
                </w:tcPr>
                <w:p w14:paraId="2519829A">
                  <w:pPr>
                    <w:pStyle w:val="17"/>
                    <w:adjustRightInd w:val="0"/>
                    <w:snapToGrid w:val="0"/>
                    <w:jc w:val="center"/>
                    <w:rPr>
                      <w:rFonts w:hint="eastAsia" w:ascii="Times New Roman" w:hAnsi="Times New Roman"/>
                      <w:color w:val="auto"/>
                      <w:szCs w:val="21"/>
                      <w:highlight w:val="none"/>
                    </w:rPr>
                  </w:pPr>
                  <w:r>
                    <w:rPr>
                      <w:rFonts w:hint="eastAsia" w:ascii="Times New Roman" w:hAnsi="Times New Roman"/>
                      <w:color w:val="auto"/>
                      <w:szCs w:val="21"/>
                      <w:highlight w:val="none"/>
                    </w:rPr>
                    <w:t>119.292969°</w:t>
                  </w:r>
                </w:p>
              </w:tc>
              <w:tc>
                <w:tcPr>
                  <w:tcW w:w="1634" w:type="dxa"/>
                  <w:tcBorders>
                    <w:tl2br w:val="nil"/>
                    <w:tr2bl w:val="nil"/>
                  </w:tcBorders>
                  <w:vAlign w:val="center"/>
                </w:tcPr>
                <w:p w14:paraId="59344E45">
                  <w:pPr>
                    <w:pStyle w:val="17"/>
                    <w:adjustRightInd w:val="0"/>
                    <w:snapToGrid w:val="0"/>
                    <w:jc w:val="center"/>
                    <w:rPr>
                      <w:rFonts w:hint="eastAsia" w:ascii="Times New Roman" w:hAnsi="Times New Roman"/>
                      <w:color w:val="auto"/>
                      <w:szCs w:val="21"/>
                      <w:highlight w:val="none"/>
                    </w:rPr>
                  </w:pPr>
                  <w:r>
                    <w:rPr>
                      <w:rFonts w:hint="eastAsia" w:ascii="Times New Roman" w:hAnsi="Times New Roman"/>
                      <w:color w:val="auto"/>
                      <w:szCs w:val="21"/>
                      <w:highlight w:val="none"/>
                    </w:rPr>
                    <w:t>25.807012°</w:t>
                  </w:r>
                </w:p>
              </w:tc>
              <w:tc>
                <w:tcPr>
                  <w:tcW w:w="636" w:type="dxa"/>
                  <w:tcBorders>
                    <w:tl2br w:val="nil"/>
                    <w:tr2bl w:val="nil"/>
                  </w:tcBorders>
                  <w:vAlign w:val="center"/>
                </w:tcPr>
                <w:p w14:paraId="3AC13E92">
                  <w:pPr>
                    <w:jc w:val="center"/>
                    <w:rPr>
                      <w:color w:val="auto"/>
                      <w:szCs w:val="21"/>
                      <w:highlight w:val="none"/>
                    </w:rPr>
                  </w:pPr>
                  <w:r>
                    <w:rPr>
                      <w:color w:val="auto"/>
                      <w:szCs w:val="21"/>
                      <w:highlight w:val="none"/>
                    </w:rPr>
                    <w:t>间歇排放</w:t>
                  </w:r>
                </w:p>
              </w:tc>
              <w:tc>
                <w:tcPr>
                  <w:tcW w:w="1633" w:type="dxa"/>
                  <w:tcBorders>
                    <w:tl2br w:val="nil"/>
                    <w:tr2bl w:val="nil"/>
                  </w:tcBorders>
                  <w:vAlign w:val="center"/>
                </w:tcPr>
                <w:p w14:paraId="5E660673">
                  <w:pPr>
                    <w:pStyle w:val="99"/>
                    <w:adjustRightInd w:val="0"/>
                    <w:snapToGrid w:val="0"/>
                    <w:spacing w:line="240" w:lineRule="auto"/>
                    <w:rPr>
                      <w:rFonts w:hint="eastAsia" w:ascii="Times New Roman" w:hAnsi="Times New Roman" w:eastAsia="宋体"/>
                      <w:color w:val="auto"/>
                      <w:sz w:val="21"/>
                      <w:szCs w:val="21"/>
                      <w:highlight w:val="none"/>
                      <w:lang w:eastAsia="zh-CN"/>
                    </w:rPr>
                  </w:pPr>
                  <w:r>
                    <w:rPr>
                      <w:rFonts w:ascii="Times New Roman" w:hAnsi="Times New Roman"/>
                      <w:color w:val="auto"/>
                      <w:sz w:val="21"/>
                      <w:szCs w:val="21"/>
                      <w:highlight w:val="none"/>
                    </w:rPr>
                    <w:t>pH、COD、BOD</w:t>
                  </w:r>
                  <w:r>
                    <w:rPr>
                      <w:rFonts w:ascii="Times New Roman" w:hAnsi="Times New Roman"/>
                      <w:color w:val="auto"/>
                      <w:sz w:val="21"/>
                      <w:szCs w:val="21"/>
                      <w:highlight w:val="none"/>
                      <w:vertAlign w:val="subscript"/>
                    </w:rPr>
                    <w:t>5</w:t>
                  </w:r>
                  <w:r>
                    <w:rPr>
                      <w:rFonts w:ascii="Times New Roman" w:hAnsi="Times New Roman"/>
                      <w:color w:val="auto"/>
                      <w:sz w:val="21"/>
                      <w:szCs w:val="21"/>
                      <w:highlight w:val="none"/>
                    </w:rPr>
                    <w:t>、NH</w:t>
                  </w:r>
                  <w:r>
                    <w:rPr>
                      <w:rFonts w:ascii="Times New Roman" w:hAnsi="Times New Roman"/>
                      <w:color w:val="auto"/>
                      <w:sz w:val="21"/>
                      <w:szCs w:val="21"/>
                      <w:highlight w:val="none"/>
                      <w:vertAlign w:val="subscript"/>
                    </w:rPr>
                    <w:t>3</w:t>
                  </w:r>
                  <w:r>
                    <w:rPr>
                      <w:rFonts w:ascii="Times New Roman" w:hAnsi="Times New Roman"/>
                      <w:color w:val="auto"/>
                      <w:sz w:val="21"/>
                      <w:szCs w:val="21"/>
                      <w:highlight w:val="none"/>
                    </w:rPr>
                    <w:t>-N、SS</w:t>
                  </w:r>
                  <w:r>
                    <w:rPr>
                      <w:rFonts w:hint="eastAsia" w:ascii="Times New Roman" w:hAnsi="Times New Roman"/>
                      <w:color w:val="auto"/>
                      <w:sz w:val="21"/>
                      <w:szCs w:val="21"/>
                      <w:highlight w:val="none"/>
                      <w:lang w:eastAsia="zh-CN"/>
                    </w:rPr>
                    <w:t>、</w:t>
                  </w:r>
                  <w:r>
                    <w:rPr>
                      <w:rFonts w:hint="eastAsia" w:ascii="Times New Roman" w:hAnsi="Times New Roman"/>
                      <w:color w:val="auto"/>
                      <w:sz w:val="21"/>
                      <w:szCs w:val="21"/>
                      <w:highlight w:val="none"/>
                    </w:rPr>
                    <w:t>石油类</w:t>
                  </w:r>
                  <w:r>
                    <w:rPr>
                      <w:rFonts w:hint="eastAsia" w:ascii="Times New Roman" w:hAnsi="Times New Roman"/>
                      <w:color w:val="auto"/>
                      <w:sz w:val="21"/>
                      <w:szCs w:val="21"/>
                      <w:highlight w:val="none"/>
                      <w:lang w:eastAsia="zh-CN"/>
                    </w:rPr>
                    <w:t>、</w:t>
                  </w:r>
                </w:p>
                <w:p w14:paraId="1797221C">
                  <w:pPr>
                    <w:pStyle w:val="99"/>
                    <w:adjustRightInd w:val="0"/>
                    <w:snapToGrid w:val="0"/>
                    <w:spacing w:line="240" w:lineRule="auto"/>
                    <w:rPr>
                      <w:rFonts w:ascii="Times New Roman" w:hAnsi="Times New Roman"/>
                      <w:color w:val="auto"/>
                      <w:sz w:val="21"/>
                      <w:szCs w:val="21"/>
                      <w:highlight w:val="none"/>
                    </w:rPr>
                  </w:pPr>
                  <w:r>
                    <w:rPr>
                      <w:rFonts w:hint="eastAsia" w:ascii="Times New Roman" w:hAnsi="Times New Roman"/>
                      <w:color w:val="auto"/>
                      <w:sz w:val="21"/>
                      <w:szCs w:val="21"/>
                      <w:highlight w:val="none"/>
                    </w:rPr>
                    <w:t>LAS</w:t>
                  </w:r>
                  <w:r>
                    <w:rPr>
                      <w:rFonts w:hint="eastAsia" w:ascii="Times New Roman" w:hAnsi="Times New Roman"/>
                      <w:color w:val="auto"/>
                      <w:sz w:val="21"/>
                      <w:szCs w:val="21"/>
                      <w:highlight w:val="none"/>
                      <w:lang w:eastAsia="zh-CN"/>
                    </w:rPr>
                    <w:t>、</w:t>
                  </w:r>
                  <w:r>
                    <w:rPr>
                      <w:rFonts w:hint="eastAsia" w:ascii="Times New Roman" w:hAnsi="Times New Roman"/>
                      <w:color w:val="auto"/>
                      <w:sz w:val="21"/>
                      <w:szCs w:val="21"/>
                      <w:highlight w:val="none"/>
                    </w:rPr>
                    <w:t>TN</w:t>
                  </w:r>
                </w:p>
              </w:tc>
              <w:tc>
                <w:tcPr>
                  <w:tcW w:w="834" w:type="dxa"/>
                  <w:tcBorders>
                    <w:tl2br w:val="nil"/>
                    <w:tr2bl w:val="nil"/>
                  </w:tcBorders>
                  <w:vAlign w:val="center"/>
                </w:tcPr>
                <w:p w14:paraId="1B5824D0">
                  <w:pPr>
                    <w:pStyle w:val="99"/>
                    <w:adjustRightInd w:val="0"/>
                    <w:snapToGrid w:val="0"/>
                    <w:spacing w:line="240" w:lineRule="auto"/>
                    <w:rPr>
                      <w:rFonts w:ascii="Times New Roman" w:hAnsi="Times New Roman"/>
                      <w:color w:val="auto"/>
                      <w:sz w:val="21"/>
                      <w:szCs w:val="21"/>
                      <w:highlight w:val="yellow"/>
                    </w:rPr>
                  </w:pPr>
                  <w:r>
                    <w:rPr>
                      <w:rFonts w:ascii="Times New Roman" w:hAnsi="Times New Roman"/>
                      <w:color w:val="auto"/>
                      <w:sz w:val="21"/>
                      <w:szCs w:val="21"/>
                      <w:highlight w:val="none"/>
                    </w:rPr>
                    <w:t>1次/</w:t>
                  </w:r>
                  <w:r>
                    <w:rPr>
                      <w:rFonts w:hint="eastAsia" w:ascii="Times New Roman" w:hAnsi="Times New Roman"/>
                      <w:color w:val="auto"/>
                      <w:sz w:val="21"/>
                      <w:szCs w:val="21"/>
                      <w:highlight w:val="none"/>
                      <w:lang w:val="en-US" w:eastAsia="zh-CN"/>
                    </w:rPr>
                    <w:t>半</w:t>
                  </w:r>
                  <w:r>
                    <w:rPr>
                      <w:rFonts w:ascii="Times New Roman" w:hAnsi="Times New Roman"/>
                      <w:color w:val="auto"/>
                      <w:sz w:val="21"/>
                      <w:szCs w:val="21"/>
                      <w:highlight w:val="none"/>
                    </w:rPr>
                    <w:t>年</w:t>
                  </w:r>
                </w:p>
              </w:tc>
            </w:tr>
          </w:tbl>
          <w:p w14:paraId="6BC90B60">
            <w:pPr>
              <w:rPr>
                <w:rFonts w:hint="eastAsia"/>
                <w:color w:val="auto"/>
                <w:lang w:val="en-US" w:eastAsia="zh-CN"/>
              </w:rPr>
            </w:pPr>
          </w:p>
          <w:p w14:paraId="25B66AB4">
            <w:pPr>
              <w:pStyle w:val="3"/>
              <w:numPr>
                <w:ilvl w:val="1"/>
                <w:numId w:val="1"/>
              </w:numPr>
              <w:bidi w:val="0"/>
              <w:ind w:left="0" w:leftChars="0" w:firstLine="0" w:firstLineChars="0"/>
              <w:rPr>
                <w:rFonts w:hint="eastAsia" w:eastAsia="宋体"/>
                <w:color w:val="auto"/>
                <w:highlight w:val="none"/>
                <w:lang w:val="en-US" w:eastAsia="zh-CN"/>
              </w:rPr>
            </w:pPr>
            <w:r>
              <w:rPr>
                <w:rFonts w:hint="eastAsia" w:eastAsia="宋体"/>
                <w:color w:val="auto"/>
                <w:highlight w:val="none"/>
                <w:lang w:val="en-US" w:eastAsia="zh-CN"/>
              </w:rPr>
              <w:t>运营期声环境影响分析</w:t>
            </w:r>
          </w:p>
          <w:p w14:paraId="2D75A2B4">
            <w:pPr>
              <w:pStyle w:val="4"/>
              <w:numPr>
                <w:ilvl w:val="2"/>
                <w:numId w:val="1"/>
              </w:numPr>
              <w:bidi w:val="0"/>
              <w:ind w:left="720" w:leftChars="0" w:hanging="720" w:firstLineChars="0"/>
              <w:rPr>
                <w:rFonts w:hint="eastAsia" w:eastAsia="宋体"/>
                <w:color w:val="auto"/>
                <w:highlight w:val="none"/>
              </w:rPr>
            </w:pPr>
            <w:r>
              <w:rPr>
                <w:rFonts w:hint="eastAsia" w:eastAsia="宋体"/>
                <w:color w:val="auto"/>
                <w:highlight w:val="none"/>
              </w:rPr>
              <w:t>噪声污染源分析</w:t>
            </w:r>
          </w:p>
          <w:p w14:paraId="2EFB9536">
            <w:pPr>
              <w:keepNext w:val="0"/>
              <w:keepLines w:val="0"/>
              <w:pageBreakBefore w:val="0"/>
              <w:widowControl w:val="0"/>
              <w:kinsoku/>
              <w:wordWrap/>
              <w:overflowPunct/>
              <w:topLinePunct w:val="0"/>
              <w:bidi w:val="0"/>
              <w:adjustRightInd/>
              <w:snapToGrid/>
              <w:spacing w:line="360" w:lineRule="auto"/>
              <w:ind w:firstLine="480" w:firstLineChars="200"/>
              <w:textAlignment w:val="auto"/>
              <w:rPr>
                <w:rFonts w:hint="eastAsia" w:ascii="Times New Roman" w:hAnsi="Times New Roman" w:eastAsia="宋体" w:cs="宋体"/>
                <w:color w:val="auto"/>
                <w:kern w:val="0"/>
                <w:sz w:val="24"/>
                <w:szCs w:val="20"/>
                <w:highlight w:val="none"/>
                <w:lang w:val="zh-CN" w:eastAsia="zh-CN" w:bidi="ar"/>
              </w:rPr>
            </w:pPr>
            <w:r>
              <w:rPr>
                <w:rFonts w:hint="eastAsia" w:ascii="Times New Roman" w:hAnsi="Times New Roman" w:eastAsia="宋体" w:cs="宋体"/>
                <w:color w:val="auto"/>
                <w:kern w:val="0"/>
                <w:sz w:val="24"/>
                <w:szCs w:val="20"/>
                <w:highlight w:val="none"/>
                <w:lang w:val="zh-CN" w:eastAsia="zh-CN" w:bidi="ar"/>
              </w:rPr>
              <w:t>本项目噪声源主要为焊接设备、废气处理风机、水泵等设备运行产生的噪声，其噪声值在65～80dB(A)之间。</w:t>
            </w:r>
          </w:p>
          <w:p w14:paraId="54F0A39D">
            <w:pPr>
              <w:pStyle w:val="44"/>
              <w:keepNext w:val="0"/>
              <w:keepLines w:val="0"/>
              <w:pageBreakBefore w:val="0"/>
              <w:widowControl w:val="0"/>
              <w:kinsoku/>
              <w:wordWrap/>
              <w:overflowPunct/>
              <w:topLinePunct w:val="0"/>
              <w:bidi w:val="0"/>
              <w:adjustRightInd/>
              <w:snapToGrid/>
              <w:spacing w:line="360" w:lineRule="auto"/>
              <w:ind w:firstLine="480"/>
              <w:textAlignment w:val="auto"/>
              <w:rPr>
                <w:rFonts w:hint="default" w:ascii="Times New Roman" w:hAnsi="Times New Roman" w:eastAsia="宋体" w:cs="宋体"/>
                <w:color w:val="auto"/>
                <w:kern w:val="0"/>
                <w:sz w:val="24"/>
                <w:szCs w:val="20"/>
                <w:highlight w:val="none"/>
                <w:lang w:val="zh-CN" w:eastAsia="zh-CN" w:bidi="ar"/>
              </w:rPr>
            </w:pPr>
            <w:r>
              <w:rPr>
                <w:rFonts w:hint="default" w:ascii="Times New Roman" w:hAnsi="Times New Roman" w:eastAsia="宋体" w:cs="宋体"/>
                <w:color w:val="auto"/>
                <w:kern w:val="0"/>
                <w:sz w:val="24"/>
                <w:szCs w:val="20"/>
                <w:highlight w:val="none"/>
                <w:lang w:val="zh-CN" w:eastAsia="zh-CN" w:bidi="ar"/>
              </w:rPr>
              <w:t>本项目主要设备噪声源见</w:t>
            </w:r>
            <w:r>
              <w:rPr>
                <w:rFonts w:hint="default" w:ascii="Times New Roman" w:hAnsi="Times New Roman" w:eastAsia="宋体" w:cs="宋体"/>
                <w:color w:val="auto"/>
                <w:kern w:val="0"/>
                <w:sz w:val="24"/>
                <w:szCs w:val="20"/>
                <w:highlight w:val="none"/>
                <w:lang w:val="zh-CN" w:eastAsia="zh-CN" w:bidi="ar"/>
              </w:rPr>
              <w:fldChar w:fldCharType="begin"/>
            </w:r>
            <w:r>
              <w:rPr>
                <w:rFonts w:hint="default" w:ascii="Times New Roman" w:hAnsi="Times New Roman" w:eastAsia="宋体" w:cs="宋体"/>
                <w:color w:val="auto"/>
                <w:kern w:val="0"/>
                <w:sz w:val="24"/>
                <w:szCs w:val="20"/>
                <w:highlight w:val="none"/>
                <w:lang w:val="zh-CN" w:eastAsia="zh-CN" w:bidi="ar"/>
              </w:rPr>
              <w:instrText xml:space="preserve"> REF _Ref9211 \n \h </w:instrText>
            </w:r>
            <w:r>
              <w:rPr>
                <w:rFonts w:hint="default" w:ascii="Times New Roman" w:hAnsi="Times New Roman" w:eastAsia="宋体" w:cs="宋体"/>
                <w:color w:val="auto"/>
                <w:kern w:val="0"/>
                <w:sz w:val="24"/>
                <w:szCs w:val="20"/>
                <w:highlight w:val="none"/>
                <w:lang w:val="zh-CN" w:eastAsia="zh-CN" w:bidi="ar"/>
              </w:rPr>
              <w:fldChar w:fldCharType="separate"/>
            </w:r>
            <w:r>
              <w:rPr>
                <w:rFonts w:hint="default" w:ascii="Times New Roman" w:hAnsi="Times New Roman" w:eastAsia="宋体" w:cs="宋体"/>
                <w:color w:val="auto"/>
                <w:kern w:val="0"/>
                <w:sz w:val="24"/>
                <w:szCs w:val="20"/>
                <w:highlight w:val="none"/>
                <w:lang w:val="zh-CN" w:eastAsia="zh-CN" w:bidi="ar"/>
              </w:rPr>
              <w:t>表4.4-1</w:t>
            </w:r>
            <w:r>
              <w:rPr>
                <w:rFonts w:hint="default" w:ascii="Times New Roman" w:hAnsi="Times New Roman" w:eastAsia="宋体" w:cs="宋体"/>
                <w:color w:val="auto"/>
                <w:kern w:val="0"/>
                <w:sz w:val="24"/>
                <w:szCs w:val="20"/>
                <w:highlight w:val="none"/>
                <w:lang w:val="zh-CN" w:eastAsia="zh-CN" w:bidi="ar"/>
              </w:rPr>
              <w:fldChar w:fldCharType="end"/>
            </w:r>
            <w:r>
              <w:rPr>
                <w:rFonts w:hint="default" w:ascii="Times New Roman" w:hAnsi="Times New Roman" w:eastAsia="宋体" w:cs="宋体"/>
                <w:color w:val="auto"/>
                <w:kern w:val="0"/>
                <w:sz w:val="24"/>
                <w:szCs w:val="20"/>
                <w:highlight w:val="none"/>
                <w:lang w:val="zh-CN" w:eastAsia="zh-CN" w:bidi="ar"/>
              </w:rPr>
              <w:t>。</w:t>
            </w:r>
          </w:p>
          <w:p w14:paraId="66A4FEA9">
            <w:pPr>
              <w:pStyle w:val="42"/>
              <w:keepNext w:val="0"/>
              <w:keepLines w:val="0"/>
              <w:pageBreakBefore w:val="0"/>
              <w:widowControl w:val="0"/>
              <w:tabs>
                <w:tab w:val="left" w:pos="0"/>
                <w:tab w:val="clear" w:pos="420"/>
              </w:tabs>
              <w:kinsoku/>
              <w:wordWrap/>
              <w:overflowPunct/>
              <w:topLinePunct w:val="0"/>
              <w:autoSpaceDE w:val="0"/>
              <w:autoSpaceDN w:val="0"/>
              <w:bidi w:val="0"/>
              <w:adjustRightInd/>
              <w:snapToGrid/>
              <w:spacing w:before="157" w:beforeLines="50"/>
              <w:ind w:left="210" w:leftChars="0" w:firstLineChars="0"/>
              <w:textAlignment w:val="auto"/>
              <w:rPr>
                <w:rFonts w:hint="eastAsia" w:eastAsia="宋体"/>
                <w:color w:val="auto"/>
                <w:highlight w:val="none"/>
              </w:rPr>
            </w:pPr>
            <w:bookmarkStart w:id="51" w:name="_Toc2598"/>
            <w:bookmarkStart w:id="52" w:name="_Toc21104"/>
            <w:bookmarkStart w:id="53" w:name="_Toc15502"/>
            <w:r>
              <w:rPr>
                <w:rFonts w:ascii="宋体" w:hAnsi="宋体" w:eastAsia="宋体" w:cs="宋体"/>
                <w:color w:val="auto"/>
                <w:sz w:val="24"/>
                <w:szCs w:val="24"/>
                <w:highlight w:val="none"/>
              </w:rPr>
              <w:t>项目主要设备噪声一览表</w:t>
            </w:r>
          </w:p>
          <w:tbl>
            <w:tblPr>
              <w:tblStyle w:val="34"/>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232"/>
              <w:gridCol w:w="450"/>
              <w:gridCol w:w="1077"/>
              <w:gridCol w:w="675"/>
              <w:gridCol w:w="654"/>
              <w:gridCol w:w="674"/>
              <w:gridCol w:w="1261"/>
              <w:gridCol w:w="960"/>
              <w:gridCol w:w="1337"/>
            </w:tblGrid>
            <w:tr w14:paraId="405EEA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vMerge w:val="restart"/>
                  <w:tcBorders>
                    <w:tl2br w:val="nil"/>
                    <w:tr2bl w:val="nil"/>
                  </w:tcBorders>
                  <w:vAlign w:val="center"/>
                </w:tcPr>
                <w:p w14:paraId="5CB14A5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宋体"/>
                      <w:color w:val="auto"/>
                      <w:sz w:val="21"/>
                      <w:szCs w:val="21"/>
                      <w:highlight w:val="none"/>
                      <w:lang w:val="en-US" w:eastAsia="zh-CN"/>
                    </w:rPr>
                    <w:t>序</w:t>
                  </w:r>
                  <w:r>
                    <w:rPr>
                      <w:rFonts w:ascii="Times New Roman" w:hAnsi="Times New Roman" w:eastAsia="宋体" w:cs="宋体"/>
                      <w:color w:val="auto"/>
                      <w:sz w:val="21"/>
                      <w:szCs w:val="21"/>
                      <w:highlight w:val="none"/>
                    </w:rPr>
                    <w:t>号</w:t>
                  </w:r>
                </w:p>
              </w:tc>
              <w:tc>
                <w:tcPr>
                  <w:tcW w:w="1232" w:type="dxa"/>
                  <w:vMerge w:val="restart"/>
                  <w:tcBorders>
                    <w:tl2br w:val="nil"/>
                    <w:tr2bl w:val="nil"/>
                  </w:tcBorders>
                  <w:vAlign w:val="center"/>
                </w:tcPr>
                <w:p w14:paraId="1B1C121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ascii="Times New Roman" w:hAnsi="Times New Roman" w:eastAsia="宋体" w:cs="宋体"/>
                      <w:color w:val="auto"/>
                      <w:sz w:val="21"/>
                      <w:szCs w:val="21"/>
                      <w:highlight w:val="none"/>
                    </w:rPr>
                    <w:t>设备名称</w:t>
                  </w:r>
                </w:p>
              </w:tc>
              <w:tc>
                <w:tcPr>
                  <w:tcW w:w="450" w:type="dxa"/>
                  <w:vMerge w:val="restart"/>
                  <w:tcBorders>
                    <w:tl2br w:val="nil"/>
                    <w:tr2bl w:val="nil"/>
                  </w:tcBorders>
                  <w:vAlign w:val="center"/>
                </w:tcPr>
                <w:p w14:paraId="361D30D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ascii="Times New Roman" w:hAnsi="Times New Roman" w:eastAsia="宋体" w:cs="宋体"/>
                      <w:color w:val="auto"/>
                      <w:sz w:val="21"/>
                      <w:szCs w:val="21"/>
                      <w:highlight w:val="none"/>
                    </w:rPr>
                    <w:t>数量</w:t>
                  </w:r>
                </w:p>
              </w:tc>
              <w:tc>
                <w:tcPr>
                  <w:tcW w:w="1077" w:type="dxa"/>
                  <w:vMerge w:val="restart"/>
                  <w:tcBorders>
                    <w:tl2br w:val="nil"/>
                    <w:tr2bl w:val="nil"/>
                  </w:tcBorders>
                  <w:vAlign w:val="center"/>
                </w:tcPr>
                <w:p w14:paraId="54060C92">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ascii="Times New Roman" w:hAnsi="Times New Roman" w:eastAsia="宋体" w:cs="宋体"/>
                      <w:color w:val="auto"/>
                      <w:sz w:val="21"/>
                      <w:szCs w:val="21"/>
                      <w:highlight w:val="none"/>
                    </w:rPr>
                    <w:t>治理前声级</w:t>
                  </w:r>
                </w:p>
              </w:tc>
              <w:tc>
                <w:tcPr>
                  <w:tcW w:w="2003" w:type="dxa"/>
                  <w:gridSpan w:val="3"/>
                  <w:tcBorders>
                    <w:tl2br w:val="nil"/>
                    <w:tr2bl w:val="nil"/>
                  </w:tcBorders>
                  <w:vAlign w:val="center"/>
                </w:tcPr>
                <w:p w14:paraId="434D74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空间相对位置/m</w:t>
                  </w:r>
                </w:p>
              </w:tc>
              <w:tc>
                <w:tcPr>
                  <w:tcW w:w="1261" w:type="dxa"/>
                  <w:vMerge w:val="restart"/>
                  <w:tcBorders>
                    <w:tl2br w:val="nil"/>
                    <w:tr2bl w:val="nil"/>
                  </w:tcBorders>
                  <w:vAlign w:val="center"/>
                </w:tcPr>
                <w:p w14:paraId="3A67EF4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ascii="Times New Roman" w:hAnsi="Times New Roman" w:eastAsia="宋体" w:cs="宋体"/>
                      <w:color w:val="auto"/>
                      <w:sz w:val="21"/>
                      <w:szCs w:val="21"/>
                      <w:highlight w:val="none"/>
                    </w:rPr>
                    <w:t>噪声属性及性质</w:t>
                  </w:r>
                </w:p>
              </w:tc>
              <w:tc>
                <w:tcPr>
                  <w:tcW w:w="960" w:type="dxa"/>
                  <w:vMerge w:val="restart"/>
                  <w:tcBorders>
                    <w:tl2br w:val="nil"/>
                    <w:tr2bl w:val="nil"/>
                  </w:tcBorders>
                  <w:vAlign w:val="center"/>
                </w:tcPr>
                <w:p w14:paraId="3D69306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ascii="Times New Roman" w:hAnsi="Times New Roman" w:eastAsia="宋体" w:cs="宋体"/>
                      <w:color w:val="auto"/>
                      <w:sz w:val="21"/>
                      <w:szCs w:val="21"/>
                      <w:highlight w:val="none"/>
                    </w:rPr>
                    <w:t>治理措施</w:t>
                  </w:r>
                </w:p>
              </w:tc>
              <w:tc>
                <w:tcPr>
                  <w:tcW w:w="1337" w:type="dxa"/>
                  <w:vMerge w:val="restart"/>
                  <w:tcBorders>
                    <w:tl2br w:val="nil"/>
                    <w:tr2bl w:val="nil"/>
                  </w:tcBorders>
                  <w:vAlign w:val="center"/>
                </w:tcPr>
                <w:p w14:paraId="5DCD23D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ascii="Times New Roman" w:hAnsi="Times New Roman" w:eastAsia="宋体" w:cs="宋体"/>
                      <w:color w:val="auto"/>
                      <w:sz w:val="21"/>
                      <w:szCs w:val="21"/>
                      <w:highlight w:val="none"/>
                    </w:rPr>
                    <w:t>治理后</w:t>
                  </w:r>
                  <w:r>
                    <w:rPr>
                      <w:rFonts w:hint="eastAsia" w:ascii="Times New Roman" w:hAnsi="Times New Roman" w:eastAsia="宋体" w:cs="宋体"/>
                      <w:color w:val="auto"/>
                      <w:sz w:val="21"/>
                      <w:szCs w:val="21"/>
                      <w:highlight w:val="none"/>
                      <w:lang w:val="en-US" w:eastAsia="zh-CN"/>
                    </w:rPr>
                    <w:t>声</w:t>
                  </w:r>
                  <w:r>
                    <w:rPr>
                      <w:rFonts w:ascii="Times New Roman" w:hAnsi="Times New Roman" w:eastAsia="宋体" w:cs="宋体"/>
                      <w:color w:val="auto"/>
                      <w:sz w:val="21"/>
                      <w:szCs w:val="21"/>
                      <w:highlight w:val="none"/>
                    </w:rPr>
                    <w:t>级</w:t>
                  </w:r>
                </w:p>
              </w:tc>
            </w:tr>
            <w:tr w14:paraId="2B2BF9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vMerge w:val="continue"/>
                  <w:tcBorders>
                    <w:tl2br w:val="nil"/>
                    <w:tr2bl w:val="nil"/>
                  </w:tcBorders>
                  <w:vAlign w:val="center"/>
                </w:tcPr>
                <w:p w14:paraId="2F2CBD40">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olor w:val="auto"/>
                      <w:sz w:val="21"/>
                      <w:szCs w:val="21"/>
                      <w:highlight w:val="none"/>
                    </w:rPr>
                  </w:pPr>
                </w:p>
              </w:tc>
              <w:tc>
                <w:tcPr>
                  <w:tcW w:w="1232" w:type="dxa"/>
                  <w:vMerge w:val="continue"/>
                  <w:tcBorders>
                    <w:tl2br w:val="nil"/>
                    <w:tr2bl w:val="nil"/>
                  </w:tcBorders>
                  <w:vAlign w:val="center"/>
                </w:tcPr>
                <w:p w14:paraId="337DF53B">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olor w:val="auto"/>
                      <w:sz w:val="21"/>
                      <w:szCs w:val="21"/>
                      <w:highlight w:val="none"/>
                    </w:rPr>
                  </w:pPr>
                </w:p>
              </w:tc>
              <w:tc>
                <w:tcPr>
                  <w:tcW w:w="450" w:type="dxa"/>
                  <w:vMerge w:val="continue"/>
                  <w:tcBorders>
                    <w:tl2br w:val="nil"/>
                    <w:tr2bl w:val="nil"/>
                  </w:tcBorders>
                  <w:vAlign w:val="center"/>
                </w:tcPr>
                <w:p w14:paraId="4C79D96C">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olor w:val="auto"/>
                      <w:sz w:val="21"/>
                      <w:szCs w:val="21"/>
                      <w:highlight w:val="none"/>
                    </w:rPr>
                  </w:pPr>
                </w:p>
              </w:tc>
              <w:tc>
                <w:tcPr>
                  <w:tcW w:w="1077" w:type="dxa"/>
                  <w:vMerge w:val="continue"/>
                  <w:tcBorders>
                    <w:tl2br w:val="nil"/>
                    <w:tr2bl w:val="nil"/>
                  </w:tcBorders>
                  <w:vAlign w:val="center"/>
                </w:tcPr>
                <w:p w14:paraId="6AE313F9">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olor w:val="auto"/>
                      <w:sz w:val="21"/>
                      <w:szCs w:val="21"/>
                      <w:highlight w:val="none"/>
                    </w:rPr>
                  </w:pPr>
                </w:p>
              </w:tc>
              <w:tc>
                <w:tcPr>
                  <w:tcW w:w="675" w:type="dxa"/>
                  <w:tcBorders>
                    <w:tl2br w:val="nil"/>
                    <w:tr2bl w:val="nil"/>
                  </w:tcBorders>
                  <w:vAlign w:val="center"/>
                </w:tcPr>
                <w:p w14:paraId="1F0C31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x</w:t>
                  </w:r>
                </w:p>
              </w:tc>
              <w:tc>
                <w:tcPr>
                  <w:tcW w:w="654" w:type="dxa"/>
                  <w:tcBorders>
                    <w:tl2br w:val="nil"/>
                    <w:tr2bl w:val="nil"/>
                  </w:tcBorders>
                  <w:vAlign w:val="center"/>
                </w:tcPr>
                <w:p w14:paraId="047E3C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y</w:t>
                  </w:r>
                </w:p>
              </w:tc>
              <w:tc>
                <w:tcPr>
                  <w:tcW w:w="674" w:type="dxa"/>
                  <w:tcBorders>
                    <w:tl2br w:val="nil"/>
                    <w:tr2bl w:val="nil"/>
                  </w:tcBorders>
                  <w:vAlign w:val="center"/>
                </w:tcPr>
                <w:p w14:paraId="440681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宋体"/>
                      <w:color w:val="auto"/>
                      <w:sz w:val="21"/>
                      <w:szCs w:val="21"/>
                      <w:highlight w:val="none"/>
                      <w:lang w:val="en-US" w:eastAsia="zh-CN"/>
                    </w:rPr>
                  </w:pPr>
                  <w:r>
                    <w:rPr>
                      <w:rFonts w:hint="eastAsia" w:ascii="Times New Roman" w:hAnsi="Times New Roman" w:eastAsia="宋体" w:cs="宋体"/>
                      <w:color w:val="auto"/>
                      <w:sz w:val="21"/>
                      <w:szCs w:val="21"/>
                      <w:highlight w:val="none"/>
                      <w:lang w:val="en-US" w:eastAsia="zh-CN"/>
                    </w:rPr>
                    <w:t>z</w:t>
                  </w:r>
                </w:p>
              </w:tc>
              <w:tc>
                <w:tcPr>
                  <w:tcW w:w="1261" w:type="dxa"/>
                  <w:vMerge w:val="continue"/>
                  <w:tcBorders>
                    <w:tl2br w:val="nil"/>
                    <w:tr2bl w:val="nil"/>
                  </w:tcBorders>
                  <w:vAlign w:val="center"/>
                </w:tcPr>
                <w:p w14:paraId="3A7B44C5">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auto"/>
                      <w:sz w:val="21"/>
                      <w:szCs w:val="21"/>
                      <w:highlight w:val="none"/>
                      <w:lang w:val="en-US" w:eastAsia="zh-CN"/>
                    </w:rPr>
                  </w:pPr>
                </w:p>
              </w:tc>
              <w:tc>
                <w:tcPr>
                  <w:tcW w:w="960" w:type="dxa"/>
                  <w:vMerge w:val="continue"/>
                  <w:tcBorders>
                    <w:tl2br w:val="nil"/>
                    <w:tr2bl w:val="nil"/>
                  </w:tcBorders>
                  <w:vAlign w:val="center"/>
                </w:tcPr>
                <w:p w14:paraId="5027BBB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auto"/>
                      <w:sz w:val="21"/>
                      <w:szCs w:val="21"/>
                      <w:highlight w:val="none"/>
                      <w:lang w:val="en-US" w:eastAsia="zh-CN"/>
                    </w:rPr>
                  </w:pPr>
                </w:p>
              </w:tc>
              <w:tc>
                <w:tcPr>
                  <w:tcW w:w="1337" w:type="dxa"/>
                  <w:vMerge w:val="continue"/>
                  <w:tcBorders>
                    <w:tl2br w:val="nil"/>
                    <w:tr2bl w:val="nil"/>
                  </w:tcBorders>
                  <w:vAlign w:val="center"/>
                </w:tcPr>
                <w:p w14:paraId="2548A27E">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宋体"/>
                      <w:color w:val="auto"/>
                      <w:sz w:val="21"/>
                      <w:szCs w:val="21"/>
                      <w:highlight w:val="none"/>
                      <w:lang w:val="en-US" w:eastAsia="zh-CN"/>
                    </w:rPr>
                  </w:pPr>
                </w:p>
              </w:tc>
            </w:tr>
            <w:tr w14:paraId="13D1AD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2873F090">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1</w:t>
                  </w:r>
                </w:p>
              </w:tc>
              <w:tc>
                <w:tcPr>
                  <w:tcW w:w="1232" w:type="dxa"/>
                  <w:tcBorders>
                    <w:tl2br w:val="nil"/>
                    <w:tr2bl w:val="nil"/>
                  </w:tcBorders>
                  <w:shd w:val="clear" w:color="auto" w:fill="auto"/>
                  <w:vAlign w:val="center"/>
                </w:tcPr>
                <w:p w14:paraId="178B1D02">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p&gt;:#"/>
                      <w:color w:val="auto"/>
                      <w:kern w:val="0"/>
                      <w:sz w:val="21"/>
                      <w:szCs w:val="24"/>
                      <w:highlight w:val="none"/>
                    </w:rPr>
                    <w:t>焊机</w:t>
                  </w:r>
                </w:p>
              </w:tc>
              <w:tc>
                <w:tcPr>
                  <w:tcW w:w="450" w:type="dxa"/>
                  <w:tcBorders>
                    <w:tl2br w:val="nil"/>
                    <w:tr2bl w:val="nil"/>
                  </w:tcBorders>
                  <w:vAlign w:val="center"/>
                </w:tcPr>
                <w:p w14:paraId="17B20959">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z w:val="21"/>
                      <w:szCs w:val="21"/>
                      <w:highlight w:val="none"/>
                      <w:lang w:val="en-US" w:eastAsia="zh-CN"/>
                    </w:rPr>
                    <w:t>1</w:t>
                  </w:r>
                </w:p>
              </w:tc>
              <w:tc>
                <w:tcPr>
                  <w:tcW w:w="1077" w:type="dxa"/>
                  <w:tcBorders>
                    <w:tl2br w:val="nil"/>
                    <w:tr2bl w:val="nil"/>
                  </w:tcBorders>
                  <w:vAlign w:val="center"/>
                </w:tcPr>
                <w:p w14:paraId="7A741162">
                  <w:pPr>
                    <w:pStyle w:val="46"/>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65</w:t>
                  </w:r>
                  <w:r>
                    <w:rPr>
                      <w:rFonts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val="en-US" w:eastAsia="zh-CN"/>
                    </w:rPr>
                    <w:t>75</w:t>
                  </w:r>
                </w:p>
              </w:tc>
              <w:tc>
                <w:tcPr>
                  <w:tcW w:w="675" w:type="dxa"/>
                  <w:tcBorders>
                    <w:tl2br w:val="nil"/>
                    <w:tr2bl w:val="nil"/>
                  </w:tcBorders>
                  <w:vAlign w:val="center"/>
                </w:tcPr>
                <w:p w14:paraId="3708D61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w:t>
                  </w:r>
                  <w:r>
                    <w:rPr>
                      <w:rFonts w:hint="eastAsia" w:ascii="Times New Roman" w:hAnsi="Times New Roman" w:eastAsia="宋体" w:cs="宋体"/>
                      <w:color w:val="auto"/>
                      <w:sz w:val="21"/>
                      <w:szCs w:val="21"/>
                      <w:highlight w:val="none"/>
                      <w:lang w:val="en-US" w:eastAsia="zh-CN"/>
                    </w:rPr>
                    <w:t>0</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2580DA1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w:t>
                  </w:r>
                  <w:r>
                    <w:rPr>
                      <w:rFonts w:ascii="Times New Roman" w:hAnsi="Times New Roman" w:eastAsia="宋体" w:cs="宋体"/>
                      <w:color w:val="auto"/>
                      <w:sz w:val="21"/>
                      <w:szCs w:val="21"/>
                      <w:highlight w:val="none"/>
                    </w:rPr>
                    <w:t>12.0</w:t>
                  </w:r>
                </w:p>
              </w:tc>
              <w:tc>
                <w:tcPr>
                  <w:tcW w:w="674" w:type="dxa"/>
                  <w:tcBorders>
                    <w:tl2br w:val="nil"/>
                    <w:tr2bl w:val="nil"/>
                  </w:tcBorders>
                  <w:vAlign w:val="center"/>
                </w:tcPr>
                <w:p w14:paraId="5A7D9F1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0.8</w:t>
                  </w:r>
                </w:p>
              </w:tc>
              <w:tc>
                <w:tcPr>
                  <w:tcW w:w="1261" w:type="dxa"/>
                  <w:tcBorders>
                    <w:tl2br w:val="nil"/>
                    <w:tr2bl w:val="nil"/>
                  </w:tcBorders>
                  <w:vAlign w:val="center"/>
                </w:tcPr>
                <w:p w14:paraId="3968943C">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restart"/>
                  <w:tcBorders>
                    <w:tl2br w:val="nil"/>
                    <w:tr2bl w:val="nil"/>
                  </w:tcBorders>
                  <w:vAlign w:val="center"/>
                </w:tcPr>
                <w:p w14:paraId="7C4826B1">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ascii="Times New Roman" w:hAnsi="Times New Roman" w:eastAsia="宋体" w:cs="宋体"/>
                      <w:color w:val="auto"/>
                      <w:sz w:val="21"/>
                      <w:szCs w:val="21"/>
                      <w:highlight w:val="none"/>
                    </w:rPr>
                    <w:t>高噪声设备基础安装减振，进行装消声器等降噪措施</w:t>
                  </w:r>
                </w:p>
              </w:tc>
              <w:tc>
                <w:tcPr>
                  <w:tcW w:w="1337" w:type="dxa"/>
                  <w:vMerge w:val="restart"/>
                  <w:tcBorders>
                    <w:tl2br w:val="nil"/>
                    <w:tr2bl w:val="nil"/>
                  </w:tcBorders>
                  <w:vAlign w:val="center"/>
                </w:tcPr>
                <w:p w14:paraId="0B308F31">
                  <w:pPr>
                    <w:pStyle w:val="46"/>
                    <w:keepNext w:val="0"/>
                    <w:keepLines w:val="0"/>
                    <w:pageBreakBefore w:val="0"/>
                    <w:widowControl w:val="0"/>
                    <w:kinsoku/>
                    <w:wordWrap/>
                    <w:overflowPunct/>
                    <w:topLinePunct w:val="0"/>
                    <w:autoSpaceDE/>
                    <w:autoSpaceDN/>
                    <w:bidi w:val="0"/>
                    <w:adjustRightInd/>
                    <w:snapToGrid/>
                    <w:jc w:val="both"/>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dB(A)</w:t>
                  </w:r>
                </w:p>
              </w:tc>
            </w:tr>
            <w:tr w14:paraId="56B1E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394FBCD3">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2</w:t>
                  </w:r>
                </w:p>
              </w:tc>
              <w:tc>
                <w:tcPr>
                  <w:tcW w:w="1232" w:type="dxa"/>
                  <w:tcBorders>
                    <w:tl2br w:val="nil"/>
                    <w:tr2bl w:val="nil"/>
                  </w:tcBorders>
                  <w:shd w:val="clear" w:color="auto" w:fill="auto"/>
                  <w:vAlign w:val="center"/>
                </w:tcPr>
                <w:p w14:paraId="64A5F7F6">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ascii="Times New Roman" w:hAnsi="Times New Roman" w:eastAsia="宋体" w:cs="p&gt;:#"/>
                      <w:color w:val="auto"/>
                      <w:kern w:val="0"/>
                      <w:sz w:val="21"/>
                      <w:szCs w:val="24"/>
                      <w:highlight w:val="none"/>
                    </w:rPr>
                    <w:t>纯水制备</w:t>
                  </w:r>
                  <w:r>
                    <w:rPr>
                      <w:rFonts w:hint="eastAsia" w:ascii="Times New Roman" w:hAnsi="Times New Roman" w:eastAsia="宋体" w:cs="p&gt;:#"/>
                      <w:color w:val="auto"/>
                      <w:kern w:val="0"/>
                      <w:sz w:val="21"/>
                      <w:szCs w:val="24"/>
                      <w:highlight w:val="none"/>
                      <w:lang w:eastAsia="zh-CN"/>
                    </w:rPr>
                    <w:t>系统</w:t>
                  </w:r>
                </w:p>
              </w:tc>
              <w:tc>
                <w:tcPr>
                  <w:tcW w:w="450" w:type="dxa"/>
                  <w:tcBorders>
                    <w:tl2br w:val="nil"/>
                    <w:tr2bl w:val="nil"/>
                  </w:tcBorders>
                  <w:vAlign w:val="center"/>
                </w:tcPr>
                <w:p w14:paraId="5C7CF331">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pacing w:val="-2"/>
                      <w:sz w:val="21"/>
                      <w:szCs w:val="21"/>
                      <w:highlight w:val="none"/>
                      <w:lang w:val="en-US" w:eastAsia="zh-CN"/>
                    </w:rPr>
                    <w:t>1</w:t>
                  </w:r>
                </w:p>
              </w:tc>
              <w:tc>
                <w:tcPr>
                  <w:tcW w:w="1077" w:type="dxa"/>
                  <w:tcBorders>
                    <w:tl2br w:val="nil"/>
                    <w:tr2bl w:val="nil"/>
                  </w:tcBorders>
                  <w:vAlign w:val="center"/>
                </w:tcPr>
                <w:p w14:paraId="4EA0A9C5">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宋体"/>
                      <w:color w:val="auto"/>
                      <w:sz w:val="21"/>
                      <w:szCs w:val="21"/>
                      <w:highlight w:val="none"/>
                      <w:lang w:val="en-US" w:eastAsia="zh-CN"/>
                    </w:rPr>
                    <w:t>65</w:t>
                  </w:r>
                  <w:r>
                    <w:rPr>
                      <w:rFonts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val="en-US" w:eastAsia="zh-CN"/>
                    </w:rPr>
                    <w:t>75</w:t>
                  </w:r>
                </w:p>
              </w:tc>
              <w:tc>
                <w:tcPr>
                  <w:tcW w:w="675" w:type="dxa"/>
                  <w:tcBorders>
                    <w:tl2br w:val="nil"/>
                    <w:tr2bl w:val="nil"/>
                  </w:tcBorders>
                  <w:vAlign w:val="center"/>
                </w:tcPr>
                <w:p w14:paraId="705E0DF5">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8.0</w:t>
                  </w:r>
                </w:p>
              </w:tc>
              <w:tc>
                <w:tcPr>
                  <w:tcW w:w="654" w:type="dxa"/>
                  <w:tcBorders>
                    <w:tl2br w:val="nil"/>
                    <w:tr2bl w:val="nil"/>
                  </w:tcBorders>
                  <w:vAlign w:val="center"/>
                </w:tcPr>
                <w:p w14:paraId="0C24CA7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9</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4941BD94">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1.2</w:t>
                  </w:r>
                </w:p>
              </w:tc>
              <w:tc>
                <w:tcPr>
                  <w:tcW w:w="1261" w:type="dxa"/>
                  <w:tcBorders>
                    <w:tl2br w:val="nil"/>
                    <w:tr2bl w:val="nil"/>
                  </w:tcBorders>
                  <w:vAlign w:val="center"/>
                </w:tcPr>
                <w:p w14:paraId="64FEAD2C">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7BAED86A">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0DB4DA4A">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548E62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2DB07CE2">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3</w:t>
                  </w:r>
                </w:p>
              </w:tc>
              <w:tc>
                <w:tcPr>
                  <w:tcW w:w="1232" w:type="dxa"/>
                  <w:tcBorders>
                    <w:tl2br w:val="nil"/>
                    <w:tr2bl w:val="nil"/>
                  </w:tcBorders>
                  <w:shd w:val="clear" w:color="auto" w:fill="auto"/>
                  <w:vAlign w:val="center"/>
                </w:tcPr>
                <w:p w14:paraId="10586804">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olor w:val="auto"/>
                      <w:sz w:val="21"/>
                      <w:szCs w:val="24"/>
                      <w:highlight w:val="none"/>
                    </w:rPr>
                    <w:t>预脱脂</w:t>
                  </w:r>
                </w:p>
              </w:tc>
              <w:tc>
                <w:tcPr>
                  <w:tcW w:w="450" w:type="dxa"/>
                  <w:tcBorders>
                    <w:tl2br w:val="nil"/>
                    <w:tr2bl w:val="nil"/>
                  </w:tcBorders>
                  <w:vAlign w:val="center"/>
                </w:tcPr>
                <w:p w14:paraId="179366D1">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pacing w:val="-3"/>
                      <w:sz w:val="21"/>
                      <w:szCs w:val="21"/>
                      <w:highlight w:val="none"/>
                      <w:lang w:val="en-US" w:eastAsia="zh-CN"/>
                    </w:rPr>
                    <w:t>1</w:t>
                  </w:r>
                </w:p>
              </w:tc>
              <w:tc>
                <w:tcPr>
                  <w:tcW w:w="1077" w:type="dxa"/>
                  <w:tcBorders>
                    <w:tl2br w:val="nil"/>
                    <w:tr2bl w:val="nil"/>
                  </w:tcBorders>
                  <w:vAlign w:val="center"/>
                </w:tcPr>
                <w:p w14:paraId="2D2D77BE">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宋体"/>
                      <w:color w:val="auto"/>
                      <w:sz w:val="21"/>
                      <w:szCs w:val="21"/>
                      <w:highlight w:val="none"/>
                      <w:lang w:val="en-US" w:eastAsia="zh-CN"/>
                    </w:rPr>
                    <w:t>65</w:t>
                  </w:r>
                  <w:r>
                    <w:rPr>
                      <w:rFonts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val="en-US" w:eastAsia="zh-CN"/>
                    </w:rPr>
                    <w:t>75</w:t>
                  </w:r>
                </w:p>
              </w:tc>
              <w:tc>
                <w:tcPr>
                  <w:tcW w:w="675" w:type="dxa"/>
                  <w:tcBorders>
                    <w:tl2br w:val="nil"/>
                    <w:tr2bl w:val="nil"/>
                  </w:tcBorders>
                  <w:vAlign w:val="center"/>
                </w:tcPr>
                <w:p w14:paraId="6A98AD32">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15</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6E64E145">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16</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008219C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1.0</w:t>
                  </w:r>
                </w:p>
              </w:tc>
              <w:tc>
                <w:tcPr>
                  <w:tcW w:w="1261" w:type="dxa"/>
                  <w:tcBorders>
                    <w:tl2br w:val="nil"/>
                    <w:tr2bl w:val="nil"/>
                  </w:tcBorders>
                  <w:vAlign w:val="center"/>
                </w:tcPr>
                <w:p w14:paraId="3E6CD1F9">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b/>
                      <w:bCs/>
                      <w:color w:val="auto"/>
                      <w:sz w:val="21"/>
                      <w:szCs w:val="21"/>
                      <w:highlight w:val="none"/>
                      <w:vertAlign w:val="baseline"/>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17BD1638">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36CA0463">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7BCF3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62DC27B3">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4</w:t>
                  </w:r>
                </w:p>
              </w:tc>
              <w:tc>
                <w:tcPr>
                  <w:tcW w:w="1232" w:type="dxa"/>
                  <w:tcBorders>
                    <w:tl2br w:val="nil"/>
                    <w:tr2bl w:val="nil"/>
                  </w:tcBorders>
                  <w:shd w:val="clear" w:color="auto" w:fill="auto"/>
                  <w:vAlign w:val="center"/>
                </w:tcPr>
                <w:p w14:paraId="7D93F754">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olor w:val="auto"/>
                      <w:sz w:val="21"/>
                      <w:szCs w:val="24"/>
                      <w:highlight w:val="none"/>
                    </w:rPr>
                    <w:t>主脱脂</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35B52F2E">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pacing w:val="-10"/>
                      <w:sz w:val="21"/>
                      <w:szCs w:val="21"/>
                      <w:highlight w:val="none"/>
                      <w:lang w:val="en-US" w:eastAsia="zh-CN"/>
                    </w:rPr>
                    <w:t>2</w:t>
                  </w:r>
                </w:p>
              </w:tc>
              <w:tc>
                <w:tcPr>
                  <w:tcW w:w="1077" w:type="dxa"/>
                  <w:tcBorders>
                    <w:tl2br w:val="nil"/>
                    <w:tr2bl w:val="nil"/>
                  </w:tcBorders>
                  <w:vAlign w:val="center"/>
                </w:tcPr>
                <w:p w14:paraId="0E107614">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宋体"/>
                      <w:color w:val="auto"/>
                      <w:sz w:val="21"/>
                      <w:szCs w:val="21"/>
                      <w:highlight w:val="none"/>
                      <w:lang w:val="en-US" w:eastAsia="zh-CN"/>
                    </w:rPr>
                    <w:t>65</w:t>
                  </w:r>
                  <w:r>
                    <w:rPr>
                      <w:rFonts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val="en-US" w:eastAsia="zh-CN"/>
                    </w:rPr>
                    <w:t>75</w:t>
                  </w:r>
                </w:p>
              </w:tc>
              <w:tc>
                <w:tcPr>
                  <w:tcW w:w="675" w:type="dxa"/>
                  <w:tcBorders>
                    <w:tl2br w:val="nil"/>
                    <w:tr2bl w:val="nil"/>
                  </w:tcBorders>
                  <w:vAlign w:val="center"/>
                </w:tcPr>
                <w:p w14:paraId="6A3E928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-5</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51F7C665">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w:t>
                  </w:r>
                  <w:r>
                    <w:rPr>
                      <w:rFonts w:hint="eastAsia" w:cs="宋体"/>
                      <w:color w:val="auto"/>
                      <w:sz w:val="21"/>
                      <w:szCs w:val="21"/>
                      <w:highlight w:val="none"/>
                      <w:lang w:val="en-US" w:eastAsia="zh-CN"/>
                    </w:rPr>
                    <w:t>6</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074B0504">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1.</w:t>
                  </w:r>
                  <w:r>
                    <w:rPr>
                      <w:rFonts w:hint="eastAsia" w:ascii="Times New Roman" w:hAnsi="Times New Roman" w:eastAsia="宋体" w:cs="宋体"/>
                      <w:color w:val="auto"/>
                      <w:sz w:val="21"/>
                      <w:szCs w:val="21"/>
                      <w:highlight w:val="none"/>
                      <w:lang w:val="en-US" w:eastAsia="zh-CN"/>
                    </w:rPr>
                    <w:t>5</w:t>
                  </w:r>
                </w:p>
              </w:tc>
              <w:tc>
                <w:tcPr>
                  <w:tcW w:w="1261" w:type="dxa"/>
                  <w:tcBorders>
                    <w:tl2br w:val="nil"/>
                    <w:tr2bl w:val="nil"/>
                  </w:tcBorders>
                  <w:vAlign w:val="center"/>
                </w:tcPr>
                <w:p w14:paraId="2E81A4F1">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2117D3A3">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07346D2D">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0825B0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2E819331">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5</w:t>
                  </w:r>
                </w:p>
              </w:tc>
              <w:tc>
                <w:tcPr>
                  <w:tcW w:w="1232" w:type="dxa"/>
                  <w:tcBorders>
                    <w:tl2br w:val="nil"/>
                    <w:tr2bl w:val="nil"/>
                  </w:tcBorders>
                  <w:shd w:val="clear" w:color="auto" w:fill="auto"/>
                  <w:vAlign w:val="center"/>
                </w:tcPr>
                <w:p w14:paraId="316C1AD6">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olor w:val="auto"/>
                      <w:sz w:val="21"/>
                      <w:szCs w:val="24"/>
                      <w:highlight w:val="none"/>
                    </w:rPr>
                    <w:t>水洗1</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276CB1FF">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z w:val="21"/>
                      <w:szCs w:val="21"/>
                      <w:highlight w:val="none"/>
                      <w:lang w:val="en-US" w:eastAsia="zh-CN"/>
                    </w:rPr>
                    <w:t>1</w:t>
                  </w:r>
                </w:p>
              </w:tc>
              <w:tc>
                <w:tcPr>
                  <w:tcW w:w="1077" w:type="dxa"/>
                  <w:tcBorders>
                    <w:tl2br w:val="nil"/>
                    <w:tr2bl w:val="nil"/>
                  </w:tcBorders>
                  <w:vAlign w:val="center"/>
                </w:tcPr>
                <w:p w14:paraId="34C4EEED">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宋体"/>
                      <w:color w:val="auto"/>
                      <w:sz w:val="21"/>
                      <w:szCs w:val="21"/>
                      <w:highlight w:val="none"/>
                      <w:lang w:val="en-US" w:eastAsia="zh-CN"/>
                    </w:rPr>
                    <w:t>65</w:t>
                  </w:r>
                  <w:r>
                    <w:rPr>
                      <w:rFonts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val="en-US" w:eastAsia="zh-CN"/>
                    </w:rPr>
                    <w:t>75</w:t>
                  </w:r>
                </w:p>
              </w:tc>
              <w:tc>
                <w:tcPr>
                  <w:tcW w:w="675" w:type="dxa"/>
                  <w:tcBorders>
                    <w:tl2br w:val="nil"/>
                    <w:tr2bl w:val="nil"/>
                  </w:tcBorders>
                  <w:vAlign w:val="center"/>
                </w:tcPr>
                <w:p w14:paraId="6A6E5E59">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val="en-US" w:eastAsia="zh-CN"/>
                    </w:rPr>
                    <w:t>12</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3E74C18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16.0</w:t>
                  </w:r>
                </w:p>
              </w:tc>
              <w:tc>
                <w:tcPr>
                  <w:tcW w:w="674" w:type="dxa"/>
                  <w:tcBorders>
                    <w:tl2br w:val="nil"/>
                    <w:tr2bl w:val="nil"/>
                  </w:tcBorders>
                  <w:vAlign w:val="center"/>
                </w:tcPr>
                <w:p w14:paraId="3B5291C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1.</w:t>
                  </w:r>
                  <w:r>
                    <w:rPr>
                      <w:rFonts w:hint="eastAsia" w:ascii="Times New Roman" w:hAnsi="Times New Roman" w:eastAsia="宋体" w:cs="宋体"/>
                      <w:color w:val="auto"/>
                      <w:sz w:val="21"/>
                      <w:szCs w:val="21"/>
                      <w:highlight w:val="none"/>
                      <w:lang w:val="en-US" w:eastAsia="zh-CN"/>
                    </w:rPr>
                    <w:t>5</w:t>
                  </w:r>
                </w:p>
              </w:tc>
              <w:tc>
                <w:tcPr>
                  <w:tcW w:w="1261" w:type="dxa"/>
                  <w:tcBorders>
                    <w:tl2br w:val="nil"/>
                    <w:tr2bl w:val="nil"/>
                  </w:tcBorders>
                  <w:vAlign w:val="center"/>
                </w:tcPr>
                <w:p w14:paraId="461A6162">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3FE7E040">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1E5FE64B">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0A4F3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27A7EE04">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6</w:t>
                  </w:r>
                </w:p>
              </w:tc>
              <w:tc>
                <w:tcPr>
                  <w:tcW w:w="1232" w:type="dxa"/>
                  <w:tcBorders>
                    <w:tl2br w:val="nil"/>
                    <w:tr2bl w:val="nil"/>
                  </w:tcBorders>
                  <w:shd w:val="clear" w:color="auto" w:fill="auto"/>
                  <w:vAlign w:val="center"/>
                </w:tcPr>
                <w:p w14:paraId="67FC058B">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pacing w:val="2"/>
                      <w:kern w:val="2"/>
                      <w:position w:val="1"/>
                      <w:sz w:val="21"/>
                      <w:szCs w:val="24"/>
                      <w:highlight w:val="none"/>
                      <w:lang w:val="en-US" w:eastAsia="zh-CN" w:bidi="ar-SA"/>
                    </w:rPr>
                  </w:pPr>
                  <w:r>
                    <w:rPr>
                      <w:rFonts w:hint="eastAsia" w:ascii="Times New Roman" w:hAnsi="Times New Roman" w:eastAsia="宋体"/>
                      <w:color w:val="auto"/>
                      <w:sz w:val="21"/>
                      <w:szCs w:val="24"/>
                      <w:highlight w:val="none"/>
                    </w:rPr>
                    <w:t>水洗2</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336A0CBA">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z w:val="21"/>
                      <w:szCs w:val="21"/>
                      <w:highlight w:val="none"/>
                      <w:lang w:val="en-US" w:eastAsia="zh-CN"/>
                    </w:rPr>
                    <w:t>1</w:t>
                  </w:r>
                </w:p>
              </w:tc>
              <w:tc>
                <w:tcPr>
                  <w:tcW w:w="1077" w:type="dxa"/>
                  <w:tcBorders>
                    <w:tl2br w:val="nil"/>
                    <w:tr2bl w:val="nil"/>
                  </w:tcBorders>
                  <w:vAlign w:val="center"/>
                </w:tcPr>
                <w:p w14:paraId="2E17A884">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宋体"/>
                      <w:color w:val="auto"/>
                      <w:sz w:val="21"/>
                      <w:szCs w:val="21"/>
                      <w:highlight w:val="none"/>
                      <w:lang w:val="en-US" w:eastAsia="zh-CN"/>
                    </w:rPr>
                    <w:t>65</w:t>
                  </w:r>
                  <w:r>
                    <w:rPr>
                      <w:rFonts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val="en-US" w:eastAsia="zh-CN"/>
                    </w:rPr>
                    <w:t>75</w:t>
                  </w:r>
                </w:p>
              </w:tc>
              <w:tc>
                <w:tcPr>
                  <w:tcW w:w="675" w:type="dxa"/>
                  <w:tcBorders>
                    <w:tl2br w:val="nil"/>
                    <w:tr2bl w:val="nil"/>
                  </w:tcBorders>
                  <w:vAlign w:val="center"/>
                </w:tcPr>
                <w:p w14:paraId="2637102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-20</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53864FD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16</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17EFEF15">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1.2</w:t>
                  </w:r>
                </w:p>
              </w:tc>
              <w:tc>
                <w:tcPr>
                  <w:tcW w:w="1261" w:type="dxa"/>
                  <w:tcBorders>
                    <w:tl2br w:val="nil"/>
                    <w:tr2bl w:val="nil"/>
                  </w:tcBorders>
                  <w:vAlign w:val="center"/>
                </w:tcPr>
                <w:p w14:paraId="3E597F62">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18B856E1">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6F30DFA7">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78013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2075E110">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7</w:t>
                  </w:r>
                </w:p>
              </w:tc>
              <w:tc>
                <w:tcPr>
                  <w:tcW w:w="1232" w:type="dxa"/>
                  <w:tcBorders>
                    <w:tl2br w:val="nil"/>
                    <w:tr2bl w:val="nil"/>
                  </w:tcBorders>
                  <w:shd w:val="clear" w:color="auto" w:fill="auto"/>
                  <w:vAlign w:val="center"/>
                </w:tcPr>
                <w:p w14:paraId="16A9A71D">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olor w:val="auto"/>
                      <w:sz w:val="21"/>
                      <w:szCs w:val="24"/>
                      <w:highlight w:val="none"/>
                    </w:rPr>
                    <w:t>硅烷</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1586399A">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pacing w:val="-10"/>
                      <w:sz w:val="21"/>
                      <w:szCs w:val="21"/>
                      <w:highlight w:val="none"/>
                      <w:lang w:val="en-US" w:eastAsia="zh-CN"/>
                    </w:rPr>
                    <w:t>1</w:t>
                  </w:r>
                </w:p>
              </w:tc>
              <w:tc>
                <w:tcPr>
                  <w:tcW w:w="1077" w:type="dxa"/>
                  <w:tcBorders>
                    <w:tl2br w:val="nil"/>
                    <w:tr2bl w:val="nil"/>
                  </w:tcBorders>
                  <w:vAlign w:val="center"/>
                </w:tcPr>
                <w:p w14:paraId="220A6F10">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宋体"/>
                      <w:color w:val="auto"/>
                      <w:sz w:val="21"/>
                      <w:szCs w:val="21"/>
                      <w:highlight w:val="none"/>
                      <w:lang w:val="en-US" w:eastAsia="zh-CN"/>
                    </w:rPr>
                    <w:t>65</w:t>
                  </w:r>
                  <w:r>
                    <w:rPr>
                      <w:rFonts w:ascii="Times New Roman" w:hAnsi="Times New Roman" w:eastAsia="宋体" w:cs="宋体"/>
                      <w:color w:val="auto"/>
                      <w:sz w:val="21"/>
                      <w:szCs w:val="21"/>
                      <w:highlight w:val="none"/>
                    </w:rPr>
                    <w:t>-</w:t>
                  </w:r>
                  <w:r>
                    <w:rPr>
                      <w:rFonts w:hint="eastAsia" w:ascii="Times New Roman" w:hAnsi="Times New Roman" w:eastAsia="宋体" w:cs="宋体"/>
                      <w:color w:val="auto"/>
                      <w:sz w:val="21"/>
                      <w:szCs w:val="21"/>
                      <w:highlight w:val="none"/>
                      <w:lang w:val="en-US" w:eastAsia="zh-CN"/>
                    </w:rPr>
                    <w:t>75</w:t>
                  </w:r>
                </w:p>
              </w:tc>
              <w:tc>
                <w:tcPr>
                  <w:tcW w:w="675" w:type="dxa"/>
                  <w:tcBorders>
                    <w:tl2br w:val="nil"/>
                    <w:tr2bl w:val="nil"/>
                  </w:tcBorders>
                  <w:vAlign w:val="center"/>
                </w:tcPr>
                <w:p w14:paraId="5A75DC85">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w:t>
                  </w:r>
                  <w:r>
                    <w:rPr>
                      <w:rFonts w:hint="eastAsia" w:cs="宋体"/>
                      <w:color w:val="auto"/>
                      <w:sz w:val="21"/>
                      <w:szCs w:val="21"/>
                      <w:highlight w:val="none"/>
                      <w:lang w:val="en-US" w:eastAsia="zh-CN"/>
                    </w:rPr>
                    <w:t>5</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63CB0DB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14</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6F7B8A2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1</w:t>
                  </w:r>
                  <w:r>
                    <w:rPr>
                      <w:rFonts w:hint="eastAsia" w:ascii="Times New Roman" w:hAnsi="Times New Roman" w:eastAsia="宋体" w:cs="宋体"/>
                      <w:color w:val="auto"/>
                      <w:sz w:val="21"/>
                      <w:szCs w:val="21"/>
                      <w:highlight w:val="none"/>
                      <w:lang w:val="en-US" w:eastAsia="zh-CN"/>
                    </w:rPr>
                    <w:t>.6</w:t>
                  </w:r>
                </w:p>
              </w:tc>
              <w:tc>
                <w:tcPr>
                  <w:tcW w:w="1261" w:type="dxa"/>
                  <w:tcBorders>
                    <w:tl2br w:val="nil"/>
                    <w:tr2bl w:val="nil"/>
                  </w:tcBorders>
                  <w:vAlign w:val="center"/>
                </w:tcPr>
                <w:p w14:paraId="72210AA5">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38559DAD">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0D8B3C06">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2C9D2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28AD7E2E">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8</w:t>
                  </w:r>
                </w:p>
              </w:tc>
              <w:tc>
                <w:tcPr>
                  <w:tcW w:w="1232" w:type="dxa"/>
                  <w:tcBorders>
                    <w:tl2br w:val="nil"/>
                    <w:tr2bl w:val="nil"/>
                  </w:tcBorders>
                  <w:shd w:val="clear" w:color="auto" w:fill="auto"/>
                  <w:vAlign w:val="center"/>
                </w:tcPr>
                <w:p w14:paraId="27A7F41D">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olor w:val="auto"/>
                      <w:sz w:val="21"/>
                      <w:szCs w:val="24"/>
                      <w:highlight w:val="none"/>
                    </w:rPr>
                    <w:t>水洗3</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0106928A">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pacing w:val="-10"/>
                      <w:sz w:val="21"/>
                      <w:szCs w:val="21"/>
                      <w:highlight w:val="none"/>
                      <w:lang w:val="en-US" w:eastAsia="zh-CN"/>
                    </w:rPr>
                    <w:t>1</w:t>
                  </w:r>
                </w:p>
              </w:tc>
              <w:tc>
                <w:tcPr>
                  <w:tcW w:w="1077" w:type="dxa"/>
                  <w:tcBorders>
                    <w:tl2br w:val="nil"/>
                    <w:tr2bl w:val="nil"/>
                  </w:tcBorders>
                  <w:vAlign w:val="center"/>
                </w:tcPr>
                <w:p w14:paraId="1637D996">
                  <w:pPr>
                    <w:pStyle w:val="46"/>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w:t>
                  </w:r>
                  <w:r>
                    <w:rPr>
                      <w:rFonts w:hint="eastAsia" w:ascii="Times New Roman" w:hAnsi="Times New Roman" w:eastAsia="宋体"/>
                      <w:color w:val="auto"/>
                      <w:sz w:val="21"/>
                      <w:szCs w:val="21"/>
                      <w:highlight w:val="none"/>
                      <w:vertAlign w:val="baseline"/>
                      <w:lang w:val="en-US" w:eastAsia="zh-CN"/>
                    </w:rPr>
                    <w:t>75</w:t>
                  </w:r>
                </w:p>
              </w:tc>
              <w:tc>
                <w:tcPr>
                  <w:tcW w:w="675" w:type="dxa"/>
                  <w:tcBorders>
                    <w:tl2br w:val="nil"/>
                    <w:tr2bl w:val="nil"/>
                  </w:tcBorders>
                  <w:vAlign w:val="center"/>
                </w:tcPr>
                <w:p w14:paraId="117DC2D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-26.0</w:t>
                  </w:r>
                </w:p>
              </w:tc>
              <w:tc>
                <w:tcPr>
                  <w:tcW w:w="654" w:type="dxa"/>
                  <w:tcBorders>
                    <w:tl2br w:val="nil"/>
                    <w:tr2bl w:val="nil"/>
                  </w:tcBorders>
                  <w:vAlign w:val="center"/>
                </w:tcPr>
                <w:p w14:paraId="518CF9C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w:t>
                  </w:r>
                  <w:r>
                    <w:rPr>
                      <w:rFonts w:hint="eastAsia" w:cs="宋体"/>
                      <w:color w:val="auto"/>
                      <w:sz w:val="21"/>
                      <w:szCs w:val="21"/>
                      <w:highlight w:val="none"/>
                      <w:lang w:val="en-US" w:eastAsia="zh-CN"/>
                    </w:rPr>
                    <w:t>4</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4C58249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0</w:t>
                  </w:r>
                  <w:r>
                    <w:rPr>
                      <w:rFonts w:hint="eastAsia" w:ascii="Times New Roman" w:hAnsi="Times New Roman" w:eastAsia="宋体" w:cs="宋体"/>
                      <w:color w:val="auto"/>
                      <w:sz w:val="21"/>
                      <w:szCs w:val="21"/>
                      <w:highlight w:val="none"/>
                      <w:lang w:val="en-US" w:eastAsia="zh-CN"/>
                    </w:rPr>
                    <w:t>.8</w:t>
                  </w:r>
                </w:p>
              </w:tc>
              <w:tc>
                <w:tcPr>
                  <w:tcW w:w="1261" w:type="dxa"/>
                  <w:tcBorders>
                    <w:tl2br w:val="nil"/>
                    <w:tr2bl w:val="nil"/>
                  </w:tcBorders>
                  <w:vAlign w:val="center"/>
                </w:tcPr>
                <w:p w14:paraId="3C3B5E75">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1BEC4363">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06ABB4CA">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7D2564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2D63EED9">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9</w:t>
                  </w:r>
                </w:p>
              </w:tc>
              <w:tc>
                <w:tcPr>
                  <w:tcW w:w="1232" w:type="dxa"/>
                  <w:tcBorders>
                    <w:tl2br w:val="nil"/>
                    <w:tr2bl w:val="nil"/>
                  </w:tcBorders>
                  <w:shd w:val="clear" w:color="auto" w:fill="auto"/>
                  <w:vAlign w:val="center"/>
                </w:tcPr>
                <w:p w14:paraId="523EAE3D">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pacing w:val="7"/>
                      <w:kern w:val="2"/>
                      <w:sz w:val="21"/>
                      <w:szCs w:val="24"/>
                      <w:highlight w:val="none"/>
                      <w:lang w:val="en-US" w:eastAsia="zh-CN" w:bidi="ar-SA"/>
                    </w:rPr>
                  </w:pPr>
                  <w:r>
                    <w:rPr>
                      <w:rFonts w:hint="eastAsia" w:ascii="Times New Roman" w:hAnsi="Times New Roman" w:eastAsia="宋体"/>
                      <w:color w:val="auto"/>
                      <w:sz w:val="21"/>
                      <w:szCs w:val="24"/>
                      <w:highlight w:val="none"/>
                    </w:rPr>
                    <w:t>纯水洗1</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3607092B">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default" w:ascii="Times New Roman" w:hAnsi="Times New Roman" w:eastAsia="宋体" w:cs="Times New Roman"/>
                      <w:color w:val="auto"/>
                      <w:spacing w:val="-10"/>
                      <w:sz w:val="21"/>
                      <w:szCs w:val="21"/>
                      <w:highlight w:val="none"/>
                    </w:rPr>
                    <w:t>1</w:t>
                  </w:r>
                </w:p>
              </w:tc>
              <w:tc>
                <w:tcPr>
                  <w:tcW w:w="1077" w:type="dxa"/>
                  <w:tcBorders>
                    <w:tl2br w:val="nil"/>
                    <w:tr2bl w:val="nil"/>
                  </w:tcBorders>
                  <w:vAlign w:val="center"/>
                </w:tcPr>
                <w:p w14:paraId="52C1377E">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w:t>
                  </w:r>
                  <w:r>
                    <w:rPr>
                      <w:rFonts w:hint="eastAsia" w:ascii="Times New Roman" w:hAnsi="Times New Roman" w:eastAsia="宋体"/>
                      <w:color w:val="auto"/>
                      <w:sz w:val="21"/>
                      <w:szCs w:val="21"/>
                      <w:highlight w:val="none"/>
                      <w:vertAlign w:val="baseline"/>
                      <w:lang w:val="en-US" w:eastAsia="zh-CN"/>
                    </w:rPr>
                    <w:t>75</w:t>
                  </w:r>
                </w:p>
              </w:tc>
              <w:tc>
                <w:tcPr>
                  <w:tcW w:w="675" w:type="dxa"/>
                  <w:tcBorders>
                    <w:tl2br w:val="nil"/>
                    <w:tr2bl w:val="nil"/>
                  </w:tcBorders>
                  <w:vAlign w:val="center"/>
                </w:tcPr>
                <w:p w14:paraId="4072D134">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w:t>
                  </w:r>
                  <w:r>
                    <w:rPr>
                      <w:rFonts w:hint="eastAsia" w:ascii="Times New Roman" w:hAnsi="Times New Roman" w:eastAsia="宋体" w:cs="宋体"/>
                      <w:color w:val="auto"/>
                      <w:sz w:val="21"/>
                      <w:szCs w:val="21"/>
                      <w:highlight w:val="none"/>
                      <w:lang w:val="en-US" w:eastAsia="zh-CN"/>
                    </w:rPr>
                    <w:t>2</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33A6AF0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14</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64F689E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0</w:t>
                  </w:r>
                  <w:r>
                    <w:rPr>
                      <w:rFonts w:hint="eastAsia" w:ascii="Times New Roman" w:hAnsi="Times New Roman" w:eastAsia="宋体" w:cs="宋体"/>
                      <w:color w:val="auto"/>
                      <w:sz w:val="21"/>
                      <w:szCs w:val="21"/>
                      <w:highlight w:val="none"/>
                      <w:lang w:val="en-US" w:eastAsia="zh-CN"/>
                    </w:rPr>
                    <w:t>.8</w:t>
                  </w:r>
                </w:p>
              </w:tc>
              <w:tc>
                <w:tcPr>
                  <w:tcW w:w="1261" w:type="dxa"/>
                  <w:tcBorders>
                    <w:tl2br w:val="nil"/>
                    <w:tr2bl w:val="nil"/>
                  </w:tcBorders>
                  <w:vAlign w:val="center"/>
                </w:tcPr>
                <w:p w14:paraId="3CD682CB">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49BE80F8">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3393F89A">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570B66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1B9956F8">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10</w:t>
                  </w:r>
                </w:p>
              </w:tc>
              <w:tc>
                <w:tcPr>
                  <w:tcW w:w="1232" w:type="dxa"/>
                  <w:tcBorders>
                    <w:tl2br w:val="nil"/>
                    <w:tr2bl w:val="nil"/>
                  </w:tcBorders>
                  <w:shd w:val="clear" w:color="auto" w:fill="auto"/>
                  <w:vAlign w:val="center"/>
                </w:tcPr>
                <w:p w14:paraId="344BCCB9">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pacing w:val="2"/>
                      <w:kern w:val="2"/>
                      <w:position w:val="1"/>
                      <w:sz w:val="21"/>
                      <w:szCs w:val="24"/>
                      <w:highlight w:val="none"/>
                      <w:lang w:val="en-US" w:eastAsia="zh-CN" w:bidi="ar-SA"/>
                    </w:rPr>
                  </w:pPr>
                  <w:r>
                    <w:rPr>
                      <w:rFonts w:hint="eastAsia" w:ascii="Times New Roman" w:hAnsi="Times New Roman" w:eastAsia="宋体"/>
                      <w:color w:val="auto"/>
                      <w:sz w:val="21"/>
                      <w:szCs w:val="24"/>
                      <w:highlight w:val="none"/>
                    </w:rPr>
                    <w:t>电泳</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2DFA551A">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pacing w:val="-3"/>
                      <w:sz w:val="21"/>
                      <w:szCs w:val="21"/>
                      <w:highlight w:val="none"/>
                      <w:lang w:val="en-US" w:eastAsia="zh-CN"/>
                    </w:rPr>
                    <w:t>1</w:t>
                  </w:r>
                </w:p>
              </w:tc>
              <w:tc>
                <w:tcPr>
                  <w:tcW w:w="1077" w:type="dxa"/>
                  <w:tcBorders>
                    <w:tl2br w:val="nil"/>
                    <w:tr2bl w:val="nil"/>
                  </w:tcBorders>
                  <w:vAlign w:val="center"/>
                </w:tcPr>
                <w:p w14:paraId="59F87D97">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w:t>
                  </w:r>
                  <w:r>
                    <w:rPr>
                      <w:rFonts w:hint="eastAsia" w:ascii="Times New Roman" w:hAnsi="Times New Roman" w:eastAsia="宋体"/>
                      <w:color w:val="auto"/>
                      <w:sz w:val="21"/>
                      <w:szCs w:val="21"/>
                      <w:highlight w:val="none"/>
                      <w:vertAlign w:val="baseline"/>
                      <w:lang w:val="en-US" w:eastAsia="zh-CN"/>
                    </w:rPr>
                    <w:t>75</w:t>
                  </w:r>
                </w:p>
              </w:tc>
              <w:tc>
                <w:tcPr>
                  <w:tcW w:w="675" w:type="dxa"/>
                  <w:tcBorders>
                    <w:tl2br w:val="nil"/>
                    <w:tr2bl w:val="nil"/>
                  </w:tcBorders>
                  <w:vAlign w:val="center"/>
                </w:tcPr>
                <w:p w14:paraId="2DACF22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15</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280B188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12</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6A1560A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0</w:t>
                  </w:r>
                  <w:r>
                    <w:rPr>
                      <w:rFonts w:hint="eastAsia" w:ascii="Times New Roman" w:hAnsi="Times New Roman" w:eastAsia="宋体" w:cs="宋体"/>
                      <w:color w:val="auto"/>
                      <w:sz w:val="21"/>
                      <w:szCs w:val="21"/>
                      <w:highlight w:val="none"/>
                      <w:lang w:val="en-US" w:eastAsia="zh-CN"/>
                    </w:rPr>
                    <w:t>.8</w:t>
                  </w:r>
                </w:p>
              </w:tc>
              <w:tc>
                <w:tcPr>
                  <w:tcW w:w="1261" w:type="dxa"/>
                  <w:tcBorders>
                    <w:tl2br w:val="nil"/>
                    <w:tr2bl w:val="nil"/>
                  </w:tcBorders>
                  <w:vAlign w:val="center"/>
                </w:tcPr>
                <w:p w14:paraId="3E35BBDD">
                  <w:pPr>
                    <w:pStyle w:val="46"/>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0BA4E6C6">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134409F1">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080168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024237A8">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11</w:t>
                  </w:r>
                </w:p>
              </w:tc>
              <w:tc>
                <w:tcPr>
                  <w:tcW w:w="1232" w:type="dxa"/>
                  <w:tcBorders>
                    <w:tl2br w:val="nil"/>
                    <w:tr2bl w:val="nil"/>
                  </w:tcBorders>
                  <w:shd w:val="clear" w:color="auto" w:fill="auto"/>
                  <w:vAlign w:val="center"/>
                </w:tcPr>
                <w:p w14:paraId="06C95451">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pacing w:val="6"/>
                      <w:kern w:val="2"/>
                      <w:sz w:val="21"/>
                      <w:szCs w:val="24"/>
                      <w:highlight w:val="none"/>
                      <w:lang w:val="en-US" w:eastAsia="zh-CN" w:bidi="ar-SA"/>
                    </w:rPr>
                  </w:pPr>
                  <w:r>
                    <w:rPr>
                      <w:rFonts w:hint="eastAsia" w:ascii="Times New Roman" w:hAnsi="Times New Roman" w:eastAsia="宋体"/>
                      <w:color w:val="auto"/>
                      <w:sz w:val="21"/>
                      <w:szCs w:val="24"/>
                      <w:highlight w:val="none"/>
                    </w:rPr>
                    <w:t>UF0洗</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71D825CD">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default" w:ascii="Times New Roman" w:hAnsi="Times New Roman" w:eastAsia="宋体" w:cs="Times New Roman"/>
                      <w:color w:val="auto"/>
                      <w:spacing w:val="-10"/>
                      <w:sz w:val="21"/>
                      <w:szCs w:val="21"/>
                      <w:highlight w:val="none"/>
                    </w:rPr>
                    <w:t>1</w:t>
                  </w:r>
                </w:p>
              </w:tc>
              <w:tc>
                <w:tcPr>
                  <w:tcW w:w="1077" w:type="dxa"/>
                  <w:tcBorders>
                    <w:tl2br w:val="nil"/>
                    <w:tr2bl w:val="nil"/>
                  </w:tcBorders>
                  <w:vAlign w:val="center"/>
                </w:tcPr>
                <w:p w14:paraId="086A2B71">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w:t>
                  </w:r>
                  <w:r>
                    <w:rPr>
                      <w:rFonts w:hint="eastAsia" w:ascii="Times New Roman" w:hAnsi="Times New Roman" w:eastAsia="宋体"/>
                      <w:color w:val="auto"/>
                      <w:sz w:val="21"/>
                      <w:szCs w:val="21"/>
                      <w:highlight w:val="none"/>
                      <w:vertAlign w:val="baseline"/>
                      <w:lang w:val="en-US" w:eastAsia="zh-CN"/>
                    </w:rPr>
                    <w:t>75</w:t>
                  </w:r>
                </w:p>
              </w:tc>
              <w:tc>
                <w:tcPr>
                  <w:tcW w:w="675" w:type="dxa"/>
                  <w:tcBorders>
                    <w:tl2br w:val="nil"/>
                    <w:tr2bl w:val="nil"/>
                  </w:tcBorders>
                  <w:vAlign w:val="center"/>
                </w:tcPr>
                <w:p w14:paraId="09165446">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10</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44B99379">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w:t>
                  </w:r>
                  <w:r>
                    <w:rPr>
                      <w:rFonts w:ascii="Times New Roman" w:hAnsi="Times New Roman" w:eastAsia="宋体" w:cs="宋体"/>
                      <w:color w:val="auto"/>
                      <w:sz w:val="21"/>
                      <w:szCs w:val="21"/>
                      <w:highlight w:val="none"/>
                    </w:rPr>
                    <w:t>2.0</w:t>
                  </w:r>
                </w:p>
              </w:tc>
              <w:tc>
                <w:tcPr>
                  <w:tcW w:w="674" w:type="dxa"/>
                  <w:tcBorders>
                    <w:tl2br w:val="nil"/>
                    <w:tr2bl w:val="nil"/>
                  </w:tcBorders>
                  <w:vAlign w:val="center"/>
                </w:tcPr>
                <w:p w14:paraId="1876920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1.2</w:t>
                  </w:r>
                </w:p>
              </w:tc>
              <w:tc>
                <w:tcPr>
                  <w:tcW w:w="1261" w:type="dxa"/>
                  <w:tcBorders>
                    <w:tl2br w:val="nil"/>
                    <w:tr2bl w:val="nil"/>
                  </w:tcBorders>
                  <w:vAlign w:val="center"/>
                </w:tcPr>
                <w:p w14:paraId="261BFED5">
                  <w:pPr>
                    <w:pStyle w:val="46"/>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5558E76A">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7D5C53BD">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15EC15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1D8DDCE8">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12</w:t>
                  </w:r>
                </w:p>
              </w:tc>
              <w:tc>
                <w:tcPr>
                  <w:tcW w:w="1232" w:type="dxa"/>
                  <w:tcBorders>
                    <w:tl2br w:val="nil"/>
                    <w:tr2bl w:val="nil"/>
                  </w:tcBorders>
                  <w:shd w:val="clear" w:color="auto" w:fill="auto"/>
                  <w:vAlign w:val="center"/>
                </w:tcPr>
                <w:p w14:paraId="5796938C">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pacing w:val="2"/>
                      <w:kern w:val="2"/>
                      <w:position w:val="1"/>
                      <w:sz w:val="21"/>
                      <w:szCs w:val="24"/>
                      <w:highlight w:val="none"/>
                      <w:lang w:val="en-US" w:eastAsia="zh-CN" w:bidi="ar-SA"/>
                    </w:rPr>
                  </w:pPr>
                  <w:r>
                    <w:rPr>
                      <w:rFonts w:hint="eastAsia" w:ascii="Times New Roman" w:hAnsi="Times New Roman" w:eastAsia="宋体"/>
                      <w:color w:val="auto"/>
                      <w:sz w:val="21"/>
                      <w:szCs w:val="24"/>
                      <w:highlight w:val="none"/>
                    </w:rPr>
                    <w:t>UF1洗</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76D86BC9">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z w:val="21"/>
                      <w:szCs w:val="21"/>
                      <w:highlight w:val="none"/>
                      <w:lang w:val="en-US" w:eastAsia="zh-CN"/>
                    </w:rPr>
                    <w:t>1</w:t>
                  </w:r>
                </w:p>
              </w:tc>
              <w:tc>
                <w:tcPr>
                  <w:tcW w:w="1077" w:type="dxa"/>
                  <w:tcBorders>
                    <w:tl2br w:val="nil"/>
                    <w:tr2bl w:val="nil"/>
                  </w:tcBorders>
                  <w:vAlign w:val="center"/>
                </w:tcPr>
                <w:p w14:paraId="41D7E47E">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w:t>
                  </w:r>
                  <w:r>
                    <w:rPr>
                      <w:rFonts w:hint="eastAsia" w:ascii="Times New Roman" w:hAnsi="Times New Roman" w:eastAsia="宋体"/>
                      <w:color w:val="auto"/>
                      <w:sz w:val="21"/>
                      <w:szCs w:val="21"/>
                      <w:highlight w:val="none"/>
                      <w:vertAlign w:val="baseline"/>
                      <w:lang w:val="en-US" w:eastAsia="zh-CN"/>
                    </w:rPr>
                    <w:t>75</w:t>
                  </w:r>
                </w:p>
              </w:tc>
              <w:tc>
                <w:tcPr>
                  <w:tcW w:w="675" w:type="dxa"/>
                  <w:tcBorders>
                    <w:tl2br w:val="nil"/>
                    <w:tr2bl w:val="nil"/>
                  </w:tcBorders>
                  <w:vAlign w:val="center"/>
                </w:tcPr>
                <w:p w14:paraId="747B602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8</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7ADAE33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12</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0AE29972">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1.6</w:t>
                  </w:r>
                </w:p>
              </w:tc>
              <w:tc>
                <w:tcPr>
                  <w:tcW w:w="1261" w:type="dxa"/>
                  <w:tcBorders>
                    <w:tl2br w:val="nil"/>
                    <w:tr2bl w:val="nil"/>
                  </w:tcBorders>
                  <w:vAlign w:val="center"/>
                </w:tcPr>
                <w:p w14:paraId="38CBE64C">
                  <w:pPr>
                    <w:pStyle w:val="46"/>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0659DA5F">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67815061">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6F1993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471ACA30">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13</w:t>
                  </w:r>
                </w:p>
              </w:tc>
              <w:tc>
                <w:tcPr>
                  <w:tcW w:w="1232" w:type="dxa"/>
                  <w:tcBorders>
                    <w:tl2br w:val="nil"/>
                    <w:tr2bl w:val="nil"/>
                  </w:tcBorders>
                  <w:shd w:val="clear" w:color="auto" w:fill="auto"/>
                  <w:vAlign w:val="center"/>
                </w:tcPr>
                <w:p w14:paraId="5E6390BB">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pacing w:val="2"/>
                      <w:kern w:val="2"/>
                      <w:position w:val="1"/>
                      <w:sz w:val="21"/>
                      <w:szCs w:val="24"/>
                      <w:highlight w:val="none"/>
                      <w:lang w:val="en-US" w:eastAsia="zh-CN" w:bidi="ar-SA"/>
                    </w:rPr>
                  </w:pPr>
                  <w:r>
                    <w:rPr>
                      <w:rFonts w:hint="eastAsia" w:ascii="Times New Roman" w:hAnsi="Times New Roman" w:eastAsia="宋体"/>
                      <w:color w:val="auto"/>
                      <w:sz w:val="21"/>
                      <w:szCs w:val="24"/>
                      <w:highlight w:val="none"/>
                    </w:rPr>
                    <w:t>UF2洗</w:t>
                  </w:r>
                  <w:r>
                    <w:rPr>
                      <w:rFonts w:hint="eastAsia" w:ascii="Times New Roman" w:hAnsi="Times New Roman" w:eastAsia="宋体"/>
                      <w:color w:val="auto"/>
                      <w:sz w:val="21"/>
                      <w:szCs w:val="24"/>
                      <w:highlight w:val="none"/>
                      <w:lang w:eastAsia="zh-CN"/>
                    </w:rPr>
                    <w:t>槽</w:t>
                  </w:r>
                </w:p>
              </w:tc>
              <w:tc>
                <w:tcPr>
                  <w:tcW w:w="450" w:type="dxa"/>
                  <w:tcBorders>
                    <w:tl2br w:val="nil"/>
                    <w:tr2bl w:val="nil"/>
                  </w:tcBorders>
                  <w:vAlign w:val="center"/>
                </w:tcPr>
                <w:p w14:paraId="3A6FF612">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default" w:ascii="Times New Roman" w:hAnsi="Times New Roman" w:eastAsia="宋体" w:cs="Times New Roman"/>
                      <w:color w:val="auto"/>
                      <w:sz w:val="21"/>
                      <w:szCs w:val="21"/>
                      <w:highlight w:val="none"/>
                    </w:rPr>
                    <w:t>2</w:t>
                  </w:r>
                </w:p>
              </w:tc>
              <w:tc>
                <w:tcPr>
                  <w:tcW w:w="1077" w:type="dxa"/>
                  <w:tcBorders>
                    <w:tl2br w:val="nil"/>
                    <w:tr2bl w:val="nil"/>
                  </w:tcBorders>
                  <w:vAlign w:val="center"/>
                </w:tcPr>
                <w:p w14:paraId="05E0812D">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w:t>
                  </w:r>
                  <w:r>
                    <w:rPr>
                      <w:rFonts w:hint="eastAsia" w:ascii="Times New Roman" w:hAnsi="Times New Roman" w:eastAsia="宋体"/>
                      <w:color w:val="auto"/>
                      <w:sz w:val="21"/>
                      <w:szCs w:val="21"/>
                      <w:highlight w:val="none"/>
                      <w:vertAlign w:val="baseline"/>
                      <w:lang w:val="en-US" w:eastAsia="zh-CN"/>
                    </w:rPr>
                    <w:t>75</w:t>
                  </w:r>
                </w:p>
              </w:tc>
              <w:tc>
                <w:tcPr>
                  <w:tcW w:w="675" w:type="dxa"/>
                  <w:tcBorders>
                    <w:tl2br w:val="nil"/>
                    <w:tr2bl w:val="nil"/>
                  </w:tcBorders>
                  <w:vAlign w:val="center"/>
                </w:tcPr>
                <w:p w14:paraId="2A3B6D65">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ascii="Times New Roman" w:hAnsi="Times New Roman" w:eastAsia="宋体" w:cs="宋体"/>
                      <w:color w:val="auto"/>
                      <w:sz w:val="21"/>
                      <w:szCs w:val="21"/>
                      <w:highlight w:val="none"/>
                    </w:rPr>
                    <w:t>5.0</w:t>
                  </w:r>
                </w:p>
              </w:tc>
              <w:tc>
                <w:tcPr>
                  <w:tcW w:w="654" w:type="dxa"/>
                  <w:tcBorders>
                    <w:tl2br w:val="nil"/>
                    <w:tr2bl w:val="nil"/>
                  </w:tcBorders>
                  <w:vAlign w:val="center"/>
                </w:tcPr>
                <w:p w14:paraId="78E8F67D">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12</w:t>
                  </w:r>
                  <w:r>
                    <w:rPr>
                      <w:rFonts w:hint="eastAsia" w:ascii="Times New Roman" w:hAnsi="Times New Roman" w:eastAsia="宋体" w:cs="宋体"/>
                      <w:color w:val="auto"/>
                      <w:sz w:val="21"/>
                      <w:szCs w:val="21"/>
                      <w:highlight w:val="none"/>
                      <w:lang w:val="en-US" w:eastAsia="zh-CN"/>
                    </w:rPr>
                    <w:t>.0</w:t>
                  </w:r>
                </w:p>
              </w:tc>
              <w:tc>
                <w:tcPr>
                  <w:tcW w:w="674" w:type="dxa"/>
                  <w:tcBorders>
                    <w:tl2br w:val="nil"/>
                    <w:tr2bl w:val="nil"/>
                  </w:tcBorders>
                  <w:vAlign w:val="center"/>
                </w:tcPr>
                <w:p w14:paraId="7C66733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1.0</w:t>
                  </w:r>
                </w:p>
              </w:tc>
              <w:tc>
                <w:tcPr>
                  <w:tcW w:w="1261" w:type="dxa"/>
                  <w:tcBorders>
                    <w:tl2br w:val="nil"/>
                    <w:tr2bl w:val="nil"/>
                  </w:tcBorders>
                  <w:vAlign w:val="center"/>
                </w:tcPr>
                <w:p w14:paraId="72CED3AD">
                  <w:pPr>
                    <w:pStyle w:val="46"/>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6D3CB521">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3B9169B3">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r w14:paraId="7B027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6" w:type="dxa"/>
                  <w:tcBorders>
                    <w:tl2br w:val="nil"/>
                    <w:tr2bl w:val="nil"/>
                  </w:tcBorders>
                  <w:vAlign w:val="center"/>
                </w:tcPr>
                <w:p w14:paraId="54098861">
                  <w:pPr>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bCs/>
                      <w:color w:val="auto"/>
                      <w:sz w:val="21"/>
                      <w:szCs w:val="21"/>
                      <w:highlight w:val="none"/>
                      <w:lang w:val="en-US" w:eastAsia="zh-CN"/>
                    </w:rPr>
                    <w:t>14</w:t>
                  </w:r>
                </w:p>
              </w:tc>
              <w:tc>
                <w:tcPr>
                  <w:tcW w:w="1232" w:type="dxa"/>
                  <w:tcBorders>
                    <w:tl2br w:val="nil"/>
                    <w:tr2bl w:val="nil"/>
                  </w:tcBorders>
                  <w:shd w:val="clear" w:color="auto" w:fill="auto"/>
                  <w:vAlign w:val="center"/>
                </w:tcPr>
                <w:p w14:paraId="11840238">
                  <w:pPr>
                    <w:pStyle w:val="113"/>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spacing w:val="2"/>
                      <w:kern w:val="2"/>
                      <w:position w:val="1"/>
                      <w:sz w:val="21"/>
                      <w:szCs w:val="24"/>
                      <w:highlight w:val="none"/>
                      <w:lang w:val="en-US" w:eastAsia="zh-CN" w:bidi="ar-SA"/>
                    </w:rPr>
                  </w:pPr>
                  <w:r>
                    <w:rPr>
                      <w:rFonts w:hint="eastAsia" w:ascii="Times New Roman" w:hAnsi="Times New Roman"/>
                      <w:color w:val="auto"/>
                      <w:sz w:val="21"/>
                      <w:szCs w:val="24"/>
                      <w:highlight w:val="none"/>
                      <w:lang w:val="en-US" w:eastAsia="zh-CN"/>
                    </w:rPr>
                    <w:t>天然气</w:t>
                  </w:r>
                  <w:r>
                    <w:rPr>
                      <w:rFonts w:hint="eastAsia" w:ascii="Times New Roman" w:hAnsi="Times New Roman" w:eastAsia="宋体"/>
                      <w:color w:val="auto"/>
                      <w:sz w:val="21"/>
                      <w:szCs w:val="24"/>
                      <w:highlight w:val="none"/>
                      <w:lang w:val="de-DE"/>
                    </w:rPr>
                    <w:t>烘干炉</w:t>
                  </w:r>
                </w:p>
              </w:tc>
              <w:tc>
                <w:tcPr>
                  <w:tcW w:w="450" w:type="dxa"/>
                  <w:tcBorders>
                    <w:tl2br w:val="nil"/>
                    <w:tr2bl w:val="nil"/>
                  </w:tcBorders>
                  <w:vAlign w:val="center"/>
                </w:tcPr>
                <w:p w14:paraId="3C968BAB">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s="Times New Roman"/>
                      <w:color w:val="auto"/>
                      <w:spacing w:val="-10"/>
                      <w:sz w:val="21"/>
                      <w:szCs w:val="21"/>
                      <w:highlight w:val="none"/>
                      <w:lang w:val="en-US" w:eastAsia="zh-CN"/>
                    </w:rPr>
                    <w:t>4</w:t>
                  </w:r>
                </w:p>
              </w:tc>
              <w:tc>
                <w:tcPr>
                  <w:tcW w:w="1077" w:type="dxa"/>
                  <w:tcBorders>
                    <w:tl2br w:val="nil"/>
                    <w:tr2bl w:val="nil"/>
                  </w:tcBorders>
                  <w:vAlign w:val="center"/>
                </w:tcPr>
                <w:p w14:paraId="34A3A95D">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r>
                    <w:rPr>
                      <w:rFonts w:hint="eastAsia" w:ascii="Times New Roman" w:hAnsi="Times New Roman" w:eastAsia="宋体"/>
                      <w:color w:val="auto"/>
                      <w:sz w:val="21"/>
                      <w:szCs w:val="21"/>
                      <w:highlight w:val="none"/>
                      <w:vertAlign w:val="baseline"/>
                    </w:rPr>
                    <w:t>7</w:t>
                  </w:r>
                  <w:r>
                    <w:rPr>
                      <w:rFonts w:hint="eastAsia" w:ascii="Times New Roman" w:hAnsi="Times New Roman" w:eastAsia="宋体"/>
                      <w:color w:val="auto"/>
                      <w:sz w:val="21"/>
                      <w:szCs w:val="21"/>
                      <w:highlight w:val="none"/>
                      <w:vertAlign w:val="baseline"/>
                      <w:lang w:val="en-US" w:eastAsia="zh-CN"/>
                    </w:rPr>
                    <w:t>0</w:t>
                  </w:r>
                  <w:r>
                    <w:rPr>
                      <w:rFonts w:hint="eastAsia" w:ascii="Times New Roman" w:hAnsi="Times New Roman" w:eastAsia="宋体"/>
                      <w:color w:val="auto"/>
                      <w:sz w:val="21"/>
                      <w:szCs w:val="21"/>
                      <w:highlight w:val="none"/>
                      <w:vertAlign w:val="baseline"/>
                    </w:rPr>
                    <w:t>-</w:t>
                  </w:r>
                  <w:r>
                    <w:rPr>
                      <w:rFonts w:hint="eastAsia" w:ascii="Times New Roman" w:hAnsi="Times New Roman" w:eastAsia="宋体"/>
                      <w:color w:val="auto"/>
                      <w:sz w:val="21"/>
                      <w:szCs w:val="21"/>
                      <w:highlight w:val="none"/>
                      <w:vertAlign w:val="baseline"/>
                      <w:lang w:val="en-US" w:eastAsia="zh-CN"/>
                    </w:rPr>
                    <w:t>75</w:t>
                  </w:r>
                </w:p>
              </w:tc>
              <w:tc>
                <w:tcPr>
                  <w:tcW w:w="675" w:type="dxa"/>
                  <w:tcBorders>
                    <w:tl2br w:val="nil"/>
                    <w:tr2bl w:val="nil"/>
                  </w:tcBorders>
                  <w:vAlign w:val="center"/>
                </w:tcPr>
                <w:p w14:paraId="00E5D7D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10</w:t>
                  </w:r>
                  <w:r>
                    <w:rPr>
                      <w:rFonts w:ascii="Times New Roman" w:hAnsi="Times New Roman" w:eastAsia="宋体" w:cs="宋体"/>
                      <w:color w:val="auto"/>
                      <w:sz w:val="21"/>
                      <w:szCs w:val="21"/>
                      <w:highlight w:val="none"/>
                    </w:rPr>
                    <w:t>.0</w:t>
                  </w:r>
                </w:p>
              </w:tc>
              <w:tc>
                <w:tcPr>
                  <w:tcW w:w="654" w:type="dxa"/>
                  <w:tcBorders>
                    <w:tl2br w:val="nil"/>
                    <w:tr2bl w:val="nil"/>
                  </w:tcBorders>
                  <w:vAlign w:val="center"/>
                </w:tcPr>
                <w:p w14:paraId="52E50B7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cs="宋体"/>
                      <w:color w:val="auto"/>
                      <w:sz w:val="21"/>
                      <w:szCs w:val="21"/>
                      <w:highlight w:val="none"/>
                      <w:lang w:val="en-US" w:eastAsia="zh-CN"/>
                    </w:rPr>
                    <w:t>14</w:t>
                  </w:r>
                  <w:r>
                    <w:rPr>
                      <w:rFonts w:ascii="Times New Roman" w:hAnsi="Times New Roman" w:eastAsia="宋体" w:cs="宋体"/>
                      <w:color w:val="auto"/>
                      <w:sz w:val="21"/>
                      <w:szCs w:val="21"/>
                      <w:highlight w:val="none"/>
                    </w:rPr>
                    <w:t>.0</w:t>
                  </w:r>
                </w:p>
              </w:tc>
              <w:tc>
                <w:tcPr>
                  <w:tcW w:w="674" w:type="dxa"/>
                  <w:tcBorders>
                    <w:tl2br w:val="nil"/>
                    <w:tr2bl w:val="nil"/>
                  </w:tcBorders>
                  <w:vAlign w:val="center"/>
                </w:tcPr>
                <w:p w14:paraId="604E0CB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olor w:val="auto"/>
                      <w:sz w:val="21"/>
                      <w:szCs w:val="21"/>
                      <w:highlight w:val="none"/>
                      <w:vertAlign w:val="baseline"/>
                      <w:lang w:val="en-US" w:eastAsia="zh-CN"/>
                    </w:rPr>
                  </w:pPr>
                  <w:r>
                    <w:rPr>
                      <w:rFonts w:hint="eastAsia" w:ascii="Times New Roman" w:hAnsi="Times New Roman" w:eastAsia="宋体" w:cs="宋体"/>
                      <w:color w:val="auto"/>
                      <w:sz w:val="21"/>
                      <w:szCs w:val="21"/>
                      <w:highlight w:val="none"/>
                      <w:lang w:val="en-US" w:eastAsia="zh-CN"/>
                    </w:rPr>
                    <w:t>1.2</w:t>
                  </w:r>
                </w:p>
              </w:tc>
              <w:tc>
                <w:tcPr>
                  <w:tcW w:w="1261" w:type="dxa"/>
                  <w:tcBorders>
                    <w:tl2br w:val="nil"/>
                    <w:tr2bl w:val="nil"/>
                  </w:tcBorders>
                  <w:vAlign w:val="center"/>
                </w:tcPr>
                <w:p w14:paraId="2E862397">
                  <w:pPr>
                    <w:pStyle w:val="46"/>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eastAsia" w:ascii="Times New Roman" w:hAnsi="Times New Roman" w:eastAsia="宋体"/>
                      <w:color w:val="auto"/>
                      <w:sz w:val="21"/>
                      <w:szCs w:val="21"/>
                      <w:highlight w:val="none"/>
                      <w:vertAlign w:val="baseline"/>
                      <w:lang w:val="en-US" w:eastAsia="zh-CN"/>
                    </w:rPr>
                  </w:pPr>
                  <w:r>
                    <w:rPr>
                      <w:rFonts w:hint="eastAsia" w:ascii="Times New Roman" w:hAnsi="Times New Roman" w:eastAsia="宋体"/>
                      <w:color w:val="auto"/>
                      <w:sz w:val="21"/>
                      <w:szCs w:val="21"/>
                      <w:highlight w:val="none"/>
                      <w:vertAlign w:val="baseline"/>
                      <w:lang w:val="en-US" w:eastAsia="zh-CN"/>
                    </w:rPr>
                    <w:t>点源</w:t>
                  </w:r>
                </w:p>
              </w:tc>
              <w:tc>
                <w:tcPr>
                  <w:tcW w:w="960" w:type="dxa"/>
                  <w:vMerge w:val="continue"/>
                  <w:tcBorders>
                    <w:tl2br w:val="nil"/>
                    <w:tr2bl w:val="nil"/>
                  </w:tcBorders>
                  <w:vAlign w:val="center"/>
                </w:tcPr>
                <w:p w14:paraId="3CFF34F7">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c>
                <w:tcPr>
                  <w:tcW w:w="1337" w:type="dxa"/>
                  <w:vMerge w:val="continue"/>
                  <w:tcBorders>
                    <w:tl2br w:val="nil"/>
                    <w:tr2bl w:val="nil"/>
                  </w:tcBorders>
                  <w:vAlign w:val="center"/>
                </w:tcPr>
                <w:p w14:paraId="5BE10375">
                  <w:pPr>
                    <w:pStyle w:val="46"/>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olor w:val="auto"/>
                      <w:sz w:val="21"/>
                      <w:szCs w:val="21"/>
                      <w:highlight w:val="none"/>
                      <w:vertAlign w:val="baseline"/>
                    </w:rPr>
                  </w:pPr>
                </w:p>
              </w:tc>
            </w:tr>
          </w:tbl>
          <w:p w14:paraId="1A27196B">
            <w:pPr>
              <w:pStyle w:val="46"/>
              <w:jc w:val="left"/>
              <w:rPr>
                <w:rFonts w:hint="default" w:eastAsia="宋体"/>
                <w:color w:val="auto"/>
                <w:highlight w:val="none"/>
                <w:lang w:val="en-US" w:eastAsia="zh-CN"/>
              </w:rPr>
            </w:pPr>
            <w:r>
              <w:rPr>
                <w:rFonts w:hint="eastAsia"/>
                <w:color w:val="auto"/>
                <w:highlight w:val="none"/>
                <w:lang w:val="en-US" w:eastAsia="zh-CN"/>
              </w:rPr>
              <w:t>注：以厂区中心为原点；生产运行期间稳定声源，一天运行8h,夜间不生产。</w:t>
            </w:r>
          </w:p>
          <w:p w14:paraId="466C9A90">
            <w:pPr>
              <w:pStyle w:val="4"/>
              <w:numPr>
                <w:ilvl w:val="2"/>
                <w:numId w:val="1"/>
              </w:numPr>
              <w:bidi w:val="0"/>
              <w:ind w:left="720" w:leftChars="0" w:hanging="720" w:firstLineChars="0"/>
              <w:rPr>
                <w:rFonts w:hint="eastAsia" w:eastAsia="宋体"/>
                <w:color w:val="auto"/>
                <w:highlight w:val="none"/>
              </w:rPr>
            </w:pPr>
            <w:r>
              <w:rPr>
                <w:rFonts w:hint="eastAsia" w:eastAsia="宋体"/>
                <w:color w:val="auto"/>
                <w:highlight w:val="none"/>
              </w:rPr>
              <w:t>运营期</w:t>
            </w:r>
            <w:bookmarkEnd w:id="51"/>
            <w:bookmarkEnd w:id="52"/>
            <w:bookmarkEnd w:id="53"/>
            <w:r>
              <w:rPr>
                <w:rFonts w:hint="eastAsia" w:eastAsia="宋体"/>
                <w:color w:val="auto"/>
                <w:highlight w:val="none"/>
              </w:rPr>
              <w:t>噪声预测模式</w:t>
            </w:r>
          </w:p>
          <w:p w14:paraId="7F1AEFF0">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rPr>
              <w:t>根据《环境影响评价技术导则 声环境》（HJ2.4-20</w:t>
            </w:r>
            <w:r>
              <w:rPr>
                <w:rFonts w:hint="default"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）的技术要求，本次评价采取导则推荐模式。</w:t>
            </w:r>
          </w:p>
          <w:p w14:paraId="29CEF791">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（1）</w:t>
            </w:r>
            <w:r>
              <w:rPr>
                <w:rFonts w:hint="default" w:ascii="Times New Roman" w:hAnsi="Times New Roman" w:eastAsia="宋体" w:cs="Times New Roman"/>
                <w:color w:val="auto"/>
                <w:sz w:val="24"/>
                <w:highlight w:val="none"/>
                <w:lang w:val="en-US" w:eastAsia="zh-CN"/>
              </w:rPr>
              <w:t>室内声源计算公式</w:t>
            </w:r>
          </w:p>
          <w:p w14:paraId="0982B980">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①计算出某个室内靠近围护结构处的倍频带声压级：</w:t>
            </w:r>
          </w:p>
          <w:p w14:paraId="76BEF301">
            <w:pPr>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position w:val="-28"/>
                <w:sz w:val="24"/>
                <w:highlight w:val="none"/>
              </w:rPr>
              <w:object>
                <v:shape id="_x0000_i1025" o:spt="75" type="#_x0000_t75" style="height:34pt;width:132.95pt;" o:ole="t" filled="f" o:preferrelative="t" stroked="f" coordsize="21600,21600">
                  <v:path/>
                  <v:fill on="f" focussize="0,0"/>
                  <v:stroke on="f"/>
                  <v:imagedata r:id="rId31" o:title=""/>
                  <o:lock v:ext="edit" aspectratio="t"/>
                  <w10:wrap type="none"/>
                  <w10:anchorlock/>
                </v:shape>
                <o:OLEObject Type="Embed" ProgID="Equation.3" ShapeID="_x0000_i1025" DrawAspect="Content" ObjectID="_1468075725" r:id="rId30">
                  <o:LockedField>false</o:LockedField>
                </o:OLEObject>
              </w:object>
            </w:r>
          </w:p>
          <w:p w14:paraId="57EE7C98">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w:t>
            </w:r>
            <w:r>
              <w:rPr>
                <w:rFonts w:hint="default" w:ascii="Times New Roman" w:hAnsi="Times New Roman" w:eastAsia="宋体" w:cs="Times New Roman"/>
                <w:color w:val="auto"/>
                <w:sz w:val="24"/>
                <w:highlight w:val="none"/>
                <w:vertAlign w:val="subscript"/>
                <w:lang w:val="en-US" w:eastAsia="zh-CN"/>
              </w:rPr>
              <w:t>p1</w:t>
            </w:r>
            <w:r>
              <w:rPr>
                <w:rFonts w:hint="default" w:ascii="Times New Roman" w:hAnsi="Times New Roman" w:eastAsia="宋体" w:cs="Times New Roman"/>
                <w:color w:val="auto"/>
                <w:sz w:val="24"/>
                <w:highlight w:val="none"/>
              </w:rPr>
              <w:t>——某个室内声源在靠近围护结构处产生的倍频带声压级；</w:t>
            </w:r>
          </w:p>
          <w:p w14:paraId="2772BD16">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lang w:val="en-US" w:eastAsia="zh-CN"/>
              </w:rPr>
              <w:t>w</w:t>
            </w:r>
            <w:r>
              <w:rPr>
                <w:rFonts w:hint="default" w:ascii="Times New Roman" w:hAnsi="Times New Roman" w:eastAsia="宋体" w:cs="Times New Roman"/>
                <w:color w:val="auto"/>
                <w:sz w:val="24"/>
                <w:highlight w:val="none"/>
              </w:rPr>
              <w:t>——某个声源的倍频带声功率级；</w:t>
            </w:r>
          </w:p>
          <w:p w14:paraId="670E7368">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rPr>
              <w:t>——室内某个声源与靠近围护结构处的距离；</w:t>
            </w:r>
          </w:p>
          <w:p w14:paraId="453BC9CE">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房间常数</w:t>
            </w:r>
            <w:r>
              <w:rPr>
                <w:rFonts w:hint="default" w:ascii="Times New Roman" w:hAnsi="Times New Roman" w:eastAsia="宋体" w:cs="Times New Roman"/>
                <w:color w:val="auto"/>
                <w:sz w:val="24"/>
                <w:highlight w:val="none"/>
              </w:rPr>
              <w:t>；</w:t>
            </w:r>
          </w:p>
          <w:p w14:paraId="57FD87D9">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Q</w:t>
            </w:r>
            <w:r>
              <w:rPr>
                <w:rFonts w:hint="default"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指向性因素</w:t>
            </w:r>
            <w:r>
              <w:rPr>
                <w:rFonts w:hint="default" w:ascii="Times New Roman" w:hAnsi="Times New Roman" w:eastAsia="宋体" w:cs="Times New Roman"/>
                <w:color w:val="auto"/>
                <w:sz w:val="24"/>
                <w:highlight w:val="none"/>
              </w:rPr>
              <w:t>。</w:t>
            </w:r>
          </w:p>
          <w:p w14:paraId="2F2A881D">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②计算出所有室内声源在靠近围护结构处产生的总倍频带声压级：</w:t>
            </w:r>
          </w:p>
          <w:p w14:paraId="58A76A4E">
            <w:pPr>
              <w:bidi w:val="0"/>
              <w:ind w:left="0" w:leftChars="0" w:firstLine="0" w:firstLineChars="0"/>
              <w:jc w:val="center"/>
              <w:rPr>
                <w:rFonts w:hint="default" w:ascii="Times New Roman" w:hAnsi="Times New Roman" w:cs="Times New Roman"/>
                <w:color w:val="auto"/>
                <w:position w:val="-32"/>
                <w:sz w:val="24"/>
                <w:highlight w:val="none"/>
              </w:rPr>
            </w:pPr>
            <w:r>
              <w:rPr>
                <w:rFonts w:hint="default" w:ascii="Times New Roman" w:hAnsi="Times New Roman" w:cs="Times New Roman"/>
                <w:color w:val="auto"/>
                <w:position w:val="-32"/>
                <w:sz w:val="24"/>
                <w:highlight w:val="none"/>
              </w:rPr>
              <w:object>
                <v:shape id="_x0000_i1026" o:spt="75" type="#_x0000_t75" style="height:38pt;width:131pt;" o:ole="t" filled="f" o:preferrelative="t" stroked="f" coordsize="21600,21600">
                  <v:path/>
                  <v:fill on="f" focussize="0,0"/>
                  <v:stroke on="f"/>
                  <v:imagedata r:id="rId33" o:title=""/>
                  <o:lock v:ext="edit" aspectratio="t"/>
                  <w10:wrap type="none"/>
                  <w10:anchorlock/>
                </v:shape>
                <o:OLEObject Type="Embed" ProgID="Equation.3" ShapeID="_x0000_i1026" DrawAspect="Content" ObjectID="_1468075726" r:id="rId32">
                  <o:LockedField>false</o:LockedField>
                </o:OLEObject>
              </w:object>
            </w:r>
          </w:p>
          <w:p w14:paraId="5253D61A">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式中：</w:t>
            </w:r>
            <w:r>
              <w:rPr>
                <w:rFonts w:hint="eastAsia" w:ascii="Times New Roman" w:hAnsi="Times New Roman" w:eastAsia="宋体" w:cs="Times New Roman"/>
                <w:color w:val="auto"/>
                <w:sz w:val="24"/>
                <w:highlight w:val="none"/>
                <w:lang w:val="en-US" w:eastAsia="zh-CN"/>
              </w:rPr>
              <w:t>L</w:t>
            </w:r>
            <w:r>
              <w:rPr>
                <w:rFonts w:hint="eastAsia" w:ascii="Times New Roman" w:hAnsi="Times New Roman" w:eastAsia="宋体" w:cs="Times New Roman"/>
                <w:color w:val="auto"/>
                <w:sz w:val="24"/>
                <w:highlight w:val="none"/>
                <w:vertAlign w:val="subscript"/>
                <w:lang w:val="en-US" w:eastAsia="zh-CN"/>
              </w:rPr>
              <w:t>pli</w:t>
            </w:r>
            <w:r>
              <w:rPr>
                <w:rFonts w:hint="eastAsia"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lang w:val="en-US" w:eastAsia="zh-CN"/>
              </w:rPr>
              <w:t>——靠近维护结构处室内N个声源i倍频带的叠加声压级，dB；</w:t>
            </w:r>
          </w:p>
          <w:p w14:paraId="0A8FDDDB">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L</w:t>
            </w:r>
            <w:r>
              <w:rPr>
                <w:rFonts w:hint="default" w:ascii="Times New Roman" w:hAnsi="Times New Roman" w:eastAsia="宋体" w:cs="Times New Roman"/>
                <w:color w:val="auto"/>
                <w:sz w:val="24"/>
                <w:highlight w:val="none"/>
                <w:vertAlign w:val="subscript"/>
                <w:lang w:val="en-US" w:eastAsia="zh-CN"/>
              </w:rPr>
              <w:t>p</w:t>
            </w:r>
            <w:r>
              <w:rPr>
                <w:rFonts w:hint="eastAsia" w:ascii="Times New Roman" w:hAnsi="Times New Roman" w:eastAsia="宋体" w:cs="Times New Roman"/>
                <w:color w:val="auto"/>
                <w:sz w:val="24"/>
                <w:highlight w:val="none"/>
                <w:vertAlign w:val="subscript"/>
                <w:lang w:val="en-US" w:eastAsia="zh-CN"/>
              </w:rPr>
              <w:t>l</w:t>
            </w:r>
            <w:r>
              <w:rPr>
                <w:rFonts w:hint="default" w:ascii="Times New Roman" w:hAnsi="Times New Roman" w:eastAsia="宋体" w:cs="Times New Roman"/>
                <w:color w:val="auto"/>
                <w:sz w:val="24"/>
                <w:highlight w:val="none"/>
                <w:vertAlign w:val="subscript"/>
                <w:lang w:val="en-US" w:eastAsia="zh-CN"/>
              </w:rPr>
              <w:t>ij</w:t>
            </w:r>
            <w:r>
              <w:rPr>
                <w:rFonts w:hint="default" w:ascii="Times New Roman" w:hAnsi="Times New Roman" w:eastAsia="宋体" w:cs="Times New Roman"/>
                <w:color w:val="auto"/>
                <w:sz w:val="24"/>
                <w:highlight w:val="none"/>
                <w:lang w:val="en-US" w:eastAsia="zh-CN"/>
              </w:rPr>
              <w:t>——室内j声源i倍频带的声压级，dB；</w:t>
            </w:r>
          </w:p>
          <w:p w14:paraId="487C3C49">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N——室内声源总数。</w:t>
            </w:r>
          </w:p>
          <w:p w14:paraId="4FD52BB2">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（2）</w:t>
            </w:r>
            <w:r>
              <w:rPr>
                <w:rFonts w:hint="default" w:ascii="Times New Roman" w:hAnsi="Times New Roman" w:eastAsia="宋体" w:cs="Times New Roman"/>
                <w:color w:val="auto"/>
                <w:sz w:val="24"/>
                <w:highlight w:val="none"/>
                <w:lang w:val="en-US" w:eastAsia="zh-CN"/>
              </w:rPr>
              <w:t>室外声源传播衰减公式</w:t>
            </w:r>
          </w:p>
          <w:p w14:paraId="0F0D7042">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计算某个声源在预测点的倍频带声压级：</w:t>
            </w:r>
          </w:p>
          <w:p w14:paraId="45A1103D">
            <w:pPr>
              <w:keepNext w:val="0"/>
              <w:bidi w:val="0"/>
              <w:adjustRightInd/>
              <w:snapToGrid/>
              <w:spacing w:line="360" w:lineRule="auto"/>
              <w:ind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27" o:spt="75" type="#_x0000_t75" style="height:38pt;width:153pt;" o:ole="t" filled="f" o:preferrelative="t" stroked="f" coordsize="21600,21600">
                  <v:path/>
                  <v:fill on="f" focussize="0,0"/>
                  <v:stroke on="f"/>
                  <v:imagedata r:id="rId35" o:title=""/>
                  <o:lock v:ext="edit" aspectratio="t"/>
                  <w10:wrap type="none"/>
                  <w10:anchorlock/>
                </v:shape>
                <o:OLEObject Type="Embed" ProgID="Equation.3" ShapeID="_x0000_i1027" DrawAspect="Content" ObjectID="_1468075727" r:id="rId34">
                  <o:LockedField>false</o:LockedField>
                </o:OLEObject>
              </w:object>
            </w:r>
          </w:p>
          <w:p w14:paraId="266F83C5">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式中：L</w:t>
            </w:r>
            <w:r>
              <w:rPr>
                <w:rFonts w:hint="default" w:ascii="Times New Roman" w:hAnsi="Times New Roman" w:eastAsia="宋体" w:cs="Times New Roman"/>
                <w:color w:val="auto"/>
                <w:sz w:val="24"/>
                <w:highlight w:val="none"/>
                <w:vertAlign w:val="subscript"/>
                <w:lang w:val="en-US" w:eastAsia="zh-CN"/>
              </w:rPr>
              <w:t>p</w:t>
            </w: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rPr>
              <w:t>——点声源在预测点产生的倍频带声压级；</w:t>
            </w:r>
          </w:p>
          <w:p w14:paraId="6557DF7A">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L</w:t>
            </w:r>
            <w:r>
              <w:rPr>
                <w:rFonts w:hint="default" w:ascii="Times New Roman" w:hAnsi="Times New Roman" w:eastAsia="宋体" w:cs="Times New Roman"/>
                <w:color w:val="auto"/>
                <w:sz w:val="24"/>
                <w:highlight w:val="none"/>
                <w:vertAlign w:val="subscript"/>
                <w:lang w:val="en-US" w:eastAsia="zh-CN"/>
              </w:rPr>
              <w:t>p</w:t>
            </w:r>
            <w:r>
              <w:rPr>
                <w:rFonts w:hint="default" w:ascii="Times New Roman" w:hAnsi="Times New Roman" w:eastAsia="宋体" w:cs="Times New Roman"/>
                <w:color w:val="auto"/>
                <w:sz w:val="24"/>
                <w:highlight w:val="none"/>
                <w:lang w:val="en-US" w:eastAsia="zh-CN"/>
              </w:rPr>
              <w:t>（r0）</w:t>
            </w:r>
            <w:r>
              <w:rPr>
                <w:rFonts w:hint="default" w:ascii="Times New Roman" w:hAnsi="Times New Roman" w:eastAsia="宋体" w:cs="Times New Roman"/>
                <w:color w:val="auto"/>
                <w:sz w:val="24"/>
                <w:highlight w:val="none"/>
              </w:rPr>
              <w:t>——参考位置r0处的倍频带声压级；</w:t>
            </w:r>
          </w:p>
          <w:p w14:paraId="35095138">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rPr>
              <w:t>——预测点距声源的距离，m；</w:t>
            </w:r>
          </w:p>
          <w:p w14:paraId="5D756033">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r</w:t>
            </w:r>
            <w:r>
              <w:rPr>
                <w:rFonts w:hint="default" w:ascii="Times New Roman" w:hAnsi="Times New Roman" w:eastAsia="宋体" w:cs="Times New Roman"/>
                <w:color w:val="auto"/>
                <w:sz w:val="24"/>
                <w:highlight w:val="none"/>
                <w:vertAlign w:val="subscript"/>
                <w:lang w:val="en-US" w:eastAsia="zh-CN"/>
              </w:rPr>
              <w:t>0</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val="en-US" w:eastAsia="zh-CN"/>
              </w:rPr>
              <w:t>参考位置距声源的距离，m</w:t>
            </w:r>
            <w:r>
              <w:rPr>
                <w:rFonts w:hint="default" w:ascii="Times New Roman" w:hAnsi="Times New Roman" w:eastAsia="宋体" w:cs="Times New Roman"/>
                <w:color w:val="auto"/>
                <w:sz w:val="24"/>
                <w:highlight w:val="none"/>
              </w:rPr>
              <w:t>；</w:t>
            </w:r>
          </w:p>
          <w:p w14:paraId="26C8D946">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val="en-US" w:eastAsia="zh-CN"/>
              </w:rPr>
              <w:t>ΔL</w:t>
            </w:r>
            <w:r>
              <w:rPr>
                <w:rFonts w:hint="default" w:ascii="Times New Roman" w:hAnsi="Times New Roman" w:eastAsia="宋体" w:cs="Times New Roman"/>
                <w:color w:val="auto"/>
                <w:sz w:val="24"/>
                <w:highlight w:val="none"/>
                <w:vertAlign w:val="subscript"/>
                <w:lang w:val="en-US" w:eastAsia="zh-CN"/>
              </w:rPr>
              <w:t>p</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各种因素引起的衰减量</w:t>
            </w:r>
            <w:r>
              <w:rPr>
                <w:rFonts w:hint="default" w:ascii="Times New Roman" w:hAnsi="Times New Roman" w:eastAsia="宋体" w:cs="Times New Roman"/>
                <w:color w:val="auto"/>
                <w:sz w:val="24"/>
                <w:highlight w:val="none"/>
              </w:rPr>
              <w:t>。</w:t>
            </w:r>
          </w:p>
          <w:p w14:paraId="7CD31180">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声源叠加贡献值公式</w:t>
            </w:r>
          </w:p>
          <w:p w14:paraId="05A00F5A">
            <w:pPr>
              <w:keepNext w:val="0"/>
              <w:bidi w:val="0"/>
              <w:adjustRightInd/>
              <w:snapToGrid/>
              <w:spacing w:line="360" w:lineRule="auto"/>
              <w:ind w:firstLine="480" w:firstLineChars="200"/>
              <w:jc w:val="center"/>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28" o:spt="75" type="#_x0000_t75" style="height:38pt;width:132pt;" o:ole="t" filled="f" o:preferrelative="t" stroked="f" coordsize="21600,21600">
                  <v:path/>
                  <v:fill on="f" focussize="0,0"/>
                  <v:stroke on="f"/>
                  <v:imagedata r:id="rId37" o:title=""/>
                  <o:lock v:ext="edit" aspectratio="t"/>
                  <w10:wrap type="none"/>
                  <w10:anchorlock/>
                </v:shape>
                <o:OLEObject Type="Embed" ProgID="Equation.3" ShapeID="_x0000_i1028" DrawAspect="Content" ObjectID="_1468075728" r:id="rId36">
                  <o:LockedField>false</o:LockedField>
                </o:OLEObject>
              </w:object>
            </w:r>
          </w:p>
          <w:p w14:paraId="6FE42AFF">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式中：Leq</w:t>
            </w:r>
            <w:r>
              <w:rPr>
                <w:rFonts w:hint="default" w:ascii="Times New Roman" w:hAnsi="Times New Roman" w:eastAsia="宋体" w:cs="Times New Roman"/>
                <w:color w:val="auto"/>
                <w:sz w:val="24"/>
                <w:highlight w:val="none"/>
                <w:lang w:val="en-US" w:eastAsia="zh-CN"/>
              </w:rPr>
              <w:t>g</w:t>
            </w:r>
            <w:r>
              <w:rPr>
                <w:rFonts w:hint="default" w:ascii="Times New Roman" w:hAnsi="Times New Roman" w:eastAsia="宋体" w:cs="Times New Roman"/>
                <w:color w:val="auto"/>
                <w:sz w:val="24"/>
                <w:highlight w:val="none"/>
                <w:lang w:eastAsia="zh-CN"/>
              </w:rPr>
              <w:t>——建设项目声源在预测点的等声级贡献值，dB（A）；</w:t>
            </w:r>
          </w:p>
          <w:p w14:paraId="76CEB8A0">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lang w:val="en-US" w:eastAsia="zh-CN"/>
              </w:rPr>
              <w:t>Ai</w:t>
            </w:r>
            <w:r>
              <w:rPr>
                <w:rFonts w:hint="default" w:ascii="Times New Roman" w:hAnsi="Times New Roman" w:eastAsia="宋体" w:cs="Times New Roman"/>
                <w:color w:val="auto"/>
                <w:sz w:val="24"/>
                <w:highlight w:val="none"/>
                <w:lang w:eastAsia="zh-CN"/>
              </w:rPr>
              <w:t>——i声源在预测点产生的A声级，dB（A）；</w:t>
            </w:r>
          </w:p>
          <w:p w14:paraId="7187EC73">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T</w:t>
            </w:r>
            <w:r>
              <w:rPr>
                <w:rFonts w:hint="default" w:ascii="Times New Roman" w:hAnsi="Times New Roman" w:eastAsia="宋体" w:cs="Times New Roman"/>
                <w:color w:val="auto"/>
                <w:sz w:val="24"/>
                <w:highlight w:val="none"/>
                <w:lang w:eastAsia="zh-CN"/>
              </w:rPr>
              <w:t>——预测计算的时间段，</w:t>
            </w:r>
            <w:r>
              <w:rPr>
                <w:rFonts w:hint="default" w:ascii="Times New Roman" w:hAnsi="Times New Roman" w:eastAsia="宋体" w:cs="Times New Roman"/>
                <w:color w:val="auto"/>
                <w:sz w:val="24"/>
                <w:highlight w:val="none"/>
                <w:lang w:val="en-US" w:eastAsia="zh-CN"/>
              </w:rPr>
              <w:t>s；</w:t>
            </w:r>
          </w:p>
          <w:p w14:paraId="19827EB9">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val="en-US" w:eastAsia="zh-CN"/>
              </w:rPr>
              <w:t>ti——i声源在T时段内的运行时间，s</w:t>
            </w:r>
            <w:r>
              <w:rPr>
                <w:rFonts w:hint="default" w:ascii="Times New Roman" w:hAnsi="Times New Roman" w:eastAsia="宋体" w:cs="Times New Roman"/>
                <w:color w:val="auto"/>
                <w:sz w:val="24"/>
                <w:highlight w:val="none"/>
                <w:lang w:eastAsia="zh-CN"/>
              </w:rPr>
              <w:t>。</w:t>
            </w:r>
          </w:p>
          <w:p w14:paraId="3D998E95">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4</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lang w:val="en-US" w:eastAsia="zh-CN"/>
              </w:rPr>
              <w:t>预测值公式</w:t>
            </w:r>
          </w:p>
          <w:p w14:paraId="5B83C2DC">
            <w:pPr>
              <w:keepNext w:val="0"/>
              <w:bidi w:val="0"/>
              <w:adjustRightInd/>
              <w:snapToGrid/>
              <w:spacing w:line="360" w:lineRule="auto"/>
              <w:ind w:firstLine="480" w:firstLineChars="200"/>
              <w:jc w:val="center"/>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object>
                <v:shape id="_x0000_i1029" o:spt="75" type="#_x0000_t75" style="height:21pt;width:135pt;" o:ole="t" filled="f" o:preferrelative="t" stroked="f" coordsize="21600,21600">
                  <v:path/>
                  <v:fill on="f" focussize="0,0"/>
                  <v:stroke on="f"/>
                  <v:imagedata r:id="rId39" o:title=""/>
                  <o:lock v:ext="edit" aspectratio="t"/>
                  <w10:wrap type="none"/>
                  <w10:anchorlock/>
                </v:shape>
                <o:OLEObject Type="Embed" ProgID="Equation.3" ShapeID="_x0000_i1029" DrawAspect="Content" ObjectID="_1468075729" r:id="rId38">
                  <o:LockedField>false</o:LockedField>
                </o:OLEObject>
              </w:object>
            </w:r>
          </w:p>
          <w:p w14:paraId="59E5BBEF">
            <w:pPr>
              <w:keepNext w:val="0"/>
              <w:bidi w:val="0"/>
              <w:adjustRightInd/>
              <w:snapToGrid/>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式中：Leq——</w:t>
            </w:r>
            <w:r>
              <w:rPr>
                <w:rFonts w:hint="default" w:ascii="Times New Roman" w:hAnsi="Times New Roman" w:eastAsia="宋体" w:cs="Times New Roman"/>
                <w:color w:val="auto"/>
                <w:sz w:val="24"/>
                <w:highlight w:val="none"/>
                <w:lang w:val="en-US" w:eastAsia="zh-CN"/>
              </w:rPr>
              <w:t>预测点的总声压级</w:t>
            </w:r>
            <w:r>
              <w:rPr>
                <w:rFonts w:hint="default" w:ascii="Times New Roman" w:hAnsi="Times New Roman" w:eastAsia="宋体" w:cs="Times New Roman"/>
                <w:color w:val="auto"/>
                <w:sz w:val="24"/>
                <w:highlight w:val="none"/>
                <w:lang w:eastAsia="zh-CN"/>
              </w:rPr>
              <w:t>，dB（A）；</w:t>
            </w:r>
          </w:p>
          <w:p w14:paraId="210843BD">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lang w:val="en-US" w:eastAsia="zh-CN"/>
              </w:rPr>
              <w:t>eqg</w:t>
            </w:r>
            <w:r>
              <w:rPr>
                <w:rFonts w:hint="default" w:ascii="Times New Roman" w:hAnsi="Times New Roman" w:eastAsia="宋体" w:cs="Times New Roman"/>
                <w:color w:val="auto"/>
                <w:sz w:val="24"/>
                <w:highlight w:val="none"/>
                <w:lang w:eastAsia="zh-CN"/>
              </w:rPr>
              <w:t>——建设项目声源在预测点的等效声级贡献值，dB（A）；</w:t>
            </w:r>
          </w:p>
          <w:p w14:paraId="658B2E1B">
            <w:pPr>
              <w:keepNext w:val="0"/>
              <w:bidi w:val="0"/>
              <w:adjustRightInd/>
              <w:snapToGrid/>
              <w:spacing w:line="360" w:lineRule="auto"/>
              <w:ind w:firstLine="1200" w:firstLineChars="5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highlight w:val="none"/>
                <w:lang w:eastAsia="zh-CN"/>
              </w:rPr>
              <w:t>L</w:t>
            </w:r>
            <w:r>
              <w:rPr>
                <w:rFonts w:hint="default" w:ascii="Times New Roman" w:hAnsi="Times New Roman" w:eastAsia="宋体" w:cs="Times New Roman"/>
                <w:color w:val="auto"/>
                <w:sz w:val="24"/>
                <w:highlight w:val="none"/>
                <w:lang w:val="en-US" w:eastAsia="zh-CN"/>
              </w:rPr>
              <w:t>eqb</w:t>
            </w:r>
            <w:r>
              <w:rPr>
                <w:rFonts w:hint="default" w:ascii="Times New Roman" w:hAnsi="Times New Roman" w:eastAsia="宋体" w:cs="Times New Roman"/>
                <w:color w:val="auto"/>
                <w:sz w:val="24"/>
                <w:highlight w:val="none"/>
                <w:lang w:eastAsia="zh-CN"/>
              </w:rPr>
              <w:t>——预测点的背景值，dB（A）。</w:t>
            </w:r>
          </w:p>
          <w:p w14:paraId="5206BB99">
            <w:pPr>
              <w:pStyle w:val="4"/>
              <w:numPr>
                <w:ilvl w:val="2"/>
                <w:numId w:val="1"/>
              </w:numPr>
              <w:bidi w:val="0"/>
              <w:ind w:left="720" w:leftChars="0" w:hanging="720" w:firstLineChars="0"/>
              <w:rPr>
                <w:rFonts w:hint="eastAsia" w:eastAsia="宋体"/>
                <w:color w:val="auto"/>
                <w:highlight w:val="none"/>
              </w:rPr>
            </w:pPr>
            <w:r>
              <w:rPr>
                <w:rFonts w:hint="eastAsia" w:eastAsia="宋体"/>
                <w:color w:val="auto"/>
                <w:highlight w:val="none"/>
              </w:rPr>
              <w:t>噪声预测及影响评价</w:t>
            </w:r>
          </w:p>
          <w:p w14:paraId="166FE2A9">
            <w:pPr>
              <w:pStyle w:val="44"/>
              <w:ind w:firstLine="480"/>
              <w:rPr>
                <w:color w:val="auto"/>
                <w:highlight w:val="none"/>
              </w:rPr>
            </w:pPr>
            <w:r>
              <w:rPr>
                <w:color w:val="auto"/>
                <w:highlight w:val="none"/>
              </w:rPr>
              <w:t>本项目</w:t>
            </w:r>
            <w:r>
              <w:rPr>
                <w:rFonts w:hint="eastAsia"/>
                <w:color w:val="auto"/>
                <w:highlight w:val="none"/>
                <w:lang w:val="en-US" w:eastAsia="zh-CN"/>
              </w:rPr>
              <w:t>噪声预测结果</w:t>
            </w:r>
            <w:r>
              <w:rPr>
                <w:color w:val="auto"/>
                <w:highlight w:val="none"/>
              </w:rPr>
              <w:t>详见表</w:t>
            </w:r>
            <w:r>
              <w:rPr>
                <w:rFonts w:hint="eastAsia"/>
                <w:color w:val="auto"/>
                <w:highlight w:val="none"/>
                <w:lang w:val="en-US" w:eastAsia="zh-CN"/>
              </w:rPr>
              <w:t>4.4-2</w:t>
            </w:r>
            <w:r>
              <w:rPr>
                <w:color w:val="auto"/>
                <w:highlight w:val="none"/>
              </w:rPr>
              <w:t>。</w:t>
            </w:r>
          </w:p>
          <w:p w14:paraId="10E6F3C5">
            <w:pPr>
              <w:pStyle w:val="42"/>
              <w:tabs>
                <w:tab w:val="left" w:pos="0"/>
                <w:tab w:val="clear" w:pos="420"/>
              </w:tabs>
              <w:bidi w:val="0"/>
              <w:ind w:left="210" w:leftChars="0" w:firstLineChars="0"/>
              <w:rPr>
                <w:color w:val="auto"/>
                <w:highlight w:val="none"/>
                <w:lang w:eastAsia="zh-CN"/>
              </w:rPr>
            </w:pPr>
            <w:bookmarkStart w:id="54" w:name="_Ref31583"/>
            <w:r>
              <w:rPr>
                <w:color w:val="auto"/>
                <w:highlight w:val="none"/>
                <w:lang w:eastAsia="zh-CN"/>
              </w:rPr>
              <w:t>厂界噪声预测结果与达标分析表</w:t>
            </w:r>
            <w:bookmarkEnd w:id="54"/>
          </w:p>
          <w:tbl>
            <w:tblPr>
              <w:tblStyle w:val="34"/>
              <w:tblW w:w="4997"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76"/>
              <w:gridCol w:w="2361"/>
              <w:gridCol w:w="1333"/>
              <w:gridCol w:w="1415"/>
              <w:gridCol w:w="1839"/>
            </w:tblGrid>
            <w:tr w14:paraId="6C526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107" w:type="pct"/>
                  <w:tcBorders>
                    <w:bottom w:val="single" w:color="auto" w:sz="12" w:space="0"/>
                  </w:tcBorders>
                  <w:shd w:val="clear" w:color="auto" w:fill="auto"/>
                  <w:vAlign w:val="center"/>
                </w:tcPr>
                <w:p w14:paraId="465EE36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kern w:val="2"/>
                      <w:sz w:val="21"/>
                      <w:szCs w:val="24"/>
                      <w:highlight w:val="none"/>
                      <w:lang w:val="en-US" w:eastAsia="en-US" w:bidi="ar-SA"/>
                    </w:rPr>
                  </w:pPr>
                  <w:r>
                    <w:rPr>
                      <w:rFonts w:ascii="Times New Roman" w:hAnsi="Times New Roman" w:eastAsia="宋体"/>
                      <w:b/>
                      <w:bCs/>
                      <w:color w:val="auto"/>
                      <w:spacing w:val="5"/>
                      <w:sz w:val="21"/>
                      <w:highlight w:val="none"/>
                    </w:rPr>
                    <w:t>预测点</w:t>
                  </w:r>
                </w:p>
              </w:tc>
              <w:tc>
                <w:tcPr>
                  <w:tcW w:w="1323" w:type="pct"/>
                  <w:tcBorders>
                    <w:bottom w:val="single" w:color="auto" w:sz="12" w:space="0"/>
                  </w:tcBorders>
                  <w:shd w:val="clear" w:color="auto" w:fill="auto"/>
                  <w:vAlign w:val="center"/>
                </w:tcPr>
                <w:p w14:paraId="64EE370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kern w:val="2"/>
                      <w:sz w:val="21"/>
                      <w:szCs w:val="24"/>
                      <w:highlight w:val="none"/>
                      <w:lang w:val="en-US" w:eastAsia="en-US" w:bidi="ar-SA"/>
                    </w:rPr>
                  </w:pPr>
                  <w:r>
                    <w:rPr>
                      <w:rFonts w:ascii="Times New Roman" w:hAnsi="Times New Roman" w:eastAsia="宋体"/>
                      <w:b/>
                      <w:bCs/>
                      <w:color w:val="auto"/>
                      <w:spacing w:val="4"/>
                      <w:sz w:val="21"/>
                      <w:highlight w:val="none"/>
                    </w:rPr>
                    <w:t>贡献值</w:t>
                  </w:r>
                </w:p>
              </w:tc>
              <w:tc>
                <w:tcPr>
                  <w:tcW w:w="747" w:type="pct"/>
                  <w:tcBorders>
                    <w:bottom w:val="single" w:color="auto" w:sz="12" w:space="0"/>
                  </w:tcBorders>
                  <w:shd w:val="clear" w:color="auto" w:fill="auto"/>
                  <w:vAlign w:val="center"/>
                </w:tcPr>
                <w:p w14:paraId="2AF6AE2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b/>
                      <w:bCs/>
                      <w:color w:val="auto"/>
                      <w:spacing w:val="6"/>
                      <w:sz w:val="21"/>
                      <w:highlight w:val="none"/>
                      <w:lang w:val="en-US" w:eastAsia="zh-CN"/>
                    </w:rPr>
                  </w:pPr>
                  <w:r>
                    <w:rPr>
                      <w:rFonts w:hint="eastAsia" w:ascii="Times New Roman" w:hAnsi="Times New Roman" w:eastAsia="宋体"/>
                      <w:b/>
                      <w:bCs/>
                      <w:color w:val="auto"/>
                      <w:spacing w:val="6"/>
                      <w:sz w:val="21"/>
                      <w:highlight w:val="none"/>
                      <w:lang w:val="en-US" w:eastAsia="zh-CN"/>
                    </w:rPr>
                    <w:t>标准值</w:t>
                  </w:r>
                </w:p>
              </w:tc>
              <w:tc>
                <w:tcPr>
                  <w:tcW w:w="793" w:type="pct"/>
                  <w:tcBorders>
                    <w:bottom w:val="single" w:color="auto" w:sz="12" w:space="0"/>
                  </w:tcBorders>
                  <w:shd w:val="clear" w:color="auto" w:fill="auto"/>
                  <w:vAlign w:val="center"/>
                </w:tcPr>
                <w:p w14:paraId="256D0A5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b/>
                      <w:bCs/>
                      <w:color w:val="auto"/>
                      <w:spacing w:val="6"/>
                      <w:sz w:val="21"/>
                      <w:highlight w:val="none"/>
                      <w:lang w:val="en-US" w:eastAsia="zh-CN"/>
                    </w:rPr>
                  </w:pPr>
                  <w:r>
                    <w:rPr>
                      <w:rFonts w:hint="eastAsia" w:ascii="Times New Roman" w:hAnsi="Times New Roman" w:eastAsia="宋体"/>
                      <w:b/>
                      <w:bCs/>
                      <w:color w:val="auto"/>
                      <w:spacing w:val="6"/>
                      <w:sz w:val="21"/>
                      <w:highlight w:val="none"/>
                      <w:lang w:val="en-US" w:eastAsia="zh-CN"/>
                    </w:rPr>
                    <w:t>时段</w:t>
                  </w:r>
                </w:p>
              </w:tc>
              <w:tc>
                <w:tcPr>
                  <w:tcW w:w="1029" w:type="pct"/>
                  <w:tcBorders>
                    <w:bottom w:val="single" w:color="auto" w:sz="12" w:space="0"/>
                  </w:tcBorders>
                  <w:shd w:val="clear" w:color="auto" w:fill="auto"/>
                  <w:vAlign w:val="center"/>
                </w:tcPr>
                <w:p w14:paraId="743EFFB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b/>
                      <w:bCs/>
                      <w:color w:val="auto"/>
                      <w:spacing w:val="6"/>
                      <w:sz w:val="21"/>
                      <w:highlight w:val="none"/>
                      <w:lang w:val="en-US" w:eastAsia="zh-CN"/>
                    </w:rPr>
                  </w:pPr>
                  <w:r>
                    <w:rPr>
                      <w:rFonts w:hint="eastAsia" w:ascii="Times New Roman" w:hAnsi="Times New Roman" w:eastAsia="宋体"/>
                      <w:b/>
                      <w:bCs/>
                      <w:color w:val="auto"/>
                      <w:spacing w:val="6"/>
                      <w:sz w:val="21"/>
                      <w:highlight w:val="none"/>
                      <w:lang w:val="en-US" w:eastAsia="zh-CN"/>
                    </w:rPr>
                    <w:t>达标情况</w:t>
                  </w:r>
                </w:p>
              </w:tc>
            </w:tr>
            <w:tr w14:paraId="33A0B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107" w:type="pct"/>
                  <w:tcBorders>
                    <w:top w:val="single" w:color="auto" w:sz="12" w:space="0"/>
                    <w:tl2br w:val="nil"/>
                    <w:tr2bl w:val="nil"/>
                  </w:tcBorders>
                  <w:shd w:val="clear" w:color="auto" w:fill="auto"/>
                  <w:vAlign w:val="center"/>
                </w:tcPr>
                <w:p w14:paraId="4906DE29">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kern w:val="2"/>
                      <w:sz w:val="21"/>
                      <w:szCs w:val="24"/>
                      <w:highlight w:val="none"/>
                      <w:lang w:val="en-US" w:eastAsia="en-US" w:bidi="ar-SA"/>
                    </w:rPr>
                  </w:pPr>
                  <w:r>
                    <w:rPr>
                      <w:rFonts w:ascii="Times New Roman" w:hAnsi="Times New Roman" w:eastAsia="宋体"/>
                      <w:color w:val="auto"/>
                      <w:spacing w:val="4"/>
                      <w:sz w:val="21"/>
                      <w:highlight w:val="none"/>
                    </w:rPr>
                    <w:t>东厂界</w:t>
                  </w:r>
                </w:p>
              </w:tc>
              <w:tc>
                <w:tcPr>
                  <w:tcW w:w="1323" w:type="pct"/>
                  <w:tcBorders>
                    <w:top w:val="single" w:color="auto" w:sz="12" w:space="0"/>
                    <w:tl2br w:val="nil"/>
                    <w:tr2bl w:val="nil"/>
                  </w:tcBorders>
                  <w:shd w:val="clear" w:color="auto" w:fill="auto"/>
                  <w:vAlign w:val="center"/>
                </w:tcPr>
                <w:p w14:paraId="23D1D85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color w:val="auto"/>
                      <w:spacing w:val="4"/>
                      <w:position w:val="2"/>
                      <w:sz w:val="21"/>
                      <w:szCs w:val="20"/>
                      <w:highlight w:val="none"/>
                      <w:lang w:val="en-US" w:eastAsia="zh-CN"/>
                    </w:rPr>
                    <w:t>5</w:t>
                  </w:r>
                  <w:r>
                    <w:rPr>
                      <w:rFonts w:ascii="Times New Roman" w:hAnsi="Times New Roman" w:eastAsia="宋体" w:cs="Times New Roman"/>
                      <w:color w:val="auto"/>
                      <w:spacing w:val="4"/>
                      <w:position w:val="2"/>
                      <w:sz w:val="21"/>
                      <w:szCs w:val="20"/>
                      <w:highlight w:val="none"/>
                    </w:rPr>
                    <w:t>3.30</w:t>
                  </w:r>
                </w:p>
              </w:tc>
              <w:tc>
                <w:tcPr>
                  <w:tcW w:w="747" w:type="pct"/>
                  <w:vMerge w:val="restart"/>
                  <w:tcBorders>
                    <w:top w:val="single" w:color="auto" w:sz="12" w:space="0"/>
                    <w:tl2br w:val="nil"/>
                    <w:tr2bl w:val="nil"/>
                  </w:tcBorders>
                  <w:shd w:val="clear" w:color="auto" w:fill="auto"/>
                  <w:vAlign w:val="center"/>
                </w:tcPr>
                <w:p w14:paraId="5F625A1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Times New Roman"/>
                      <w:color w:val="auto"/>
                      <w:position w:val="2"/>
                      <w:sz w:val="21"/>
                      <w:szCs w:val="20"/>
                      <w:highlight w:val="none"/>
                    </w:rPr>
                  </w:pPr>
                  <w:r>
                    <w:rPr>
                      <w:rFonts w:ascii="Times New Roman" w:hAnsi="Times New Roman" w:eastAsia="宋体" w:cs="Times New Roman"/>
                      <w:color w:val="auto"/>
                      <w:position w:val="2"/>
                      <w:sz w:val="21"/>
                      <w:szCs w:val="20"/>
                      <w:highlight w:val="none"/>
                    </w:rPr>
                    <w:t>65</w:t>
                  </w:r>
                </w:p>
              </w:tc>
              <w:tc>
                <w:tcPr>
                  <w:tcW w:w="793" w:type="pct"/>
                  <w:vMerge w:val="restart"/>
                  <w:tcBorders>
                    <w:top w:val="single" w:color="auto" w:sz="12" w:space="0"/>
                    <w:tl2br w:val="nil"/>
                    <w:tr2bl w:val="nil"/>
                  </w:tcBorders>
                  <w:shd w:val="clear" w:color="auto" w:fill="auto"/>
                  <w:vAlign w:val="center"/>
                </w:tcPr>
                <w:p w14:paraId="18EB044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color w:val="auto"/>
                      <w:position w:val="2"/>
                      <w:sz w:val="21"/>
                      <w:szCs w:val="20"/>
                      <w:highlight w:val="none"/>
                      <w:lang w:val="en-US" w:eastAsia="zh-CN"/>
                    </w:rPr>
                  </w:pPr>
                  <w:r>
                    <w:rPr>
                      <w:rFonts w:hint="eastAsia" w:ascii="Times New Roman" w:hAnsi="Times New Roman" w:eastAsia="宋体" w:cs="Times New Roman"/>
                      <w:color w:val="auto"/>
                      <w:position w:val="2"/>
                      <w:sz w:val="21"/>
                      <w:szCs w:val="20"/>
                      <w:highlight w:val="none"/>
                      <w:lang w:val="en-US" w:eastAsia="zh-CN"/>
                    </w:rPr>
                    <w:t>昼间</w:t>
                  </w:r>
                </w:p>
              </w:tc>
              <w:tc>
                <w:tcPr>
                  <w:tcW w:w="1029" w:type="pct"/>
                  <w:vMerge w:val="restart"/>
                  <w:tcBorders>
                    <w:top w:val="single" w:color="auto" w:sz="12" w:space="0"/>
                    <w:tl2br w:val="nil"/>
                    <w:tr2bl w:val="nil"/>
                  </w:tcBorders>
                  <w:shd w:val="clear" w:color="auto" w:fill="auto"/>
                  <w:vAlign w:val="center"/>
                </w:tcPr>
                <w:p w14:paraId="14E9DD9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auto"/>
                      <w:position w:val="2"/>
                      <w:sz w:val="21"/>
                      <w:szCs w:val="20"/>
                      <w:highlight w:val="none"/>
                      <w:lang w:val="en-US" w:eastAsia="zh-CN"/>
                    </w:rPr>
                  </w:pPr>
                  <w:r>
                    <w:rPr>
                      <w:rFonts w:hint="eastAsia" w:ascii="Times New Roman" w:hAnsi="Times New Roman" w:eastAsia="宋体" w:cs="Times New Roman"/>
                      <w:color w:val="auto"/>
                      <w:position w:val="2"/>
                      <w:sz w:val="21"/>
                      <w:szCs w:val="20"/>
                      <w:highlight w:val="none"/>
                      <w:lang w:val="en-US" w:eastAsia="zh-CN"/>
                    </w:rPr>
                    <w:t>达标</w:t>
                  </w:r>
                </w:p>
              </w:tc>
            </w:tr>
            <w:tr w14:paraId="371455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107" w:type="pct"/>
                  <w:tcBorders>
                    <w:tl2br w:val="nil"/>
                    <w:tr2bl w:val="nil"/>
                  </w:tcBorders>
                  <w:shd w:val="clear" w:color="auto" w:fill="auto"/>
                  <w:vAlign w:val="center"/>
                </w:tcPr>
                <w:p w14:paraId="5E8BF74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kern w:val="2"/>
                      <w:sz w:val="21"/>
                      <w:szCs w:val="24"/>
                      <w:highlight w:val="none"/>
                      <w:lang w:val="en-US" w:eastAsia="en-US" w:bidi="ar-SA"/>
                    </w:rPr>
                  </w:pPr>
                  <w:r>
                    <w:rPr>
                      <w:rFonts w:ascii="Times New Roman" w:hAnsi="Times New Roman" w:eastAsia="宋体"/>
                      <w:color w:val="auto"/>
                      <w:spacing w:val="5"/>
                      <w:sz w:val="21"/>
                      <w:highlight w:val="none"/>
                    </w:rPr>
                    <w:t>西厂界</w:t>
                  </w:r>
                </w:p>
              </w:tc>
              <w:tc>
                <w:tcPr>
                  <w:tcW w:w="1323" w:type="pct"/>
                  <w:tcBorders>
                    <w:tl2br w:val="nil"/>
                    <w:tr2bl w:val="nil"/>
                  </w:tcBorders>
                  <w:shd w:val="clear" w:color="auto" w:fill="auto"/>
                  <w:vAlign w:val="center"/>
                </w:tcPr>
                <w:p w14:paraId="4514494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color w:val="auto"/>
                      <w:spacing w:val="4"/>
                      <w:position w:val="2"/>
                      <w:sz w:val="21"/>
                      <w:szCs w:val="20"/>
                      <w:highlight w:val="none"/>
                      <w:lang w:val="en-US" w:eastAsia="zh-CN"/>
                    </w:rPr>
                    <w:t>5</w:t>
                  </w:r>
                  <w:r>
                    <w:rPr>
                      <w:rFonts w:ascii="Times New Roman" w:hAnsi="Times New Roman" w:eastAsia="宋体" w:cs="Times New Roman"/>
                      <w:color w:val="auto"/>
                      <w:spacing w:val="4"/>
                      <w:position w:val="2"/>
                      <w:sz w:val="21"/>
                      <w:szCs w:val="20"/>
                      <w:highlight w:val="none"/>
                    </w:rPr>
                    <w:t>8.93</w:t>
                  </w:r>
                </w:p>
              </w:tc>
              <w:tc>
                <w:tcPr>
                  <w:tcW w:w="747" w:type="pct"/>
                  <w:vMerge w:val="continue"/>
                  <w:tcBorders>
                    <w:tl2br w:val="nil"/>
                    <w:tr2bl w:val="nil"/>
                  </w:tcBorders>
                  <w:shd w:val="clear" w:color="auto" w:fill="auto"/>
                  <w:vAlign w:val="center"/>
                </w:tcPr>
                <w:p w14:paraId="293BB4A3">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c>
                <w:tcPr>
                  <w:tcW w:w="793" w:type="pct"/>
                  <w:vMerge w:val="continue"/>
                  <w:tcBorders>
                    <w:tl2br w:val="nil"/>
                    <w:tr2bl w:val="nil"/>
                  </w:tcBorders>
                  <w:shd w:val="clear" w:color="auto" w:fill="auto"/>
                  <w:vAlign w:val="center"/>
                </w:tcPr>
                <w:p w14:paraId="4F5FE47D">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c>
                <w:tcPr>
                  <w:tcW w:w="1029" w:type="pct"/>
                  <w:vMerge w:val="continue"/>
                  <w:tcBorders>
                    <w:tl2br w:val="nil"/>
                    <w:tr2bl w:val="nil"/>
                  </w:tcBorders>
                  <w:shd w:val="clear" w:color="auto" w:fill="auto"/>
                  <w:vAlign w:val="center"/>
                </w:tcPr>
                <w:p w14:paraId="28870144">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r>
            <w:tr w14:paraId="1B0175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107" w:type="pct"/>
                  <w:tcBorders>
                    <w:tl2br w:val="nil"/>
                    <w:tr2bl w:val="nil"/>
                  </w:tcBorders>
                  <w:shd w:val="clear" w:color="auto" w:fill="auto"/>
                  <w:vAlign w:val="center"/>
                </w:tcPr>
                <w:p w14:paraId="7179FA8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kern w:val="2"/>
                      <w:sz w:val="21"/>
                      <w:szCs w:val="24"/>
                      <w:highlight w:val="none"/>
                      <w:lang w:val="en-US" w:eastAsia="en-US" w:bidi="ar-SA"/>
                    </w:rPr>
                  </w:pPr>
                  <w:r>
                    <w:rPr>
                      <w:rFonts w:ascii="Times New Roman" w:hAnsi="Times New Roman" w:eastAsia="宋体"/>
                      <w:color w:val="auto"/>
                      <w:spacing w:val="6"/>
                      <w:sz w:val="21"/>
                      <w:highlight w:val="none"/>
                    </w:rPr>
                    <w:t>南厂界</w:t>
                  </w:r>
                </w:p>
              </w:tc>
              <w:tc>
                <w:tcPr>
                  <w:tcW w:w="1323" w:type="pct"/>
                  <w:tcBorders>
                    <w:tl2br w:val="nil"/>
                    <w:tr2bl w:val="nil"/>
                  </w:tcBorders>
                  <w:shd w:val="clear" w:color="auto" w:fill="auto"/>
                  <w:vAlign w:val="center"/>
                </w:tcPr>
                <w:p w14:paraId="4E1080E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color w:val="auto"/>
                      <w:spacing w:val="3"/>
                      <w:position w:val="2"/>
                      <w:sz w:val="21"/>
                      <w:szCs w:val="20"/>
                      <w:highlight w:val="none"/>
                      <w:lang w:val="en-US" w:eastAsia="zh-CN"/>
                    </w:rPr>
                    <w:t>5</w:t>
                  </w:r>
                  <w:r>
                    <w:rPr>
                      <w:rFonts w:ascii="Times New Roman" w:hAnsi="Times New Roman" w:eastAsia="宋体" w:cs="Times New Roman"/>
                      <w:color w:val="auto"/>
                      <w:spacing w:val="3"/>
                      <w:position w:val="2"/>
                      <w:sz w:val="21"/>
                      <w:szCs w:val="20"/>
                      <w:highlight w:val="none"/>
                    </w:rPr>
                    <w:t>2.44</w:t>
                  </w:r>
                </w:p>
              </w:tc>
              <w:tc>
                <w:tcPr>
                  <w:tcW w:w="747" w:type="pct"/>
                  <w:vMerge w:val="continue"/>
                  <w:tcBorders>
                    <w:tl2br w:val="nil"/>
                    <w:tr2bl w:val="nil"/>
                  </w:tcBorders>
                  <w:shd w:val="clear" w:color="auto" w:fill="auto"/>
                  <w:vAlign w:val="center"/>
                </w:tcPr>
                <w:p w14:paraId="15AAB203">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c>
                <w:tcPr>
                  <w:tcW w:w="793" w:type="pct"/>
                  <w:vMerge w:val="continue"/>
                  <w:tcBorders>
                    <w:tl2br w:val="nil"/>
                    <w:tr2bl w:val="nil"/>
                  </w:tcBorders>
                  <w:shd w:val="clear" w:color="auto" w:fill="auto"/>
                  <w:vAlign w:val="center"/>
                </w:tcPr>
                <w:p w14:paraId="4FBB644D">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c>
                <w:tcPr>
                  <w:tcW w:w="1029" w:type="pct"/>
                  <w:vMerge w:val="continue"/>
                  <w:tcBorders>
                    <w:tl2br w:val="nil"/>
                    <w:tr2bl w:val="nil"/>
                  </w:tcBorders>
                  <w:shd w:val="clear" w:color="auto" w:fill="auto"/>
                  <w:vAlign w:val="center"/>
                </w:tcPr>
                <w:p w14:paraId="4FB08462">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r>
            <w:tr w14:paraId="54306C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107" w:type="pct"/>
                  <w:tcBorders>
                    <w:tl2br w:val="nil"/>
                    <w:tr2bl w:val="nil"/>
                  </w:tcBorders>
                  <w:shd w:val="clear" w:color="auto" w:fill="auto"/>
                  <w:vAlign w:val="center"/>
                </w:tcPr>
                <w:p w14:paraId="4D837EAC">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kern w:val="2"/>
                      <w:sz w:val="21"/>
                      <w:szCs w:val="24"/>
                      <w:highlight w:val="none"/>
                      <w:lang w:val="en-US" w:eastAsia="en-US" w:bidi="ar-SA"/>
                    </w:rPr>
                  </w:pPr>
                  <w:r>
                    <w:rPr>
                      <w:rFonts w:ascii="Times New Roman" w:hAnsi="Times New Roman" w:eastAsia="宋体"/>
                      <w:color w:val="auto"/>
                      <w:spacing w:val="5"/>
                      <w:sz w:val="21"/>
                      <w:highlight w:val="none"/>
                    </w:rPr>
                    <w:t>北厂界</w:t>
                  </w:r>
                </w:p>
              </w:tc>
              <w:tc>
                <w:tcPr>
                  <w:tcW w:w="1323" w:type="pct"/>
                  <w:tcBorders>
                    <w:tl2br w:val="nil"/>
                    <w:tr2bl w:val="nil"/>
                  </w:tcBorders>
                  <w:shd w:val="clear" w:color="auto" w:fill="auto"/>
                  <w:vAlign w:val="center"/>
                </w:tcPr>
                <w:p w14:paraId="3BB57AC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color w:val="auto"/>
                      <w:spacing w:val="3"/>
                      <w:position w:val="2"/>
                      <w:sz w:val="21"/>
                      <w:szCs w:val="20"/>
                      <w:highlight w:val="none"/>
                      <w:lang w:val="en-US" w:eastAsia="zh-CN"/>
                    </w:rPr>
                    <w:t>5</w:t>
                  </w:r>
                  <w:r>
                    <w:rPr>
                      <w:rFonts w:ascii="Times New Roman" w:hAnsi="Times New Roman" w:eastAsia="宋体" w:cs="Times New Roman"/>
                      <w:color w:val="auto"/>
                      <w:spacing w:val="3"/>
                      <w:position w:val="2"/>
                      <w:sz w:val="21"/>
                      <w:szCs w:val="20"/>
                      <w:highlight w:val="none"/>
                    </w:rPr>
                    <w:t>4.76</w:t>
                  </w:r>
                </w:p>
              </w:tc>
              <w:tc>
                <w:tcPr>
                  <w:tcW w:w="747" w:type="pct"/>
                  <w:vMerge w:val="continue"/>
                  <w:tcBorders>
                    <w:tl2br w:val="nil"/>
                    <w:tr2bl w:val="nil"/>
                  </w:tcBorders>
                  <w:shd w:val="clear" w:color="auto" w:fill="auto"/>
                  <w:vAlign w:val="center"/>
                </w:tcPr>
                <w:p w14:paraId="23D341E2">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c>
                <w:tcPr>
                  <w:tcW w:w="793" w:type="pct"/>
                  <w:vMerge w:val="continue"/>
                  <w:tcBorders>
                    <w:tl2br w:val="nil"/>
                    <w:tr2bl w:val="nil"/>
                  </w:tcBorders>
                  <w:shd w:val="clear" w:color="auto" w:fill="auto"/>
                  <w:vAlign w:val="center"/>
                </w:tcPr>
                <w:p w14:paraId="6707157D">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c>
                <w:tcPr>
                  <w:tcW w:w="1029" w:type="pct"/>
                  <w:vMerge w:val="continue"/>
                  <w:tcBorders>
                    <w:tl2br w:val="nil"/>
                    <w:tr2bl w:val="nil"/>
                  </w:tcBorders>
                  <w:shd w:val="clear" w:color="auto" w:fill="auto"/>
                  <w:vAlign w:val="center"/>
                </w:tcPr>
                <w:p w14:paraId="08143FE7">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ascii="Times New Roman" w:hAnsi="Times New Roman" w:eastAsia="宋体" w:cs="Times New Roman"/>
                      <w:color w:val="auto"/>
                      <w:kern w:val="2"/>
                      <w:sz w:val="21"/>
                      <w:szCs w:val="20"/>
                      <w:highlight w:val="none"/>
                      <w:lang w:val="en-US" w:eastAsia="zh-CN" w:bidi="ar-SA"/>
                    </w:rPr>
                  </w:pPr>
                </w:p>
              </w:tc>
            </w:tr>
            <w:tr w14:paraId="1430F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5000" w:type="pct"/>
                  <w:gridSpan w:val="5"/>
                  <w:tcBorders>
                    <w:tl2br w:val="nil"/>
                    <w:tr2bl w:val="nil"/>
                  </w:tcBorders>
                  <w:shd w:val="clear" w:color="auto" w:fill="auto"/>
                  <w:vAlign w:val="center"/>
                </w:tcPr>
                <w:p w14:paraId="59009778">
                  <w:pPr>
                    <w:keepNext w:val="0"/>
                    <w:keepLines w:val="0"/>
                    <w:pageBreakBefore w:val="0"/>
                    <w:widowControl w:val="0"/>
                    <w:kinsoku/>
                    <w:wordWrap/>
                    <w:overflowPunct/>
                    <w:topLinePunct w:val="0"/>
                    <w:autoSpaceDE/>
                    <w:autoSpaceDN/>
                    <w:bidi w:val="0"/>
                    <w:adjustRightInd/>
                    <w:snapToGrid/>
                    <w:spacing w:line="240" w:lineRule="auto"/>
                    <w:ind w:left="0" w:leftChars="0"/>
                    <w:jc w:val="left"/>
                    <w:textAlignment w:val="auto"/>
                    <w:rPr>
                      <w:rFonts w:hint="default" w:ascii="Times New Roman" w:hAnsi="Times New Roman" w:eastAsia="宋体" w:cs="Times New Roman"/>
                      <w:color w:val="auto"/>
                      <w:kern w:val="2"/>
                      <w:sz w:val="21"/>
                      <w:szCs w:val="20"/>
                      <w:highlight w:val="none"/>
                      <w:lang w:val="en-US" w:eastAsia="zh-CN" w:bidi="ar-SA"/>
                    </w:rPr>
                  </w:pPr>
                  <w:r>
                    <w:rPr>
                      <w:rFonts w:hint="eastAsia" w:ascii="Times New Roman" w:hAnsi="Times New Roman" w:eastAsia="宋体" w:cs="Times New Roman"/>
                      <w:color w:val="auto"/>
                      <w:kern w:val="2"/>
                      <w:sz w:val="21"/>
                      <w:szCs w:val="20"/>
                      <w:highlight w:val="none"/>
                      <w:lang w:val="en-US" w:eastAsia="zh-CN" w:bidi="ar-SA"/>
                    </w:rPr>
                    <w:t>注：本项目实行单班工作制度，夜间不安排生产活动。</w:t>
                  </w:r>
                </w:p>
              </w:tc>
            </w:tr>
          </w:tbl>
          <w:p w14:paraId="2DE046AF">
            <w:pPr>
              <w:pStyle w:val="101"/>
              <w:widowControl/>
              <w:autoSpaceDE w:val="0"/>
              <w:autoSpaceDN w:val="0"/>
              <w:spacing w:before="120" w:beforeLines="50" w:line="360" w:lineRule="auto"/>
              <w:ind w:firstLine="482"/>
              <w:jc w:val="both"/>
              <w:rPr>
                <w:rFonts w:hint="eastAsia" w:eastAsia="宋体" w:cs="宋体"/>
                <w:color w:val="auto"/>
                <w:highlight w:val="none"/>
                <w:lang w:eastAsia="zh-CN"/>
              </w:rPr>
            </w:pPr>
            <w:r>
              <w:rPr>
                <w:color w:val="auto"/>
                <w:spacing w:val="-1"/>
                <w:sz w:val="24"/>
                <w:szCs w:val="24"/>
                <w:highlight w:val="none"/>
              </w:rPr>
              <w:t>由上表可见，本项目昼间四至厂界噪声贡献值可分别达到《工业企业厂界环境噪声排放标准》（</w:t>
            </w:r>
            <w:r>
              <w:rPr>
                <w:rFonts w:ascii="Times New Roman" w:hAnsi="Times New Roman" w:eastAsia="Times New Roman" w:cs="Times New Roman"/>
                <w:color w:val="auto"/>
                <w:spacing w:val="-1"/>
                <w:sz w:val="24"/>
                <w:szCs w:val="24"/>
                <w:highlight w:val="none"/>
              </w:rPr>
              <w:t>GB12348-2008</w:t>
            </w:r>
            <w:r>
              <w:rPr>
                <w:color w:val="auto"/>
                <w:spacing w:val="-1"/>
                <w:sz w:val="24"/>
                <w:szCs w:val="24"/>
                <w:highlight w:val="none"/>
              </w:rPr>
              <w:t>）中的</w:t>
            </w:r>
            <w:r>
              <w:rPr>
                <w:rFonts w:ascii="Times New Roman" w:hAnsi="Times New Roman" w:eastAsia="Times New Roman" w:cs="Times New Roman"/>
                <w:color w:val="auto"/>
                <w:spacing w:val="-1"/>
                <w:sz w:val="24"/>
                <w:szCs w:val="24"/>
                <w:highlight w:val="none"/>
              </w:rPr>
              <w:t>3</w:t>
            </w:r>
            <w:r>
              <w:rPr>
                <w:color w:val="auto"/>
                <w:spacing w:val="-1"/>
                <w:sz w:val="24"/>
                <w:szCs w:val="24"/>
                <w:highlight w:val="none"/>
              </w:rPr>
              <w:t>类标准</w:t>
            </w:r>
            <w:r>
              <w:rPr>
                <w:color w:val="auto"/>
                <w:spacing w:val="-2"/>
                <w:sz w:val="24"/>
                <w:szCs w:val="24"/>
                <w:highlight w:val="none"/>
              </w:rPr>
              <w:t>限值要求。因</w:t>
            </w:r>
            <w:r>
              <w:rPr>
                <w:color w:val="auto"/>
                <w:sz w:val="24"/>
                <w:szCs w:val="24"/>
                <w:highlight w:val="none"/>
              </w:rPr>
              <w:t>此，项目运营期间，在采取相应降噪措施后，</w:t>
            </w:r>
            <w:r>
              <w:rPr>
                <w:color w:val="auto"/>
                <w:spacing w:val="-1"/>
                <w:sz w:val="24"/>
                <w:szCs w:val="24"/>
                <w:highlight w:val="none"/>
              </w:rPr>
              <w:t>对区域声环境的影响较小。</w:t>
            </w:r>
          </w:p>
          <w:p w14:paraId="226E13CE">
            <w:pPr>
              <w:pStyle w:val="4"/>
              <w:numPr>
                <w:ilvl w:val="2"/>
                <w:numId w:val="1"/>
              </w:numPr>
              <w:bidi w:val="0"/>
              <w:ind w:left="720" w:leftChars="0" w:hanging="720" w:firstLineChars="0"/>
              <w:rPr>
                <w:rFonts w:hint="eastAsia" w:eastAsia="宋体"/>
                <w:color w:val="auto"/>
                <w:highlight w:val="none"/>
              </w:rPr>
            </w:pPr>
            <w:r>
              <w:rPr>
                <w:rFonts w:hint="eastAsia" w:eastAsia="宋体"/>
                <w:color w:val="auto"/>
                <w:highlight w:val="none"/>
              </w:rPr>
              <w:t>噪声环境监测要求</w:t>
            </w:r>
          </w:p>
          <w:p w14:paraId="19781643">
            <w:pPr>
              <w:pStyle w:val="44"/>
              <w:ind w:firstLine="480"/>
              <w:rPr>
                <w:rFonts w:hint="eastAsia" w:eastAsia="宋体"/>
                <w:color w:val="auto"/>
                <w:highlight w:val="none"/>
                <w:lang w:eastAsia="zh-CN"/>
              </w:rPr>
            </w:pPr>
            <w:r>
              <w:rPr>
                <w:rFonts w:hint="eastAsia"/>
                <w:color w:val="auto"/>
                <w:highlight w:val="none"/>
              </w:rPr>
              <w:t>项目噪声监测计划见下表</w:t>
            </w:r>
            <w:r>
              <w:rPr>
                <w:rFonts w:hint="eastAsia"/>
                <w:color w:val="auto"/>
                <w:highlight w:val="none"/>
                <w:lang w:eastAsia="zh-CN"/>
              </w:rPr>
              <w:t>。</w:t>
            </w:r>
          </w:p>
          <w:p w14:paraId="7222F010">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after="0"/>
              <w:ind w:left="630" w:leftChars="0" w:firstLine="0" w:firstLine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噪声监测计划</w:t>
            </w:r>
          </w:p>
          <w:tbl>
            <w:tblPr>
              <w:tblStyle w:val="33"/>
              <w:tblW w:w="4997" w:type="pct"/>
              <w:tblInd w:w="0" w:type="dxa"/>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Layout w:type="autofit"/>
              <w:tblCellMar>
                <w:top w:w="0" w:type="dxa"/>
                <w:left w:w="108" w:type="dxa"/>
                <w:bottom w:w="0" w:type="dxa"/>
                <w:right w:w="108" w:type="dxa"/>
              </w:tblCellMar>
            </w:tblPr>
            <w:tblGrid>
              <w:gridCol w:w="1180"/>
              <w:gridCol w:w="1355"/>
              <w:gridCol w:w="4280"/>
              <w:gridCol w:w="2109"/>
            </w:tblGrid>
            <w:tr w14:paraId="4CE5667F">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357" w:hRule="atLeast"/>
              </w:trPr>
              <w:tc>
                <w:tcPr>
                  <w:tcW w:w="661" w:type="pct"/>
                  <w:tcBorders>
                    <w:tl2br w:val="nil"/>
                    <w:tr2bl w:val="nil"/>
                  </w:tcBorders>
                  <w:vAlign w:val="center"/>
                </w:tcPr>
                <w:p w14:paraId="21B9BE90">
                  <w:pPr>
                    <w:pStyle w:val="46"/>
                    <w:tabs>
                      <w:tab w:val="left" w:pos="0"/>
                    </w:tabs>
                    <w:rPr>
                      <w:color w:val="auto"/>
                      <w:highlight w:val="none"/>
                    </w:rPr>
                  </w:pPr>
                  <w:r>
                    <w:rPr>
                      <w:color w:val="auto"/>
                      <w:highlight w:val="none"/>
                    </w:rPr>
                    <w:t>监测点位</w:t>
                  </w:r>
                </w:p>
              </w:tc>
              <w:tc>
                <w:tcPr>
                  <w:tcW w:w="759" w:type="pct"/>
                  <w:tcBorders>
                    <w:tl2br w:val="nil"/>
                    <w:tr2bl w:val="nil"/>
                  </w:tcBorders>
                  <w:vAlign w:val="center"/>
                </w:tcPr>
                <w:p w14:paraId="2F4D5CAB">
                  <w:pPr>
                    <w:pStyle w:val="46"/>
                    <w:tabs>
                      <w:tab w:val="left" w:pos="0"/>
                    </w:tabs>
                    <w:rPr>
                      <w:color w:val="auto"/>
                      <w:highlight w:val="none"/>
                    </w:rPr>
                  </w:pPr>
                  <w:r>
                    <w:rPr>
                      <w:color w:val="auto"/>
                      <w:highlight w:val="none"/>
                    </w:rPr>
                    <w:t>监测项目</w:t>
                  </w:r>
                </w:p>
              </w:tc>
              <w:tc>
                <w:tcPr>
                  <w:tcW w:w="2397" w:type="pct"/>
                  <w:tcBorders>
                    <w:tl2br w:val="nil"/>
                    <w:tr2bl w:val="nil"/>
                  </w:tcBorders>
                  <w:vAlign w:val="center"/>
                </w:tcPr>
                <w:p w14:paraId="4ED69C0A">
                  <w:pPr>
                    <w:pStyle w:val="46"/>
                    <w:tabs>
                      <w:tab w:val="left" w:pos="0"/>
                    </w:tabs>
                    <w:rPr>
                      <w:color w:val="auto"/>
                      <w:highlight w:val="none"/>
                    </w:rPr>
                  </w:pPr>
                  <w:r>
                    <w:rPr>
                      <w:color w:val="auto"/>
                      <w:highlight w:val="none"/>
                    </w:rPr>
                    <w:t>执行标准</w:t>
                  </w:r>
                </w:p>
              </w:tc>
              <w:tc>
                <w:tcPr>
                  <w:tcW w:w="1181" w:type="pct"/>
                  <w:tcBorders>
                    <w:tl2br w:val="nil"/>
                    <w:tr2bl w:val="nil"/>
                  </w:tcBorders>
                  <w:vAlign w:val="center"/>
                </w:tcPr>
                <w:p w14:paraId="7A37805C">
                  <w:pPr>
                    <w:pStyle w:val="46"/>
                    <w:tabs>
                      <w:tab w:val="left" w:pos="0"/>
                    </w:tabs>
                    <w:rPr>
                      <w:color w:val="auto"/>
                      <w:highlight w:val="none"/>
                    </w:rPr>
                  </w:pPr>
                  <w:r>
                    <w:rPr>
                      <w:color w:val="auto"/>
                      <w:highlight w:val="none"/>
                    </w:rPr>
                    <w:t>监测频率</w:t>
                  </w:r>
                </w:p>
              </w:tc>
            </w:tr>
            <w:tr w14:paraId="7A3D72B1">
              <w:tblPrEx>
                <w:tblBorders>
                  <w:top w:val="single" w:color="auto" w:sz="12" w:space="0"/>
                  <w:left w:val="none" w:color="auto" w:sz="0" w:space="0"/>
                  <w:bottom w:val="single" w:color="auto" w:sz="12"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666" w:hRule="atLeast"/>
              </w:trPr>
              <w:tc>
                <w:tcPr>
                  <w:tcW w:w="661" w:type="pct"/>
                  <w:tcBorders>
                    <w:tl2br w:val="nil"/>
                    <w:tr2bl w:val="nil"/>
                  </w:tcBorders>
                  <w:vAlign w:val="center"/>
                </w:tcPr>
                <w:p w14:paraId="0D4E004A">
                  <w:pPr>
                    <w:pStyle w:val="46"/>
                    <w:tabs>
                      <w:tab w:val="left" w:pos="0"/>
                    </w:tabs>
                    <w:ind w:left="0" w:leftChars="0" w:firstLine="0" w:firstLineChars="0"/>
                    <w:rPr>
                      <w:rFonts w:hint="eastAsia"/>
                      <w:color w:val="auto"/>
                      <w:highlight w:val="none"/>
                      <w:lang w:val="en-US" w:eastAsia="zh-CN"/>
                    </w:rPr>
                  </w:pPr>
                  <w:r>
                    <w:rPr>
                      <w:color w:val="auto"/>
                      <w:highlight w:val="none"/>
                    </w:rPr>
                    <w:t>厂界</w:t>
                  </w:r>
                </w:p>
              </w:tc>
              <w:tc>
                <w:tcPr>
                  <w:tcW w:w="759" w:type="pct"/>
                  <w:tcBorders>
                    <w:tl2br w:val="nil"/>
                    <w:tr2bl w:val="nil"/>
                  </w:tcBorders>
                  <w:vAlign w:val="center"/>
                </w:tcPr>
                <w:p w14:paraId="74772335">
                  <w:pPr>
                    <w:pStyle w:val="46"/>
                    <w:tabs>
                      <w:tab w:val="left" w:pos="0"/>
                    </w:tabs>
                    <w:ind w:left="0" w:leftChars="0" w:firstLine="0" w:firstLineChars="0"/>
                    <w:rPr>
                      <w:color w:val="auto"/>
                      <w:highlight w:val="none"/>
                    </w:rPr>
                  </w:pPr>
                  <w:r>
                    <w:rPr>
                      <w:color w:val="auto"/>
                      <w:highlight w:val="none"/>
                    </w:rPr>
                    <w:t>Leq(A)</w:t>
                  </w:r>
                </w:p>
              </w:tc>
              <w:tc>
                <w:tcPr>
                  <w:tcW w:w="2397" w:type="pct"/>
                  <w:tcBorders>
                    <w:tl2br w:val="nil"/>
                    <w:tr2bl w:val="nil"/>
                  </w:tcBorders>
                  <w:vAlign w:val="center"/>
                </w:tcPr>
                <w:p w14:paraId="25D2A17F">
                  <w:pPr>
                    <w:pStyle w:val="46"/>
                    <w:tabs>
                      <w:tab w:val="left" w:pos="0"/>
                    </w:tabs>
                    <w:ind w:left="0" w:leftChars="0" w:firstLine="0" w:firstLineChars="0"/>
                    <w:rPr>
                      <w:color w:val="auto"/>
                      <w:highlight w:val="none"/>
                    </w:rPr>
                  </w:pPr>
                  <w:r>
                    <w:rPr>
                      <w:color w:val="auto"/>
                      <w:highlight w:val="none"/>
                    </w:rPr>
                    <w:t>《工业企业厂界环境噪声排放标准》(GB12348-2008)的</w:t>
                  </w:r>
                  <w:r>
                    <w:rPr>
                      <w:rFonts w:hint="eastAsia"/>
                      <w:color w:val="auto"/>
                      <w:highlight w:val="none"/>
                      <w:lang w:val="en-US" w:eastAsia="zh-CN"/>
                    </w:rPr>
                    <w:t>3</w:t>
                  </w:r>
                  <w:r>
                    <w:rPr>
                      <w:color w:val="auto"/>
                      <w:highlight w:val="none"/>
                    </w:rPr>
                    <w:t>类</w:t>
                  </w:r>
                </w:p>
              </w:tc>
              <w:tc>
                <w:tcPr>
                  <w:tcW w:w="1181" w:type="pct"/>
                  <w:tcBorders>
                    <w:tl2br w:val="nil"/>
                    <w:tr2bl w:val="nil"/>
                  </w:tcBorders>
                  <w:vAlign w:val="center"/>
                </w:tcPr>
                <w:p w14:paraId="433DF9D7">
                  <w:pPr>
                    <w:pStyle w:val="46"/>
                    <w:tabs>
                      <w:tab w:val="left" w:pos="0"/>
                    </w:tabs>
                    <w:ind w:left="0" w:leftChars="0" w:firstLine="0" w:firstLineChars="0"/>
                    <w:rPr>
                      <w:color w:val="auto"/>
                      <w:highlight w:val="none"/>
                    </w:rPr>
                  </w:pPr>
                  <w:r>
                    <w:rPr>
                      <w:color w:val="auto"/>
                      <w:highlight w:val="none"/>
                    </w:rPr>
                    <w:t>1次/季</w:t>
                  </w:r>
                </w:p>
              </w:tc>
            </w:tr>
          </w:tbl>
          <w:p w14:paraId="35A32B0A">
            <w:pPr>
              <w:pStyle w:val="3"/>
              <w:numPr>
                <w:ilvl w:val="1"/>
                <w:numId w:val="1"/>
              </w:numPr>
              <w:bidi w:val="0"/>
              <w:ind w:left="0" w:leftChars="0" w:firstLine="0" w:firstLineChars="0"/>
              <w:rPr>
                <w:rFonts w:hint="eastAsia" w:eastAsia="宋体"/>
                <w:color w:val="auto"/>
                <w:highlight w:val="none"/>
                <w:lang w:val="en-US" w:eastAsia="zh-CN"/>
              </w:rPr>
            </w:pPr>
            <w:r>
              <w:rPr>
                <w:rFonts w:hint="eastAsia" w:eastAsia="宋体"/>
                <w:color w:val="auto"/>
                <w:highlight w:val="none"/>
                <w:lang w:val="en-US" w:eastAsia="zh-CN"/>
              </w:rPr>
              <w:t>固体废物</w:t>
            </w:r>
          </w:p>
          <w:p w14:paraId="6A6C54BE">
            <w:pPr>
              <w:pStyle w:val="4"/>
              <w:numPr>
                <w:ilvl w:val="2"/>
                <w:numId w:val="1"/>
              </w:numPr>
              <w:bidi w:val="0"/>
              <w:ind w:left="720" w:leftChars="0" w:hanging="720" w:firstLineChars="0"/>
              <w:rPr>
                <w:rFonts w:hint="eastAsia" w:eastAsia="宋体"/>
                <w:color w:val="auto"/>
                <w:highlight w:val="none"/>
              </w:rPr>
            </w:pPr>
            <w:r>
              <w:rPr>
                <w:rFonts w:hint="eastAsia" w:eastAsia="宋体"/>
                <w:color w:val="auto"/>
                <w:highlight w:val="none"/>
              </w:rPr>
              <w:t>固废污染源分析</w:t>
            </w:r>
          </w:p>
          <w:p w14:paraId="4FEA2670">
            <w:pPr>
              <w:pStyle w:val="44"/>
              <w:ind w:firstLine="48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1、生活垃圾</w:t>
            </w:r>
          </w:p>
          <w:p w14:paraId="41AAE5DC">
            <w:pPr>
              <w:pStyle w:val="44"/>
              <w:ind w:firstLine="480"/>
              <w:rPr>
                <w:rFonts w:hint="eastAsia" w:ascii="Times New Roman" w:hAnsi="Times New Roman" w:eastAsia="宋体" w:cs="宋体"/>
                <w:color w:val="auto"/>
                <w:highlight w:val="none"/>
                <w:lang w:val="en-US" w:eastAsia="zh-CN"/>
              </w:rPr>
            </w:pPr>
            <w:r>
              <w:rPr>
                <w:rFonts w:hint="eastAsia" w:ascii="Times New Roman" w:hAnsi="Times New Roman" w:eastAsia="宋体" w:cs="宋体"/>
                <w:color w:val="auto"/>
                <w:highlight w:val="none"/>
                <w:lang w:val="en-US" w:eastAsia="zh-CN"/>
              </w:rPr>
              <w:t>本项目职工定员为</w:t>
            </w:r>
            <w:r>
              <w:rPr>
                <w:rFonts w:hint="eastAsia" w:cs="宋体"/>
                <w:color w:val="auto"/>
                <w:highlight w:val="none"/>
                <w:lang w:val="en-US" w:eastAsia="zh-CN"/>
              </w:rPr>
              <w:t>30</w:t>
            </w:r>
            <w:r>
              <w:rPr>
                <w:rFonts w:hint="eastAsia" w:ascii="Times New Roman" w:hAnsi="Times New Roman" w:eastAsia="宋体" w:cs="宋体"/>
                <w:color w:val="auto"/>
                <w:highlight w:val="none"/>
                <w:lang w:val="en-US" w:eastAsia="zh-CN"/>
              </w:rPr>
              <w:t>人</w:t>
            </w:r>
            <w:r>
              <w:rPr>
                <w:rFonts w:hint="default" w:ascii="Times New Roman" w:hAnsi="Times New Roman" w:eastAsia="宋体" w:cs="宋体"/>
                <w:color w:val="auto"/>
                <w:highlight w:val="none"/>
                <w:lang w:val="en-US" w:eastAsia="zh-CN"/>
              </w:rPr>
              <w:t>，</w:t>
            </w:r>
            <w:r>
              <w:rPr>
                <w:rFonts w:hint="eastAsia" w:ascii="Times New Roman" w:hAnsi="Times New Roman" w:eastAsia="宋体" w:cs="宋体"/>
                <w:color w:val="auto"/>
                <w:highlight w:val="none"/>
                <w:lang w:val="en-US" w:eastAsia="zh-CN"/>
              </w:rPr>
              <w:t>均不住厂，</w:t>
            </w:r>
            <w:r>
              <w:rPr>
                <w:rFonts w:hint="default" w:ascii="Times New Roman" w:hAnsi="Times New Roman" w:eastAsia="宋体" w:cs="宋体"/>
                <w:color w:val="auto"/>
                <w:highlight w:val="none"/>
                <w:lang w:val="en-US" w:eastAsia="zh-CN"/>
              </w:rPr>
              <w:t>年工作日为</w:t>
            </w:r>
            <w:r>
              <w:rPr>
                <w:rFonts w:hint="eastAsia" w:cs="宋体"/>
                <w:color w:val="auto"/>
                <w:highlight w:val="none"/>
                <w:lang w:val="en-US" w:eastAsia="zh-CN"/>
              </w:rPr>
              <w:t>300</w:t>
            </w:r>
            <w:r>
              <w:rPr>
                <w:rFonts w:hint="default" w:ascii="Times New Roman" w:hAnsi="Times New Roman" w:eastAsia="宋体" w:cs="宋体"/>
                <w:color w:val="auto"/>
                <w:highlight w:val="none"/>
                <w:lang w:val="en-US" w:eastAsia="zh-CN"/>
              </w:rPr>
              <w:t>天。不住厂职工生活垃圾系数取0.</w:t>
            </w:r>
            <w:r>
              <w:rPr>
                <w:rFonts w:hint="eastAsia" w:ascii="Times New Roman" w:hAnsi="Times New Roman" w:eastAsia="宋体" w:cs="宋体"/>
                <w:color w:val="auto"/>
                <w:highlight w:val="none"/>
                <w:lang w:val="en-US" w:eastAsia="zh-CN"/>
              </w:rPr>
              <w:t>6</w:t>
            </w:r>
            <w:r>
              <w:rPr>
                <w:rFonts w:hint="default" w:ascii="Times New Roman" w:hAnsi="Times New Roman" w:eastAsia="宋体" w:cs="宋体"/>
                <w:color w:val="auto"/>
                <w:highlight w:val="none"/>
                <w:lang w:val="en-US" w:eastAsia="zh-CN"/>
              </w:rPr>
              <w:t>kg/人</w:t>
            </w:r>
            <w:r>
              <w:rPr>
                <w:rFonts w:hint="eastAsia" w:ascii="Times New Roman" w:hAnsi="Times New Roman" w:eastAsia="宋体" w:cs="宋体"/>
                <w:color w:val="auto"/>
                <w:highlight w:val="none"/>
                <w:lang w:val="en-US" w:eastAsia="zh-CN"/>
              </w:rPr>
              <w:t>·</w:t>
            </w:r>
            <w:r>
              <w:rPr>
                <w:rFonts w:hint="default" w:ascii="Times New Roman" w:hAnsi="Times New Roman" w:eastAsia="宋体" w:cs="宋体"/>
                <w:color w:val="auto"/>
                <w:highlight w:val="none"/>
                <w:lang w:val="en-US" w:eastAsia="zh-CN"/>
              </w:rPr>
              <w:t>日，则项目职工生活垃圾产生量为</w:t>
            </w:r>
            <w:r>
              <w:rPr>
                <w:rFonts w:hint="eastAsia" w:cs="宋体"/>
                <w:color w:val="auto"/>
                <w:highlight w:val="none"/>
                <w:lang w:val="en-US" w:eastAsia="zh-CN"/>
              </w:rPr>
              <w:t>18</w:t>
            </w:r>
            <w:r>
              <w:rPr>
                <w:rFonts w:hint="default" w:ascii="Times New Roman" w:hAnsi="Times New Roman" w:eastAsia="宋体" w:cs="宋体"/>
                <w:color w:val="auto"/>
                <w:highlight w:val="none"/>
                <w:lang w:val="en-US" w:eastAsia="zh-CN"/>
              </w:rPr>
              <w:t>kg/d，年产生量为</w:t>
            </w:r>
            <w:r>
              <w:rPr>
                <w:rFonts w:hint="eastAsia" w:cs="宋体"/>
                <w:color w:val="auto"/>
                <w:highlight w:val="none"/>
                <w:lang w:val="en-US" w:eastAsia="zh-CN"/>
              </w:rPr>
              <w:t>5.4</w:t>
            </w:r>
            <w:r>
              <w:rPr>
                <w:rFonts w:hint="default" w:ascii="Times New Roman" w:hAnsi="Times New Roman" w:eastAsia="宋体" w:cs="宋体"/>
                <w:color w:val="auto"/>
                <w:highlight w:val="none"/>
                <w:lang w:val="en-US" w:eastAsia="zh-CN"/>
              </w:rPr>
              <w:t>t。项目生活垃圾由环卫部门定期统一清运处理</w:t>
            </w:r>
            <w:r>
              <w:rPr>
                <w:rFonts w:hint="eastAsia" w:ascii="Times New Roman" w:hAnsi="Times New Roman" w:eastAsia="宋体" w:cs="宋体"/>
                <w:color w:val="auto"/>
                <w:highlight w:val="none"/>
                <w:lang w:val="en-US" w:eastAsia="zh-CN"/>
              </w:rPr>
              <w:t>。</w:t>
            </w:r>
          </w:p>
          <w:p w14:paraId="2A086A2F">
            <w:pPr>
              <w:pStyle w:val="116"/>
              <w:spacing w:line="360" w:lineRule="auto"/>
              <w:jc w:val="both"/>
              <w:rPr>
                <w:rFonts w:hint="eastAsia"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2、一般工业固体废物</w:t>
            </w:r>
          </w:p>
          <w:p w14:paraId="7572B696">
            <w:pPr>
              <w:pStyle w:val="116"/>
              <w:spacing w:line="360" w:lineRule="auto"/>
              <w:jc w:val="both"/>
              <w:rPr>
                <w:rFonts w:hint="eastAsia" w:cs="Times New Roman"/>
                <w:color w:val="auto"/>
                <w:highlight w:val="none"/>
                <w:lang w:val="en-US" w:eastAsia="zh-CN"/>
              </w:rPr>
            </w:pPr>
            <w:r>
              <w:rPr>
                <w:rFonts w:hint="eastAsia" w:cs="Times New Roman"/>
                <w:color w:val="auto"/>
                <w:highlight w:val="none"/>
                <w:lang w:val="en-US" w:eastAsia="zh-CN"/>
              </w:rPr>
              <w:t>①废一般包装材料</w:t>
            </w:r>
          </w:p>
          <w:p w14:paraId="4BC975D9">
            <w:pPr>
              <w:pStyle w:val="116"/>
              <w:spacing w:line="360" w:lineRule="auto"/>
              <w:jc w:val="both"/>
              <w:rPr>
                <w:rFonts w:hint="eastAsia" w:cs="Times New Roman"/>
                <w:color w:val="auto"/>
                <w:highlight w:val="none"/>
                <w:lang w:val="en-US" w:eastAsia="zh-CN"/>
              </w:rPr>
            </w:pPr>
            <w:r>
              <w:rPr>
                <w:rFonts w:hint="eastAsia" w:cs="Times New Roman"/>
                <w:color w:val="auto"/>
                <w:highlight w:val="none"/>
                <w:lang w:val="en-US" w:eastAsia="zh-CN"/>
              </w:rPr>
              <w:t>项目原料、产品包装会产生少量的废包装材料，根据企业提供资料可知，废包装材料产生量约0.9t/a。废包装材料属于一般固废，外售处置。</w:t>
            </w:r>
          </w:p>
          <w:p w14:paraId="1C8D7193">
            <w:pPr>
              <w:pStyle w:val="116"/>
              <w:spacing w:line="360" w:lineRule="auto"/>
              <w:jc w:val="both"/>
              <w:rPr>
                <w:rFonts w:hint="eastAsia" w:cs="Times New Roman"/>
                <w:color w:val="auto"/>
                <w:highlight w:val="none"/>
                <w:lang w:val="en-US" w:eastAsia="zh-CN"/>
              </w:rPr>
            </w:pPr>
            <w:r>
              <w:rPr>
                <w:rFonts w:hint="eastAsia" w:cs="Times New Roman"/>
                <w:color w:val="auto"/>
                <w:highlight w:val="none"/>
                <w:lang w:val="en-US" w:eastAsia="zh-CN"/>
              </w:rPr>
              <w:t>②废金属料</w:t>
            </w:r>
          </w:p>
          <w:p w14:paraId="3D6D3302">
            <w:pPr>
              <w:pStyle w:val="116"/>
              <w:spacing w:line="360" w:lineRule="auto"/>
              <w:jc w:val="both"/>
              <w:rPr>
                <w:rFonts w:hint="eastAsia" w:cs="Times New Roman"/>
                <w:color w:val="auto"/>
                <w:highlight w:val="none"/>
                <w:lang w:val="en-US" w:eastAsia="zh-CN"/>
              </w:rPr>
            </w:pPr>
            <w:r>
              <w:rPr>
                <w:rFonts w:hint="eastAsia" w:cs="Times New Roman"/>
                <w:color w:val="auto"/>
                <w:highlight w:val="none"/>
                <w:lang w:val="en-US" w:eastAsia="zh-CN"/>
              </w:rPr>
              <w:t>项目装配过程中会产生少量的废金属料，根据企业提供资料可知，废金属料产生量约10t/a。废金属料属于一般固废，委托合法合规单位回收利用或处置。</w:t>
            </w:r>
          </w:p>
          <w:p w14:paraId="424FA2F5">
            <w:pPr>
              <w:pStyle w:val="113"/>
              <w:spacing w:before="39" w:line="218" w:lineRule="auto"/>
              <w:ind w:left="586"/>
              <w:rPr>
                <w:color w:val="auto"/>
                <w:sz w:val="24"/>
                <w:szCs w:val="24"/>
                <w:highlight w:val="none"/>
              </w:rPr>
            </w:pPr>
            <w:r>
              <w:rPr>
                <w:color w:val="auto"/>
                <w:spacing w:val="-3"/>
                <w:sz w:val="24"/>
                <w:szCs w:val="24"/>
                <w:highlight w:val="none"/>
              </w:rPr>
              <w:t>③焊渣</w:t>
            </w:r>
          </w:p>
          <w:p w14:paraId="7A05D11C">
            <w:pPr>
              <w:pStyle w:val="113"/>
              <w:spacing w:before="184" w:line="345" w:lineRule="auto"/>
              <w:ind w:left="103" w:right="98" w:firstLine="484"/>
              <w:rPr>
                <w:color w:val="auto"/>
                <w:sz w:val="24"/>
                <w:szCs w:val="24"/>
                <w:highlight w:val="none"/>
              </w:rPr>
            </w:pPr>
            <w:r>
              <w:rPr>
                <w:color w:val="auto"/>
                <w:sz w:val="24"/>
                <w:szCs w:val="24"/>
                <w:highlight w:val="none"/>
              </w:rPr>
              <w:t>根据建设单位提供的资料以及类比同类型企业，项目焊接工序中会产生</w:t>
            </w:r>
            <w:r>
              <w:rPr>
                <w:color w:val="auto"/>
                <w:spacing w:val="1"/>
                <w:sz w:val="24"/>
                <w:szCs w:val="24"/>
                <w:highlight w:val="none"/>
              </w:rPr>
              <w:t>焊渣，焊渣的产生量约为原料使用量的</w:t>
            </w:r>
            <w:r>
              <w:rPr>
                <w:rFonts w:ascii="Times New Roman" w:hAnsi="Times New Roman" w:eastAsia="Times New Roman" w:cs="Times New Roman"/>
                <w:color w:val="auto"/>
                <w:spacing w:val="1"/>
                <w:sz w:val="24"/>
                <w:szCs w:val="24"/>
                <w:highlight w:val="none"/>
              </w:rPr>
              <w:t>10</w:t>
            </w:r>
            <w:r>
              <w:rPr>
                <w:rFonts w:hint="eastAsia" w:ascii="Times New Roman" w:hAnsi="Times New Roman" w:eastAsia="宋体" w:cs="Times New Roman"/>
                <w:color w:val="auto"/>
                <w:spacing w:val="1"/>
                <w:sz w:val="24"/>
                <w:szCs w:val="24"/>
                <w:highlight w:val="none"/>
                <w:lang w:eastAsia="zh-CN"/>
              </w:rPr>
              <w:t>%～</w:t>
            </w:r>
            <w:r>
              <w:rPr>
                <w:rFonts w:ascii="Times New Roman" w:hAnsi="Times New Roman" w:eastAsia="Times New Roman" w:cs="Times New Roman"/>
                <w:color w:val="auto"/>
                <w:spacing w:val="1"/>
                <w:sz w:val="24"/>
                <w:szCs w:val="24"/>
                <w:highlight w:val="none"/>
              </w:rPr>
              <w:t>20%</w:t>
            </w:r>
            <w:r>
              <w:rPr>
                <w:color w:val="auto"/>
                <w:spacing w:val="1"/>
                <w:sz w:val="24"/>
                <w:szCs w:val="24"/>
                <w:highlight w:val="none"/>
              </w:rPr>
              <w:t>。本评价考虑最不利条件以</w:t>
            </w:r>
            <w:r>
              <w:rPr>
                <w:rFonts w:ascii="Times New Roman" w:hAnsi="Times New Roman" w:eastAsia="Times New Roman" w:cs="Times New Roman"/>
                <w:color w:val="auto"/>
                <w:spacing w:val="2"/>
                <w:sz w:val="24"/>
                <w:szCs w:val="24"/>
                <w:highlight w:val="none"/>
              </w:rPr>
              <w:t>20%</w:t>
            </w:r>
            <w:r>
              <w:rPr>
                <w:color w:val="auto"/>
                <w:spacing w:val="2"/>
                <w:sz w:val="24"/>
                <w:szCs w:val="24"/>
                <w:highlight w:val="none"/>
              </w:rPr>
              <w:t>算，本项目焊材年用量</w:t>
            </w:r>
            <w:r>
              <w:rPr>
                <w:rFonts w:ascii="Times New Roman" w:hAnsi="Times New Roman" w:eastAsia="Times New Roman" w:cs="Times New Roman"/>
                <w:color w:val="auto"/>
                <w:spacing w:val="2"/>
                <w:sz w:val="24"/>
                <w:szCs w:val="24"/>
                <w:highlight w:val="none"/>
              </w:rPr>
              <w:t>20t</w:t>
            </w:r>
            <w:r>
              <w:rPr>
                <w:color w:val="auto"/>
                <w:spacing w:val="2"/>
                <w:sz w:val="24"/>
                <w:szCs w:val="24"/>
                <w:highlight w:val="none"/>
              </w:rPr>
              <w:t>，则焊渣的产生量约</w:t>
            </w:r>
            <w:r>
              <w:rPr>
                <w:rFonts w:ascii="Times New Roman" w:hAnsi="Times New Roman" w:eastAsia="Times New Roman" w:cs="Times New Roman"/>
                <w:color w:val="auto"/>
                <w:spacing w:val="2"/>
                <w:sz w:val="24"/>
                <w:szCs w:val="24"/>
                <w:highlight w:val="none"/>
              </w:rPr>
              <w:t>4t/</w:t>
            </w:r>
            <w:r>
              <w:rPr>
                <w:rFonts w:ascii="Times New Roman" w:hAnsi="Times New Roman" w:eastAsia="Times New Roman" w:cs="Times New Roman"/>
                <w:color w:val="auto"/>
                <w:spacing w:val="1"/>
                <w:sz w:val="24"/>
                <w:szCs w:val="24"/>
                <w:highlight w:val="none"/>
              </w:rPr>
              <w:t>a</w:t>
            </w:r>
            <w:r>
              <w:rPr>
                <w:color w:val="auto"/>
                <w:spacing w:val="1"/>
                <w:sz w:val="24"/>
                <w:szCs w:val="24"/>
                <w:highlight w:val="none"/>
              </w:rPr>
              <w:t>，收集后委托合法合</w:t>
            </w:r>
            <w:r>
              <w:rPr>
                <w:color w:val="auto"/>
                <w:spacing w:val="-1"/>
                <w:sz w:val="24"/>
                <w:szCs w:val="24"/>
                <w:highlight w:val="none"/>
              </w:rPr>
              <w:t>规单位回收利用或处置。</w:t>
            </w:r>
          </w:p>
          <w:p w14:paraId="31FD1450">
            <w:pPr>
              <w:pStyle w:val="113"/>
              <w:spacing w:before="73" w:line="218" w:lineRule="auto"/>
              <w:ind w:left="586"/>
              <w:rPr>
                <w:color w:val="auto"/>
                <w:sz w:val="24"/>
                <w:szCs w:val="24"/>
                <w:highlight w:val="none"/>
              </w:rPr>
            </w:pPr>
            <w:r>
              <w:rPr>
                <w:color w:val="auto"/>
                <w:spacing w:val="-2"/>
                <w:sz w:val="24"/>
                <w:szCs w:val="24"/>
                <w:highlight w:val="none"/>
              </w:rPr>
              <w:t>④废金属灰</w:t>
            </w:r>
          </w:p>
          <w:p w14:paraId="754DCF6A">
            <w:pPr>
              <w:pStyle w:val="113"/>
              <w:spacing w:before="184" w:line="359" w:lineRule="auto"/>
              <w:ind w:left="116" w:right="159" w:firstLine="473"/>
              <w:rPr>
                <w:color w:val="auto"/>
                <w:sz w:val="24"/>
                <w:szCs w:val="24"/>
                <w:highlight w:val="none"/>
              </w:rPr>
            </w:pPr>
            <w:r>
              <w:rPr>
                <w:rFonts w:hint="eastAsia"/>
                <w:color w:val="auto"/>
                <w:spacing w:val="-1"/>
                <w:sz w:val="24"/>
                <w:szCs w:val="24"/>
                <w:highlight w:val="none"/>
                <w:lang w:eastAsia="zh-CN"/>
              </w:rPr>
              <w:t>布袋</w:t>
            </w:r>
            <w:r>
              <w:rPr>
                <w:color w:val="auto"/>
                <w:spacing w:val="-1"/>
                <w:sz w:val="24"/>
                <w:szCs w:val="24"/>
                <w:highlight w:val="none"/>
              </w:rPr>
              <w:t>除尘器在处理焊接烟尘的过程中会</w:t>
            </w:r>
            <w:r>
              <w:rPr>
                <w:color w:val="auto"/>
                <w:spacing w:val="-2"/>
                <w:sz w:val="24"/>
                <w:szCs w:val="24"/>
                <w:highlight w:val="none"/>
              </w:rPr>
              <w:t>收集到被处理的废金属灰，</w:t>
            </w:r>
            <w:r>
              <w:rPr>
                <w:color w:val="auto"/>
                <w:sz w:val="24"/>
                <w:szCs w:val="24"/>
                <w:highlight w:val="none"/>
              </w:rPr>
              <w:t>收集量约为</w:t>
            </w:r>
            <w:r>
              <w:rPr>
                <w:rFonts w:ascii="Times New Roman" w:hAnsi="Times New Roman" w:eastAsia="Times New Roman" w:cs="Times New Roman"/>
                <w:color w:val="auto"/>
                <w:sz w:val="24"/>
                <w:szCs w:val="24"/>
                <w:highlight w:val="none"/>
              </w:rPr>
              <w:t>0.35t/a</w:t>
            </w:r>
            <w:r>
              <w:rPr>
                <w:color w:val="auto"/>
                <w:sz w:val="24"/>
                <w:szCs w:val="24"/>
                <w:highlight w:val="none"/>
              </w:rPr>
              <w:t>，定期收集后委托合法合规单位回收利用或处置。</w:t>
            </w:r>
          </w:p>
          <w:p w14:paraId="0FB0BE45">
            <w:pPr>
              <w:spacing w:line="360" w:lineRule="auto"/>
              <w:ind w:firstLine="482"/>
              <w:rPr>
                <w:rFonts w:ascii="Times New Roman" w:hAnsi="Times New Roman"/>
                <w:color w:val="auto"/>
                <w:sz w:val="24"/>
                <w:highlight w:val="none"/>
              </w:rPr>
            </w:pPr>
            <w:r>
              <w:rPr>
                <w:rFonts w:hint="eastAsia" w:ascii="Times New Roman" w:hAnsi="Times New Roman"/>
                <w:color w:val="auto"/>
                <w:sz w:val="24"/>
                <w:highlight w:val="none"/>
              </w:rPr>
              <w:t>3、</w:t>
            </w:r>
            <w:r>
              <w:rPr>
                <w:rFonts w:ascii="Times New Roman" w:hAnsi="Times New Roman"/>
                <w:color w:val="auto"/>
                <w:sz w:val="24"/>
                <w:highlight w:val="none"/>
              </w:rPr>
              <w:t>危险废物</w:t>
            </w:r>
          </w:p>
          <w:p w14:paraId="0C7136AF">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①废化学品包装</w:t>
            </w:r>
          </w:p>
          <w:p w14:paraId="62999CC1">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项目化学品使用会产生废包装，根据企业提供资料可知，废化学品包装产生量为0.2t/a，属于危险废物，危废类别为HW49，委托有资质单位处置。</w:t>
            </w:r>
          </w:p>
          <w:p w14:paraId="3673D5C9">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②废机油</w:t>
            </w:r>
          </w:p>
          <w:p w14:paraId="6096EEBC">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项目生产设备维修保养过程会产生少量的废机油，废机油产生量约</w:t>
            </w:r>
          </w:p>
          <w:p w14:paraId="3BEBCFC2">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0.2t/a。废机油属于危险废物，危废类别为HW08，委托有资质单位处置。</w:t>
            </w:r>
          </w:p>
          <w:p w14:paraId="52BF5233">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③废弃纯水制备耗材</w:t>
            </w:r>
          </w:p>
          <w:p w14:paraId="0F8798EE">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纯水制备过程中会产生废RO膜、废过滤器、废离子交换树脂，产生量约0.1t/a，属于危险废物，危废类别为HW49，委托有资质单位处置。</w:t>
            </w:r>
          </w:p>
          <w:p w14:paraId="47F1E78D">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④废含油抹布手套</w:t>
            </w:r>
          </w:p>
          <w:p w14:paraId="3EF75588">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项目装配、设备维护保养过程中会产生废含油抹布手套，产生量约0.4t/a。废含油抹布手套因沾染机油属于危险废物，危废类别为HW49，委托有资质单位处置。</w:t>
            </w:r>
          </w:p>
          <w:p w14:paraId="1C01BCF8">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⑤废活性炭</w:t>
            </w:r>
          </w:p>
          <w:p w14:paraId="7050301D">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本项目产生的有机废气利用活性炭吸附处理，为保证活性炭吸附活性，需定期更换活性炭，产生废活性炭，本项目活性炭一年更换一次。</w:t>
            </w:r>
          </w:p>
          <w:p w14:paraId="7ACCE235">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w:t>
            </w:r>
            <w:r>
              <w:rPr>
                <w:rFonts w:hint="eastAsia" w:cs="Times New Roman"/>
                <w:color w:val="auto"/>
                <w:highlight w:val="none"/>
                <w:lang w:val="en-US" w:eastAsia="zh-CN"/>
              </w:rPr>
              <w:t>前文</w:t>
            </w:r>
            <w:r>
              <w:rPr>
                <w:rFonts w:hint="eastAsia" w:ascii="Times New Roman" w:hAnsi="Times New Roman" w:eastAsia="宋体" w:cs="Times New Roman"/>
                <w:color w:val="auto"/>
                <w:highlight w:val="none"/>
                <w:lang w:val="en-US" w:eastAsia="zh-CN"/>
              </w:rPr>
              <w:t>计算结果，本项目废活性炭产生量为</w:t>
            </w:r>
            <w:r>
              <w:rPr>
                <w:rFonts w:hint="eastAsia" w:cs="Times New Roman"/>
                <w:color w:val="auto"/>
                <w:highlight w:val="none"/>
                <w:lang w:val="en-US" w:eastAsia="zh-CN"/>
              </w:rPr>
              <w:t>3.6355</w:t>
            </w:r>
            <w:r>
              <w:rPr>
                <w:rFonts w:hint="eastAsia" w:ascii="Times New Roman" w:hAnsi="Times New Roman" w:eastAsia="宋体" w:cs="Times New Roman"/>
                <w:color w:val="auto"/>
                <w:highlight w:val="none"/>
                <w:lang w:val="en-US" w:eastAsia="zh-CN"/>
              </w:rPr>
              <w:t>t/a，属于《国家危险废物名录》（202</w:t>
            </w:r>
            <w:r>
              <w:rPr>
                <w:rFonts w:hint="eastAsia" w:cs="Times New Roman"/>
                <w:color w:val="auto"/>
                <w:highlight w:val="none"/>
                <w:lang w:val="en-US" w:eastAsia="zh-CN"/>
              </w:rPr>
              <w:t>5</w:t>
            </w:r>
            <w:r>
              <w:rPr>
                <w:rFonts w:hint="eastAsia" w:ascii="Times New Roman" w:hAnsi="Times New Roman" w:eastAsia="宋体" w:cs="Times New Roman"/>
                <w:color w:val="auto"/>
                <w:highlight w:val="none"/>
                <w:lang w:val="en-US" w:eastAsia="zh-CN"/>
              </w:rPr>
              <w:t>年版）中编号为HW49其他废物类，危废代码900-039-49，委托有资质单位处置。</w:t>
            </w:r>
          </w:p>
          <w:p w14:paraId="13EFD5C7">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⑥废过滤物</w:t>
            </w:r>
          </w:p>
          <w:p w14:paraId="3A205057">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项目脱脂槽液由配套过滤装置滤去残渣后循环使用，产生废过滤物，产生量约0.8t/a，属于危险废物，危废类别为HW49，委托有资质单位处置。</w:t>
            </w:r>
          </w:p>
          <w:p w14:paraId="430DA202">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⑦废水处理污泥</w:t>
            </w:r>
          </w:p>
          <w:p w14:paraId="7DEF4E56">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第二次全国污染源普查工业污染源产排污系数手册》（试用版）机械行业系数手册，本项目年使用絮凝剂约210kg/a、污泥产生率4.53t/t-絮凝剂，计算得出污泥产生量0.95t/a，属于危险废物，危废类别为HW17，委托有资质单位处置。</w:t>
            </w:r>
          </w:p>
          <w:p w14:paraId="453F675E">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⑧废油桶</w:t>
            </w:r>
          </w:p>
          <w:p w14:paraId="7EC69F85">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根据建设单位提供资料，项目厂内进购的液压油和润滑油的包装桶规格为20kg/桶，项目在生产过程中年用机油0.2t/a，则产生的废包装桶为10个，约0.2t/a，属于危险废物，危废类别为HW08，委托有资质单位处置。</w:t>
            </w:r>
          </w:p>
          <w:p w14:paraId="4B9999B2">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⑨废滤膜</w:t>
            </w:r>
          </w:p>
          <w:p w14:paraId="461B33BF">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根据建设单位提供资料，项目超滤系统会产生废滤膜，产生量约0.4t/a，属于危险废物，危废类别为HW49，委托有资质单位处置。</w:t>
            </w:r>
          </w:p>
          <w:p w14:paraId="329AE222">
            <w:pPr>
              <w:pStyle w:val="113"/>
              <w:spacing w:before="1" w:line="217" w:lineRule="auto"/>
              <w:ind w:left="586"/>
              <w:rPr>
                <w:color w:val="auto"/>
                <w:sz w:val="24"/>
                <w:szCs w:val="24"/>
                <w:highlight w:val="none"/>
              </w:rPr>
            </w:pPr>
            <w:r>
              <w:rPr>
                <w:rFonts w:hint="eastAsia" w:ascii="Times New Roman" w:hAnsi="Times New Roman" w:eastAsia="宋体" w:cs="Times New Roman"/>
                <w:color w:val="auto"/>
                <w:kern w:val="2"/>
                <w:sz w:val="24"/>
                <w:szCs w:val="24"/>
                <w:highlight w:val="none"/>
                <w:lang w:val="en-US" w:eastAsia="zh-CN" w:bidi="ar-SA"/>
              </w:rPr>
              <w:t>⑩</w:t>
            </w:r>
            <w:r>
              <w:rPr>
                <w:color w:val="auto"/>
                <w:spacing w:val="-2"/>
                <w:sz w:val="24"/>
                <w:szCs w:val="24"/>
                <w:highlight w:val="none"/>
              </w:rPr>
              <w:t>废涂料桶</w:t>
            </w:r>
          </w:p>
          <w:p w14:paraId="0868342E">
            <w:pPr>
              <w:pStyle w:val="118"/>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根据建设单位提供资料，项目电泳涂料使用过程会产生废涂料桶，产生量约0.4t/a，属于危险废物，危废类别为HW49，需委托具有危险废物经营许可证的单位处置，并严格执行危险废物转移联单制度。</w:t>
            </w:r>
          </w:p>
          <w:p w14:paraId="6BEEEC39">
            <w:pPr>
              <w:pStyle w:val="44"/>
              <w:ind w:firstLine="480"/>
              <w:rPr>
                <w:rFonts w:hint="eastAsia"/>
                <w:color w:val="auto"/>
                <w:highlight w:val="none"/>
              </w:rPr>
            </w:pPr>
            <w:r>
              <w:rPr>
                <w:color w:val="auto"/>
                <w:highlight w:val="none"/>
              </w:rPr>
              <w:t>本项目</w:t>
            </w:r>
            <w:r>
              <w:rPr>
                <w:rFonts w:hint="eastAsia"/>
                <w:color w:val="auto"/>
                <w:highlight w:val="none"/>
                <w:lang w:val="en-US" w:eastAsia="zh-CN"/>
              </w:rPr>
              <w:t>一般</w:t>
            </w:r>
            <w:r>
              <w:rPr>
                <w:color w:val="auto"/>
                <w:highlight w:val="none"/>
              </w:rPr>
              <w:t>固废</w:t>
            </w:r>
            <w:r>
              <w:rPr>
                <w:rFonts w:hint="eastAsia"/>
                <w:color w:val="auto"/>
                <w:highlight w:val="none"/>
                <w:lang w:val="en-US" w:eastAsia="zh-CN"/>
              </w:rPr>
              <w:t>与危险固废</w:t>
            </w:r>
            <w:r>
              <w:rPr>
                <w:color w:val="auto"/>
                <w:highlight w:val="none"/>
              </w:rPr>
              <w:t>产生情况及处置见</w:t>
            </w:r>
            <w:r>
              <w:rPr>
                <w:rFonts w:hint="eastAsia"/>
                <w:color w:val="auto"/>
                <w:highlight w:val="none"/>
              </w:rPr>
              <w:t>下表</w:t>
            </w:r>
            <w:r>
              <w:rPr>
                <w:rFonts w:hint="eastAsia"/>
                <w:color w:val="auto"/>
                <w:highlight w:val="none"/>
                <w:lang w:val="en-US" w:eastAsia="zh-CN"/>
              </w:rPr>
              <w:t>4.5-1与表4.5-2</w:t>
            </w:r>
            <w:r>
              <w:rPr>
                <w:rFonts w:hint="eastAsia"/>
                <w:color w:val="auto"/>
                <w:highlight w:val="none"/>
              </w:rPr>
              <w:t>。</w:t>
            </w:r>
            <w:bookmarkStart w:id="55" w:name="_Ref31352"/>
            <w:bookmarkStart w:id="56" w:name="_Ref28204"/>
            <w:bookmarkStart w:id="57" w:name="OLE_LINK21"/>
            <w:bookmarkStart w:id="58" w:name="OLE_LINK22"/>
          </w:p>
          <w:p w14:paraId="45E5B1E8">
            <w:pPr>
              <w:pStyle w:val="42"/>
              <w:keepNext/>
              <w:keepLines/>
              <w:pageBreakBefore w:val="0"/>
              <w:widowControl w:val="0"/>
              <w:numPr>
                <w:ilvl w:val="7"/>
                <w:numId w:val="16"/>
              </w:numPr>
              <w:tabs>
                <w:tab w:val="left" w:pos="0"/>
              </w:tabs>
              <w:kinsoku/>
              <w:wordWrap/>
              <w:overflowPunct/>
              <w:topLinePunct w:val="0"/>
              <w:autoSpaceDE/>
              <w:autoSpaceDN/>
              <w:bidi w:val="0"/>
              <w:adjustRightInd/>
              <w:snapToGrid/>
              <w:spacing w:before="157" w:beforeLines="50" w:after="0"/>
              <w:ind w:left="630" w:leftChars="0" w:firstLine="0" w:firstLine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一般</w:t>
            </w:r>
            <w:r>
              <w:rPr>
                <w:rFonts w:hint="eastAsia" w:ascii="Times New Roman" w:hAnsi="Times New Roman" w:eastAsia="宋体" w:cs="Times New Roman"/>
                <w:color w:val="auto"/>
                <w:highlight w:val="none"/>
                <w:lang w:val="en-US" w:eastAsia="zh-CN"/>
              </w:rPr>
              <w:t>固废产生情况及处置一览</w:t>
            </w:r>
            <w:bookmarkEnd w:id="55"/>
            <w:bookmarkEnd w:id="56"/>
            <w:r>
              <w:rPr>
                <w:rFonts w:hint="eastAsia" w:ascii="Times New Roman" w:hAnsi="Times New Roman" w:eastAsia="宋体" w:cs="Times New Roman"/>
                <w:color w:val="auto"/>
                <w:highlight w:val="none"/>
                <w:lang w:val="en-US" w:eastAsia="zh-CN"/>
              </w:rPr>
              <w:t>表</w:t>
            </w:r>
          </w:p>
          <w:tbl>
            <w:tblPr>
              <w:tblStyle w:val="3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36"/>
              <w:gridCol w:w="1263"/>
              <w:gridCol w:w="1316"/>
              <w:gridCol w:w="768"/>
              <w:gridCol w:w="966"/>
              <w:gridCol w:w="602"/>
              <w:gridCol w:w="736"/>
              <w:gridCol w:w="673"/>
              <w:gridCol w:w="686"/>
              <w:gridCol w:w="1478"/>
            </w:tblGrid>
            <w:tr w14:paraId="76AA73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45" w:type="pct"/>
                  <w:tcBorders>
                    <w:bottom w:val="single" w:color="auto" w:sz="12" w:space="0"/>
                  </w:tcBorders>
                  <w:vAlign w:val="center"/>
                </w:tcPr>
                <w:p w14:paraId="081E94EE">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序号</w:t>
                  </w:r>
                </w:p>
              </w:tc>
              <w:tc>
                <w:tcPr>
                  <w:tcW w:w="707" w:type="pct"/>
                  <w:tcBorders>
                    <w:bottom w:val="single" w:color="auto" w:sz="12" w:space="0"/>
                  </w:tcBorders>
                  <w:vAlign w:val="center"/>
                </w:tcPr>
                <w:p w14:paraId="0712B15A">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固废名称</w:t>
                  </w:r>
                </w:p>
              </w:tc>
              <w:tc>
                <w:tcPr>
                  <w:tcW w:w="737" w:type="pct"/>
                  <w:tcBorders>
                    <w:bottom w:val="single" w:color="auto" w:sz="12" w:space="0"/>
                  </w:tcBorders>
                  <w:vAlign w:val="center"/>
                </w:tcPr>
                <w:p w14:paraId="71AC3095">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类别编号</w:t>
                  </w:r>
                </w:p>
              </w:tc>
              <w:tc>
                <w:tcPr>
                  <w:tcW w:w="430" w:type="pct"/>
                  <w:tcBorders>
                    <w:bottom w:val="single" w:color="auto" w:sz="12" w:space="0"/>
                  </w:tcBorders>
                  <w:vAlign w:val="center"/>
                </w:tcPr>
                <w:p w14:paraId="55EA1AF2">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产生量(t/a)</w:t>
                  </w:r>
                </w:p>
              </w:tc>
              <w:tc>
                <w:tcPr>
                  <w:tcW w:w="541" w:type="pct"/>
                  <w:tcBorders>
                    <w:bottom w:val="single" w:color="auto" w:sz="12" w:space="0"/>
                  </w:tcBorders>
                  <w:vAlign w:val="center"/>
                </w:tcPr>
                <w:p w14:paraId="497F7127">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产生工序及装置</w:t>
                  </w:r>
                </w:p>
              </w:tc>
              <w:tc>
                <w:tcPr>
                  <w:tcW w:w="337" w:type="pct"/>
                  <w:tcBorders>
                    <w:bottom w:val="single" w:color="auto" w:sz="12" w:space="0"/>
                  </w:tcBorders>
                  <w:vAlign w:val="center"/>
                </w:tcPr>
                <w:p w14:paraId="3BEFB231">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形态</w:t>
                  </w:r>
                </w:p>
              </w:tc>
              <w:tc>
                <w:tcPr>
                  <w:tcW w:w="412" w:type="pct"/>
                  <w:tcBorders>
                    <w:bottom w:val="single" w:color="auto" w:sz="12" w:space="0"/>
                  </w:tcBorders>
                  <w:vAlign w:val="center"/>
                </w:tcPr>
                <w:p w14:paraId="4D52181A">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主要成分</w:t>
                  </w:r>
                </w:p>
              </w:tc>
              <w:tc>
                <w:tcPr>
                  <w:tcW w:w="377" w:type="pct"/>
                  <w:tcBorders>
                    <w:bottom w:val="single" w:color="auto" w:sz="12" w:space="0"/>
                  </w:tcBorders>
                  <w:vAlign w:val="center"/>
                </w:tcPr>
                <w:p w14:paraId="451CA1EF">
                  <w:pPr>
                    <w:pStyle w:val="46"/>
                    <w:tabs>
                      <w:tab w:val="left" w:pos="0"/>
                    </w:tabs>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有害成分</w:t>
                  </w:r>
                </w:p>
              </w:tc>
              <w:tc>
                <w:tcPr>
                  <w:tcW w:w="384" w:type="pct"/>
                  <w:tcBorders>
                    <w:bottom w:val="single" w:color="auto" w:sz="12" w:space="0"/>
                  </w:tcBorders>
                  <w:vAlign w:val="center"/>
                </w:tcPr>
                <w:p w14:paraId="61CECCA3">
                  <w:pPr>
                    <w:pStyle w:val="46"/>
                    <w:tabs>
                      <w:tab w:val="left" w:pos="0"/>
                    </w:tabs>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产废规律</w:t>
                  </w:r>
                </w:p>
              </w:tc>
              <w:tc>
                <w:tcPr>
                  <w:tcW w:w="826" w:type="pct"/>
                  <w:tcBorders>
                    <w:bottom w:val="single" w:color="auto" w:sz="12" w:space="0"/>
                  </w:tcBorders>
                  <w:vAlign w:val="center"/>
                </w:tcPr>
                <w:p w14:paraId="572B9760">
                  <w:pPr>
                    <w:pStyle w:val="46"/>
                    <w:tabs>
                      <w:tab w:val="left" w:pos="0"/>
                    </w:tabs>
                    <w:rPr>
                      <w:rFonts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处置去向</w:t>
                  </w:r>
                </w:p>
              </w:tc>
            </w:tr>
            <w:tr w14:paraId="400D0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43" w:hRule="atLeast"/>
              </w:trPr>
              <w:tc>
                <w:tcPr>
                  <w:tcW w:w="245" w:type="pct"/>
                  <w:tcBorders>
                    <w:top w:val="single" w:color="auto" w:sz="12" w:space="0"/>
                    <w:tl2br w:val="nil"/>
                    <w:tr2bl w:val="nil"/>
                  </w:tcBorders>
                  <w:shd w:val="clear" w:color="auto" w:fill="auto"/>
                  <w:vAlign w:val="center"/>
                </w:tcPr>
                <w:p w14:paraId="47CF3395">
                  <w:pPr>
                    <w:pStyle w:val="46"/>
                    <w:tabs>
                      <w:tab w:val="left" w:pos="0"/>
                    </w:tabs>
                    <w:ind w:left="0" w:leftChars="0" w:firstLine="0" w:firstLineChars="0"/>
                    <w:jc w:val="center"/>
                    <w:rPr>
                      <w:rFonts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eastAsia="宋体"/>
                      <w:b w:val="0"/>
                      <w:bCs w:val="0"/>
                      <w:color w:val="auto"/>
                      <w:sz w:val="21"/>
                      <w:szCs w:val="21"/>
                      <w:highlight w:val="none"/>
                    </w:rPr>
                    <w:t>1</w:t>
                  </w:r>
                </w:p>
              </w:tc>
              <w:tc>
                <w:tcPr>
                  <w:tcW w:w="707" w:type="pct"/>
                  <w:tcBorders>
                    <w:top w:val="single" w:color="auto" w:sz="12" w:space="0"/>
                    <w:tl2br w:val="nil"/>
                    <w:tr2bl w:val="nil"/>
                  </w:tcBorders>
                  <w:shd w:val="clear" w:color="auto" w:fill="auto"/>
                  <w:vAlign w:val="center"/>
                </w:tcPr>
                <w:p w14:paraId="2DDF4E43">
                  <w:pPr>
                    <w:pStyle w:val="46"/>
                    <w:tabs>
                      <w:tab w:val="left" w:pos="0"/>
                    </w:tabs>
                    <w:ind w:left="0" w:lef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lang w:val="en-US" w:eastAsia="zh-CN"/>
                    </w:rPr>
                    <w:t>废包装材料</w:t>
                  </w:r>
                </w:p>
              </w:tc>
              <w:tc>
                <w:tcPr>
                  <w:tcW w:w="737" w:type="pct"/>
                  <w:tcBorders>
                    <w:top w:val="single" w:color="auto" w:sz="12" w:space="0"/>
                    <w:tl2br w:val="nil"/>
                    <w:tr2bl w:val="nil"/>
                  </w:tcBorders>
                  <w:shd w:val="clear" w:color="auto" w:fill="auto"/>
                  <w:vAlign w:val="center"/>
                </w:tcPr>
                <w:p w14:paraId="24773BA1">
                  <w:pPr>
                    <w:pStyle w:val="46"/>
                    <w:tabs>
                      <w:tab w:val="left" w:pos="0"/>
                    </w:tabs>
                    <w:ind w:left="0" w:lef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rPr>
                    <w:t>339-001-07</w:t>
                  </w:r>
                </w:p>
              </w:tc>
              <w:tc>
                <w:tcPr>
                  <w:tcW w:w="430" w:type="pct"/>
                  <w:tcBorders>
                    <w:top w:val="single" w:color="auto" w:sz="12" w:space="0"/>
                    <w:tl2br w:val="nil"/>
                    <w:tr2bl w:val="nil"/>
                  </w:tcBorders>
                  <w:shd w:val="clear" w:color="auto" w:fill="auto"/>
                  <w:vAlign w:val="center"/>
                </w:tcPr>
                <w:p w14:paraId="784039E5">
                  <w:pPr>
                    <w:pStyle w:val="46"/>
                    <w:tabs>
                      <w:tab w:val="left" w:pos="0"/>
                    </w:tabs>
                    <w:ind w:left="0" w:lef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lang w:val="en-US" w:eastAsia="zh-CN"/>
                    </w:rPr>
                    <w:t>0.9</w:t>
                  </w:r>
                </w:p>
              </w:tc>
              <w:tc>
                <w:tcPr>
                  <w:tcW w:w="541" w:type="pct"/>
                  <w:tcBorders>
                    <w:top w:val="single" w:color="auto" w:sz="12" w:space="0"/>
                    <w:tl2br w:val="nil"/>
                    <w:tr2bl w:val="nil"/>
                  </w:tcBorders>
                  <w:shd w:val="clear" w:color="auto" w:fill="auto"/>
                  <w:vAlign w:val="center"/>
                </w:tcPr>
                <w:p w14:paraId="15546188">
                  <w:pPr>
                    <w:pStyle w:val="46"/>
                    <w:tabs>
                      <w:tab w:val="left" w:pos="0"/>
                    </w:tabs>
                    <w:ind w:left="0" w:lef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lang w:val="en-US" w:eastAsia="zh-CN"/>
                    </w:rPr>
                    <w:t>包装工程</w:t>
                  </w:r>
                </w:p>
              </w:tc>
              <w:tc>
                <w:tcPr>
                  <w:tcW w:w="337" w:type="pct"/>
                  <w:tcBorders>
                    <w:top w:val="single" w:color="auto" w:sz="12" w:space="0"/>
                    <w:tl2br w:val="nil"/>
                    <w:tr2bl w:val="nil"/>
                  </w:tcBorders>
                  <w:shd w:val="clear" w:color="auto" w:fill="auto"/>
                  <w:vAlign w:val="center"/>
                </w:tcPr>
                <w:p w14:paraId="7C58BEF5">
                  <w:pPr>
                    <w:pStyle w:val="46"/>
                    <w:tabs>
                      <w:tab w:val="left" w:pos="0"/>
                    </w:tabs>
                    <w:ind w:left="0" w:leftChars="0" w:firstLine="0" w:firstLineChars="0"/>
                    <w:jc w:val="center"/>
                    <w:rPr>
                      <w:rFonts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eastAsia="宋体"/>
                      <w:b w:val="0"/>
                      <w:bCs w:val="0"/>
                      <w:color w:val="auto"/>
                      <w:sz w:val="21"/>
                      <w:szCs w:val="21"/>
                      <w:highlight w:val="none"/>
                    </w:rPr>
                    <w:t>固态</w:t>
                  </w:r>
                </w:p>
              </w:tc>
              <w:tc>
                <w:tcPr>
                  <w:tcW w:w="412" w:type="pct"/>
                  <w:tcBorders>
                    <w:top w:val="single" w:color="auto" w:sz="12" w:space="0"/>
                    <w:tl2br w:val="nil"/>
                    <w:tr2bl w:val="nil"/>
                  </w:tcBorders>
                  <w:shd w:val="clear" w:color="auto" w:fill="auto"/>
                  <w:vAlign w:val="center"/>
                </w:tcPr>
                <w:p w14:paraId="49368772">
                  <w:pPr>
                    <w:pStyle w:val="46"/>
                    <w:tabs>
                      <w:tab w:val="left" w:pos="0"/>
                    </w:tabs>
                    <w:ind w:left="0" w:lef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纸板、塑料</w:t>
                  </w:r>
                </w:p>
              </w:tc>
              <w:tc>
                <w:tcPr>
                  <w:tcW w:w="377" w:type="pct"/>
                  <w:tcBorders>
                    <w:top w:val="single" w:color="auto" w:sz="12" w:space="0"/>
                    <w:tl2br w:val="nil"/>
                    <w:tr2bl w:val="nil"/>
                  </w:tcBorders>
                  <w:shd w:val="clear" w:color="auto" w:fill="auto"/>
                  <w:vAlign w:val="center"/>
                </w:tcPr>
                <w:p w14:paraId="20EEDA22">
                  <w:pPr>
                    <w:pStyle w:val="46"/>
                    <w:tabs>
                      <w:tab w:val="left" w:pos="0"/>
                    </w:tabs>
                    <w:ind w:left="0" w:leftChars="0" w:firstLine="0" w:firstLineChars="0"/>
                    <w:rPr>
                      <w:rFonts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eastAsia="宋体"/>
                      <w:b w:val="0"/>
                      <w:bCs w:val="0"/>
                      <w:color w:val="auto"/>
                      <w:sz w:val="21"/>
                      <w:szCs w:val="21"/>
                      <w:highlight w:val="none"/>
                    </w:rPr>
                    <w:t>/</w:t>
                  </w:r>
                </w:p>
              </w:tc>
              <w:tc>
                <w:tcPr>
                  <w:tcW w:w="384" w:type="pct"/>
                  <w:tcBorders>
                    <w:top w:val="single" w:color="auto" w:sz="12" w:space="0"/>
                    <w:tl2br w:val="nil"/>
                    <w:tr2bl w:val="nil"/>
                  </w:tcBorders>
                  <w:shd w:val="clear" w:color="auto" w:fill="auto"/>
                  <w:vAlign w:val="center"/>
                </w:tcPr>
                <w:p w14:paraId="37B5523C">
                  <w:pPr>
                    <w:pStyle w:val="46"/>
                    <w:tabs>
                      <w:tab w:val="left" w:pos="0"/>
                    </w:tabs>
                    <w:ind w:left="0" w:leftChars="0" w:firstLine="0" w:firstLineChars="0"/>
                    <w:rPr>
                      <w:rFonts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rPr>
                    <w:t>间歇</w:t>
                  </w:r>
                </w:p>
              </w:tc>
              <w:tc>
                <w:tcPr>
                  <w:tcW w:w="826" w:type="pct"/>
                  <w:vMerge w:val="restart"/>
                  <w:tcBorders>
                    <w:top w:val="single" w:color="auto" w:sz="12" w:space="0"/>
                    <w:tl2br w:val="nil"/>
                    <w:tr2bl w:val="nil"/>
                  </w:tcBorders>
                  <w:vAlign w:val="center"/>
                </w:tcPr>
                <w:p w14:paraId="5FBC1EFE">
                  <w:pPr>
                    <w:pStyle w:val="46"/>
                    <w:tabs>
                      <w:tab w:val="left" w:pos="0"/>
                    </w:tabs>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外售相关回收单</w:t>
                  </w:r>
                </w:p>
              </w:tc>
            </w:tr>
            <w:tr w14:paraId="6DD74E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45" w:type="pct"/>
                  <w:tcBorders>
                    <w:tl2br w:val="nil"/>
                    <w:tr2bl w:val="nil"/>
                  </w:tcBorders>
                  <w:shd w:val="clear" w:color="auto" w:fill="auto"/>
                  <w:vAlign w:val="center"/>
                </w:tcPr>
                <w:p w14:paraId="476DAD25">
                  <w:pPr>
                    <w:pStyle w:val="46"/>
                    <w:tabs>
                      <w:tab w:val="left" w:pos="0"/>
                    </w:tabs>
                    <w:ind w:left="0" w:leftChars="0" w:firstLine="0" w:firstLineChars="0"/>
                    <w:jc w:val="center"/>
                    <w:rPr>
                      <w:rFonts w:hint="eastAsia"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rPr>
                    <w:t>2</w:t>
                  </w:r>
                </w:p>
              </w:tc>
              <w:tc>
                <w:tcPr>
                  <w:tcW w:w="707" w:type="pct"/>
                  <w:tcBorders>
                    <w:tl2br w:val="nil"/>
                    <w:tr2bl w:val="nil"/>
                  </w:tcBorders>
                  <w:vAlign w:val="center"/>
                </w:tcPr>
                <w:p w14:paraId="32334B92">
                  <w:pPr>
                    <w:pStyle w:val="46"/>
                    <w:tabs>
                      <w:tab w:val="left" w:pos="0"/>
                    </w:tabs>
                    <w:jc w:val="center"/>
                    <w:rPr>
                      <w:rFonts w:hint="eastAsia" w:ascii="Times New Roman" w:hAnsi="Times New Roman" w:eastAsia="宋体"/>
                      <w:b w:val="0"/>
                      <w:bCs w:val="0"/>
                      <w:color w:val="auto"/>
                      <w:sz w:val="21"/>
                      <w:szCs w:val="21"/>
                      <w:highlight w:val="none"/>
                      <w:lang w:eastAsia="zh-CN"/>
                    </w:rPr>
                  </w:pPr>
                  <w:r>
                    <w:rPr>
                      <w:rFonts w:hint="eastAsia" w:ascii="Times New Roman" w:hAnsi="Times New Roman" w:eastAsia="宋体" w:cs="Times New Roman"/>
                      <w:color w:val="auto"/>
                      <w:sz w:val="21"/>
                      <w:highlight w:val="none"/>
                      <w:lang w:val="en-US" w:eastAsia="zh-CN"/>
                    </w:rPr>
                    <w:t>废金属料</w:t>
                  </w:r>
                </w:p>
              </w:tc>
              <w:tc>
                <w:tcPr>
                  <w:tcW w:w="737" w:type="pct"/>
                  <w:tcBorders>
                    <w:tl2br w:val="nil"/>
                    <w:tr2bl w:val="nil"/>
                  </w:tcBorders>
                  <w:vAlign w:val="center"/>
                </w:tcPr>
                <w:p w14:paraId="1FB86831">
                  <w:pPr>
                    <w:pStyle w:val="46"/>
                    <w:tabs>
                      <w:tab w:val="left" w:pos="0"/>
                    </w:tabs>
                    <w:ind w:left="0" w:leftChars="0" w:firstLine="0" w:firstLineChars="0"/>
                    <w:jc w:val="center"/>
                    <w:rPr>
                      <w:rFonts w:hint="eastAsia"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900-003-62</w:t>
                  </w:r>
                </w:p>
              </w:tc>
              <w:tc>
                <w:tcPr>
                  <w:tcW w:w="430" w:type="pct"/>
                  <w:tcBorders>
                    <w:tl2br w:val="nil"/>
                    <w:tr2bl w:val="nil"/>
                  </w:tcBorders>
                  <w:vAlign w:val="center"/>
                </w:tcPr>
                <w:p w14:paraId="7100AD06">
                  <w:pPr>
                    <w:pStyle w:val="46"/>
                    <w:tabs>
                      <w:tab w:val="left" w:pos="0"/>
                    </w:tabs>
                    <w:jc w:val="center"/>
                    <w:rPr>
                      <w:rFonts w:hint="default"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10</w:t>
                  </w:r>
                </w:p>
              </w:tc>
              <w:tc>
                <w:tcPr>
                  <w:tcW w:w="541" w:type="pct"/>
                  <w:tcBorders>
                    <w:tl2br w:val="nil"/>
                    <w:tr2bl w:val="nil"/>
                  </w:tcBorders>
                  <w:vAlign w:val="center"/>
                </w:tcPr>
                <w:p w14:paraId="43BA9503">
                  <w:pPr>
                    <w:pStyle w:val="46"/>
                    <w:tabs>
                      <w:tab w:val="left" w:pos="0"/>
                    </w:tabs>
                    <w:jc w:val="center"/>
                    <w:rPr>
                      <w:rFonts w:hint="default"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焊接</w:t>
                  </w:r>
                </w:p>
              </w:tc>
              <w:tc>
                <w:tcPr>
                  <w:tcW w:w="337" w:type="pct"/>
                  <w:tcBorders>
                    <w:tl2br w:val="nil"/>
                    <w:tr2bl w:val="nil"/>
                  </w:tcBorders>
                  <w:vAlign w:val="center"/>
                </w:tcPr>
                <w:p w14:paraId="311BF455">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固态</w:t>
                  </w:r>
                </w:p>
              </w:tc>
              <w:tc>
                <w:tcPr>
                  <w:tcW w:w="412" w:type="pct"/>
                  <w:tcBorders>
                    <w:tl2br w:val="nil"/>
                    <w:tr2bl w:val="nil"/>
                  </w:tcBorders>
                  <w:vAlign w:val="center"/>
                </w:tcPr>
                <w:p w14:paraId="7E53D314">
                  <w:pPr>
                    <w:pStyle w:val="46"/>
                    <w:tabs>
                      <w:tab w:val="left" w:pos="0"/>
                    </w:tabs>
                    <w:jc w:val="center"/>
                    <w:rPr>
                      <w:rFonts w:hint="default" w:ascii="Times New Roman" w:hAnsi="Times New Roman" w:eastAsia="宋体"/>
                      <w:b w:val="0"/>
                      <w:bCs w:val="0"/>
                      <w:color w:val="auto"/>
                      <w:sz w:val="21"/>
                      <w:szCs w:val="21"/>
                      <w:highlight w:val="none"/>
                      <w:lang w:val="en-US" w:eastAsia="zh-CN"/>
                    </w:rPr>
                  </w:pPr>
                  <w:r>
                    <w:rPr>
                      <w:rFonts w:hint="default" w:ascii="Times New Roman" w:hAnsi="Times New Roman" w:eastAsia="宋体" w:cs="Times New Roman"/>
                      <w:b w:val="0"/>
                      <w:bCs w:val="0"/>
                      <w:color w:val="auto"/>
                      <w:kern w:val="2"/>
                      <w:sz w:val="21"/>
                      <w:szCs w:val="21"/>
                      <w:highlight w:val="none"/>
                      <w:lang w:val="en-US" w:eastAsia="zh-CN" w:bidi="ar-SA"/>
                    </w:rPr>
                    <w:t>铁、钢、铝</w:t>
                  </w:r>
                  <w:r>
                    <w:rPr>
                      <w:rFonts w:hint="eastAsia" w:ascii="Times New Roman" w:hAnsi="Times New Roman" w:eastAsia="宋体" w:cs="Times New Roman"/>
                      <w:b w:val="0"/>
                      <w:bCs w:val="0"/>
                      <w:color w:val="auto"/>
                      <w:kern w:val="2"/>
                      <w:sz w:val="21"/>
                      <w:szCs w:val="21"/>
                      <w:highlight w:val="none"/>
                      <w:lang w:val="en-US" w:eastAsia="zh-CN" w:bidi="ar-SA"/>
                    </w:rPr>
                    <w:t>等</w:t>
                  </w:r>
                </w:p>
              </w:tc>
              <w:tc>
                <w:tcPr>
                  <w:tcW w:w="377" w:type="pct"/>
                  <w:tcBorders>
                    <w:tl2br w:val="nil"/>
                    <w:tr2bl w:val="nil"/>
                  </w:tcBorders>
                  <w:vAlign w:val="center"/>
                </w:tcPr>
                <w:p w14:paraId="2DF697DA">
                  <w:pPr>
                    <w:pStyle w:val="46"/>
                    <w:tabs>
                      <w:tab w:val="left" w:pos="0"/>
                    </w:tabs>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w:t>
                  </w:r>
                </w:p>
              </w:tc>
              <w:tc>
                <w:tcPr>
                  <w:tcW w:w="384" w:type="pct"/>
                  <w:tcBorders>
                    <w:tl2br w:val="nil"/>
                    <w:tr2bl w:val="nil"/>
                  </w:tcBorders>
                  <w:vAlign w:val="center"/>
                </w:tcPr>
                <w:p w14:paraId="3A3E1DFC">
                  <w:pPr>
                    <w:pStyle w:val="46"/>
                    <w:tabs>
                      <w:tab w:val="left" w:pos="0"/>
                    </w:tabs>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持续</w:t>
                  </w:r>
                </w:p>
              </w:tc>
              <w:tc>
                <w:tcPr>
                  <w:tcW w:w="826" w:type="pct"/>
                  <w:vMerge w:val="continue"/>
                  <w:tcBorders>
                    <w:tl2br w:val="nil"/>
                    <w:tr2bl w:val="nil"/>
                  </w:tcBorders>
                  <w:vAlign w:val="center"/>
                </w:tcPr>
                <w:p w14:paraId="438E4464">
                  <w:pPr>
                    <w:pStyle w:val="46"/>
                    <w:tabs>
                      <w:tab w:val="left" w:pos="0"/>
                    </w:tabs>
                    <w:rPr>
                      <w:rFonts w:ascii="Times New Roman" w:hAnsi="Times New Roman" w:eastAsia="宋体"/>
                      <w:b w:val="0"/>
                      <w:bCs w:val="0"/>
                      <w:color w:val="auto"/>
                      <w:sz w:val="21"/>
                      <w:szCs w:val="21"/>
                      <w:highlight w:val="none"/>
                    </w:rPr>
                  </w:pPr>
                </w:p>
              </w:tc>
            </w:tr>
            <w:tr w14:paraId="46C5B3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45" w:type="pct"/>
                  <w:tcBorders>
                    <w:tl2br w:val="nil"/>
                    <w:tr2bl w:val="nil"/>
                  </w:tcBorders>
                  <w:shd w:val="clear" w:color="auto" w:fill="auto"/>
                  <w:vAlign w:val="center"/>
                </w:tcPr>
                <w:p w14:paraId="71A01E7B">
                  <w:pPr>
                    <w:pStyle w:val="46"/>
                    <w:tabs>
                      <w:tab w:val="left" w:pos="0"/>
                    </w:tabs>
                    <w:ind w:left="0" w:leftChars="0" w:firstLine="0" w:firstLineChars="0"/>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b w:val="0"/>
                      <w:bCs w:val="0"/>
                      <w:color w:val="auto"/>
                      <w:sz w:val="21"/>
                      <w:szCs w:val="21"/>
                      <w:highlight w:val="none"/>
                      <w:lang w:val="en-US" w:eastAsia="zh-CN"/>
                    </w:rPr>
                    <w:t>3</w:t>
                  </w:r>
                </w:p>
              </w:tc>
              <w:tc>
                <w:tcPr>
                  <w:tcW w:w="707" w:type="pct"/>
                  <w:tcBorders>
                    <w:tl2br w:val="nil"/>
                    <w:tr2bl w:val="nil"/>
                  </w:tcBorders>
                  <w:vAlign w:val="center"/>
                </w:tcPr>
                <w:p w14:paraId="7ACB5359">
                  <w:pPr>
                    <w:pStyle w:val="46"/>
                    <w:tabs>
                      <w:tab w:val="left" w:pos="0"/>
                    </w:tabs>
                    <w:jc w:val="center"/>
                    <w:rPr>
                      <w:rFonts w:hint="default" w:ascii="Times New Roman" w:hAnsi="Times New Roman" w:eastAsia="宋体"/>
                      <w:b w:val="0"/>
                      <w:bCs w:val="0"/>
                      <w:color w:val="auto"/>
                      <w:sz w:val="21"/>
                      <w:szCs w:val="21"/>
                      <w:highlight w:val="none"/>
                      <w:lang w:val="en-US" w:eastAsia="zh-CN"/>
                    </w:rPr>
                  </w:pPr>
                  <w:r>
                    <w:rPr>
                      <w:rFonts w:hint="default" w:ascii="Times New Roman" w:hAnsi="Times New Roman" w:eastAsia="宋体"/>
                      <w:b w:val="0"/>
                      <w:bCs w:val="0"/>
                      <w:color w:val="auto"/>
                      <w:sz w:val="21"/>
                      <w:szCs w:val="21"/>
                      <w:highlight w:val="none"/>
                      <w:lang w:val="en-US" w:eastAsia="zh-CN"/>
                    </w:rPr>
                    <w:t>焊渣</w:t>
                  </w:r>
                </w:p>
              </w:tc>
              <w:tc>
                <w:tcPr>
                  <w:tcW w:w="737" w:type="pct"/>
                  <w:tcBorders>
                    <w:tl2br w:val="nil"/>
                    <w:tr2bl w:val="nil"/>
                  </w:tcBorders>
                  <w:vAlign w:val="center"/>
                </w:tcPr>
                <w:p w14:paraId="20943AE2">
                  <w:pPr>
                    <w:pStyle w:val="46"/>
                    <w:tabs>
                      <w:tab w:val="left" w:pos="0"/>
                    </w:tabs>
                    <w:ind w:left="0" w:leftChars="0" w:firstLine="0" w:firstLineChars="0"/>
                    <w:jc w:val="center"/>
                    <w:rPr>
                      <w:rFonts w:hint="eastAsia"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900-002-08</w:t>
                  </w:r>
                </w:p>
              </w:tc>
              <w:tc>
                <w:tcPr>
                  <w:tcW w:w="430" w:type="pct"/>
                  <w:tcBorders>
                    <w:tl2br w:val="nil"/>
                    <w:tr2bl w:val="nil"/>
                  </w:tcBorders>
                  <w:vAlign w:val="center"/>
                </w:tcPr>
                <w:p w14:paraId="19B842EE">
                  <w:pPr>
                    <w:pStyle w:val="46"/>
                    <w:tabs>
                      <w:tab w:val="left" w:pos="0"/>
                    </w:tabs>
                    <w:jc w:val="center"/>
                    <w:rPr>
                      <w:rFonts w:hint="default"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4</w:t>
                  </w:r>
                </w:p>
              </w:tc>
              <w:tc>
                <w:tcPr>
                  <w:tcW w:w="541" w:type="pct"/>
                  <w:tcBorders>
                    <w:tl2br w:val="nil"/>
                    <w:tr2bl w:val="nil"/>
                  </w:tcBorders>
                  <w:vAlign w:val="center"/>
                </w:tcPr>
                <w:p w14:paraId="4918D80D">
                  <w:pPr>
                    <w:pStyle w:val="46"/>
                    <w:tabs>
                      <w:tab w:val="left" w:pos="0"/>
                    </w:tabs>
                    <w:jc w:val="center"/>
                    <w:rPr>
                      <w:rFonts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lang w:val="en-US" w:eastAsia="zh-CN"/>
                    </w:rPr>
                    <w:t>焊接</w:t>
                  </w:r>
                </w:p>
              </w:tc>
              <w:tc>
                <w:tcPr>
                  <w:tcW w:w="337" w:type="pct"/>
                  <w:tcBorders>
                    <w:tl2br w:val="nil"/>
                    <w:tr2bl w:val="nil"/>
                  </w:tcBorders>
                  <w:vAlign w:val="center"/>
                </w:tcPr>
                <w:p w14:paraId="31393B0C">
                  <w:pPr>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固态</w:t>
                  </w:r>
                </w:p>
              </w:tc>
              <w:tc>
                <w:tcPr>
                  <w:tcW w:w="412" w:type="pct"/>
                  <w:tcBorders>
                    <w:tl2br w:val="nil"/>
                    <w:tr2bl w:val="nil"/>
                  </w:tcBorders>
                  <w:vAlign w:val="center"/>
                </w:tcPr>
                <w:p w14:paraId="518FAC37">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金属氧化物</w:t>
                  </w:r>
                </w:p>
              </w:tc>
              <w:tc>
                <w:tcPr>
                  <w:tcW w:w="377" w:type="pct"/>
                  <w:tcBorders>
                    <w:tl2br w:val="nil"/>
                    <w:tr2bl w:val="nil"/>
                  </w:tcBorders>
                  <w:shd w:val="clear" w:color="auto" w:fill="auto"/>
                  <w:vAlign w:val="center"/>
                </w:tcPr>
                <w:p w14:paraId="260FCB00">
                  <w:pPr>
                    <w:pStyle w:val="46"/>
                    <w:tabs>
                      <w:tab w:val="left" w:pos="0"/>
                    </w:tabs>
                    <w:ind w:left="0" w:leftChars="0" w:firstLine="0" w:firstLineChars="0"/>
                    <w:rPr>
                      <w:rFonts w:hint="eastAsia"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eastAsia="宋体"/>
                      <w:b w:val="0"/>
                      <w:bCs w:val="0"/>
                      <w:color w:val="auto"/>
                      <w:sz w:val="21"/>
                      <w:szCs w:val="21"/>
                      <w:highlight w:val="none"/>
                    </w:rPr>
                    <w:t>/</w:t>
                  </w:r>
                </w:p>
              </w:tc>
              <w:tc>
                <w:tcPr>
                  <w:tcW w:w="384" w:type="pct"/>
                  <w:tcBorders>
                    <w:tl2br w:val="nil"/>
                    <w:tr2bl w:val="nil"/>
                  </w:tcBorders>
                  <w:vAlign w:val="center"/>
                </w:tcPr>
                <w:p w14:paraId="73F3AF81">
                  <w:pPr>
                    <w:pStyle w:val="46"/>
                    <w:tabs>
                      <w:tab w:val="left" w:pos="0"/>
                    </w:tabs>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持续</w:t>
                  </w:r>
                </w:p>
              </w:tc>
              <w:tc>
                <w:tcPr>
                  <w:tcW w:w="826" w:type="pct"/>
                  <w:vMerge w:val="continue"/>
                  <w:tcBorders>
                    <w:tl2br w:val="nil"/>
                    <w:tr2bl w:val="nil"/>
                  </w:tcBorders>
                  <w:vAlign w:val="center"/>
                </w:tcPr>
                <w:p w14:paraId="2A35B927">
                  <w:pPr>
                    <w:pStyle w:val="46"/>
                    <w:tabs>
                      <w:tab w:val="left" w:pos="0"/>
                    </w:tabs>
                    <w:rPr>
                      <w:rFonts w:ascii="Times New Roman" w:hAnsi="Times New Roman" w:eastAsia="宋体"/>
                      <w:b w:val="0"/>
                      <w:bCs w:val="0"/>
                      <w:color w:val="auto"/>
                      <w:sz w:val="21"/>
                      <w:szCs w:val="21"/>
                      <w:highlight w:val="none"/>
                    </w:rPr>
                  </w:pPr>
                </w:p>
              </w:tc>
            </w:tr>
            <w:tr w14:paraId="15ADEA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05" w:hRule="atLeast"/>
              </w:trPr>
              <w:tc>
                <w:tcPr>
                  <w:tcW w:w="245" w:type="pct"/>
                  <w:tcBorders>
                    <w:tl2br w:val="nil"/>
                    <w:tr2bl w:val="nil"/>
                  </w:tcBorders>
                  <w:shd w:val="clear" w:color="auto" w:fill="auto"/>
                  <w:vAlign w:val="center"/>
                </w:tcPr>
                <w:p w14:paraId="651EAC0F">
                  <w:pPr>
                    <w:pStyle w:val="46"/>
                    <w:tabs>
                      <w:tab w:val="left" w:pos="0"/>
                    </w:tabs>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4</w:t>
                  </w:r>
                </w:p>
              </w:tc>
              <w:tc>
                <w:tcPr>
                  <w:tcW w:w="707" w:type="pct"/>
                  <w:tcBorders>
                    <w:tl2br w:val="nil"/>
                    <w:tr2bl w:val="nil"/>
                  </w:tcBorders>
                  <w:vAlign w:val="center"/>
                </w:tcPr>
                <w:p w14:paraId="1FDD05E0">
                  <w:pPr>
                    <w:pStyle w:val="46"/>
                    <w:tabs>
                      <w:tab w:val="left" w:pos="0"/>
                    </w:tabs>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废金属灰</w:t>
                  </w:r>
                </w:p>
              </w:tc>
              <w:tc>
                <w:tcPr>
                  <w:tcW w:w="737" w:type="pct"/>
                  <w:tcBorders>
                    <w:tl2br w:val="nil"/>
                    <w:tr2bl w:val="nil"/>
                  </w:tcBorders>
                  <w:vAlign w:val="center"/>
                </w:tcPr>
                <w:p w14:paraId="5CFB2AEA">
                  <w:pPr>
                    <w:pStyle w:val="46"/>
                    <w:tabs>
                      <w:tab w:val="left" w:pos="0"/>
                    </w:tabs>
                    <w:ind w:left="0" w:leftChars="0" w:firstLine="0" w:firstLineChars="0"/>
                    <w:jc w:val="center"/>
                    <w:rPr>
                      <w:rFonts w:hint="eastAsia"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rPr>
                    <w:t>900-004-6</w:t>
                  </w:r>
                  <w:r>
                    <w:rPr>
                      <w:rFonts w:hint="eastAsia" w:ascii="Times New Roman" w:hAnsi="Times New Roman" w:eastAsia="宋体"/>
                      <w:b w:val="0"/>
                      <w:bCs w:val="0"/>
                      <w:color w:val="auto"/>
                      <w:sz w:val="21"/>
                      <w:szCs w:val="21"/>
                      <w:highlight w:val="none"/>
                      <w:lang w:val="en-US" w:eastAsia="zh-CN"/>
                    </w:rPr>
                    <w:t>2</w:t>
                  </w:r>
                </w:p>
              </w:tc>
              <w:tc>
                <w:tcPr>
                  <w:tcW w:w="430" w:type="pct"/>
                  <w:tcBorders>
                    <w:tl2br w:val="nil"/>
                    <w:tr2bl w:val="nil"/>
                  </w:tcBorders>
                  <w:vAlign w:val="center"/>
                </w:tcPr>
                <w:p w14:paraId="2E169F17">
                  <w:pPr>
                    <w:pStyle w:val="46"/>
                    <w:tabs>
                      <w:tab w:val="left" w:pos="0"/>
                    </w:tabs>
                    <w:jc w:val="center"/>
                    <w:rPr>
                      <w:rFonts w:hint="default" w:ascii="Times New Roman" w:hAnsi="Times New Roman" w:eastAsia="宋体"/>
                      <w:b w:val="0"/>
                      <w:bCs w:val="0"/>
                      <w:color w:val="auto"/>
                      <w:sz w:val="21"/>
                      <w:szCs w:val="21"/>
                      <w:highlight w:val="none"/>
                      <w:lang w:val="en-US" w:eastAsia="zh-CN"/>
                    </w:rPr>
                  </w:pPr>
                  <w:r>
                    <w:rPr>
                      <w:rFonts w:hint="eastAsia" w:ascii="Times New Roman" w:hAnsi="Times New Roman" w:eastAsia="宋体"/>
                      <w:b w:val="0"/>
                      <w:bCs w:val="0"/>
                      <w:color w:val="auto"/>
                      <w:sz w:val="21"/>
                      <w:szCs w:val="21"/>
                      <w:highlight w:val="none"/>
                      <w:lang w:val="en-US" w:eastAsia="zh-CN"/>
                    </w:rPr>
                    <w:t>0.35</w:t>
                  </w:r>
                </w:p>
              </w:tc>
              <w:tc>
                <w:tcPr>
                  <w:tcW w:w="541" w:type="pct"/>
                  <w:tcBorders>
                    <w:tl2br w:val="nil"/>
                    <w:tr2bl w:val="nil"/>
                  </w:tcBorders>
                  <w:vAlign w:val="center"/>
                </w:tcPr>
                <w:p w14:paraId="12DF69ED">
                  <w:pPr>
                    <w:pStyle w:val="46"/>
                    <w:tabs>
                      <w:tab w:val="left" w:pos="0"/>
                    </w:tabs>
                    <w:jc w:val="center"/>
                    <w:rPr>
                      <w:rFonts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lang w:val="en-US" w:eastAsia="zh-CN"/>
                    </w:rPr>
                    <w:t>焊接</w:t>
                  </w:r>
                </w:p>
              </w:tc>
              <w:tc>
                <w:tcPr>
                  <w:tcW w:w="337" w:type="pct"/>
                  <w:tcBorders>
                    <w:tl2br w:val="nil"/>
                    <w:tr2bl w:val="nil"/>
                  </w:tcBorders>
                  <w:vAlign w:val="center"/>
                </w:tcPr>
                <w:p w14:paraId="4C99F4DB">
                  <w:pPr>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固态</w:t>
                  </w:r>
                </w:p>
              </w:tc>
              <w:tc>
                <w:tcPr>
                  <w:tcW w:w="412" w:type="pct"/>
                  <w:tcBorders>
                    <w:tl2br w:val="nil"/>
                    <w:tr2bl w:val="nil"/>
                  </w:tcBorders>
                  <w:vAlign w:val="center"/>
                </w:tcPr>
                <w:p w14:paraId="3DC68343">
                  <w:pPr>
                    <w:pStyle w:val="46"/>
                    <w:tabs>
                      <w:tab w:val="left" w:pos="0"/>
                    </w:tabs>
                    <w:jc w:val="center"/>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金属氧化物</w:t>
                  </w:r>
                </w:p>
              </w:tc>
              <w:tc>
                <w:tcPr>
                  <w:tcW w:w="377" w:type="pct"/>
                  <w:tcBorders>
                    <w:tl2br w:val="nil"/>
                    <w:tr2bl w:val="nil"/>
                  </w:tcBorders>
                  <w:shd w:val="clear" w:color="auto" w:fill="auto"/>
                  <w:vAlign w:val="center"/>
                </w:tcPr>
                <w:p w14:paraId="71A9863B">
                  <w:pPr>
                    <w:pStyle w:val="46"/>
                    <w:tabs>
                      <w:tab w:val="left" w:pos="0"/>
                    </w:tabs>
                    <w:ind w:left="0" w:leftChars="0" w:firstLine="0" w:firstLineChars="0"/>
                    <w:rPr>
                      <w:rFonts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eastAsia="宋体"/>
                      <w:b w:val="0"/>
                      <w:bCs w:val="0"/>
                      <w:color w:val="auto"/>
                      <w:sz w:val="21"/>
                      <w:szCs w:val="21"/>
                      <w:highlight w:val="none"/>
                    </w:rPr>
                    <w:t>/</w:t>
                  </w:r>
                </w:p>
              </w:tc>
              <w:tc>
                <w:tcPr>
                  <w:tcW w:w="384" w:type="pct"/>
                  <w:tcBorders>
                    <w:tl2br w:val="nil"/>
                    <w:tr2bl w:val="nil"/>
                  </w:tcBorders>
                  <w:vAlign w:val="center"/>
                </w:tcPr>
                <w:p w14:paraId="1A93AD76">
                  <w:pPr>
                    <w:pStyle w:val="46"/>
                    <w:tabs>
                      <w:tab w:val="left" w:pos="0"/>
                    </w:tabs>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持续</w:t>
                  </w:r>
                </w:p>
              </w:tc>
              <w:tc>
                <w:tcPr>
                  <w:tcW w:w="826" w:type="pct"/>
                  <w:vMerge w:val="continue"/>
                  <w:tcBorders>
                    <w:tl2br w:val="nil"/>
                    <w:tr2bl w:val="nil"/>
                  </w:tcBorders>
                  <w:vAlign w:val="center"/>
                </w:tcPr>
                <w:p w14:paraId="529FD9BD">
                  <w:pPr>
                    <w:pStyle w:val="46"/>
                    <w:tabs>
                      <w:tab w:val="left" w:pos="0"/>
                    </w:tabs>
                    <w:rPr>
                      <w:rFonts w:ascii="Times New Roman" w:hAnsi="Times New Roman" w:eastAsia="宋体"/>
                      <w:b w:val="0"/>
                      <w:bCs w:val="0"/>
                      <w:color w:val="auto"/>
                      <w:sz w:val="21"/>
                      <w:szCs w:val="21"/>
                      <w:highlight w:val="none"/>
                    </w:rPr>
                  </w:pPr>
                </w:p>
              </w:tc>
            </w:tr>
            <w:tr w14:paraId="7D450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80" w:hRule="atLeast"/>
              </w:trPr>
              <w:tc>
                <w:tcPr>
                  <w:tcW w:w="1690" w:type="pct"/>
                  <w:gridSpan w:val="3"/>
                  <w:tcBorders>
                    <w:tl2br w:val="nil"/>
                    <w:tr2bl w:val="nil"/>
                  </w:tcBorders>
                  <w:vAlign w:val="center"/>
                </w:tcPr>
                <w:p w14:paraId="78E46C86">
                  <w:pPr>
                    <w:pStyle w:val="46"/>
                    <w:tabs>
                      <w:tab w:val="left" w:pos="0"/>
                    </w:tabs>
                    <w:ind w:left="0" w:leftChars="0" w:firstLine="0" w:firstLineChars="0"/>
                    <w:rPr>
                      <w:rFonts w:hint="eastAsia" w:ascii="Times New Roman" w:hAnsi="Times New Roman" w:eastAsia="宋体"/>
                      <w:b w:val="0"/>
                      <w:bCs w:val="0"/>
                      <w:color w:val="auto"/>
                      <w:sz w:val="21"/>
                      <w:szCs w:val="21"/>
                      <w:highlight w:val="none"/>
                      <w:lang w:eastAsia="zh-CN"/>
                    </w:rPr>
                  </w:pPr>
                  <w:r>
                    <w:rPr>
                      <w:rFonts w:ascii="Times New Roman" w:hAnsi="Times New Roman" w:eastAsia="宋体"/>
                      <w:b w:val="0"/>
                      <w:bCs w:val="0"/>
                      <w:color w:val="auto"/>
                      <w:sz w:val="21"/>
                      <w:szCs w:val="21"/>
                      <w:highlight w:val="none"/>
                    </w:rPr>
                    <w:t>一般工业固废合计</w:t>
                  </w:r>
                  <w:r>
                    <w:rPr>
                      <w:rFonts w:hint="eastAsia" w:ascii="Times New Roman" w:hAnsi="Times New Roman" w:eastAsia="宋体"/>
                      <w:b w:val="0"/>
                      <w:bCs w:val="0"/>
                      <w:color w:val="auto"/>
                      <w:sz w:val="21"/>
                      <w:szCs w:val="21"/>
                      <w:highlight w:val="none"/>
                      <w:lang w:eastAsia="zh-CN"/>
                    </w:rPr>
                    <w:t>（</w:t>
                  </w:r>
                  <w:r>
                    <w:rPr>
                      <w:rFonts w:ascii="Times New Roman" w:hAnsi="Times New Roman" w:eastAsia="宋体"/>
                      <w:b w:val="0"/>
                      <w:bCs w:val="0"/>
                      <w:color w:val="auto"/>
                      <w:sz w:val="21"/>
                      <w:szCs w:val="21"/>
                      <w:highlight w:val="none"/>
                    </w:rPr>
                    <w:t>t/a</w:t>
                  </w:r>
                  <w:r>
                    <w:rPr>
                      <w:rFonts w:hint="eastAsia" w:ascii="Times New Roman" w:hAnsi="Times New Roman" w:eastAsia="宋体"/>
                      <w:b w:val="0"/>
                      <w:bCs w:val="0"/>
                      <w:color w:val="auto"/>
                      <w:sz w:val="21"/>
                      <w:szCs w:val="21"/>
                      <w:highlight w:val="none"/>
                      <w:lang w:eastAsia="zh-CN"/>
                    </w:rPr>
                    <w:t>）</w:t>
                  </w:r>
                </w:p>
              </w:tc>
              <w:tc>
                <w:tcPr>
                  <w:tcW w:w="3309" w:type="pct"/>
                  <w:gridSpan w:val="7"/>
                  <w:tcBorders>
                    <w:tl2br w:val="nil"/>
                    <w:tr2bl w:val="nil"/>
                  </w:tcBorders>
                  <w:shd w:val="clear" w:color="auto" w:fill="auto"/>
                  <w:vAlign w:val="center"/>
                </w:tcPr>
                <w:p w14:paraId="18B8D414">
                  <w:pPr>
                    <w:pStyle w:val="46"/>
                    <w:tabs>
                      <w:tab w:val="left" w:pos="0"/>
                    </w:tabs>
                    <w:ind w:left="0" w:leftChars="0" w:firstLine="0" w:firstLineChars="0"/>
                    <w:rPr>
                      <w:rFonts w:hint="default" w:ascii="Times New Roman" w:hAnsi="Times New Roman" w:eastAsia="宋体" w:cs="宋体"/>
                      <w:i w:val="0"/>
                      <w:iCs w:val="0"/>
                      <w:color w:val="auto"/>
                      <w:kern w:val="2"/>
                      <w:sz w:val="21"/>
                      <w:szCs w:val="22"/>
                      <w:highlight w:val="none"/>
                      <w:u w:val="none"/>
                      <w:lang w:val="en-US" w:eastAsia="zh-CN" w:bidi="ar-SA"/>
                    </w:rPr>
                  </w:pPr>
                  <w:r>
                    <w:rPr>
                      <w:rFonts w:hint="eastAsia" w:ascii="Times New Roman" w:hAnsi="Times New Roman" w:eastAsia="宋体" w:cs="宋体"/>
                      <w:i w:val="0"/>
                      <w:iCs w:val="0"/>
                      <w:color w:val="auto"/>
                      <w:kern w:val="2"/>
                      <w:sz w:val="21"/>
                      <w:szCs w:val="22"/>
                      <w:highlight w:val="none"/>
                      <w:u w:val="none"/>
                      <w:lang w:val="en-US" w:eastAsia="zh-CN" w:bidi="ar-SA"/>
                    </w:rPr>
                    <w:t>15.25</w:t>
                  </w:r>
                </w:p>
              </w:tc>
            </w:tr>
            <w:tr w14:paraId="35DD45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680" w:hRule="atLeast"/>
              </w:trPr>
              <w:tc>
                <w:tcPr>
                  <w:tcW w:w="953" w:type="pct"/>
                  <w:gridSpan w:val="2"/>
                  <w:tcBorders>
                    <w:tl2br w:val="nil"/>
                    <w:tr2bl w:val="nil"/>
                  </w:tcBorders>
                  <w:vAlign w:val="center"/>
                </w:tcPr>
                <w:p w14:paraId="3A6CF9C7">
                  <w:pPr>
                    <w:pStyle w:val="46"/>
                    <w:tabs>
                      <w:tab w:val="left" w:pos="0"/>
                    </w:tabs>
                    <w:rPr>
                      <w:rFonts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生活</w:t>
                  </w:r>
                </w:p>
                <w:p w14:paraId="1EF21912">
                  <w:pPr>
                    <w:pStyle w:val="46"/>
                    <w:tabs>
                      <w:tab w:val="left" w:pos="0"/>
                    </w:tabs>
                    <w:ind w:left="0" w:leftChars="0" w:firstLine="0" w:firstLineChars="0"/>
                    <w:rPr>
                      <w:rFonts w:hint="eastAsia"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垃圾</w:t>
                  </w:r>
                </w:p>
              </w:tc>
              <w:tc>
                <w:tcPr>
                  <w:tcW w:w="737" w:type="pct"/>
                  <w:tcBorders>
                    <w:tl2br w:val="nil"/>
                    <w:tr2bl w:val="nil"/>
                  </w:tcBorders>
                  <w:vAlign w:val="center"/>
                </w:tcPr>
                <w:p w14:paraId="54F02D6B">
                  <w:pPr>
                    <w:pStyle w:val="46"/>
                    <w:tabs>
                      <w:tab w:val="left" w:pos="0"/>
                    </w:tabs>
                    <w:ind w:left="0" w:leftChars="0" w:firstLine="0" w:firstLineChars="0"/>
                    <w:rPr>
                      <w:rFonts w:hint="eastAsia" w:ascii="Times New Roman" w:hAnsi="Times New Roman" w:eastAsia="宋体"/>
                      <w:b w:val="0"/>
                      <w:bCs w:val="0"/>
                      <w:color w:val="auto"/>
                      <w:sz w:val="21"/>
                      <w:szCs w:val="21"/>
                      <w:highlight w:val="none"/>
                      <w:lang w:eastAsia="zh-CN"/>
                    </w:rPr>
                  </w:pPr>
                  <w:r>
                    <w:rPr>
                      <w:rFonts w:hint="eastAsia" w:ascii="Times New Roman" w:hAnsi="Times New Roman" w:eastAsia="宋体"/>
                      <w:b w:val="0"/>
                      <w:bCs w:val="0"/>
                      <w:color w:val="auto"/>
                      <w:sz w:val="21"/>
                      <w:szCs w:val="21"/>
                      <w:highlight w:val="none"/>
                      <w:lang w:val="en-US" w:eastAsia="zh-CN"/>
                    </w:rPr>
                    <w:t>/</w:t>
                  </w:r>
                </w:p>
              </w:tc>
              <w:tc>
                <w:tcPr>
                  <w:tcW w:w="430" w:type="pct"/>
                  <w:tcBorders>
                    <w:tl2br w:val="nil"/>
                    <w:tr2bl w:val="nil"/>
                  </w:tcBorders>
                  <w:vAlign w:val="center"/>
                </w:tcPr>
                <w:p w14:paraId="53B9A5F6">
                  <w:pPr>
                    <w:pStyle w:val="46"/>
                    <w:tabs>
                      <w:tab w:val="left" w:pos="0"/>
                    </w:tabs>
                    <w:ind w:left="0" w:leftChars="0" w:firstLine="0" w:firstLineChars="0"/>
                    <w:rPr>
                      <w:rFonts w:hint="default" w:ascii="Times New Roman" w:hAnsi="Times New Roman" w:eastAsia="宋体"/>
                      <w:b w:val="0"/>
                      <w:bCs w:val="0"/>
                      <w:color w:val="auto"/>
                      <w:sz w:val="21"/>
                      <w:szCs w:val="21"/>
                      <w:highlight w:val="none"/>
                      <w:lang w:val="en-US"/>
                    </w:rPr>
                  </w:pPr>
                  <w:r>
                    <w:rPr>
                      <w:rFonts w:hint="eastAsia" w:ascii="Times New Roman" w:hAnsi="Times New Roman" w:eastAsia="宋体"/>
                      <w:b w:val="0"/>
                      <w:bCs w:val="0"/>
                      <w:color w:val="auto"/>
                      <w:sz w:val="21"/>
                      <w:szCs w:val="21"/>
                      <w:highlight w:val="none"/>
                      <w:lang w:val="en-US" w:eastAsia="zh-CN"/>
                    </w:rPr>
                    <w:t>5.4</w:t>
                  </w:r>
                </w:p>
              </w:tc>
              <w:tc>
                <w:tcPr>
                  <w:tcW w:w="541" w:type="pct"/>
                  <w:tcBorders>
                    <w:tl2br w:val="nil"/>
                    <w:tr2bl w:val="nil"/>
                  </w:tcBorders>
                  <w:vAlign w:val="center"/>
                </w:tcPr>
                <w:p w14:paraId="77911FEF">
                  <w:pPr>
                    <w:pStyle w:val="46"/>
                    <w:tabs>
                      <w:tab w:val="left" w:pos="0"/>
                    </w:tabs>
                    <w:rPr>
                      <w:rFonts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员工</w:t>
                  </w:r>
                </w:p>
                <w:p w14:paraId="463CE972">
                  <w:pPr>
                    <w:pStyle w:val="46"/>
                    <w:tabs>
                      <w:tab w:val="left" w:pos="0"/>
                    </w:tabs>
                    <w:ind w:left="0" w:leftChars="0" w:firstLine="0" w:firstLineChars="0"/>
                    <w:rPr>
                      <w:rFonts w:hint="eastAsia"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生活</w:t>
                  </w:r>
                </w:p>
              </w:tc>
              <w:tc>
                <w:tcPr>
                  <w:tcW w:w="337" w:type="pct"/>
                  <w:tcBorders>
                    <w:tl2br w:val="nil"/>
                    <w:tr2bl w:val="nil"/>
                  </w:tcBorders>
                  <w:vAlign w:val="center"/>
                </w:tcPr>
                <w:p w14:paraId="361FC78E">
                  <w:pPr>
                    <w:pStyle w:val="46"/>
                    <w:tabs>
                      <w:tab w:val="left" w:pos="0"/>
                    </w:tabs>
                    <w:ind w:left="0" w:leftChars="0" w:firstLine="0" w:firstLineChars="0"/>
                    <w:rPr>
                      <w:rFonts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固态</w:t>
                  </w:r>
                </w:p>
              </w:tc>
              <w:tc>
                <w:tcPr>
                  <w:tcW w:w="412" w:type="pct"/>
                  <w:tcBorders>
                    <w:tl2br w:val="nil"/>
                    <w:tr2bl w:val="nil"/>
                  </w:tcBorders>
                  <w:vAlign w:val="center"/>
                </w:tcPr>
                <w:p w14:paraId="0E70A321">
                  <w:pPr>
                    <w:pStyle w:val="46"/>
                    <w:tabs>
                      <w:tab w:val="left" w:pos="0"/>
                    </w:tabs>
                    <w:ind w:left="0" w:leftChars="0" w:firstLine="0" w:firstLineChars="0"/>
                    <w:rPr>
                      <w:rFonts w:hint="eastAsia"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果皮、纸屑</w:t>
                  </w:r>
                </w:p>
              </w:tc>
              <w:tc>
                <w:tcPr>
                  <w:tcW w:w="377" w:type="pct"/>
                  <w:tcBorders>
                    <w:tl2br w:val="nil"/>
                    <w:tr2bl w:val="nil"/>
                  </w:tcBorders>
                  <w:vAlign w:val="center"/>
                </w:tcPr>
                <w:p w14:paraId="1E88ABCC">
                  <w:pPr>
                    <w:pStyle w:val="46"/>
                    <w:tabs>
                      <w:tab w:val="left" w:pos="0"/>
                    </w:tabs>
                    <w:ind w:left="0" w:leftChars="0" w:firstLine="0" w:firstLineChars="0"/>
                    <w:rPr>
                      <w:rFonts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w:t>
                  </w:r>
                </w:p>
              </w:tc>
              <w:tc>
                <w:tcPr>
                  <w:tcW w:w="384" w:type="pct"/>
                  <w:tcBorders>
                    <w:tl2br w:val="nil"/>
                    <w:tr2bl w:val="nil"/>
                  </w:tcBorders>
                  <w:vAlign w:val="center"/>
                </w:tcPr>
                <w:p w14:paraId="019306FC">
                  <w:pPr>
                    <w:pStyle w:val="46"/>
                    <w:tabs>
                      <w:tab w:val="left" w:pos="0"/>
                    </w:tabs>
                    <w:ind w:left="0" w:leftChars="0" w:firstLine="0" w:firstLineChars="0"/>
                    <w:rPr>
                      <w:rFonts w:hint="eastAsia" w:ascii="Times New Roman" w:hAnsi="Times New Roman" w:eastAsia="宋体"/>
                      <w:b w:val="0"/>
                      <w:bCs w:val="0"/>
                      <w:color w:val="auto"/>
                      <w:sz w:val="21"/>
                      <w:szCs w:val="21"/>
                      <w:highlight w:val="none"/>
                    </w:rPr>
                  </w:pPr>
                  <w:r>
                    <w:rPr>
                      <w:rFonts w:hint="eastAsia" w:ascii="Times New Roman" w:hAnsi="Times New Roman" w:eastAsia="宋体"/>
                      <w:b w:val="0"/>
                      <w:bCs w:val="0"/>
                      <w:color w:val="auto"/>
                      <w:sz w:val="21"/>
                      <w:szCs w:val="21"/>
                      <w:highlight w:val="none"/>
                    </w:rPr>
                    <w:t>持续</w:t>
                  </w:r>
                </w:p>
              </w:tc>
              <w:tc>
                <w:tcPr>
                  <w:tcW w:w="826" w:type="pct"/>
                  <w:tcBorders>
                    <w:tl2br w:val="nil"/>
                    <w:tr2bl w:val="nil"/>
                  </w:tcBorders>
                  <w:vAlign w:val="center"/>
                </w:tcPr>
                <w:p w14:paraId="2E86161F">
                  <w:pPr>
                    <w:pStyle w:val="46"/>
                    <w:tabs>
                      <w:tab w:val="left" w:pos="0"/>
                    </w:tabs>
                    <w:ind w:left="0" w:leftChars="0" w:firstLine="0" w:firstLineChars="0"/>
                    <w:rPr>
                      <w:rFonts w:hint="eastAsia" w:ascii="Times New Roman" w:hAnsi="Times New Roman" w:eastAsia="宋体"/>
                      <w:b w:val="0"/>
                      <w:bCs w:val="0"/>
                      <w:color w:val="auto"/>
                      <w:sz w:val="21"/>
                      <w:szCs w:val="21"/>
                      <w:highlight w:val="none"/>
                    </w:rPr>
                  </w:pPr>
                  <w:r>
                    <w:rPr>
                      <w:rFonts w:ascii="Times New Roman" w:hAnsi="Times New Roman" w:eastAsia="宋体"/>
                      <w:b w:val="0"/>
                      <w:bCs w:val="0"/>
                      <w:color w:val="auto"/>
                      <w:sz w:val="21"/>
                      <w:szCs w:val="21"/>
                      <w:highlight w:val="none"/>
                    </w:rPr>
                    <w:t>委托环卫部门统一清运处置</w:t>
                  </w:r>
                </w:p>
              </w:tc>
            </w:tr>
          </w:tbl>
          <w:p w14:paraId="58647FE5">
            <w:pPr>
              <w:pStyle w:val="42"/>
              <w:keepNext/>
              <w:keepLines/>
              <w:pageBreakBefore w:val="0"/>
              <w:widowControl w:val="0"/>
              <w:numPr>
                <w:ilvl w:val="7"/>
                <w:numId w:val="16"/>
              </w:numPr>
              <w:tabs>
                <w:tab w:val="left" w:pos="0"/>
              </w:tabs>
              <w:kinsoku/>
              <w:wordWrap/>
              <w:overflowPunct/>
              <w:topLinePunct w:val="0"/>
              <w:autoSpaceDE/>
              <w:autoSpaceDN/>
              <w:bidi w:val="0"/>
              <w:adjustRightInd/>
              <w:snapToGrid/>
              <w:spacing w:before="157" w:beforeLines="50" w:after="0"/>
              <w:ind w:left="630" w:leftChars="0" w:firstLine="0" w:firstLine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本项目</w:t>
            </w:r>
            <w:r>
              <w:rPr>
                <w:rFonts w:hint="eastAsia" w:cs="Times New Roman"/>
                <w:color w:val="auto"/>
                <w:highlight w:val="none"/>
                <w:lang w:val="en-US" w:eastAsia="zh-CN"/>
              </w:rPr>
              <w:t>危险</w:t>
            </w:r>
            <w:r>
              <w:rPr>
                <w:rFonts w:hint="eastAsia" w:ascii="Times New Roman" w:hAnsi="Times New Roman" w:eastAsia="宋体" w:cs="Times New Roman"/>
                <w:color w:val="auto"/>
                <w:highlight w:val="none"/>
                <w:lang w:val="en-US" w:eastAsia="zh-CN"/>
              </w:rPr>
              <w:t>固废产生情况及处置一览表</w:t>
            </w:r>
          </w:p>
          <w:tbl>
            <w:tblPr>
              <w:tblStyle w:val="84"/>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293"/>
              <w:gridCol w:w="754"/>
              <w:gridCol w:w="640"/>
              <w:gridCol w:w="990"/>
              <w:gridCol w:w="646"/>
              <w:gridCol w:w="824"/>
              <w:gridCol w:w="352"/>
              <w:gridCol w:w="564"/>
              <w:gridCol w:w="1183"/>
              <w:gridCol w:w="400"/>
              <w:gridCol w:w="840"/>
              <w:gridCol w:w="1443"/>
            </w:tblGrid>
            <w:tr w14:paraId="7A6ABA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bottom w:val="single" w:color="000000" w:sz="12" w:space="0"/>
                  </w:tcBorders>
                  <w:textDirection w:val="tbRlV"/>
                  <w:vAlign w:val="center"/>
                </w:tcPr>
                <w:p w14:paraId="3F6A219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7"/>
                      <w:sz w:val="21"/>
                      <w:highlight w:val="none"/>
                    </w:rPr>
                    <w:t>序号</w:t>
                  </w:r>
                </w:p>
              </w:tc>
              <w:tc>
                <w:tcPr>
                  <w:tcW w:w="754" w:type="dxa"/>
                  <w:tcBorders>
                    <w:bottom w:val="single" w:color="000000" w:sz="12" w:space="0"/>
                  </w:tcBorders>
                  <w:vAlign w:val="center"/>
                </w:tcPr>
                <w:p w14:paraId="0890AA1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危险废</w:t>
                  </w:r>
                </w:p>
                <w:p w14:paraId="0B6A4AE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物名称</w:t>
                  </w:r>
                </w:p>
              </w:tc>
              <w:tc>
                <w:tcPr>
                  <w:tcW w:w="640" w:type="dxa"/>
                  <w:tcBorders>
                    <w:bottom w:val="single" w:color="000000" w:sz="12" w:space="0"/>
                  </w:tcBorders>
                  <w:vAlign w:val="center"/>
                </w:tcPr>
                <w:p w14:paraId="7554431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危险废</w:t>
                  </w:r>
                </w:p>
                <w:p w14:paraId="7376862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物类别</w:t>
                  </w:r>
                </w:p>
              </w:tc>
              <w:tc>
                <w:tcPr>
                  <w:tcW w:w="990" w:type="dxa"/>
                  <w:tcBorders>
                    <w:bottom w:val="single" w:color="000000" w:sz="12" w:space="0"/>
                  </w:tcBorders>
                  <w:vAlign w:val="center"/>
                </w:tcPr>
                <w:p w14:paraId="28118E8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危险废</w:t>
                  </w:r>
                </w:p>
                <w:p w14:paraId="1E7486A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物代码</w:t>
                  </w:r>
                </w:p>
              </w:tc>
              <w:tc>
                <w:tcPr>
                  <w:tcW w:w="646" w:type="dxa"/>
                  <w:tcBorders>
                    <w:bottom w:val="single" w:color="000000" w:sz="12" w:space="0"/>
                  </w:tcBorders>
                  <w:vAlign w:val="center"/>
                </w:tcPr>
                <w:p w14:paraId="098A3BA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产生量</w:t>
                  </w:r>
                </w:p>
                <w:p w14:paraId="3C8549B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b/>
                      <w:bCs/>
                      <w:color w:val="auto"/>
                      <w:spacing w:val="1"/>
                      <w:sz w:val="21"/>
                      <w:szCs w:val="20"/>
                      <w:highlight w:val="none"/>
                    </w:rPr>
                    <w:t>(t/a)</w:t>
                  </w:r>
                </w:p>
              </w:tc>
              <w:tc>
                <w:tcPr>
                  <w:tcW w:w="824" w:type="dxa"/>
                  <w:tcBorders>
                    <w:bottom w:val="single" w:color="000000" w:sz="12" w:space="0"/>
                  </w:tcBorders>
                  <w:vAlign w:val="center"/>
                </w:tcPr>
                <w:p w14:paraId="3E11AE2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产生工</w:t>
                  </w:r>
                </w:p>
                <w:p w14:paraId="273CDF8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序及装</w:t>
                  </w:r>
                </w:p>
                <w:p w14:paraId="6049419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z w:val="21"/>
                      <w:highlight w:val="none"/>
                    </w:rPr>
                    <w:t>置</w:t>
                  </w:r>
                </w:p>
              </w:tc>
              <w:tc>
                <w:tcPr>
                  <w:tcW w:w="352" w:type="dxa"/>
                  <w:tcBorders>
                    <w:bottom w:val="single" w:color="000000" w:sz="12" w:space="0"/>
                  </w:tcBorders>
                  <w:vAlign w:val="center"/>
                </w:tcPr>
                <w:p w14:paraId="55262B1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2"/>
                      <w:sz w:val="21"/>
                      <w:highlight w:val="none"/>
                    </w:rPr>
                    <w:t>形态</w:t>
                  </w:r>
                </w:p>
              </w:tc>
              <w:tc>
                <w:tcPr>
                  <w:tcW w:w="564" w:type="dxa"/>
                  <w:tcBorders>
                    <w:bottom w:val="single" w:color="000000" w:sz="12" w:space="0"/>
                  </w:tcBorders>
                  <w:vAlign w:val="center"/>
                </w:tcPr>
                <w:p w14:paraId="3B8D504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sz w:val="21"/>
                      <w:highlight w:val="none"/>
                    </w:rPr>
                    <w:t>主要</w:t>
                  </w:r>
                </w:p>
                <w:p w14:paraId="0358FA4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sz w:val="21"/>
                      <w:highlight w:val="none"/>
                    </w:rPr>
                    <w:t>成分</w:t>
                  </w:r>
                </w:p>
              </w:tc>
              <w:tc>
                <w:tcPr>
                  <w:tcW w:w="1183" w:type="dxa"/>
                  <w:tcBorders>
                    <w:bottom w:val="single" w:color="000000" w:sz="12" w:space="0"/>
                  </w:tcBorders>
                  <w:vAlign w:val="center"/>
                </w:tcPr>
                <w:p w14:paraId="681DED2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sz w:val="21"/>
                      <w:highlight w:val="none"/>
                    </w:rPr>
                    <w:t>有害</w:t>
                  </w:r>
                </w:p>
                <w:p w14:paraId="24A2C57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sz w:val="21"/>
                      <w:highlight w:val="none"/>
                    </w:rPr>
                    <w:t>成分</w:t>
                  </w:r>
                </w:p>
              </w:tc>
              <w:tc>
                <w:tcPr>
                  <w:tcW w:w="400" w:type="dxa"/>
                  <w:tcBorders>
                    <w:bottom w:val="single" w:color="000000" w:sz="12" w:space="0"/>
                  </w:tcBorders>
                  <w:vAlign w:val="center"/>
                </w:tcPr>
                <w:p w14:paraId="27723C7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sz w:val="21"/>
                      <w:highlight w:val="none"/>
                    </w:rPr>
                    <w:t>产废</w:t>
                  </w:r>
                </w:p>
                <w:p w14:paraId="07547BF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sz w:val="21"/>
                      <w:highlight w:val="none"/>
                    </w:rPr>
                    <w:t>周期</w:t>
                  </w:r>
                </w:p>
              </w:tc>
              <w:tc>
                <w:tcPr>
                  <w:tcW w:w="840" w:type="dxa"/>
                  <w:tcBorders>
                    <w:bottom w:val="single" w:color="000000" w:sz="12" w:space="0"/>
                  </w:tcBorders>
                  <w:vAlign w:val="center"/>
                </w:tcPr>
                <w:p w14:paraId="45BE605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2"/>
                      <w:sz w:val="21"/>
                      <w:highlight w:val="none"/>
                    </w:rPr>
                    <w:t>危险</w:t>
                  </w:r>
                </w:p>
                <w:p w14:paraId="4CD9E58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3"/>
                      <w:sz w:val="21"/>
                      <w:highlight w:val="none"/>
                    </w:rPr>
                    <w:t>特性</w:t>
                  </w:r>
                </w:p>
              </w:tc>
              <w:tc>
                <w:tcPr>
                  <w:tcW w:w="1443" w:type="dxa"/>
                  <w:tcBorders>
                    <w:bottom w:val="single" w:color="000000" w:sz="12" w:space="0"/>
                  </w:tcBorders>
                  <w:vAlign w:val="center"/>
                </w:tcPr>
                <w:p w14:paraId="2E19760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污染防治措</w:t>
                  </w:r>
                </w:p>
                <w:p w14:paraId="66A8EBA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1"/>
                      <w:sz w:val="21"/>
                      <w:highlight w:val="none"/>
                    </w:rPr>
                    <w:t>施</w:t>
                  </w:r>
                </w:p>
              </w:tc>
            </w:tr>
            <w:tr w14:paraId="4BED6B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op w:val="single" w:color="000000" w:sz="12" w:space="0"/>
                    <w:tl2br w:val="nil"/>
                    <w:tr2bl w:val="nil"/>
                  </w:tcBorders>
                  <w:vAlign w:val="center"/>
                </w:tcPr>
                <w:p w14:paraId="5F01AE7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1"/>
                      <w:sz w:val="21"/>
                      <w:szCs w:val="20"/>
                      <w:highlight w:val="none"/>
                    </w:rPr>
                    <w:t>1</w:t>
                  </w:r>
                </w:p>
              </w:tc>
              <w:tc>
                <w:tcPr>
                  <w:tcW w:w="754" w:type="dxa"/>
                  <w:tcBorders>
                    <w:top w:val="single" w:color="000000" w:sz="12" w:space="0"/>
                    <w:tl2br w:val="nil"/>
                    <w:tr2bl w:val="nil"/>
                  </w:tcBorders>
                  <w:vAlign w:val="center"/>
                </w:tcPr>
                <w:p w14:paraId="0DC88F6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废化学</w:t>
                  </w:r>
                </w:p>
                <w:p w14:paraId="3746194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1"/>
                      <w:sz w:val="21"/>
                      <w:highlight w:val="none"/>
                    </w:rPr>
                    <w:t>品包装</w:t>
                  </w:r>
                </w:p>
              </w:tc>
              <w:tc>
                <w:tcPr>
                  <w:tcW w:w="640" w:type="dxa"/>
                  <w:tcBorders>
                    <w:top w:val="single" w:color="000000" w:sz="12" w:space="0"/>
                    <w:tl2br w:val="nil"/>
                    <w:tr2bl w:val="nil"/>
                  </w:tcBorders>
                  <w:vAlign w:val="center"/>
                </w:tcPr>
                <w:p w14:paraId="6D6047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0"/>
                      <w:position w:val="2"/>
                      <w:sz w:val="21"/>
                      <w:szCs w:val="20"/>
                      <w:highlight w:val="none"/>
                    </w:rPr>
                    <w:t>49</w:t>
                  </w:r>
                </w:p>
              </w:tc>
              <w:tc>
                <w:tcPr>
                  <w:tcW w:w="990" w:type="dxa"/>
                  <w:tcBorders>
                    <w:top w:val="single" w:color="000000" w:sz="12" w:space="0"/>
                    <w:tl2br w:val="nil"/>
                    <w:tr2bl w:val="nil"/>
                  </w:tcBorders>
                  <w:vAlign w:val="center"/>
                </w:tcPr>
                <w:p w14:paraId="4C5CA75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900-041-</w:t>
                  </w:r>
                </w:p>
                <w:p w14:paraId="41F85B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49</w:t>
                  </w:r>
                </w:p>
              </w:tc>
              <w:tc>
                <w:tcPr>
                  <w:tcW w:w="646" w:type="dxa"/>
                  <w:tcBorders>
                    <w:top w:val="single" w:color="000000" w:sz="12" w:space="0"/>
                    <w:tl2br w:val="nil"/>
                    <w:tr2bl w:val="nil"/>
                  </w:tcBorders>
                  <w:vAlign w:val="center"/>
                </w:tcPr>
                <w:p w14:paraId="795CEA6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0.2</w:t>
                  </w:r>
                </w:p>
              </w:tc>
              <w:tc>
                <w:tcPr>
                  <w:tcW w:w="824" w:type="dxa"/>
                  <w:tcBorders>
                    <w:top w:val="single" w:color="000000" w:sz="12" w:space="0"/>
                    <w:tl2br w:val="nil"/>
                    <w:tr2bl w:val="nil"/>
                  </w:tcBorders>
                  <w:vAlign w:val="center"/>
                </w:tcPr>
                <w:p w14:paraId="600F8E6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包装过</w:t>
                  </w:r>
                </w:p>
                <w:p w14:paraId="0B600BE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1"/>
                      <w:sz w:val="21"/>
                      <w:highlight w:val="none"/>
                    </w:rPr>
                    <w:t>程</w:t>
                  </w:r>
                </w:p>
              </w:tc>
              <w:tc>
                <w:tcPr>
                  <w:tcW w:w="352" w:type="dxa"/>
                  <w:tcBorders>
                    <w:top w:val="single" w:color="000000" w:sz="12" w:space="0"/>
                    <w:tl2br w:val="nil"/>
                    <w:tr2bl w:val="nil"/>
                  </w:tcBorders>
                  <w:vAlign w:val="center"/>
                </w:tcPr>
                <w:p w14:paraId="4D3525B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固</w:t>
                  </w:r>
                </w:p>
              </w:tc>
              <w:tc>
                <w:tcPr>
                  <w:tcW w:w="564" w:type="dxa"/>
                  <w:tcBorders>
                    <w:top w:val="single" w:color="000000" w:sz="12" w:space="0"/>
                    <w:tl2br w:val="nil"/>
                    <w:tr2bl w:val="nil"/>
                  </w:tcBorders>
                  <w:vAlign w:val="center"/>
                </w:tcPr>
                <w:p w14:paraId="6E5BAB7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沾有</w:t>
                  </w:r>
                </w:p>
                <w:p w14:paraId="097B17D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化学</w:t>
                  </w:r>
                </w:p>
                <w:p w14:paraId="7F6DF9E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品的</w:t>
                  </w:r>
                </w:p>
                <w:p w14:paraId="5FF3FCD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包装</w:t>
                  </w:r>
                  <w:r>
                    <w:rPr>
                      <w:rFonts w:ascii="Times New Roman" w:hAnsi="Times New Roman" w:eastAsia="宋体"/>
                      <w:color w:val="auto"/>
                      <w:sz w:val="21"/>
                      <w:highlight w:val="none"/>
                    </w:rPr>
                    <w:t>物</w:t>
                  </w:r>
                </w:p>
              </w:tc>
              <w:tc>
                <w:tcPr>
                  <w:tcW w:w="1183" w:type="dxa"/>
                  <w:tcBorders>
                    <w:top w:val="single" w:color="000000" w:sz="12" w:space="0"/>
                    <w:tl2br w:val="nil"/>
                    <w:tr2bl w:val="nil"/>
                  </w:tcBorders>
                  <w:vAlign w:val="center"/>
                </w:tcPr>
                <w:p w14:paraId="49E22C0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废化</w:t>
                  </w:r>
                </w:p>
                <w:p w14:paraId="399A60D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学品</w:t>
                  </w:r>
                </w:p>
              </w:tc>
              <w:tc>
                <w:tcPr>
                  <w:tcW w:w="400" w:type="dxa"/>
                  <w:tcBorders>
                    <w:top w:val="single" w:color="000000" w:sz="12" w:space="0"/>
                    <w:tl2br w:val="nil"/>
                    <w:tr2bl w:val="nil"/>
                  </w:tcBorders>
                  <w:vAlign w:val="center"/>
                </w:tcPr>
                <w:p w14:paraId="32750B8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color w:val="auto"/>
                      <w:spacing w:val="-4"/>
                      <w:position w:val="1"/>
                      <w:sz w:val="21"/>
                      <w:highlight w:val="none"/>
                    </w:rPr>
                    <w:t>1</w:t>
                  </w:r>
                  <w:r>
                    <w:rPr>
                      <w:rFonts w:ascii="Times New Roman" w:hAnsi="Times New Roman" w:eastAsia="宋体"/>
                      <w:color w:val="auto"/>
                      <w:spacing w:val="-4"/>
                      <w:position w:val="1"/>
                      <w:sz w:val="21"/>
                      <w:highlight w:val="none"/>
                    </w:rPr>
                    <w:t>个月</w:t>
                  </w:r>
                </w:p>
              </w:tc>
              <w:tc>
                <w:tcPr>
                  <w:tcW w:w="840" w:type="dxa"/>
                  <w:tcBorders>
                    <w:top w:val="single" w:color="000000" w:sz="12" w:space="0"/>
                    <w:tl2br w:val="nil"/>
                    <w:tr2bl w:val="nil"/>
                  </w:tcBorders>
                  <w:vAlign w:val="center"/>
                </w:tcPr>
                <w:p w14:paraId="51C8DDB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4"/>
                      <w:position w:val="1"/>
                      <w:sz w:val="21"/>
                      <w:szCs w:val="20"/>
                      <w:highlight w:val="none"/>
                    </w:rPr>
                    <w:t>T/</w:t>
                  </w:r>
                  <w:r>
                    <w:rPr>
                      <w:rFonts w:ascii="Times New Roman" w:hAnsi="Times New Roman" w:eastAsia="宋体" w:cs="Times New Roman"/>
                      <w:color w:val="auto"/>
                      <w:position w:val="1"/>
                      <w:sz w:val="21"/>
                      <w:szCs w:val="20"/>
                      <w:highlight w:val="none"/>
                    </w:rPr>
                    <w:t>In</w:t>
                  </w:r>
                </w:p>
              </w:tc>
              <w:tc>
                <w:tcPr>
                  <w:tcW w:w="1443" w:type="dxa"/>
                  <w:vMerge w:val="restart"/>
                  <w:tcBorders>
                    <w:top w:val="single" w:color="000000" w:sz="12" w:space="0"/>
                    <w:tl2br w:val="nil"/>
                    <w:tr2bl w:val="nil"/>
                  </w:tcBorders>
                  <w:vAlign w:val="center"/>
                </w:tcPr>
                <w:p w14:paraId="57F1428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暂存于危废</w:t>
                  </w:r>
                  <w:r>
                    <w:rPr>
                      <w:rFonts w:ascii="Times New Roman" w:hAnsi="Times New Roman" w:eastAsia="宋体"/>
                      <w:color w:val="auto"/>
                      <w:spacing w:val="-6"/>
                      <w:sz w:val="21"/>
                      <w:highlight w:val="none"/>
                    </w:rPr>
                    <w:t>暂存库内，委</w:t>
                  </w:r>
                  <w:r>
                    <w:rPr>
                      <w:rFonts w:ascii="Times New Roman" w:hAnsi="Times New Roman" w:eastAsia="宋体"/>
                      <w:color w:val="auto"/>
                      <w:spacing w:val="19"/>
                      <w:sz w:val="21"/>
                      <w:highlight w:val="none"/>
                    </w:rPr>
                    <w:t>托有危废处</w:t>
                  </w:r>
                </w:p>
                <w:p w14:paraId="62845B7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8"/>
                      <w:sz w:val="21"/>
                      <w:highlight w:val="none"/>
                    </w:rPr>
                    <w:t>置资质单位</w:t>
                  </w:r>
                </w:p>
                <w:p w14:paraId="568762A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进行处理</w:t>
                  </w:r>
                </w:p>
              </w:tc>
            </w:tr>
            <w:tr w14:paraId="05F3F3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6AF29F7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1"/>
                      <w:sz w:val="21"/>
                      <w:szCs w:val="20"/>
                      <w:highlight w:val="none"/>
                    </w:rPr>
                    <w:t>2</w:t>
                  </w:r>
                </w:p>
              </w:tc>
              <w:tc>
                <w:tcPr>
                  <w:tcW w:w="754" w:type="dxa"/>
                  <w:tcBorders>
                    <w:tl2br w:val="nil"/>
                    <w:tr2bl w:val="nil"/>
                  </w:tcBorders>
                  <w:vAlign w:val="center"/>
                </w:tcPr>
                <w:p w14:paraId="7A68715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废过滤</w:t>
                  </w:r>
                </w:p>
                <w:p w14:paraId="34EF687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物</w:t>
                  </w:r>
                </w:p>
              </w:tc>
              <w:tc>
                <w:tcPr>
                  <w:tcW w:w="640" w:type="dxa"/>
                  <w:tcBorders>
                    <w:tl2br w:val="nil"/>
                    <w:tr2bl w:val="nil"/>
                  </w:tcBorders>
                  <w:vAlign w:val="center"/>
                </w:tcPr>
                <w:p w14:paraId="2DE0F40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1"/>
                      <w:position w:val="2"/>
                      <w:sz w:val="21"/>
                      <w:szCs w:val="20"/>
                      <w:highlight w:val="none"/>
                    </w:rPr>
                    <w:t>49</w:t>
                  </w:r>
                </w:p>
              </w:tc>
              <w:tc>
                <w:tcPr>
                  <w:tcW w:w="990" w:type="dxa"/>
                  <w:tcBorders>
                    <w:tl2br w:val="nil"/>
                    <w:tr2bl w:val="nil"/>
                  </w:tcBorders>
                  <w:vAlign w:val="center"/>
                </w:tcPr>
                <w:p w14:paraId="041B4BB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900-041-</w:t>
                  </w:r>
                </w:p>
                <w:p w14:paraId="4A49204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49</w:t>
                  </w:r>
                </w:p>
              </w:tc>
              <w:tc>
                <w:tcPr>
                  <w:tcW w:w="646" w:type="dxa"/>
                  <w:tcBorders>
                    <w:tl2br w:val="nil"/>
                    <w:tr2bl w:val="nil"/>
                  </w:tcBorders>
                  <w:vAlign w:val="center"/>
                </w:tcPr>
                <w:p w14:paraId="6DDE11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2"/>
                      <w:sz w:val="21"/>
                      <w:szCs w:val="20"/>
                      <w:highlight w:val="none"/>
                    </w:rPr>
                    <w:t>0.8</w:t>
                  </w:r>
                </w:p>
              </w:tc>
              <w:tc>
                <w:tcPr>
                  <w:tcW w:w="824" w:type="dxa"/>
                  <w:tcBorders>
                    <w:tl2br w:val="nil"/>
                    <w:tr2bl w:val="nil"/>
                  </w:tcBorders>
                  <w:vAlign w:val="center"/>
                </w:tcPr>
                <w:p w14:paraId="1B29EBF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脱脂过</w:t>
                  </w:r>
                  <w:r>
                    <w:rPr>
                      <w:rFonts w:ascii="Times New Roman" w:hAnsi="Times New Roman" w:eastAsia="宋体"/>
                      <w:color w:val="auto"/>
                      <w:spacing w:val="1"/>
                      <w:sz w:val="21"/>
                      <w:highlight w:val="none"/>
                    </w:rPr>
                    <w:t>程</w:t>
                  </w:r>
                </w:p>
              </w:tc>
              <w:tc>
                <w:tcPr>
                  <w:tcW w:w="352" w:type="dxa"/>
                  <w:tcBorders>
                    <w:tl2br w:val="nil"/>
                    <w:tr2bl w:val="nil"/>
                  </w:tcBorders>
                  <w:vAlign w:val="center"/>
                </w:tcPr>
                <w:p w14:paraId="0278392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固</w:t>
                  </w:r>
                </w:p>
              </w:tc>
              <w:tc>
                <w:tcPr>
                  <w:tcW w:w="564" w:type="dxa"/>
                  <w:tcBorders>
                    <w:tl2br w:val="nil"/>
                    <w:tr2bl w:val="nil"/>
                  </w:tcBorders>
                  <w:vAlign w:val="center"/>
                </w:tcPr>
                <w:p w14:paraId="35FD431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沾染</w:t>
                  </w:r>
                </w:p>
                <w:p w14:paraId="3105003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废过</w:t>
                  </w:r>
                </w:p>
                <w:p w14:paraId="3F42471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滤杂</w:t>
                  </w:r>
                </w:p>
                <w:p w14:paraId="17C3776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物的</w:t>
                  </w:r>
                </w:p>
                <w:p w14:paraId="59C995B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废过</w:t>
                  </w:r>
                </w:p>
                <w:p w14:paraId="46924B0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滤袋</w:t>
                  </w:r>
                  <w:r>
                    <w:rPr>
                      <w:rFonts w:ascii="Times New Roman" w:hAnsi="Times New Roman" w:eastAsia="宋体"/>
                      <w:color w:val="auto"/>
                      <w:sz w:val="21"/>
                      <w:highlight w:val="none"/>
                    </w:rPr>
                    <w:t>等</w:t>
                  </w:r>
                </w:p>
              </w:tc>
              <w:tc>
                <w:tcPr>
                  <w:tcW w:w="1183" w:type="dxa"/>
                  <w:tcBorders>
                    <w:tl2br w:val="nil"/>
                    <w:tr2bl w:val="nil"/>
                  </w:tcBorders>
                  <w:vAlign w:val="center"/>
                </w:tcPr>
                <w:p w14:paraId="4CC9A41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废过</w:t>
                  </w:r>
                </w:p>
                <w:p w14:paraId="61E14AE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滤物</w:t>
                  </w:r>
                </w:p>
              </w:tc>
              <w:tc>
                <w:tcPr>
                  <w:tcW w:w="400" w:type="dxa"/>
                  <w:tcBorders>
                    <w:tl2br w:val="nil"/>
                    <w:tr2bl w:val="nil"/>
                  </w:tcBorders>
                  <w:vAlign w:val="center"/>
                </w:tcPr>
                <w:p w14:paraId="2DFE309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半年</w:t>
                  </w:r>
                </w:p>
              </w:tc>
              <w:tc>
                <w:tcPr>
                  <w:tcW w:w="840" w:type="dxa"/>
                  <w:tcBorders>
                    <w:tl2br w:val="nil"/>
                    <w:tr2bl w:val="nil"/>
                  </w:tcBorders>
                  <w:vAlign w:val="center"/>
                </w:tcPr>
                <w:p w14:paraId="408BDD6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4"/>
                      <w:position w:val="1"/>
                      <w:sz w:val="21"/>
                      <w:szCs w:val="20"/>
                      <w:highlight w:val="none"/>
                    </w:rPr>
                    <w:t>T/</w:t>
                  </w:r>
                  <w:r>
                    <w:rPr>
                      <w:rFonts w:ascii="Times New Roman" w:hAnsi="Times New Roman" w:eastAsia="宋体" w:cs="Times New Roman"/>
                      <w:color w:val="auto"/>
                      <w:position w:val="1"/>
                      <w:sz w:val="21"/>
                      <w:szCs w:val="20"/>
                      <w:highlight w:val="none"/>
                    </w:rPr>
                    <w:t>In</w:t>
                  </w:r>
                </w:p>
              </w:tc>
              <w:tc>
                <w:tcPr>
                  <w:tcW w:w="1443" w:type="dxa"/>
                  <w:vMerge w:val="continue"/>
                  <w:tcBorders>
                    <w:tl2br w:val="nil"/>
                    <w:tr2bl w:val="nil"/>
                  </w:tcBorders>
                  <w:vAlign w:val="center"/>
                </w:tcPr>
                <w:p w14:paraId="5B4EAE51">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r w14:paraId="176E3B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427C9E0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3</w:t>
                  </w:r>
                </w:p>
              </w:tc>
              <w:tc>
                <w:tcPr>
                  <w:tcW w:w="754" w:type="dxa"/>
                  <w:tcBorders>
                    <w:tl2br w:val="nil"/>
                    <w:tr2bl w:val="nil"/>
                  </w:tcBorders>
                  <w:vAlign w:val="center"/>
                </w:tcPr>
                <w:p w14:paraId="01E437A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废水处</w:t>
                  </w:r>
                </w:p>
                <w:p w14:paraId="3851731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理污泥</w:t>
                  </w:r>
                </w:p>
              </w:tc>
              <w:tc>
                <w:tcPr>
                  <w:tcW w:w="640" w:type="dxa"/>
                  <w:tcBorders>
                    <w:tl2br w:val="nil"/>
                    <w:tr2bl w:val="nil"/>
                  </w:tcBorders>
                  <w:vAlign w:val="center"/>
                </w:tcPr>
                <w:p w14:paraId="6A55E6B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1"/>
                      <w:position w:val="2"/>
                      <w:sz w:val="21"/>
                      <w:szCs w:val="20"/>
                      <w:highlight w:val="none"/>
                    </w:rPr>
                    <w:t>17</w:t>
                  </w:r>
                </w:p>
              </w:tc>
              <w:tc>
                <w:tcPr>
                  <w:tcW w:w="990" w:type="dxa"/>
                  <w:tcBorders>
                    <w:tl2br w:val="nil"/>
                    <w:tr2bl w:val="nil"/>
                  </w:tcBorders>
                  <w:vAlign w:val="center"/>
                </w:tcPr>
                <w:p w14:paraId="48E7D68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336-064-</w:t>
                  </w:r>
                </w:p>
                <w:p w14:paraId="498B0BC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8"/>
                      <w:position w:val="1"/>
                      <w:sz w:val="21"/>
                      <w:szCs w:val="20"/>
                      <w:highlight w:val="none"/>
                    </w:rPr>
                    <w:t>17</w:t>
                  </w:r>
                </w:p>
              </w:tc>
              <w:tc>
                <w:tcPr>
                  <w:tcW w:w="646" w:type="dxa"/>
                  <w:tcBorders>
                    <w:tl2br w:val="nil"/>
                    <w:tr2bl w:val="nil"/>
                  </w:tcBorders>
                  <w:vAlign w:val="center"/>
                </w:tcPr>
                <w:p w14:paraId="2CB303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2"/>
                      <w:position w:val="2"/>
                      <w:sz w:val="21"/>
                      <w:szCs w:val="20"/>
                      <w:highlight w:val="none"/>
                    </w:rPr>
                    <w:t>0.95</w:t>
                  </w:r>
                </w:p>
              </w:tc>
              <w:tc>
                <w:tcPr>
                  <w:tcW w:w="824" w:type="dxa"/>
                  <w:tcBorders>
                    <w:tl2br w:val="nil"/>
                    <w:tr2bl w:val="nil"/>
                  </w:tcBorders>
                  <w:vAlign w:val="center"/>
                </w:tcPr>
                <w:p w14:paraId="555EFD8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废水处</w:t>
                  </w:r>
                </w:p>
                <w:p w14:paraId="0D9EE87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理</w:t>
                  </w:r>
                </w:p>
              </w:tc>
              <w:tc>
                <w:tcPr>
                  <w:tcW w:w="352" w:type="dxa"/>
                  <w:tcBorders>
                    <w:tl2br w:val="nil"/>
                    <w:tr2bl w:val="nil"/>
                  </w:tcBorders>
                  <w:vAlign w:val="center"/>
                </w:tcPr>
                <w:p w14:paraId="270753A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固</w:t>
                  </w:r>
                </w:p>
              </w:tc>
              <w:tc>
                <w:tcPr>
                  <w:tcW w:w="564" w:type="dxa"/>
                  <w:tcBorders>
                    <w:tl2br w:val="nil"/>
                    <w:tr2bl w:val="nil"/>
                  </w:tcBorders>
                  <w:vAlign w:val="center"/>
                </w:tcPr>
                <w:p w14:paraId="5B16794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污泥</w:t>
                  </w:r>
                </w:p>
              </w:tc>
              <w:tc>
                <w:tcPr>
                  <w:tcW w:w="1183" w:type="dxa"/>
                  <w:tcBorders>
                    <w:tl2br w:val="nil"/>
                    <w:tr2bl w:val="nil"/>
                  </w:tcBorders>
                  <w:vAlign w:val="center"/>
                </w:tcPr>
                <w:p w14:paraId="1052DC9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污泥</w:t>
                  </w:r>
                </w:p>
              </w:tc>
              <w:tc>
                <w:tcPr>
                  <w:tcW w:w="400" w:type="dxa"/>
                  <w:tcBorders>
                    <w:tl2br w:val="nil"/>
                    <w:tr2bl w:val="nil"/>
                  </w:tcBorders>
                  <w:vAlign w:val="center"/>
                </w:tcPr>
                <w:p w14:paraId="347E10D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半年</w:t>
                  </w:r>
                </w:p>
              </w:tc>
              <w:tc>
                <w:tcPr>
                  <w:tcW w:w="840" w:type="dxa"/>
                  <w:tcBorders>
                    <w:tl2br w:val="nil"/>
                    <w:tr2bl w:val="nil"/>
                  </w:tcBorders>
                  <w:vAlign w:val="center"/>
                </w:tcPr>
                <w:p w14:paraId="2ECE709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2"/>
                      <w:position w:val="1"/>
                      <w:sz w:val="21"/>
                      <w:szCs w:val="20"/>
                      <w:highlight w:val="none"/>
                    </w:rPr>
                    <w:t>T/C</w:t>
                  </w:r>
                </w:p>
              </w:tc>
              <w:tc>
                <w:tcPr>
                  <w:tcW w:w="1443" w:type="dxa"/>
                  <w:vMerge w:val="continue"/>
                  <w:tcBorders>
                    <w:tl2br w:val="nil"/>
                    <w:tr2bl w:val="nil"/>
                  </w:tcBorders>
                  <w:vAlign w:val="center"/>
                </w:tcPr>
                <w:p w14:paraId="06FFCCD2">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r w14:paraId="127F11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280DC2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1"/>
                      <w:sz w:val="21"/>
                      <w:szCs w:val="20"/>
                      <w:highlight w:val="none"/>
                    </w:rPr>
                    <w:t>4</w:t>
                  </w:r>
                </w:p>
              </w:tc>
              <w:tc>
                <w:tcPr>
                  <w:tcW w:w="754" w:type="dxa"/>
                  <w:tcBorders>
                    <w:tl2br w:val="nil"/>
                    <w:tr2bl w:val="nil"/>
                  </w:tcBorders>
                  <w:vAlign w:val="center"/>
                </w:tcPr>
                <w:p w14:paraId="064C5E9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废活性</w:t>
                  </w:r>
                </w:p>
                <w:p w14:paraId="0530E4A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炭</w:t>
                  </w:r>
                </w:p>
              </w:tc>
              <w:tc>
                <w:tcPr>
                  <w:tcW w:w="640" w:type="dxa"/>
                  <w:tcBorders>
                    <w:tl2br w:val="nil"/>
                    <w:tr2bl w:val="nil"/>
                  </w:tcBorders>
                  <w:vAlign w:val="center"/>
                </w:tcPr>
                <w:p w14:paraId="54EC07E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1"/>
                      <w:position w:val="2"/>
                      <w:sz w:val="21"/>
                      <w:szCs w:val="20"/>
                      <w:highlight w:val="none"/>
                    </w:rPr>
                    <w:t>49</w:t>
                  </w:r>
                </w:p>
              </w:tc>
              <w:tc>
                <w:tcPr>
                  <w:tcW w:w="990" w:type="dxa"/>
                  <w:tcBorders>
                    <w:tl2br w:val="nil"/>
                    <w:tr2bl w:val="nil"/>
                  </w:tcBorders>
                  <w:vAlign w:val="center"/>
                </w:tcPr>
                <w:p w14:paraId="090CB4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900-039-</w:t>
                  </w:r>
                </w:p>
                <w:p w14:paraId="5321B5F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49</w:t>
                  </w:r>
                </w:p>
              </w:tc>
              <w:tc>
                <w:tcPr>
                  <w:tcW w:w="646" w:type="dxa"/>
                  <w:tcBorders>
                    <w:tl2br w:val="nil"/>
                    <w:tr2bl w:val="nil"/>
                  </w:tcBorders>
                  <w:vAlign w:val="center"/>
                </w:tcPr>
                <w:p w14:paraId="2453E92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21"/>
                      <w:szCs w:val="20"/>
                      <w:highlight w:val="none"/>
                      <w:lang w:val="en-US" w:eastAsia="zh-CN"/>
                    </w:rPr>
                  </w:pPr>
                  <w:r>
                    <w:rPr>
                      <w:rFonts w:hint="eastAsia" w:cs="Times New Roman"/>
                      <w:color w:val="auto"/>
                      <w:spacing w:val="3"/>
                      <w:position w:val="2"/>
                      <w:sz w:val="21"/>
                      <w:szCs w:val="20"/>
                      <w:highlight w:val="none"/>
                      <w:lang w:val="en-US" w:eastAsia="zh-CN"/>
                    </w:rPr>
                    <w:t>3.6355</w:t>
                  </w:r>
                </w:p>
              </w:tc>
              <w:tc>
                <w:tcPr>
                  <w:tcW w:w="824" w:type="dxa"/>
                  <w:tcBorders>
                    <w:tl2br w:val="nil"/>
                    <w:tr2bl w:val="nil"/>
                  </w:tcBorders>
                  <w:vAlign w:val="center"/>
                </w:tcPr>
                <w:p w14:paraId="3A717D3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活性炭</w:t>
                  </w:r>
                  <w:r>
                    <w:rPr>
                      <w:rFonts w:ascii="Times New Roman" w:hAnsi="Times New Roman" w:eastAsia="宋体"/>
                      <w:color w:val="auto"/>
                      <w:sz w:val="21"/>
                      <w:highlight w:val="none"/>
                    </w:rPr>
                    <w:t>吸附</w:t>
                  </w:r>
                </w:p>
              </w:tc>
              <w:tc>
                <w:tcPr>
                  <w:tcW w:w="352" w:type="dxa"/>
                  <w:tcBorders>
                    <w:tl2br w:val="nil"/>
                    <w:tr2bl w:val="nil"/>
                  </w:tcBorders>
                  <w:vAlign w:val="center"/>
                </w:tcPr>
                <w:p w14:paraId="716A5CB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固</w:t>
                  </w:r>
                </w:p>
              </w:tc>
              <w:tc>
                <w:tcPr>
                  <w:tcW w:w="564" w:type="dxa"/>
                  <w:tcBorders>
                    <w:tl2br w:val="nil"/>
                    <w:tr2bl w:val="nil"/>
                  </w:tcBorders>
                  <w:vAlign w:val="center"/>
                </w:tcPr>
                <w:p w14:paraId="4DCDE2F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吸附</w:t>
                  </w:r>
                </w:p>
                <w:p w14:paraId="5D6DC5F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废气</w:t>
                  </w:r>
                </w:p>
                <w:p w14:paraId="513EFE2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的活</w:t>
                  </w:r>
                </w:p>
                <w:p w14:paraId="414EA0F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性炭</w:t>
                  </w:r>
                </w:p>
              </w:tc>
              <w:tc>
                <w:tcPr>
                  <w:tcW w:w="1183" w:type="dxa"/>
                  <w:tcBorders>
                    <w:tl2br w:val="nil"/>
                    <w:tr2bl w:val="nil"/>
                  </w:tcBorders>
                  <w:vAlign w:val="center"/>
                </w:tcPr>
                <w:p w14:paraId="2B11302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有机</w:t>
                  </w:r>
                  <w:r>
                    <w:rPr>
                      <w:rFonts w:ascii="Times New Roman" w:hAnsi="Times New Roman" w:eastAsia="宋体"/>
                      <w:color w:val="auto"/>
                      <w:sz w:val="21"/>
                      <w:highlight w:val="none"/>
                    </w:rPr>
                    <w:t>物</w:t>
                  </w:r>
                </w:p>
              </w:tc>
              <w:tc>
                <w:tcPr>
                  <w:tcW w:w="400" w:type="dxa"/>
                  <w:tcBorders>
                    <w:tl2br w:val="nil"/>
                    <w:tr2bl w:val="nil"/>
                  </w:tcBorders>
                  <w:vAlign w:val="center"/>
                </w:tcPr>
                <w:p w14:paraId="7865C2A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一年</w:t>
                  </w:r>
                </w:p>
              </w:tc>
              <w:tc>
                <w:tcPr>
                  <w:tcW w:w="840" w:type="dxa"/>
                  <w:tcBorders>
                    <w:tl2br w:val="nil"/>
                    <w:tr2bl w:val="nil"/>
                  </w:tcBorders>
                  <w:vAlign w:val="center"/>
                </w:tcPr>
                <w:p w14:paraId="26BBF9A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z w:val="21"/>
                      <w:szCs w:val="20"/>
                      <w:highlight w:val="none"/>
                    </w:rPr>
                    <w:t>T</w:t>
                  </w:r>
                </w:p>
              </w:tc>
              <w:tc>
                <w:tcPr>
                  <w:tcW w:w="1443" w:type="dxa"/>
                  <w:vMerge w:val="continue"/>
                  <w:tcBorders>
                    <w:tl2br w:val="nil"/>
                    <w:tr2bl w:val="nil"/>
                  </w:tcBorders>
                  <w:vAlign w:val="center"/>
                </w:tcPr>
                <w:p w14:paraId="0142852F">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r w14:paraId="419750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1CCEEA1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z w:val="21"/>
                      <w:szCs w:val="20"/>
                      <w:highlight w:val="none"/>
                    </w:rPr>
                    <w:t>5</w:t>
                  </w:r>
                </w:p>
              </w:tc>
              <w:tc>
                <w:tcPr>
                  <w:tcW w:w="754" w:type="dxa"/>
                  <w:tcBorders>
                    <w:tl2br w:val="nil"/>
                    <w:tr2bl w:val="nil"/>
                  </w:tcBorders>
                  <w:vAlign w:val="center"/>
                </w:tcPr>
                <w:p w14:paraId="7206CA7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废机油</w:t>
                  </w:r>
                </w:p>
              </w:tc>
              <w:tc>
                <w:tcPr>
                  <w:tcW w:w="640" w:type="dxa"/>
                  <w:tcBorders>
                    <w:tl2br w:val="nil"/>
                    <w:tr2bl w:val="nil"/>
                  </w:tcBorders>
                  <w:vAlign w:val="center"/>
                </w:tcPr>
                <w:p w14:paraId="104DBF9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1"/>
                      <w:position w:val="2"/>
                      <w:sz w:val="21"/>
                      <w:szCs w:val="20"/>
                      <w:highlight w:val="none"/>
                    </w:rPr>
                    <w:t>08</w:t>
                  </w:r>
                </w:p>
              </w:tc>
              <w:tc>
                <w:tcPr>
                  <w:tcW w:w="990" w:type="dxa"/>
                  <w:tcBorders>
                    <w:tl2br w:val="nil"/>
                    <w:tr2bl w:val="nil"/>
                  </w:tcBorders>
                  <w:vAlign w:val="center"/>
                </w:tcPr>
                <w:p w14:paraId="4A657A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900-249-</w:t>
                  </w:r>
                </w:p>
                <w:p w14:paraId="068ED48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1"/>
                      <w:sz w:val="21"/>
                      <w:szCs w:val="20"/>
                      <w:highlight w:val="none"/>
                    </w:rPr>
                    <w:t>08</w:t>
                  </w:r>
                </w:p>
              </w:tc>
              <w:tc>
                <w:tcPr>
                  <w:tcW w:w="646" w:type="dxa"/>
                  <w:tcBorders>
                    <w:tl2br w:val="nil"/>
                    <w:tr2bl w:val="nil"/>
                  </w:tcBorders>
                  <w:vAlign w:val="center"/>
                </w:tcPr>
                <w:p w14:paraId="19F6CB1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2"/>
                      <w:sz w:val="21"/>
                      <w:szCs w:val="20"/>
                      <w:highlight w:val="none"/>
                    </w:rPr>
                    <w:t>0.2</w:t>
                  </w:r>
                </w:p>
              </w:tc>
              <w:tc>
                <w:tcPr>
                  <w:tcW w:w="824" w:type="dxa"/>
                  <w:tcBorders>
                    <w:tl2br w:val="nil"/>
                    <w:tr2bl w:val="nil"/>
                  </w:tcBorders>
                  <w:vAlign w:val="center"/>
                </w:tcPr>
                <w:p w14:paraId="0A79687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机械保</w:t>
                  </w:r>
                </w:p>
                <w:p w14:paraId="31A0632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养</w:t>
                  </w:r>
                </w:p>
              </w:tc>
              <w:tc>
                <w:tcPr>
                  <w:tcW w:w="352" w:type="dxa"/>
                  <w:tcBorders>
                    <w:tl2br w:val="nil"/>
                    <w:tr2bl w:val="nil"/>
                  </w:tcBorders>
                  <w:vAlign w:val="center"/>
                </w:tcPr>
                <w:p w14:paraId="1C11965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液</w:t>
                  </w:r>
                </w:p>
              </w:tc>
              <w:tc>
                <w:tcPr>
                  <w:tcW w:w="564" w:type="dxa"/>
                  <w:tcBorders>
                    <w:tl2br w:val="nil"/>
                    <w:tr2bl w:val="nil"/>
                  </w:tcBorders>
                  <w:vAlign w:val="center"/>
                </w:tcPr>
                <w:p w14:paraId="6F8FF59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矿物</w:t>
                  </w:r>
                </w:p>
                <w:p w14:paraId="7BB8D4C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质油</w:t>
                  </w:r>
                </w:p>
              </w:tc>
              <w:tc>
                <w:tcPr>
                  <w:tcW w:w="1183" w:type="dxa"/>
                  <w:tcBorders>
                    <w:tl2br w:val="nil"/>
                    <w:tr2bl w:val="nil"/>
                  </w:tcBorders>
                  <w:vAlign w:val="center"/>
                </w:tcPr>
                <w:p w14:paraId="7B9338D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废油</w:t>
                  </w:r>
                  <w:r>
                    <w:rPr>
                      <w:rFonts w:ascii="Times New Roman" w:hAnsi="Times New Roman" w:eastAsia="宋体"/>
                      <w:color w:val="auto"/>
                      <w:sz w:val="21"/>
                      <w:highlight w:val="none"/>
                    </w:rPr>
                    <w:t>脂</w:t>
                  </w:r>
                </w:p>
              </w:tc>
              <w:tc>
                <w:tcPr>
                  <w:tcW w:w="400" w:type="dxa"/>
                  <w:tcBorders>
                    <w:tl2br w:val="nil"/>
                    <w:tr2bl w:val="nil"/>
                  </w:tcBorders>
                  <w:vAlign w:val="center"/>
                </w:tcPr>
                <w:p w14:paraId="32309DB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color w:val="auto"/>
                      <w:spacing w:val="1"/>
                      <w:position w:val="1"/>
                      <w:sz w:val="21"/>
                      <w:highlight w:val="none"/>
                    </w:rPr>
                    <w:t>3</w:t>
                  </w:r>
                  <w:r>
                    <w:rPr>
                      <w:rFonts w:ascii="Times New Roman" w:hAnsi="Times New Roman" w:eastAsia="宋体"/>
                      <w:color w:val="auto"/>
                      <w:spacing w:val="1"/>
                      <w:position w:val="1"/>
                      <w:sz w:val="21"/>
                      <w:highlight w:val="none"/>
                    </w:rPr>
                    <w:t>个月</w:t>
                  </w:r>
                </w:p>
              </w:tc>
              <w:tc>
                <w:tcPr>
                  <w:tcW w:w="840" w:type="dxa"/>
                  <w:tcBorders>
                    <w:tl2br w:val="nil"/>
                    <w:tr2bl w:val="nil"/>
                  </w:tcBorders>
                  <w:vAlign w:val="center"/>
                </w:tcPr>
                <w:p w14:paraId="1CC90F4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highlight w:val="none"/>
                    </w:rPr>
                  </w:pPr>
                  <w:r>
                    <w:rPr>
                      <w:rFonts w:ascii="Times New Roman" w:hAnsi="Times New Roman" w:eastAsia="宋体" w:cs="Times New Roman"/>
                      <w:color w:val="auto"/>
                      <w:spacing w:val="-3"/>
                      <w:sz w:val="21"/>
                      <w:highlight w:val="none"/>
                    </w:rPr>
                    <w:t>T</w:t>
                  </w:r>
                  <w:r>
                    <w:rPr>
                      <w:rFonts w:ascii="Times New Roman" w:hAnsi="Times New Roman" w:eastAsia="宋体"/>
                      <w:color w:val="auto"/>
                      <w:spacing w:val="-3"/>
                      <w:sz w:val="21"/>
                      <w:highlight w:val="none"/>
                    </w:rPr>
                    <w:t>，</w:t>
                  </w:r>
                  <w:r>
                    <w:rPr>
                      <w:rFonts w:ascii="Times New Roman" w:hAnsi="Times New Roman" w:eastAsia="宋体" w:cs="Times New Roman"/>
                      <w:color w:val="auto"/>
                      <w:spacing w:val="-3"/>
                      <w:sz w:val="21"/>
                      <w:highlight w:val="none"/>
                    </w:rPr>
                    <w:t>I</w:t>
                  </w:r>
                </w:p>
              </w:tc>
              <w:tc>
                <w:tcPr>
                  <w:tcW w:w="1443" w:type="dxa"/>
                  <w:vMerge w:val="continue"/>
                  <w:tcBorders>
                    <w:tl2br w:val="nil"/>
                    <w:tr2bl w:val="nil"/>
                  </w:tcBorders>
                  <w:vAlign w:val="center"/>
                </w:tcPr>
                <w:p w14:paraId="6DAA086C">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r w14:paraId="49201D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685290B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6</w:t>
                  </w:r>
                </w:p>
              </w:tc>
              <w:tc>
                <w:tcPr>
                  <w:tcW w:w="754" w:type="dxa"/>
                  <w:tcBorders>
                    <w:tl2br w:val="nil"/>
                    <w:tr2bl w:val="nil"/>
                  </w:tcBorders>
                  <w:vAlign w:val="center"/>
                </w:tcPr>
                <w:p w14:paraId="4F89285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废油桶</w:t>
                  </w:r>
                </w:p>
              </w:tc>
              <w:tc>
                <w:tcPr>
                  <w:tcW w:w="640" w:type="dxa"/>
                  <w:tcBorders>
                    <w:tl2br w:val="nil"/>
                    <w:tr2bl w:val="nil"/>
                  </w:tcBorders>
                  <w:vAlign w:val="center"/>
                </w:tcPr>
                <w:p w14:paraId="3519039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1"/>
                      <w:position w:val="2"/>
                      <w:sz w:val="21"/>
                      <w:szCs w:val="20"/>
                      <w:highlight w:val="none"/>
                    </w:rPr>
                    <w:t>08</w:t>
                  </w:r>
                </w:p>
              </w:tc>
              <w:tc>
                <w:tcPr>
                  <w:tcW w:w="990" w:type="dxa"/>
                  <w:tcBorders>
                    <w:tl2br w:val="nil"/>
                    <w:tr2bl w:val="nil"/>
                  </w:tcBorders>
                  <w:vAlign w:val="center"/>
                </w:tcPr>
                <w:p w14:paraId="6A65119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900-249-</w:t>
                  </w:r>
                </w:p>
                <w:p w14:paraId="09BBE2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1"/>
                      <w:sz w:val="21"/>
                      <w:szCs w:val="20"/>
                      <w:highlight w:val="none"/>
                    </w:rPr>
                    <w:t>08</w:t>
                  </w:r>
                </w:p>
              </w:tc>
              <w:tc>
                <w:tcPr>
                  <w:tcW w:w="646" w:type="dxa"/>
                  <w:tcBorders>
                    <w:tl2br w:val="nil"/>
                    <w:tr2bl w:val="nil"/>
                  </w:tcBorders>
                  <w:vAlign w:val="center"/>
                </w:tcPr>
                <w:p w14:paraId="554C813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2"/>
                      <w:sz w:val="21"/>
                      <w:szCs w:val="20"/>
                      <w:highlight w:val="none"/>
                    </w:rPr>
                    <w:t>0.2</w:t>
                  </w:r>
                </w:p>
              </w:tc>
              <w:tc>
                <w:tcPr>
                  <w:tcW w:w="824" w:type="dxa"/>
                  <w:tcBorders>
                    <w:tl2br w:val="nil"/>
                    <w:tr2bl w:val="nil"/>
                  </w:tcBorders>
                  <w:vAlign w:val="center"/>
                </w:tcPr>
                <w:p w14:paraId="5FC4A4A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装配、设</w:t>
                  </w:r>
                </w:p>
                <w:p w14:paraId="2145F64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备维护</w:t>
                  </w:r>
                </w:p>
                <w:p w14:paraId="4B8D790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保养</w:t>
                  </w:r>
                </w:p>
              </w:tc>
              <w:tc>
                <w:tcPr>
                  <w:tcW w:w="352" w:type="dxa"/>
                  <w:tcBorders>
                    <w:tl2br w:val="nil"/>
                    <w:tr2bl w:val="nil"/>
                  </w:tcBorders>
                  <w:vAlign w:val="center"/>
                </w:tcPr>
                <w:p w14:paraId="68A10BB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固</w:t>
                  </w:r>
                </w:p>
              </w:tc>
              <w:tc>
                <w:tcPr>
                  <w:tcW w:w="564" w:type="dxa"/>
                  <w:tcBorders>
                    <w:tl2br w:val="nil"/>
                    <w:tr2bl w:val="nil"/>
                  </w:tcBorders>
                  <w:vAlign w:val="center"/>
                </w:tcPr>
                <w:p w14:paraId="3A11BBD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沾染</w:t>
                  </w:r>
                </w:p>
                <w:p w14:paraId="11C33DBF">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机油</w:t>
                  </w:r>
                </w:p>
                <w:p w14:paraId="438BB72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的包</w:t>
                  </w:r>
                </w:p>
                <w:p w14:paraId="0F75937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装物</w:t>
                  </w:r>
                </w:p>
              </w:tc>
              <w:tc>
                <w:tcPr>
                  <w:tcW w:w="1183" w:type="dxa"/>
                  <w:tcBorders>
                    <w:tl2br w:val="nil"/>
                    <w:tr2bl w:val="nil"/>
                  </w:tcBorders>
                  <w:vAlign w:val="center"/>
                </w:tcPr>
                <w:p w14:paraId="5CFEE74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废油</w:t>
                  </w:r>
                  <w:r>
                    <w:rPr>
                      <w:rFonts w:ascii="Times New Roman" w:hAnsi="Times New Roman" w:eastAsia="宋体"/>
                      <w:color w:val="auto"/>
                      <w:sz w:val="21"/>
                      <w:highlight w:val="none"/>
                    </w:rPr>
                    <w:t>脂</w:t>
                  </w:r>
                </w:p>
              </w:tc>
              <w:tc>
                <w:tcPr>
                  <w:tcW w:w="400" w:type="dxa"/>
                  <w:tcBorders>
                    <w:tl2br w:val="nil"/>
                    <w:tr2bl w:val="nil"/>
                  </w:tcBorders>
                  <w:vAlign w:val="center"/>
                </w:tcPr>
                <w:p w14:paraId="0715B90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color w:val="auto"/>
                      <w:spacing w:val="1"/>
                      <w:position w:val="1"/>
                      <w:sz w:val="21"/>
                      <w:highlight w:val="none"/>
                    </w:rPr>
                    <w:t>3</w:t>
                  </w:r>
                  <w:r>
                    <w:rPr>
                      <w:rFonts w:ascii="Times New Roman" w:hAnsi="Times New Roman" w:eastAsia="宋体"/>
                      <w:color w:val="auto"/>
                      <w:spacing w:val="1"/>
                      <w:position w:val="1"/>
                      <w:sz w:val="21"/>
                      <w:highlight w:val="none"/>
                    </w:rPr>
                    <w:t>个月</w:t>
                  </w:r>
                </w:p>
              </w:tc>
              <w:tc>
                <w:tcPr>
                  <w:tcW w:w="840" w:type="dxa"/>
                  <w:tcBorders>
                    <w:tl2br w:val="nil"/>
                    <w:tr2bl w:val="nil"/>
                  </w:tcBorders>
                  <w:vAlign w:val="center"/>
                </w:tcPr>
                <w:p w14:paraId="371AD62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highlight w:val="none"/>
                    </w:rPr>
                  </w:pPr>
                  <w:r>
                    <w:rPr>
                      <w:rFonts w:ascii="Times New Roman" w:hAnsi="Times New Roman" w:eastAsia="宋体" w:cs="Times New Roman"/>
                      <w:color w:val="auto"/>
                      <w:spacing w:val="-3"/>
                      <w:sz w:val="21"/>
                      <w:highlight w:val="none"/>
                    </w:rPr>
                    <w:t>T</w:t>
                  </w:r>
                  <w:r>
                    <w:rPr>
                      <w:rFonts w:ascii="Times New Roman" w:hAnsi="Times New Roman" w:eastAsia="宋体"/>
                      <w:color w:val="auto"/>
                      <w:spacing w:val="-3"/>
                      <w:sz w:val="21"/>
                      <w:highlight w:val="none"/>
                    </w:rPr>
                    <w:t>，</w:t>
                  </w:r>
                  <w:r>
                    <w:rPr>
                      <w:rFonts w:ascii="Times New Roman" w:hAnsi="Times New Roman" w:eastAsia="宋体" w:cs="Times New Roman"/>
                      <w:color w:val="auto"/>
                      <w:spacing w:val="-3"/>
                      <w:sz w:val="21"/>
                      <w:highlight w:val="none"/>
                    </w:rPr>
                    <w:t>I</w:t>
                  </w:r>
                </w:p>
              </w:tc>
              <w:tc>
                <w:tcPr>
                  <w:tcW w:w="1443" w:type="dxa"/>
                  <w:vMerge w:val="continue"/>
                  <w:tcBorders>
                    <w:tl2br w:val="nil"/>
                    <w:tr2bl w:val="nil"/>
                  </w:tcBorders>
                  <w:vAlign w:val="center"/>
                </w:tcPr>
                <w:p w14:paraId="7E4B3DED">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r w14:paraId="642AEF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0683804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z w:val="21"/>
                      <w:szCs w:val="20"/>
                      <w:highlight w:val="none"/>
                    </w:rPr>
                    <w:t>7</w:t>
                  </w:r>
                </w:p>
              </w:tc>
              <w:tc>
                <w:tcPr>
                  <w:tcW w:w="754" w:type="dxa"/>
                  <w:tcBorders>
                    <w:tl2br w:val="nil"/>
                    <w:tr2bl w:val="nil"/>
                  </w:tcBorders>
                  <w:vAlign w:val="center"/>
                </w:tcPr>
                <w:p w14:paraId="337AFDB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废含油</w:t>
                  </w:r>
                </w:p>
                <w:p w14:paraId="610A198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抹布手</w:t>
                  </w:r>
                </w:p>
                <w:p w14:paraId="41CAF44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套</w:t>
                  </w:r>
                </w:p>
              </w:tc>
              <w:tc>
                <w:tcPr>
                  <w:tcW w:w="640" w:type="dxa"/>
                  <w:tcBorders>
                    <w:tl2br w:val="nil"/>
                    <w:tr2bl w:val="nil"/>
                  </w:tcBorders>
                  <w:vAlign w:val="center"/>
                </w:tcPr>
                <w:p w14:paraId="7E6E641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0"/>
                      <w:position w:val="2"/>
                      <w:sz w:val="21"/>
                      <w:szCs w:val="20"/>
                      <w:highlight w:val="none"/>
                    </w:rPr>
                    <w:t>49</w:t>
                  </w:r>
                </w:p>
              </w:tc>
              <w:tc>
                <w:tcPr>
                  <w:tcW w:w="990" w:type="dxa"/>
                  <w:tcBorders>
                    <w:tl2br w:val="nil"/>
                    <w:tr2bl w:val="nil"/>
                  </w:tcBorders>
                  <w:vAlign w:val="center"/>
                </w:tcPr>
                <w:p w14:paraId="0DBA971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900-041-</w:t>
                  </w:r>
                </w:p>
                <w:p w14:paraId="097FA6B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49</w:t>
                  </w:r>
                </w:p>
              </w:tc>
              <w:tc>
                <w:tcPr>
                  <w:tcW w:w="646" w:type="dxa"/>
                  <w:tcBorders>
                    <w:tl2br w:val="nil"/>
                    <w:tr2bl w:val="nil"/>
                  </w:tcBorders>
                  <w:vAlign w:val="center"/>
                </w:tcPr>
                <w:p w14:paraId="2306C6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2"/>
                      <w:sz w:val="21"/>
                      <w:szCs w:val="20"/>
                      <w:highlight w:val="none"/>
                    </w:rPr>
                    <w:t>0.4</w:t>
                  </w:r>
                </w:p>
              </w:tc>
              <w:tc>
                <w:tcPr>
                  <w:tcW w:w="824" w:type="dxa"/>
                  <w:tcBorders>
                    <w:tl2br w:val="nil"/>
                    <w:tr2bl w:val="nil"/>
                  </w:tcBorders>
                  <w:vAlign w:val="center"/>
                </w:tcPr>
                <w:p w14:paraId="24E732A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装配、设</w:t>
                  </w:r>
                </w:p>
                <w:p w14:paraId="7E189A5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备维护</w:t>
                  </w:r>
                </w:p>
                <w:p w14:paraId="5600A1A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保养</w:t>
                  </w:r>
                </w:p>
              </w:tc>
              <w:tc>
                <w:tcPr>
                  <w:tcW w:w="352" w:type="dxa"/>
                  <w:tcBorders>
                    <w:tl2br w:val="nil"/>
                    <w:tr2bl w:val="nil"/>
                  </w:tcBorders>
                  <w:vAlign w:val="center"/>
                </w:tcPr>
                <w:p w14:paraId="1D7F914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固</w:t>
                  </w:r>
                </w:p>
              </w:tc>
              <w:tc>
                <w:tcPr>
                  <w:tcW w:w="564" w:type="dxa"/>
                  <w:tcBorders>
                    <w:tl2br w:val="nil"/>
                    <w:tr2bl w:val="nil"/>
                  </w:tcBorders>
                  <w:vAlign w:val="center"/>
                </w:tcPr>
                <w:p w14:paraId="6D40D83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沾染</w:t>
                  </w:r>
                </w:p>
                <w:p w14:paraId="12E6440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机油</w:t>
                  </w:r>
                </w:p>
                <w:p w14:paraId="6A5513B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的抹</w:t>
                  </w:r>
                </w:p>
                <w:p w14:paraId="23F76B6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布、</w:t>
                  </w:r>
                </w:p>
                <w:p w14:paraId="2526B71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手套</w:t>
                  </w:r>
                </w:p>
              </w:tc>
              <w:tc>
                <w:tcPr>
                  <w:tcW w:w="1183" w:type="dxa"/>
                  <w:tcBorders>
                    <w:tl2br w:val="nil"/>
                    <w:tr2bl w:val="nil"/>
                  </w:tcBorders>
                  <w:vAlign w:val="center"/>
                </w:tcPr>
                <w:p w14:paraId="57F5DB1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废油</w:t>
                  </w:r>
                  <w:r>
                    <w:rPr>
                      <w:rFonts w:ascii="Times New Roman" w:hAnsi="Times New Roman" w:eastAsia="宋体"/>
                      <w:color w:val="auto"/>
                      <w:sz w:val="21"/>
                      <w:highlight w:val="none"/>
                    </w:rPr>
                    <w:t>脂</w:t>
                  </w:r>
                </w:p>
              </w:tc>
              <w:tc>
                <w:tcPr>
                  <w:tcW w:w="400" w:type="dxa"/>
                  <w:tcBorders>
                    <w:tl2br w:val="nil"/>
                    <w:tr2bl w:val="nil"/>
                  </w:tcBorders>
                  <w:vAlign w:val="center"/>
                </w:tcPr>
                <w:p w14:paraId="4899B8C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color w:val="auto"/>
                      <w:spacing w:val="1"/>
                      <w:position w:val="1"/>
                      <w:sz w:val="21"/>
                      <w:highlight w:val="none"/>
                    </w:rPr>
                    <w:t>3</w:t>
                  </w:r>
                  <w:r>
                    <w:rPr>
                      <w:rFonts w:ascii="Times New Roman" w:hAnsi="Times New Roman" w:eastAsia="宋体"/>
                      <w:color w:val="auto"/>
                      <w:spacing w:val="1"/>
                      <w:position w:val="1"/>
                      <w:sz w:val="21"/>
                      <w:highlight w:val="none"/>
                    </w:rPr>
                    <w:t>个月</w:t>
                  </w:r>
                </w:p>
              </w:tc>
              <w:tc>
                <w:tcPr>
                  <w:tcW w:w="840" w:type="dxa"/>
                  <w:tcBorders>
                    <w:tl2br w:val="nil"/>
                    <w:tr2bl w:val="nil"/>
                  </w:tcBorders>
                  <w:vAlign w:val="center"/>
                </w:tcPr>
                <w:p w14:paraId="00BE296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4"/>
                      <w:position w:val="1"/>
                      <w:sz w:val="21"/>
                      <w:szCs w:val="20"/>
                      <w:highlight w:val="none"/>
                    </w:rPr>
                    <w:t>T/</w:t>
                  </w:r>
                  <w:r>
                    <w:rPr>
                      <w:rFonts w:ascii="Times New Roman" w:hAnsi="Times New Roman" w:eastAsia="宋体" w:cs="Times New Roman"/>
                      <w:color w:val="auto"/>
                      <w:position w:val="1"/>
                      <w:sz w:val="21"/>
                      <w:szCs w:val="20"/>
                      <w:highlight w:val="none"/>
                    </w:rPr>
                    <w:t>In</w:t>
                  </w:r>
                </w:p>
              </w:tc>
              <w:tc>
                <w:tcPr>
                  <w:tcW w:w="1443" w:type="dxa"/>
                  <w:vMerge w:val="continue"/>
                  <w:tcBorders>
                    <w:tl2br w:val="nil"/>
                    <w:tr2bl w:val="nil"/>
                  </w:tcBorders>
                  <w:vAlign w:val="center"/>
                </w:tcPr>
                <w:p w14:paraId="07AC6853">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r w14:paraId="29F1101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669B128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8</w:t>
                  </w:r>
                </w:p>
              </w:tc>
              <w:tc>
                <w:tcPr>
                  <w:tcW w:w="754" w:type="dxa"/>
                  <w:tcBorders>
                    <w:tl2br w:val="nil"/>
                    <w:tr2bl w:val="nil"/>
                  </w:tcBorders>
                  <w:vAlign w:val="center"/>
                </w:tcPr>
                <w:p w14:paraId="41909A0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废弃纯</w:t>
                  </w:r>
                </w:p>
                <w:p w14:paraId="5488191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水制备</w:t>
                  </w:r>
                  <w:r>
                    <w:rPr>
                      <w:rFonts w:ascii="Times New Roman" w:hAnsi="Times New Roman" w:eastAsia="宋体"/>
                      <w:color w:val="auto"/>
                      <w:spacing w:val="4"/>
                      <w:sz w:val="21"/>
                      <w:highlight w:val="none"/>
                    </w:rPr>
                    <w:t>耗材</w:t>
                  </w:r>
                </w:p>
              </w:tc>
              <w:tc>
                <w:tcPr>
                  <w:tcW w:w="640" w:type="dxa"/>
                  <w:tcBorders>
                    <w:tl2br w:val="nil"/>
                    <w:tr2bl w:val="nil"/>
                  </w:tcBorders>
                  <w:vAlign w:val="center"/>
                </w:tcPr>
                <w:p w14:paraId="129B31F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0"/>
                      <w:position w:val="2"/>
                      <w:sz w:val="21"/>
                      <w:szCs w:val="20"/>
                      <w:highlight w:val="none"/>
                    </w:rPr>
                    <w:t>49</w:t>
                  </w:r>
                </w:p>
              </w:tc>
              <w:tc>
                <w:tcPr>
                  <w:tcW w:w="990" w:type="dxa"/>
                  <w:tcBorders>
                    <w:tl2br w:val="nil"/>
                    <w:tr2bl w:val="nil"/>
                  </w:tcBorders>
                  <w:vAlign w:val="center"/>
                </w:tcPr>
                <w:p w14:paraId="267426A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900-041-</w:t>
                  </w:r>
                </w:p>
                <w:p w14:paraId="54C5E66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49</w:t>
                  </w:r>
                </w:p>
              </w:tc>
              <w:tc>
                <w:tcPr>
                  <w:tcW w:w="646" w:type="dxa"/>
                  <w:tcBorders>
                    <w:tl2br w:val="nil"/>
                    <w:tr2bl w:val="nil"/>
                  </w:tcBorders>
                  <w:vAlign w:val="center"/>
                </w:tcPr>
                <w:p w14:paraId="335DB18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2"/>
                      <w:sz w:val="21"/>
                      <w:szCs w:val="20"/>
                      <w:highlight w:val="none"/>
                    </w:rPr>
                    <w:t>0.1</w:t>
                  </w:r>
                </w:p>
              </w:tc>
              <w:tc>
                <w:tcPr>
                  <w:tcW w:w="824" w:type="dxa"/>
                  <w:tcBorders>
                    <w:tl2br w:val="nil"/>
                    <w:tr2bl w:val="nil"/>
                  </w:tcBorders>
                  <w:vAlign w:val="center"/>
                </w:tcPr>
                <w:p w14:paraId="6EA28FC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纯水制</w:t>
                  </w:r>
                </w:p>
                <w:p w14:paraId="0B33D43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备</w:t>
                  </w:r>
                </w:p>
              </w:tc>
              <w:tc>
                <w:tcPr>
                  <w:tcW w:w="352" w:type="dxa"/>
                  <w:tcBorders>
                    <w:tl2br w:val="nil"/>
                    <w:tr2bl w:val="nil"/>
                  </w:tcBorders>
                  <w:vAlign w:val="center"/>
                </w:tcPr>
                <w:p w14:paraId="26CB839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固</w:t>
                  </w:r>
                </w:p>
              </w:tc>
              <w:tc>
                <w:tcPr>
                  <w:tcW w:w="564" w:type="dxa"/>
                  <w:tcBorders>
                    <w:tl2br w:val="nil"/>
                    <w:tr2bl w:val="nil"/>
                  </w:tcBorders>
                  <w:vAlign w:val="center"/>
                </w:tcPr>
                <w:p w14:paraId="15161BC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沾染</w:t>
                  </w:r>
                </w:p>
                <w:p w14:paraId="3688E54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杂质</w:t>
                  </w:r>
                </w:p>
                <w:p w14:paraId="2821789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的滤</w:t>
                  </w:r>
                  <w:r>
                    <w:rPr>
                      <w:rFonts w:ascii="Times New Roman" w:hAnsi="Times New Roman" w:eastAsia="宋体"/>
                      <w:color w:val="auto"/>
                      <w:spacing w:val="1"/>
                      <w:sz w:val="21"/>
                      <w:highlight w:val="none"/>
                    </w:rPr>
                    <w:t>膜</w:t>
                  </w:r>
                </w:p>
              </w:tc>
              <w:tc>
                <w:tcPr>
                  <w:tcW w:w="1183" w:type="dxa"/>
                  <w:tcBorders>
                    <w:tl2br w:val="nil"/>
                    <w:tr2bl w:val="nil"/>
                  </w:tcBorders>
                  <w:vAlign w:val="center"/>
                </w:tcPr>
                <w:p w14:paraId="696B971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bookmarkStart w:id="94" w:name="_GoBack"/>
                  <w:bookmarkEnd w:id="94"/>
                  <w:r>
                    <w:rPr>
                      <w:rFonts w:ascii="Times New Roman" w:hAnsi="Times New Roman" w:eastAsia="宋体"/>
                      <w:color w:val="auto"/>
                      <w:spacing w:val="-10"/>
                      <w:sz w:val="21"/>
                      <w:highlight w:val="none"/>
                    </w:rPr>
                    <w:t>树</w:t>
                  </w:r>
                  <w:r>
                    <w:rPr>
                      <w:rFonts w:ascii="Times New Roman" w:hAnsi="Times New Roman" w:eastAsia="宋体"/>
                      <w:color w:val="auto"/>
                      <w:sz w:val="21"/>
                      <w:highlight w:val="none"/>
                    </w:rPr>
                    <w:t>脂</w:t>
                  </w:r>
                </w:p>
              </w:tc>
              <w:tc>
                <w:tcPr>
                  <w:tcW w:w="400" w:type="dxa"/>
                  <w:tcBorders>
                    <w:tl2br w:val="nil"/>
                    <w:tr2bl w:val="nil"/>
                  </w:tcBorders>
                  <w:vAlign w:val="center"/>
                </w:tcPr>
                <w:p w14:paraId="4E69E5E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半年</w:t>
                  </w:r>
                </w:p>
              </w:tc>
              <w:tc>
                <w:tcPr>
                  <w:tcW w:w="840" w:type="dxa"/>
                  <w:tcBorders>
                    <w:tl2br w:val="nil"/>
                    <w:tr2bl w:val="nil"/>
                  </w:tcBorders>
                  <w:vAlign w:val="center"/>
                </w:tcPr>
                <w:p w14:paraId="68E238E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4"/>
                      <w:position w:val="1"/>
                      <w:sz w:val="21"/>
                      <w:szCs w:val="20"/>
                      <w:highlight w:val="none"/>
                    </w:rPr>
                    <w:t>T/</w:t>
                  </w:r>
                  <w:r>
                    <w:rPr>
                      <w:rFonts w:ascii="Times New Roman" w:hAnsi="Times New Roman" w:eastAsia="宋体" w:cs="Times New Roman"/>
                      <w:color w:val="auto"/>
                      <w:position w:val="1"/>
                      <w:sz w:val="21"/>
                      <w:szCs w:val="20"/>
                      <w:highlight w:val="none"/>
                    </w:rPr>
                    <w:t>In</w:t>
                  </w:r>
                </w:p>
              </w:tc>
              <w:tc>
                <w:tcPr>
                  <w:tcW w:w="1443" w:type="dxa"/>
                  <w:vMerge w:val="continue"/>
                  <w:tcBorders>
                    <w:tl2br w:val="nil"/>
                    <w:tr2bl w:val="nil"/>
                  </w:tcBorders>
                  <w:vAlign w:val="center"/>
                </w:tcPr>
                <w:p w14:paraId="7C7A6559">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r w14:paraId="62A3E4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199866E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9</w:t>
                  </w:r>
                </w:p>
              </w:tc>
              <w:tc>
                <w:tcPr>
                  <w:tcW w:w="754" w:type="dxa"/>
                  <w:tcBorders>
                    <w:tl2br w:val="nil"/>
                    <w:tr2bl w:val="nil"/>
                  </w:tcBorders>
                  <w:vAlign w:val="center"/>
                </w:tcPr>
                <w:p w14:paraId="6404FD0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废滤膜</w:t>
                  </w:r>
                </w:p>
              </w:tc>
              <w:tc>
                <w:tcPr>
                  <w:tcW w:w="640" w:type="dxa"/>
                  <w:tcBorders>
                    <w:tl2br w:val="nil"/>
                    <w:tr2bl w:val="nil"/>
                  </w:tcBorders>
                  <w:vAlign w:val="center"/>
                </w:tcPr>
                <w:p w14:paraId="1FB2D1F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2"/>
                      <w:sz w:val="21"/>
                      <w:szCs w:val="20"/>
                      <w:highlight w:val="none"/>
                    </w:rPr>
                    <w:t>HW</w:t>
                  </w:r>
                  <w:r>
                    <w:rPr>
                      <w:rFonts w:ascii="Times New Roman" w:hAnsi="Times New Roman" w:eastAsia="宋体" w:cs="Times New Roman"/>
                      <w:color w:val="auto"/>
                      <w:spacing w:val="10"/>
                      <w:position w:val="2"/>
                      <w:sz w:val="21"/>
                      <w:szCs w:val="20"/>
                      <w:highlight w:val="none"/>
                    </w:rPr>
                    <w:t>49</w:t>
                  </w:r>
                </w:p>
              </w:tc>
              <w:tc>
                <w:tcPr>
                  <w:tcW w:w="990" w:type="dxa"/>
                  <w:tcBorders>
                    <w:tl2br w:val="nil"/>
                    <w:tr2bl w:val="nil"/>
                  </w:tcBorders>
                  <w:vAlign w:val="center"/>
                </w:tcPr>
                <w:p w14:paraId="1FF89E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900-041-</w:t>
                  </w:r>
                </w:p>
                <w:p w14:paraId="5F46732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49</w:t>
                  </w:r>
                </w:p>
              </w:tc>
              <w:tc>
                <w:tcPr>
                  <w:tcW w:w="646" w:type="dxa"/>
                  <w:tcBorders>
                    <w:tl2br w:val="nil"/>
                    <w:tr2bl w:val="nil"/>
                  </w:tcBorders>
                  <w:vAlign w:val="center"/>
                </w:tcPr>
                <w:p w14:paraId="3E60139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1"/>
                      <w:position w:val="2"/>
                      <w:sz w:val="21"/>
                      <w:szCs w:val="20"/>
                      <w:highlight w:val="none"/>
                    </w:rPr>
                    <w:t>0.4</w:t>
                  </w:r>
                </w:p>
              </w:tc>
              <w:tc>
                <w:tcPr>
                  <w:tcW w:w="824" w:type="dxa"/>
                  <w:tcBorders>
                    <w:tl2br w:val="nil"/>
                    <w:tr2bl w:val="nil"/>
                  </w:tcBorders>
                  <w:vAlign w:val="center"/>
                </w:tcPr>
                <w:p w14:paraId="6A46AB2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超滤系</w:t>
                  </w:r>
                </w:p>
                <w:p w14:paraId="24D9399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统</w:t>
                  </w:r>
                </w:p>
              </w:tc>
              <w:tc>
                <w:tcPr>
                  <w:tcW w:w="352" w:type="dxa"/>
                  <w:tcBorders>
                    <w:tl2br w:val="nil"/>
                    <w:tr2bl w:val="nil"/>
                  </w:tcBorders>
                  <w:vAlign w:val="center"/>
                </w:tcPr>
                <w:p w14:paraId="466225D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固</w:t>
                  </w:r>
                </w:p>
              </w:tc>
              <w:tc>
                <w:tcPr>
                  <w:tcW w:w="564" w:type="dxa"/>
                  <w:tcBorders>
                    <w:tl2br w:val="nil"/>
                    <w:tr2bl w:val="nil"/>
                  </w:tcBorders>
                  <w:vAlign w:val="center"/>
                </w:tcPr>
                <w:p w14:paraId="7F9B8C0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沾染</w:t>
                  </w:r>
                </w:p>
                <w:p w14:paraId="0898E39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杂质</w:t>
                  </w:r>
                </w:p>
                <w:p w14:paraId="6F33C7B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的滤</w:t>
                  </w:r>
                  <w:r>
                    <w:rPr>
                      <w:rFonts w:ascii="Times New Roman" w:hAnsi="Times New Roman" w:eastAsia="宋体"/>
                      <w:color w:val="auto"/>
                      <w:spacing w:val="1"/>
                      <w:sz w:val="21"/>
                      <w:highlight w:val="none"/>
                    </w:rPr>
                    <w:t>膜</w:t>
                  </w:r>
                </w:p>
              </w:tc>
              <w:tc>
                <w:tcPr>
                  <w:tcW w:w="1183" w:type="dxa"/>
                  <w:tcBorders>
                    <w:tl2br w:val="nil"/>
                    <w:tr2bl w:val="nil"/>
                  </w:tcBorders>
                  <w:vAlign w:val="center"/>
                </w:tcPr>
                <w:p w14:paraId="608D249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5"/>
                      <w:sz w:val="21"/>
                      <w:highlight w:val="none"/>
                    </w:rPr>
                    <w:t>废过</w:t>
                  </w:r>
                </w:p>
                <w:p w14:paraId="2AD6BB2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滤物</w:t>
                  </w:r>
                </w:p>
              </w:tc>
              <w:tc>
                <w:tcPr>
                  <w:tcW w:w="400" w:type="dxa"/>
                  <w:tcBorders>
                    <w:tl2br w:val="nil"/>
                    <w:tr2bl w:val="nil"/>
                  </w:tcBorders>
                  <w:vAlign w:val="center"/>
                </w:tcPr>
                <w:p w14:paraId="5D8031E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3"/>
                      <w:sz w:val="21"/>
                      <w:highlight w:val="none"/>
                    </w:rPr>
                    <w:t>半年</w:t>
                  </w:r>
                </w:p>
              </w:tc>
              <w:tc>
                <w:tcPr>
                  <w:tcW w:w="840" w:type="dxa"/>
                  <w:tcBorders>
                    <w:tl2br w:val="nil"/>
                    <w:tr2bl w:val="nil"/>
                  </w:tcBorders>
                  <w:vAlign w:val="center"/>
                </w:tcPr>
                <w:p w14:paraId="48D9449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4"/>
                      <w:position w:val="1"/>
                      <w:sz w:val="21"/>
                      <w:szCs w:val="20"/>
                      <w:highlight w:val="none"/>
                    </w:rPr>
                    <w:t>T/</w:t>
                  </w:r>
                  <w:r>
                    <w:rPr>
                      <w:rFonts w:ascii="Times New Roman" w:hAnsi="Times New Roman" w:eastAsia="宋体" w:cs="Times New Roman"/>
                      <w:color w:val="auto"/>
                      <w:position w:val="1"/>
                      <w:sz w:val="21"/>
                      <w:szCs w:val="20"/>
                      <w:highlight w:val="none"/>
                    </w:rPr>
                    <w:t>In</w:t>
                  </w:r>
                </w:p>
              </w:tc>
              <w:tc>
                <w:tcPr>
                  <w:tcW w:w="1443" w:type="dxa"/>
                  <w:vMerge w:val="continue"/>
                  <w:tcBorders>
                    <w:tl2br w:val="nil"/>
                    <w:tr2bl w:val="nil"/>
                  </w:tcBorders>
                  <w:vAlign w:val="center"/>
                </w:tcPr>
                <w:p w14:paraId="3D66E1AD">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r w14:paraId="28CEDD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3" w:hRule="atLeast"/>
              </w:trPr>
              <w:tc>
                <w:tcPr>
                  <w:tcW w:w="293" w:type="dxa"/>
                  <w:tcBorders>
                    <w:tl2br w:val="nil"/>
                    <w:tr2bl w:val="nil"/>
                  </w:tcBorders>
                  <w:vAlign w:val="center"/>
                </w:tcPr>
                <w:p w14:paraId="75490D9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position w:val="2"/>
                      <w:sz w:val="21"/>
                      <w:szCs w:val="20"/>
                      <w:highlight w:val="none"/>
                      <w:lang w:val="en-US" w:eastAsia="zh-CN"/>
                    </w:rPr>
                  </w:pPr>
                  <w:r>
                    <w:rPr>
                      <w:rFonts w:hint="eastAsia" w:ascii="Times New Roman" w:hAnsi="Times New Roman" w:eastAsia="宋体" w:cs="Times New Roman"/>
                      <w:color w:val="auto"/>
                      <w:position w:val="2"/>
                      <w:sz w:val="21"/>
                      <w:szCs w:val="20"/>
                      <w:highlight w:val="none"/>
                      <w:lang w:val="en-US" w:eastAsia="zh-CN"/>
                    </w:rPr>
                    <w:t>10</w:t>
                  </w:r>
                </w:p>
              </w:tc>
              <w:tc>
                <w:tcPr>
                  <w:tcW w:w="754" w:type="dxa"/>
                  <w:tcBorders>
                    <w:tl2br w:val="nil"/>
                    <w:tr2bl w:val="nil"/>
                  </w:tcBorders>
                  <w:vAlign w:val="center"/>
                </w:tcPr>
                <w:p w14:paraId="44DE2F3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pacing w:val="7"/>
                      <w:sz w:val="21"/>
                      <w:highlight w:val="none"/>
                    </w:rPr>
                  </w:pPr>
                  <w:r>
                    <w:rPr>
                      <w:rFonts w:ascii="Times New Roman" w:hAnsi="Times New Roman" w:eastAsia="宋体"/>
                      <w:color w:val="auto"/>
                      <w:spacing w:val="7"/>
                      <w:sz w:val="21"/>
                      <w:highlight w:val="none"/>
                    </w:rPr>
                    <w:t>废涂料桶</w:t>
                  </w:r>
                </w:p>
              </w:tc>
              <w:tc>
                <w:tcPr>
                  <w:tcW w:w="640" w:type="dxa"/>
                  <w:tcBorders>
                    <w:tl2br w:val="nil"/>
                    <w:tr2bl w:val="nil"/>
                  </w:tcBorders>
                  <w:vAlign w:val="center"/>
                </w:tcPr>
                <w:p w14:paraId="3F5DCD0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position w:val="2"/>
                      <w:sz w:val="21"/>
                      <w:szCs w:val="20"/>
                      <w:highlight w:val="none"/>
                    </w:rPr>
                  </w:pPr>
                  <w:r>
                    <w:rPr>
                      <w:rFonts w:hint="eastAsia" w:ascii="Times New Roman" w:hAnsi="Times New Roman" w:eastAsia="宋体" w:cs="Times New Roman"/>
                      <w:color w:val="auto"/>
                      <w:sz w:val="21"/>
                      <w:highlight w:val="none"/>
                      <w:lang w:val="en-US" w:eastAsia="zh-CN"/>
                    </w:rPr>
                    <w:t>HW49</w:t>
                  </w:r>
                </w:p>
              </w:tc>
              <w:tc>
                <w:tcPr>
                  <w:tcW w:w="990" w:type="dxa"/>
                  <w:tcBorders>
                    <w:tl2br w:val="nil"/>
                    <w:tr2bl w:val="nil"/>
                  </w:tcBorders>
                  <w:vAlign w:val="center"/>
                </w:tcPr>
                <w:p w14:paraId="66DA7FB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pacing w:val="3"/>
                      <w:position w:val="1"/>
                      <w:sz w:val="21"/>
                      <w:szCs w:val="20"/>
                      <w:highlight w:val="none"/>
                    </w:rPr>
                  </w:pPr>
                  <w:r>
                    <w:rPr>
                      <w:rFonts w:hint="eastAsia" w:ascii="Times New Roman" w:hAnsi="Times New Roman" w:eastAsia="宋体" w:cs="Times New Roman"/>
                      <w:color w:val="auto"/>
                      <w:sz w:val="21"/>
                      <w:highlight w:val="none"/>
                      <w:lang w:val="en-US" w:eastAsia="zh-CN"/>
                    </w:rPr>
                    <w:t>900-041-49</w:t>
                  </w:r>
                </w:p>
              </w:tc>
              <w:tc>
                <w:tcPr>
                  <w:tcW w:w="646" w:type="dxa"/>
                  <w:tcBorders>
                    <w:tl2br w:val="nil"/>
                    <w:tr2bl w:val="nil"/>
                  </w:tcBorders>
                  <w:vAlign w:val="center"/>
                </w:tcPr>
                <w:p w14:paraId="64BDFDF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pacing w:val="1"/>
                      <w:position w:val="2"/>
                      <w:sz w:val="21"/>
                      <w:szCs w:val="20"/>
                      <w:highlight w:val="none"/>
                    </w:rPr>
                  </w:pPr>
                  <w:r>
                    <w:rPr>
                      <w:rFonts w:hint="eastAsia" w:ascii="Times New Roman" w:hAnsi="Times New Roman" w:eastAsia="宋体" w:cs="Times New Roman"/>
                      <w:color w:val="auto"/>
                      <w:sz w:val="21"/>
                      <w:highlight w:val="none"/>
                      <w:lang w:val="en-US" w:eastAsia="zh-CN"/>
                    </w:rPr>
                    <w:t>0.4</w:t>
                  </w:r>
                </w:p>
              </w:tc>
              <w:tc>
                <w:tcPr>
                  <w:tcW w:w="824" w:type="dxa"/>
                  <w:tcBorders>
                    <w:tl2br w:val="nil"/>
                    <w:tr2bl w:val="nil"/>
                  </w:tcBorders>
                  <w:vAlign w:val="center"/>
                </w:tcPr>
                <w:p w14:paraId="1561B13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废涂料桶</w:t>
                  </w:r>
                </w:p>
              </w:tc>
              <w:tc>
                <w:tcPr>
                  <w:tcW w:w="352" w:type="dxa"/>
                  <w:tcBorders>
                    <w:tl2br w:val="nil"/>
                    <w:tr2bl w:val="nil"/>
                  </w:tcBorders>
                  <w:vAlign w:val="center"/>
                </w:tcPr>
                <w:p w14:paraId="34B57CE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olor w:val="auto"/>
                      <w:sz w:val="21"/>
                      <w:highlight w:val="none"/>
                      <w:lang w:val="en-US" w:eastAsia="zh-CN"/>
                    </w:rPr>
                  </w:pPr>
                  <w:r>
                    <w:rPr>
                      <w:rFonts w:hint="eastAsia" w:ascii="Times New Roman" w:hAnsi="Times New Roman" w:eastAsia="宋体"/>
                      <w:color w:val="auto"/>
                      <w:sz w:val="21"/>
                      <w:highlight w:val="none"/>
                      <w:lang w:val="en-US" w:eastAsia="zh-CN"/>
                    </w:rPr>
                    <w:t>固</w:t>
                  </w:r>
                </w:p>
              </w:tc>
              <w:tc>
                <w:tcPr>
                  <w:tcW w:w="564" w:type="dxa"/>
                  <w:tcBorders>
                    <w:tl2br w:val="nil"/>
                    <w:tr2bl w:val="nil"/>
                  </w:tcBorders>
                  <w:vAlign w:val="center"/>
                </w:tcPr>
                <w:p w14:paraId="4DA39D6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2"/>
                      <w:sz w:val="21"/>
                      <w:highlight w:val="none"/>
                    </w:rPr>
                    <w:t>沾有</w:t>
                  </w:r>
                </w:p>
                <w:p w14:paraId="48E3601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化学</w:t>
                  </w:r>
                </w:p>
                <w:p w14:paraId="5179132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品的</w:t>
                  </w:r>
                </w:p>
                <w:p w14:paraId="7C291CE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pacing w:val="-3"/>
                      <w:sz w:val="21"/>
                      <w:highlight w:val="none"/>
                    </w:rPr>
                  </w:pPr>
                  <w:r>
                    <w:rPr>
                      <w:rFonts w:ascii="Times New Roman" w:hAnsi="Times New Roman" w:eastAsia="宋体"/>
                      <w:color w:val="auto"/>
                      <w:spacing w:val="4"/>
                      <w:sz w:val="21"/>
                      <w:highlight w:val="none"/>
                    </w:rPr>
                    <w:t>包装</w:t>
                  </w:r>
                  <w:r>
                    <w:rPr>
                      <w:rFonts w:ascii="Times New Roman" w:hAnsi="Times New Roman" w:eastAsia="宋体"/>
                      <w:color w:val="auto"/>
                      <w:sz w:val="21"/>
                      <w:highlight w:val="none"/>
                    </w:rPr>
                    <w:t>物</w:t>
                  </w:r>
                </w:p>
              </w:tc>
              <w:tc>
                <w:tcPr>
                  <w:tcW w:w="1183" w:type="dxa"/>
                  <w:tcBorders>
                    <w:tl2br w:val="nil"/>
                    <w:tr2bl w:val="nil"/>
                  </w:tcBorders>
                  <w:vAlign w:val="center"/>
                </w:tcPr>
                <w:p w14:paraId="1CF8A323">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olor w:val="auto"/>
                      <w:spacing w:val="3"/>
                      <w:sz w:val="21"/>
                      <w:highlight w:val="none"/>
                      <w:lang w:val="en-US" w:eastAsia="zh-CN"/>
                    </w:rPr>
                  </w:pPr>
                  <w:r>
                    <w:rPr>
                      <w:rFonts w:hint="eastAsia" w:ascii="Times New Roman" w:hAnsi="Times New Roman" w:eastAsia="宋体"/>
                      <w:color w:val="auto"/>
                      <w:spacing w:val="3"/>
                      <w:sz w:val="21"/>
                      <w:highlight w:val="none"/>
                      <w:lang w:val="en-US" w:eastAsia="zh-CN"/>
                    </w:rPr>
                    <w:t>有机溶剂</w:t>
                  </w:r>
                </w:p>
              </w:tc>
              <w:tc>
                <w:tcPr>
                  <w:tcW w:w="400" w:type="dxa"/>
                  <w:tcBorders>
                    <w:tl2br w:val="nil"/>
                    <w:tr2bl w:val="nil"/>
                  </w:tcBorders>
                  <w:vAlign w:val="center"/>
                </w:tcPr>
                <w:p w14:paraId="1C0B797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pacing w:val="3"/>
                      <w:sz w:val="21"/>
                      <w:highlight w:val="none"/>
                    </w:rPr>
                  </w:pPr>
                  <w:r>
                    <w:rPr>
                      <w:rFonts w:ascii="Times New Roman" w:hAnsi="Times New Roman" w:eastAsia="宋体" w:cs="Times New Roman"/>
                      <w:color w:val="auto"/>
                      <w:spacing w:val="1"/>
                      <w:position w:val="1"/>
                      <w:sz w:val="21"/>
                      <w:highlight w:val="none"/>
                    </w:rPr>
                    <w:t>3</w:t>
                  </w:r>
                  <w:r>
                    <w:rPr>
                      <w:rFonts w:ascii="Times New Roman" w:hAnsi="Times New Roman" w:eastAsia="宋体"/>
                      <w:color w:val="auto"/>
                      <w:spacing w:val="1"/>
                      <w:position w:val="1"/>
                      <w:sz w:val="21"/>
                      <w:highlight w:val="none"/>
                    </w:rPr>
                    <w:t>个月</w:t>
                  </w:r>
                </w:p>
              </w:tc>
              <w:tc>
                <w:tcPr>
                  <w:tcW w:w="840" w:type="dxa"/>
                  <w:tcBorders>
                    <w:tl2br w:val="nil"/>
                    <w:tr2bl w:val="nil"/>
                  </w:tcBorders>
                  <w:vAlign w:val="center"/>
                </w:tcPr>
                <w:p w14:paraId="509FEE5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pacing w:val="4"/>
                      <w:position w:val="1"/>
                      <w:sz w:val="21"/>
                      <w:szCs w:val="20"/>
                      <w:highlight w:val="none"/>
                    </w:rPr>
                  </w:pPr>
                  <w:r>
                    <w:rPr>
                      <w:rFonts w:ascii="Times New Roman" w:hAnsi="Times New Roman" w:eastAsia="宋体" w:cs="Times New Roman"/>
                      <w:color w:val="auto"/>
                      <w:spacing w:val="4"/>
                      <w:position w:val="1"/>
                      <w:sz w:val="21"/>
                      <w:szCs w:val="20"/>
                      <w:highlight w:val="none"/>
                    </w:rPr>
                    <w:t>T/I/C</w:t>
                  </w:r>
                </w:p>
              </w:tc>
              <w:tc>
                <w:tcPr>
                  <w:tcW w:w="1443" w:type="dxa"/>
                  <w:vMerge w:val="continue"/>
                  <w:tcBorders>
                    <w:tl2br w:val="nil"/>
                    <w:tr2bl w:val="nil"/>
                  </w:tcBorders>
                  <w:vAlign w:val="center"/>
                </w:tcPr>
                <w:p w14:paraId="63703AE8">
                  <w:pPr>
                    <w:keepNext w:val="0"/>
                    <w:keepLines w:val="0"/>
                    <w:pageBreakBefore w:val="0"/>
                    <w:widowControl w:val="0"/>
                    <w:kinsoku/>
                    <w:wordWrap/>
                    <w:overflowPunct/>
                    <w:topLinePunct w:val="0"/>
                    <w:autoSpaceDE/>
                    <w:autoSpaceDN/>
                    <w:bidi w:val="0"/>
                    <w:adjustRightInd/>
                    <w:snapToGrid/>
                    <w:spacing w:line="240" w:lineRule="auto"/>
                    <w:ind w:left="0" w:right="0" w:firstLine="0"/>
                    <w:textAlignment w:val="auto"/>
                    <w:rPr>
                      <w:rFonts w:ascii="Times New Roman" w:hAnsi="Times New Roman" w:eastAsia="宋体"/>
                      <w:color w:val="auto"/>
                      <w:sz w:val="21"/>
                      <w:highlight w:val="none"/>
                    </w:rPr>
                  </w:pPr>
                </w:p>
              </w:tc>
            </w:tr>
          </w:tbl>
          <w:p w14:paraId="5FC3E5ED">
            <w:pPr>
              <w:rPr>
                <w:rFonts w:hint="eastAsia"/>
                <w:color w:val="auto"/>
                <w:highlight w:val="none"/>
                <w:lang w:val="en-US" w:eastAsia="zh-CN"/>
              </w:rPr>
            </w:pPr>
          </w:p>
          <w:bookmarkEnd w:id="57"/>
          <w:bookmarkEnd w:id="58"/>
          <w:p w14:paraId="76A1796B">
            <w:pPr>
              <w:pStyle w:val="4"/>
              <w:numPr>
                <w:ilvl w:val="2"/>
                <w:numId w:val="1"/>
              </w:numPr>
              <w:bidi w:val="0"/>
              <w:ind w:left="720" w:leftChars="0" w:hanging="720" w:firstLineChars="0"/>
              <w:rPr>
                <w:rFonts w:hint="eastAsia" w:ascii="Times New Roman" w:hAnsi="Times New Roman" w:eastAsia="宋体" w:cs="Times New Roman"/>
                <w:color w:val="auto"/>
                <w:highlight w:val="none"/>
              </w:rPr>
            </w:pPr>
            <w:r>
              <w:rPr>
                <w:rFonts w:hint="eastAsia" w:ascii="Times New Roman" w:hAnsi="Times New Roman" w:eastAsia="宋体" w:cs="Times New Roman"/>
                <w:color w:val="auto"/>
                <w:highlight w:val="none"/>
              </w:rPr>
              <w:t>环境管理要求</w:t>
            </w:r>
          </w:p>
          <w:p w14:paraId="47C75291">
            <w:pPr>
              <w:pStyle w:val="31"/>
              <w:widowControl w:val="0"/>
              <w:spacing w:before="0" w:beforeAutospacing="0" w:after="0" w:afterAutospacing="0" w:line="360" w:lineRule="auto"/>
              <w:ind w:firstLine="480" w:firstLineChars="200"/>
              <w:jc w:val="both"/>
              <w:rPr>
                <w:color w:val="auto"/>
                <w:highlight w:val="none"/>
              </w:rPr>
            </w:pPr>
            <w:r>
              <w:rPr>
                <w:rFonts w:hint="eastAsia" w:ascii="Times New Roman" w:hAnsi="Times New Roman" w:cs="宋体"/>
                <w:color w:val="auto"/>
                <w:kern w:val="2"/>
                <w:szCs w:val="24"/>
                <w:highlight w:val="none"/>
                <w:lang w:bidi="ar"/>
              </w:rPr>
              <w:t>固体废物的收集方式强调采用分类收集，即各种垃圾按不同性质，分别收集处置。</w:t>
            </w:r>
          </w:p>
          <w:p w14:paraId="2B11EB9E">
            <w:pPr>
              <w:pStyle w:val="31"/>
              <w:widowControl w:val="0"/>
              <w:spacing w:before="0" w:beforeAutospacing="0" w:after="0" w:afterAutospacing="0" w:line="360" w:lineRule="auto"/>
              <w:ind w:firstLine="480" w:firstLineChars="200"/>
              <w:jc w:val="both"/>
              <w:rPr>
                <w:color w:val="auto"/>
                <w:highlight w:val="none"/>
              </w:rPr>
            </w:pPr>
            <w:r>
              <w:rPr>
                <w:rFonts w:hint="eastAsia"/>
                <w:color w:val="auto"/>
                <w:kern w:val="2"/>
                <w:szCs w:val="24"/>
                <w:highlight w:val="none"/>
                <w:lang w:eastAsia="zh-CN" w:bidi="ar"/>
              </w:rPr>
              <w:t>（</w:t>
            </w:r>
            <w:r>
              <w:rPr>
                <w:rFonts w:hint="eastAsia"/>
                <w:color w:val="auto"/>
                <w:kern w:val="2"/>
                <w:szCs w:val="24"/>
                <w:highlight w:val="none"/>
                <w:lang w:val="en-US" w:eastAsia="zh-CN" w:bidi="ar"/>
              </w:rPr>
              <w:t>1</w:t>
            </w:r>
            <w:r>
              <w:rPr>
                <w:rFonts w:hint="eastAsia"/>
                <w:color w:val="auto"/>
                <w:kern w:val="2"/>
                <w:szCs w:val="24"/>
                <w:highlight w:val="none"/>
                <w:lang w:eastAsia="zh-CN" w:bidi="ar"/>
              </w:rPr>
              <w:t>）</w:t>
            </w:r>
            <w:r>
              <w:rPr>
                <w:rFonts w:hint="eastAsia" w:ascii="Times New Roman" w:hAnsi="Times New Roman" w:cs="宋体"/>
                <w:color w:val="auto"/>
                <w:kern w:val="2"/>
                <w:szCs w:val="24"/>
                <w:highlight w:val="none"/>
                <w:lang w:bidi="ar"/>
              </w:rPr>
              <w:t>生活垃圾处置措施</w:t>
            </w:r>
          </w:p>
          <w:p w14:paraId="3FD7CD9C">
            <w:pPr>
              <w:pStyle w:val="31"/>
              <w:widowControl w:val="0"/>
              <w:spacing w:before="0" w:beforeAutospacing="0" w:after="0" w:afterAutospacing="0" w:line="360" w:lineRule="auto"/>
              <w:ind w:firstLine="480" w:firstLineChars="200"/>
              <w:jc w:val="both"/>
              <w:rPr>
                <w:color w:val="auto"/>
                <w:highlight w:val="none"/>
              </w:rPr>
            </w:pPr>
            <w:r>
              <w:rPr>
                <w:rFonts w:hint="eastAsia" w:ascii="Times New Roman" w:hAnsi="Times New Roman" w:cs="宋体"/>
                <w:color w:val="auto"/>
                <w:kern w:val="2"/>
                <w:szCs w:val="24"/>
                <w:highlight w:val="none"/>
                <w:lang w:bidi="ar"/>
              </w:rPr>
              <w:t>生活垃圾极易腐败发臭，必须定点收集，及时清运或处理。可在厂区生产区和办公生活区设置一些垃圾收集桶。厂区应配备专职的清洁人员和必要的工具，负责清扫厂区，维持清洁卫生，生活垃圾收集后委托环卫部门处理。</w:t>
            </w:r>
          </w:p>
          <w:p w14:paraId="6C241037">
            <w:pPr>
              <w:pStyle w:val="31"/>
              <w:widowControl w:val="0"/>
              <w:numPr>
                <w:ilvl w:val="0"/>
                <w:numId w:val="0"/>
              </w:numPr>
              <w:spacing w:before="0" w:beforeAutospacing="0" w:after="0" w:afterAutospacing="0" w:line="360" w:lineRule="auto"/>
              <w:ind w:leftChars="200" w:right="0" w:rightChars="0"/>
              <w:jc w:val="both"/>
              <w:rPr>
                <w:rFonts w:ascii="Times New Roman" w:hAnsi="Times New Roman" w:cs="宋体"/>
                <w:color w:val="auto"/>
                <w:kern w:val="2"/>
                <w:szCs w:val="24"/>
                <w:highlight w:val="none"/>
                <w:lang w:bidi="ar"/>
              </w:rPr>
            </w:pPr>
            <w:r>
              <w:rPr>
                <w:rFonts w:hint="eastAsia" w:cs="宋体"/>
                <w:color w:val="auto"/>
                <w:kern w:val="2"/>
                <w:szCs w:val="24"/>
                <w:highlight w:val="none"/>
                <w:lang w:eastAsia="zh-CN" w:bidi="ar"/>
              </w:rPr>
              <w:t>（</w:t>
            </w:r>
            <w:r>
              <w:rPr>
                <w:rFonts w:hint="eastAsia" w:cs="宋体"/>
                <w:color w:val="auto"/>
                <w:kern w:val="2"/>
                <w:szCs w:val="24"/>
                <w:highlight w:val="none"/>
                <w:lang w:val="en-US" w:eastAsia="zh-CN" w:bidi="ar"/>
              </w:rPr>
              <w:t>2</w:t>
            </w:r>
            <w:r>
              <w:rPr>
                <w:rFonts w:hint="eastAsia" w:cs="宋体"/>
                <w:color w:val="auto"/>
                <w:kern w:val="2"/>
                <w:szCs w:val="24"/>
                <w:highlight w:val="none"/>
                <w:lang w:eastAsia="zh-CN" w:bidi="ar"/>
              </w:rPr>
              <w:t>）</w:t>
            </w:r>
            <w:r>
              <w:rPr>
                <w:rFonts w:hint="eastAsia" w:ascii="Times New Roman" w:hAnsi="Times New Roman" w:cs="宋体"/>
                <w:color w:val="auto"/>
                <w:kern w:val="2"/>
                <w:szCs w:val="24"/>
                <w:highlight w:val="none"/>
                <w:lang w:bidi="ar"/>
              </w:rPr>
              <w:t>一般工业固体废物管理要求</w:t>
            </w:r>
          </w:p>
          <w:p w14:paraId="22F8956B">
            <w:pPr>
              <w:pStyle w:val="31"/>
              <w:widowControl w:val="0"/>
              <w:spacing w:before="0" w:beforeAutospacing="0" w:after="0" w:afterAutospacing="0" w:line="360" w:lineRule="auto"/>
              <w:ind w:firstLine="480" w:firstLineChars="200"/>
              <w:jc w:val="both"/>
              <w:rPr>
                <w:rFonts w:hint="eastAsia" w:ascii="Times New Roman" w:hAnsi="Times New Roman" w:eastAsia="宋体" w:cs="宋体"/>
                <w:color w:val="auto"/>
                <w:kern w:val="2"/>
                <w:szCs w:val="24"/>
                <w:highlight w:val="none"/>
                <w:lang w:bidi="ar"/>
              </w:rPr>
            </w:pPr>
            <w:r>
              <w:rPr>
                <w:rFonts w:hint="eastAsia" w:ascii="Times New Roman" w:hAnsi="Times New Roman" w:eastAsia="宋体" w:cs="宋体"/>
                <w:color w:val="auto"/>
                <w:kern w:val="2"/>
                <w:szCs w:val="24"/>
                <w:highlight w:val="none"/>
                <w:lang w:bidi="ar"/>
              </w:rPr>
              <w:t>厂区内一般固体废物临时贮存应采取以下措施：</w:t>
            </w:r>
          </w:p>
          <w:p w14:paraId="17A98E29">
            <w:pPr>
              <w:pStyle w:val="31"/>
              <w:widowControl w:val="0"/>
              <w:spacing w:before="0" w:beforeAutospacing="0" w:after="0" w:afterAutospacing="0" w:line="360" w:lineRule="auto"/>
              <w:ind w:firstLine="480" w:firstLineChars="200"/>
              <w:jc w:val="both"/>
              <w:rPr>
                <w:rFonts w:hint="eastAsia" w:ascii="Times New Roman" w:hAnsi="Times New Roman" w:eastAsia="宋体" w:cs="宋体"/>
                <w:color w:val="auto"/>
                <w:kern w:val="2"/>
                <w:szCs w:val="24"/>
                <w:highlight w:val="none"/>
                <w:lang w:bidi="ar"/>
              </w:rPr>
            </w:pPr>
            <w:r>
              <w:rPr>
                <w:rFonts w:hint="eastAsia" w:ascii="Times New Roman" w:hAnsi="Times New Roman" w:eastAsia="宋体" w:cs="宋体"/>
                <w:color w:val="auto"/>
                <w:kern w:val="2"/>
                <w:szCs w:val="24"/>
                <w:highlight w:val="none"/>
                <w:lang w:bidi="ar"/>
              </w:rPr>
              <w:fldChar w:fldCharType="begin"/>
            </w:r>
            <w:r>
              <w:rPr>
                <w:rFonts w:hint="eastAsia" w:ascii="Times New Roman" w:hAnsi="Times New Roman" w:eastAsia="宋体" w:cs="宋体"/>
                <w:color w:val="auto"/>
                <w:kern w:val="2"/>
                <w:szCs w:val="24"/>
                <w:highlight w:val="none"/>
                <w:lang w:bidi="ar"/>
              </w:rPr>
              <w:instrText xml:space="preserve"> = 1 \* GB3 \* MERGEFORMAT </w:instrText>
            </w:r>
            <w:r>
              <w:rPr>
                <w:rFonts w:hint="eastAsia" w:ascii="Times New Roman" w:hAnsi="Times New Roman" w:eastAsia="宋体" w:cs="宋体"/>
                <w:color w:val="auto"/>
                <w:kern w:val="2"/>
                <w:szCs w:val="24"/>
                <w:highlight w:val="none"/>
                <w:lang w:bidi="ar"/>
              </w:rPr>
              <w:fldChar w:fldCharType="separate"/>
            </w:r>
            <w:r>
              <w:rPr>
                <w:rFonts w:hint="eastAsia" w:ascii="Times New Roman" w:hAnsi="Times New Roman" w:eastAsia="宋体" w:cs="宋体"/>
                <w:color w:val="auto"/>
                <w:kern w:val="2"/>
                <w:szCs w:val="24"/>
                <w:highlight w:val="none"/>
                <w:lang w:bidi="ar"/>
              </w:rPr>
              <w:t>①</w:t>
            </w:r>
            <w:r>
              <w:rPr>
                <w:rFonts w:hint="eastAsia" w:ascii="Times New Roman" w:hAnsi="Times New Roman" w:eastAsia="宋体" w:cs="宋体"/>
                <w:color w:val="auto"/>
                <w:kern w:val="2"/>
                <w:szCs w:val="24"/>
                <w:highlight w:val="none"/>
                <w:lang w:bidi="ar"/>
              </w:rPr>
              <w:fldChar w:fldCharType="end"/>
            </w:r>
            <w:r>
              <w:rPr>
                <w:rFonts w:hint="eastAsia" w:ascii="Times New Roman" w:hAnsi="Times New Roman" w:eastAsia="宋体" w:cs="宋体"/>
                <w:color w:val="auto"/>
                <w:kern w:val="2"/>
                <w:szCs w:val="24"/>
                <w:highlight w:val="none"/>
                <w:lang w:bidi="ar"/>
              </w:rPr>
              <w:t>一般工业固体废物应按Ⅰ类和Ⅱ类废物分别储存，建立分类收集房。不允许将危险废物和生活垃圾混入。</w:t>
            </w:r>
          </w:p>
          <w:p w14:paraId="14994393">
            <w:pPr>
              <w:pStyle w:val="31"/>
              <w:widowControl w:val="0"/>
              <w:spacing w:before="0" w:beforeAutospacing="0" w:after="0" w:afterAutospacing="0" w:line="360" w:lineRule="auto"/>
              <w:ind w:firstLine="480" w:firstLineChars="200"/>
              <w:jc w:val="both"/>
              <w:rPr>
                <w:rFonts w:hint="eastAsia" w:ascii="Times New Roman" w:hAnsi="Times New Roman" w:eastAsia="宋体" w:cs="宋体"/>
                <w:color w:val="auto"/>
                <w:kern w:val="2"/>
                <w:szCs w:val="24"/>
                <w:highlight w:val="none"/>
                <w:lang w:bidi="ar"/>
              </w:rPr>
            </w:pPr>
            <w:r>
              <w:rPr>
                <w:rFonts w:hint="eastAsia" w:ascii="Times New Roman" w:hAnsi="Times New Roman" w:eastAsia="宋体" w:cs="宋体"/>
                <w:color w:val="auto"/>
                <w:kern w:val="2"/>
                <w:szCs w:val="24"/>
                <w:highlight w:val="none"/>
                <w:lang w:bidi="ar"/>
              </w:rPr>
              <w:fldChar w:fldCharType="begin"/>
            </w:r>
            <w:r>
              <w:rPr>
                <w:rFonts w:hint="eastAsia" w:ascii="Times New Roman" w:hAnsi="Times New Roman" w:eastAsia="宋体" w:cs="宋体"/>
                <w:color w:val="auto"/>
                <w:kern w:val="2"/>
                <w:szCs w:val="24"/>
                <w:highlight w:val="none"/>
                <w:lang w:bidi="ar"/>
              </w:rPr>
              <w:instrText xml:space="preserve"> = 2 \* GB3 \* MERGEFORMAT </w:instrText>
            </w:r>
            <w:r>
              <w:rPr>
                <w:rFonts w:hint="eastAsia" w:ascii="Times New Roman" w:hAnsi="Times New Roman" w:eastAsia="宋体" w:cs="宋体"/>
                <w:color w:val="auto"/>
                <w:kern w:val="2"/>
                <w:szCs w:val="24"/>
                <w:highlight w:val="none"/>
                <w:lang w:bidi="ar"/>
              </w:rPr>
              <w:fldChar w:fldCharType="separate"/>
            </w:r>
            <w:r>
              <w:rPr>
                <w:rFonts w:hint="eastAsia" w:ascii="Times New Roman" w:hAnsi="Times New Roman" w:eastAsia="宋体" w:cs="宋体"/>
                <w:color w:val="auto"/>
                <w:kern w:val="2"/>
                <w:szCs w:val="24"/>
                <w:highlight w:val="none"/>
                <w:lang w:bidi="ar"/>
              </w:rPr>
              <w:t>②</w:t>
            </w:r>
            <w:r>
              <w:rPr>
                <w:rFonts w:hint="eastAsia" w:ascii="Times New Roman" w:hAnsi="Times New Roman" w:eastAsia="宋体" w:cs="宋体"/>
                <w:color w:val="auto"/>
                <w:kern w:val="2"/>
                <w:szCs w:val="24"/>
                <w:highlight w:val="none"/>
                <w:lang w:bidi="ar"/>
              </w:rPr>
              <w:fldChar w:fldCharType="end"/>
            </w:r>
            <w:r>
              <w:rPr>
                <w:rFonts w:hint="eastAsia" w:ascii="Times New Roman" w:hAnsi="Times New Roman" w:eastAsia="宋体" w:cs="宋体"/>
                <w:color w:val="auto"/>
                <w:kern w:val="2"/>
                <w:szCs w:val="24"/>
                <w:highlight w:val="none"/>
                <w:lang w:bidi="ar"/>
              </w:rPr>
              <w:t>尽量将可利用的一般工业固体废物回收、利用。</w:t>
            </w:r>
          </w:p>
          <w:p w14:paraId="07F53565">
            <w:pPr>
              <w:pStyle w:val="31"/>
              <w:widowControl w:val="0"/>
              <w:spacing w:before="0" w:beforeAutospacing="0" w:after="0" w:afterAutospacing="0" w:line="360" w:lineRule="auto"/>
              <w:ind w:firstLine="480" w:firstLineChars="200"/>
              <w:jc w:val="both"/>
              <w:rPr>
                <w:rFonts w:hint="eastAsia" w:ascii="Times New Roman" w:hAnsi="Times New Roman" w:eastAsia="宋体" w:cs="宋体"/>
                <w:color w:val="auto"/>
                <w:kern w:val="2"/>
                <w:szCs w:val="24"/>
                <w:highlight w:val="none"/>
                <w:lang w:bidi="ar"/>
              </w:rPr>
            </w:pPr>
            <w:r>
              <w:rPr>
                <w:rFonts w:hint="eastAsia" w:ascii="Times New Roman" w:hAnsi="Times New Roman" w:eastAsia="宋体" w:cs="宋体"/>
                <w:color w:val="auto"/>
                <w:kern w:val="2"/>
                <w:szCs w:val="24"/>
                <w:highlight w:val="none"/>
                <w:lang w:bidi="ar"/>
              </w:rPr>
              <w:fldChar w:fldCharType="begin"/>
            </w:r>
            <w:r>
              <w:rPr>
                <w:rFonts w:hint="eastAsia" w:ascii="Times New Roman" w:hAnsi="Times New Roman" w:eastAsia="宋体" w:cs="宋体"/>
                <w:color w:val="auto"/>
                <w:kern w:val="2"/>
                <w:szCs w:val="24"/>
                <w:highlight w:val="none"/>
                <w:lang w:bidi="ar"/>
              </w:rPr>
              <w:instrText xml:space="preserve"> = 3 \* GB3 \* MERGEFORMAT </w:instrText>
            </w:r>
            <w:r>
              <w:rPr>
                <w:rFonts w:hint="eastAsia" w:ascii="Times New Roman" w:hAnsi="Times New Roman" w:eastAsia="宋体" w:cs="宋体"/>
                <w:color w:val="auto"/>
                <w:kern w:val="2"/>
                <w:szCs w:val="24"/>
                <w:highlight w:val="none"/>
                <w:lang w:bidi="ar"/>
              </w:rPr>
              <w:fldChar w:fldCharType="separate"/>
            </w:r>
            <w:r>
              <w:rPr>
                <w:rFonts w:hint="eastAsia" w:ascii="Times New Roman" w:hAnsi="Times New Roman" w:eastAsia="宋体" w:cs="宋体"/>
                <w:color w:val="auto"/>
                <w:kern w:val="2"/>
                <w:szCs w:val="24"/>
                <w:highlight w:val="none"/>
                <w:lang w:bidi="ar"/>
              </w:rPr>
              <w:t>③</w:t>
            </w:r>
            <w:r>
              <w:rPr>
                <w:rFonts w:hint="eastAsia" w:ascii="Times New Roman" w:hAnsi="Times New Roman" w:eastAsia="宋体" w:cs="宋体"/>
                <w:color w:val="auto"/>
                <w:kern w:val="2"/>
                <w:szCs w:val="24"/>
                <w:highlight w:val="none"/>
                <w:lang w:bidi="ar"/>
              </w:rPr>
              <w:fldChar w:fldCharType="end"/>
            </w:r>
            <w:r>
              <w:rPr>
                <w:rFonts w:hint="eastAsia" w:ascii="Times New Roman" w:hAnsi="Times New Roman" w:eastAsia="宋体" w:cs="宋体"/>
                <w:color w:val="auto"/>
                <w:kern w:val="2"/>
                <w:szCs w:val="24"/>
                <w:highlight w:val="none"/>
                <w:lang w:bidi="ar"/>
              </w:rPr>
              <w:t>加强企业内部对固体废物的管理，对固体废物实行从产生、收集、运输、贮存直至最终处理实行全过程管理，加强固体废物运输过程的事故风险防范，建立固体废物产生、外运、处置及最终去向的详细台账。</w:t>
            </w:r>
          </w:p>
          <w:p w14:paraId="240520B5">
            <w:pPr>
              <w:pStyle w:val="31"/>
              <w:widowControl w:val="0"/>
              <w:spacing w:before="0" w:beforeAutospacing="0" w:after="0" w:afterAutospacing="0" w:line="360" w:lineRule="auto"/>
              <w:ind w:firstLine="480" w:firstLineChars="200"/>
              <w:jc w:val="both"/>
              <w:rPr>
                <w:rFonts w:hint="eastAsia" w:ascii="Times New Roman" w:hAnsi="Times New Roman" w:eastAsia="宋体" w:cs="宋体"/>
                <w:color w:val="auto"/>
                <w:kern w:val="2"/>
                <w:szCs w:val="24"/>
                <w:highlight w:val="none"/>
                <w:lang w:bidi="ar"/>
              </w:rPr>
            </w:pPr>
            <w:r>
              <w:rPr>
                <w:rFonts w:hint="eastAsia" w:ascii="Times New Roman" w:hAnsi="Times New Roman" w:eastAsia="宋体" w:cs="宋体"/>
                <w:color w:val="auto"/>
                <w:kern w:val="2"/>
                <w:szCs w:val="24"/>
                <w:highlight w:val="none"/>
                <w:lang w:bidi="ar"/>
              </w:rPr>
              <w:fldChar w:fldCharType="begin"/>
            </w:r>
            <w:r>
              <w:rPr>
                <w:rFonts w:hint="eastAsia" w:ascii="Times New Roman" w:hAnsi="Times New Roman" w:eastAsia="宋体" w:cs="宋体"/>
                <w:color w:val="auto"/>
                <w:kern w:val="2"/>
                <w:szCs w:val="24"/>
                <w:highlight w:val="none"/>
                <w:lang w:bidi="ar"/>
              </w:rPr>
              <w:instrText xml:space="preserve"> = 4 \* GB3 \* MERGEFORMAT </w:instrText>
            </w:r>
            <w:r>
              <w:rPr>
                <w:rFonts w:hint="eastAsia" w:ascii="Times New Roman" w:hAnsi="Times New Roman" w:eastAsia="宋体" w:cs="宋体"/>
                <w:color w:val="auto"/>
                <w:kern w:val="2"/>
                <w:szCs w:val="24"/>
                <w:highlight w:val="none"/>
                <w:lang w:bidi="ar"/>
              </w:rPr>
              <w:fldChar w:fldCharType="separate"/>
            </w:r>
            <w:r>
              <w:rPr>
                <w:rFonts w:hint="eastAsia" w:ascii="Times New Roman" w:hAnsi="Times New Roman" w:eastAsia="宋体" w:cs="宋体"/>
                <w:color w:val="auto"/>
                <w:kern w:val="2"/>
                <w:szCs w:val="24"/>
                <w:highlight w:val="none"/>
                <w:lang w:bidi="ar"/>
              </w:rPr>
              <w:t>④</w:t>
            </w:r>
            <w:r>
              <w:rPr>
                <w:rFonts w:hint="eastAsia" w:ascii="Times New Roman" w:hAnsi="Times New Roman" w:eastAsia="宋体" w:cs="宋体"/>
                <w:color w:val="auto"/>
                <w:kern w:val="2"/>
                <w:szCs w:val="24"/>
                <w:highlight w:val="none"/>
                <w:lang w:bidi="ar"/>
              </w:rPr>
              <w:fldChar w:fldCharType="end"/>
            </w:r>
            <w:r>
              <w:rPr>
                <w:rFonts w:hint="eastAsia" w:ascii="Times New Roman" w:hAnsi="Times New Roman" w:eastAsia="宋体" w:cs="宋体"/>
                <w:color w:val="auto"/>
                <w:kern w:val="2"/>
                <w:szCs w:val="24"/>
                <w:highlight w:val="none"/>
                <w:lang w:bidi="ar"/>
              </w:rPr>
              <w:t>加强固体废物规范化管理，建立全厂统一的固废分类收集、统一堆放场地制度，堆放场所远离办公区和周围环境敏感点。临时储存地点必须建有雨棚，不允许露天堆放，以防止雨水冲刷，雨水应通过场地四周导流渠流向雨水排放管；临时堆放场地为水泥铺设地面，以防渗漏。</w:t>
            </w:r>
          </w:p>
          <w:p w14:paraId="58435777">
            <w:pPr>
              <w:pStyle w:val="31"/>
              <w:widowControl w:val="0"/>
              <w:spacing w:before="0" w:beforeAutospacing="0" w:after="0" w:afterAutospacing="0" w:line="360" w:lineRule="auto"/>
              <w:ind w:firstLine="480" w:firstLineChars="200"/>
              <w:jc w:val="both"/>
              <w:rPr>
                <w:rFonts w:hint="eastAsia" w:ascii="Times New Roman" w:hAnsi="Times New Roman" w:eastAsia="宋体" w:cs="宋体"/>
                <w:color w:val="auto"/>
                <w:kern w:val="2"/>
                <w:szCs w:val="24"/>
                <w:highlight w:val="none"/>
                <w:lang w:bidi="ar"/>
              </w:rPr>
            </w:pPr>
            <w:r>
              <w:rPr>
                <w:rFonts w:hint="eastAsia" w:ascii="Times New Roman" w:hAnsi="Times New Roman" w:eastAsia="宋体" w:cs="宋体"/>
                <w:color w:val="auto"/>
                <w:kern w:val="2"/>
                <w:szCs w:val="24"/>
                <w:highlight w:val="none"/>
                <w:lang w:bidi="ar"/>
              </w:rPr>
              <w:fldChar w:fldCharType="begin"/>
            </w:r>
            <w:r>
              <w:rPr>
                <w:rFonts w:hint="eastAsia" w:ascii="Times New Roman" w:hAnsi="Times New Roman" w:eastAsia="宋体" w:cs="宋体"/>
                <w:color w:val="auto"/>
                <w:kern w:val="2"/>
                <w:szCs w:val="24"/>
                <w:highlight w:val="none"/>
                <w:lang w:bidi="ar"/>
              </w:rPr>
              <w:instrText xml:space="preserve"> = 5 \* GB3 \* MERGEFORMAT </w:instrText>
            </w:r>
            <w:r>
              <w:rPr>
                <w:rFonts w:hint="eastAsia" w:ascii="Times New Roman" w:hAnsi="Times New Roman" w:eastAsia="宋体" w:cs="宋体"/>
                <w:color w:val="auto"/>
                <w:kern w:val="2"/>
                <w:szCs w:val="24"/>
                <w:highlight w:val="none"/>
                <w:lang w:bidi="ar"/>
              </w:rPr>
              <w:fldChar w:fldCharType="separate"/>
            </w:r>
            <w:r>
              <w:rPr>
                <w:rFonts w:hint="eastAsia" w:ascii="Times New Roman" w:hAnsi="Times New Roman" w:eastAsia="宋体" w:cs="宋体"/>
                <w:color w:val="auto"/>
                <w:kern w:val="2"/>
                <w:szCs w:val="24"/>
                <w:highlight w:val="none"/>
                <w:lang w:bidi="ar"/>
              </w:rPr>
              <w:t>⑤</w:t>
            </w:r>
            <w:r>
              <w:rPr>
                <w:rFonts w:hint="eastAsia" w:ascii="Times New Roman" w:hAnsi="Times New Roman" w:eastAsia="宋体" w:cs="宋体"/>
                <w:color w:val="auto"/>
                <w:kern w:val="2"/>
                <w:szCs w:val="24"/>
                <w:highlight w:val="none"/>
                <w:lang w:bidi="ar"/>
              </w:rPr>
              <w:fldChar w:fldCharType="end"/>
            </w:r>
            <w:r>
              <w:rPr>
                <w:rFonts w:hint="eastAsia" w:ascii="Times New Roman" w:hAnsi="Times New Roman" w:eastAsia="宋体" w:cs="宋体"/>
                <w:color w:val="auto"/>
                <w:kern w:val="2"/>
                <w:szCs w:val="24"/>
                <w:highlight w:val="none"/>
                <w:lang w:bidi="ar"/>
              </w:rPr>
              <w:t>为加强管理监督，贮存</w:t>
            </w:r>
            <w:r>
              <w:rPr>
                <w:rFonts w:hint="eastAsia" w:cs="宋体"/>
                <w:color w:val="auto"/>
                <w:kern w:val="2"/>
                <w:szCs w:val="24"/>
                <w:highlight w:val="none"/>
                <w:lang w:eastAsia="zh-CN" w:bidi="ar"/>
              </w:rPr>
              <w:t>场所</w:t>
            </w:r>
            <w:r>
              <w:rPr>
                <w:rFonts w:hint="eastAsia" w:ascii="Times New Roman" w:hAnsi="Times New Roman" w:eastAsia="宋体" w:cs="宋体"/>
                <w:color w:val="auto"/>
                <w:kern w:val="2"/>
                <w:szCs w:val="24"/>
                <w:highlight w:val="none"/>
                <w:lang w:bidi="ar"/>
              </w:rPr>
              <w:t>应按《</w:t>
            </w:r>
            <w:r>
              <w:rPr>
                <w:rFonts w:hint="eastAsia" w:cs="宋体"/>
                <w:color w:val="auto"/>
                <w:kern w:val="2"/>
                <w:szCs w:val="24"/>
                <w:highlight w:val="none"/>
                <w:lang w:eastAsia="zh-CN" w:bidi="ar"/>
              </w:rPr>
              <w:t>环境保护图形标志 固体废物贮存（处置）场</w:t>
            </w:r>
            <w:r>
              <w:rPr>
                <w:rFonts w:hint="eastAsia" w:ascii="Times New Roman" w:hAnsi="Times New Roman" w:eastAsia="宋体" w:cs="宋体"/>
                <w:color w:val="auto"/>
                <w:kern w:val="2"/>
                <w:szCs w:val="24"/>
                <w:highlight w:val="none"/>
                <w:lang w:bidi="ar"/>
              </w:rPr>
              <w:t>》（GB15562.2-1995）</w:t>
            </w:r>
            <w:r>
              <w:rPr>
                <w:rFonts w:hint="eastAsia" w:cs="宋体"/>
                <w:color w:val="auto"/>
                <w:kern w:val="2"/>
                <w:szCs w:val="24"/>
                <w:highlight w:val="none"/>
                <w:lang w:val="en-US" w:eastAsia="zh-CN" w:bidi="ar"/>
              </w:rPr>
              <w:t>修改单</w:t>
            </w:r>
            <w:r>
              <w:rPr>
                <w:rFonts w:hint="eastAsia" w:ascii="Times New Roman" w:hAnsi="Times New Roman" w:eastAsia="宋体" w:cs="宋体"/>
                <w:color w:val="auto"/>
                <w:kern w:val="2"/>
                <w:szCs w:val="24"/>
                <w:highlight w:val="none"/>
                <w:lang w:bidi="ar"/>
              </w:rPr>
              <w:t>设置环境保护图形标志。</w:t>
            </w:r>
          </w:p>
          <w:p w14:paraId="6A107649">
            <w:pPr>
              <w:pStyle w:val="31"/>
              <w:widowControl w:val="0"/>
              <w:spacing w:before="0" w:beforeAutospacing="0" w:after="0" w:afterAutospacing="0" w:line="360" w:lineRule="auto"/>
              <w:ind w:firstLine="480" w:firstLineChars="200"/>
              <w:jc w:val="both"/>
              <w:rPr>
                <w:rFonts w:hint="eastAsia" w:ascii="Times New Roman" w:hAnsi="Times New Roman" w:eastAsia="宋体" w:cs="宋体"/>
                <w:color w:val="auto"/>
                <w:kern w:val="2"/>
                <w:szCs w:val="24"/>
                <w:highlight w:val="none"/>
                <w:lang w:bidi="ar"/>
              </w:rPr>
            </w:pPr>
            <w:r>
              <w:rPr>
                <w:rFonts w:hint="eastAsia" w:ascii="Times New Roman" w:hAnsi="Times New Roman" w:eastAsia="宋体" w:cs="宋体"/>
                <w:color w:val="auto"/>
                <w:kern w:val="2"/>
                <w:szCs w:val="24"/>
                <w:highlight w:val="none"/>
                <w:lang w:bidi="ar"/>
              </w:rPr>
              <w:t>采取以上措施后一般固体废物对周边环境影响小，因此措施可行。</w:t>
            </w:r>
          </w:p>
          <w:p w14:paraId="171A77A7">
            <w:pPr>
              <w:pStyle w:val="31"/>
              <w:widowControl w:val="0"/>
              <w:numPr>
                <w:ilvl w:val="0"/>
                <w:numId w:val="0"/>
              </w:numPr>
              <w:spacing w:before="0" w:beforeAutospacing="0" w:after="0" w:afterAutospacing="0" w:line="360" w:lineRule="auto"/>
              <w:ind w:leftChars="200" w:right="0" w:rightChars="0"/>
              <w:jc w:val="both"/>
              <w:rPr>
                <w:rFonts w:ascii="Times New Roman" w:hAnsi="Times New Roman" w:cs="宋体"/>
                <w:color w:val="auto"/>
                <w:kern w:val="2"/>
                <w:szCs w:val="24"/>
                <w:highlight w:val="none"/>
                <w:lang w:bidi="ar"/>
              </w:rPr>
            </w:pPr>
            <w:r>
              <w:rPr>
                <w:rFonts w:hint="eastAsia" w:cs="宋体"/>
                <w:color w:val="auto"/>
                <w:kern w:val="2"/>
                <w:szCs w:val="24"/>
                <w:highlight w:val="none"/>
                <w:lang w:eastAsia="zh-CN" w:bidi="ar"/>
              </w:rPr>
              <w:t>（</w:t>
            </w:r>
            <w:r>
              <w:rPr>
                <w:rFonts w:hint="eastAsia" w:cs="宋体"/>
                <w:color w:val="auto"/>
                <w:kern w:val="2"/>
                <w:szCs w:val="24"/>
                <w:highlight w:val="none"/>
                <w:lang w:val="en-US" w:eastAsia="zh-CN" w:bidi="ar"/>
              </w:rPr>
              <w:t>3</w:t>
            </w:r>
            <w:r>
              <w:rPr>
                <w:rFonts w:hint="eastAsia" w:cs="宋体"/>
                <w:color w:val="auto"/>
                <w:kern w:val="2"/>
                <w:szCs w:val="24"/>
                <w:highlight w:val="none"/>
                <w:lang w:eastAsia="zh-CN" w:bidi="ar"/>
              </w:rPr>
              <w:t>）</w:t>
            </w:r>
            <w:r>
              <w:rPr>
                <w:rFonts w:hint="eastAsia" w:ascii="Times New Roman" w:hAnsi="Times New Roman" w:cs="宋体"/>
                <w:color w:val="auto"/>
                <w:kern w:val="2"/>
                <w:szCs w:val="24"/>
                <w:highlight w:val="none"/>
                <w:lang w:bidi="ar"/>
              </w:rPr>
              <w:t>危险废物管理要求</w:t>
            </w:r>
          </w:p>
          <w:p w14:paraId="19F0464C">
            <w:pPr>
              <w:pStyle w:val="116"/>
              <w:spacing w:line="360" w:lineRule="auto"/>
              <w:ind w:firstLine="31680"/>
              <w:jc w:val="both"/>
              <w:rPr>
                <w:rFonts w:ascii="Times New Roman" w:hAnsi="Times New Roman" w:eastAsia="宋体"/>
                <w:color w:val="auto"/>
                <w:highlight w:val="none"/>
              </w:rPr>
            </w:pPr>
            <w:r>
              <w:rPr>
                <w:rFonts w:hint="eastAsia" w:ascii="Times New Roman" w:hAnsi="Times New Roman" w:eastAsia="宋体"/>
                <w:color w:val="auto"/>
                <w:highlight w:val="none"/>
              </w:rPr>
              <w:t>危险废物的收集和贮存应遵循以下要求：</w:t>
            </w:r>
          </w:p>
          <w:p w14:paraId="0112A390">
            <w:pPr>
              <w:pStyle w:val="118"/>
              <w:ind w:firstLine="31680"/>
              <w:rPr>
                <w:rFonts w:ascii="Times New Roman" w:hAnsi="Times New Roman" w:eastAsia="宋体"/>
                <w:color w:val="auto"/>
                <w:highlight w:val="none"/>
              </w:rPr>
            </w:pPr>
            <w:r>
              <w:rPr>
                <w:rFonts w:hint="eastAsia" w:ascii="Times New Roman" w:hAnsi="Times New Roman" w:eastAsia="宋体"/>
                <w:color w:val="auto"/>
                <w:highlight w:val="none"/>
              </w:rPr>
              <w:t>①危险废物的收集容器和临时贮存场所应严格按照《危险废物贮存污染控制标准》（</w:t>
            </w:r>
            <w:r>
              <w:rPr>
                <w:rFonts w:ascii="Times New Roman" w:hAnsi="Times New Roman" w:eastAsia="宋体"/>
                <w:color w:val="auto"/>
                <w:highlight w:val="none"/>
              </w:rPr>
              <w:t>GB18597-2023</w:t>
            </w:r>
            <w:r>
              <w:rPr>
                <w:rFonts w:hint="eastAsia" w:ascii="Times New Roman" w:hAnsi="Times New Roman" w:eastAsia="宋体"/>
                <w:color w:val="auto"/>
                <w:highlight w:val="none"/>
              </w:rPr>
              <w:t>）中的有关规定执行。贮存区必须按</w:t>
            </w:r>
            <w:r>
              <w:rPr>
                <w:rFonts w:ascii="Times New Roman" w:hAnsi="Times New Roman" w:eastAsia="宋体"/>
                <w:color w:val="auto"/>
                <w:highlight w:val="none"/>
              </w:rPr>
              <w:t>GB15562.2</w:t>
            </w:r>
            <w:r>
              <w:rPr>
                <w:rFonts w:hint="eastAsia" w:ascii="Times New Roman" w:hAnsi="Times New Roman" w:eastAsia="宋体"/>
                <w:color w:val="auto"/>
                <w:highlight w:val="none"/>
              </w:rPr>
              <w:t>的规定设置警示标志，并具有防雨淋、防日晒、防渗漏措施</w:t>
            </w:r>
            <w:r>
              <w:rPr>
                <w:rFonts w:hint="eastAsia"/>
                <w:color w:val="auto"/>
                <w:highlight w:val="none"/>
                <w:lang w:eastAsia="zh-CN"/>
              </w:rPr>
              <w:t>且</w:t>
            </w:r>
            <w:r>
              <w:rPr>
                <w:rFonts w:hint="eastAsia" w:ascii="Times New Roman" w:hAnsi="Times New Roman" w:eastAsia="宋体"/>
                <w:color w:val="auto"/>
                <w:highlight w:val="none"/>
              </w:rPr>
              <w:t>危险废物要有专用的收集容器，定期对所贮存的危险废物贮存设施进行检查，发现破损，应及时采取措施。</w:t>
            </w:r>
            <w:r>
              <w:rPr>
                <w:rFonts w:hint="eastAsia"/>
                <w:color w:val="auto"/>
                <w:highlight w:val="none"/>
                <w:lang w:val="en-US" w:eastAsia="zh-CN"/>
              </w:rPr>
              <w:t>建设单位应</w:t>
            </w:r>
            <w:r>
              <w:rPr>
                <w:rFonts w:hint="eastAsia" w:ascii="Times New Roman" w:hAnsi="Times New Roman" w:eastAsia="宋体"/>
                <w:color w:val="auto"/>
                <w:highlight w:val="none"/>
              </w:rPr>
              <w:t>按照《危险废物污染防治技术政策》（环发</w:t>
            </w:r>
            <w:r>
              <w:rPr>
                <w:rFonts w:hint="eastAsia" w:ascii="Times New Roman" w:hAnsi="Times New Roman" w:eastAsia="宋体"/>
                <w:color w:val="auto"/>
                <w:sz w:val="24"/>
                <w:highlight w:val="none"/>
              </w:rPr>
              <w:t>〔</w:t>
            </w:r>
            <w:r>
              <w:rPr>
                <w:rFonts w:hint="eastAsia" w:ascii="Times New Roman" w:hAnsi="Times New Roman" w:eastAsia="宋体"/>
                <w:color w:val="auto"/>
                <w:sz w:val="24"/>
                <w:highlight w:val="none"/>
                <w:lang w:val="en-US" w:eastAsia="zh-CN"/>
              </w:rPr>
              <w:t>2001</w:t>
            </w:r>
            <w:r>
              <w:rPr>
                <w:rFonts w:hint="eastAsia" w:ascii="Times New Roman" w:hAnsi="Times New Roman" w:eastAsia="宋体"/>
                <w:color w:val="auto"/>
                <w:sz w:val="24"/>
                <w:highlight w:val="none"/>
              </w:rPr>
              <w:t>〕</w:t>
            </w:r>
            <w:r>
              <w:rPr>
                <w:rFonts w:ascii="Times New Roman" w:hAnsi="Times New Roman" w:eastAsia="宋体"/>
                <w:color w:val="auto"/>
                <w:highlight w:val="none"/>
              </w:rPr>
              <w:t>199</w:t>
            </w:r>
            <w:r>
              <w:rPr>
                <w:rFonts w:hint="eastAsia" w:ascii="Times New Roman" w:hAnsi="Times New Roman" w:eastAsia="宋体"/>
                <w:color w:val="auto"/>
                <w:highlight w:val="none"/>
              </w:rPr>
              <w:t>号）、《危险废物贮存污染控制标准》（</w:t>
            </w:r>
            <w:r>
              <w:rPr>
                <w:rFonts w:ascii="Times New Roman" w:hAnsi="Times New Roman" w:eastAsia="宋体"/>
                <w:color w:val="auto"/>
                <w:highlight w:val="none"/>
              </w:rPr>
              <w:t>GB18597-2023</w:t>
            </w:r>
            <w:r>
              <w:rPr>
                <w:rFonts w:hint="eastAsia" w:ascii="Times New Roman" w:hAnsi="Times New Roman" w:eastAsia="宋体"/>
                <w:color w:val="auto"/>
                <w:highlight w:val="none"/>
              </w:rPr>
              <w:t>）及《建设项目危险废物环境影响评价指南》（</w:t>
            </w:r>
            <w:r>
              <w:rPr>
                <w:rFonts w:ascii="Times New Roman" w:hAnsi="Times New Roman" w:eastAsia="宋体"/>
                <w:color w:val="auto"/>
                <w:highlight w:val="none"/>
              </w:rPr>
              <w:t>2017.10.1</w:t>
            </w:r>
            <w:r>
              <w:rPr>
                <w:rFonts w:hint="eastAsia" w:ascii="Times New Roman" w:hAnsi="Times New Roman" w:eastAsia="宋体"/>
                <w:color w:val="auto"/>
                <w:highlight w:val="none"/>
              </w:rPr>
              <w:t>实施）等文件、技术规范要求设置危险废物临时贮存间。</w:t>
            </w:r>
          </w:p>
          <w:p w14:paraId="703B0317">
            <w:pPr>
              <w:pStyle w:val="118"/>
              <w:ind w:firstLine="31680"/>
              <w:rPr>
                <w:rFonts w:ascii="Times New Roman" w:hAnsi="Times New Roman" w:eastAsia="宋体"/>
                <w:color w:val="auto"/>
                <w:highlight w:val="none"/>
              </w:rPr>
            </w:pPr>
            <w:r>
              <w:rPr>
                <w:rFonts w:hint="eastAsia" w:ascii="Times New Roman" w:hAnsi="Times New Roman" w:eastAsia="宋体"/>
                <w:color w:val="auto"/>
                <w:highlight w:val="none"/>
              </w:rPr>
              <w:t>危险废物临时贮存的几点要求：</w:t>
            </w:r>
          </w:p>
          <w:p w14:paraId="49A51C18">
            <w:pPr>
              <w:pStyle w:val="118"/>
              <w:ind w:firstLine="31680"/>
              <w:rPr>
                <w:rFonts w:ascii="Times New Roman" w:hAnsi="Times New Roman" w:eastAsia="宋体"/>
                <w:color w:val="auto"/>
                <w:highlight w:val="none"/>
              </w:rPr>
            </w:pPr>
            <w:r>
              <w:rPr>
                <w:rFonts w:ascii="Times New Roman" w:hAnsi="Times New Roman" w:eastAsia="宋体"/>
                <w:color w:val="auto"/>
                <w:highlight w:val="none"/>
              </w:rPr>
              <w:t>A</w:t>
            </w:r>
            <w:r>
              <w:rPr>
                <w:rFonts w:hint="eastAsia"/>
                <w:color w:val="auto"/>
                <w:highlight w:val="none"/>
                <w:lang w:eastAsia="zh-CN"/>
              </w:rPr>
              <w:t>.</w:t>
            </w:r>
            <w:r>
              <w:rPr>
                <w:rFonts w:hint="eastAsia" w:ascii="Times New Roman" w:hAnsi="Times New Roman" w:eastAsia="宋体"/>
                <w:color w:val="auto"/>
                <w:highlight w:val="none"/>
              </w:rPr>
              <w:t>危险废物在收集时，应清楚废物的类别及主要成分，以方便委托处理单位处理，根据危险废物的性质和形态，可采用不同大小和不同材质的容器进行包装，所有包装和容器必须设置危险废物识别标志，并经过周密检查，严防在装载、搬移或运输途中出现渗漏、溢出、抛洒或挥发等情况。</w:t>
            </w:r>
          </w:p>
          <w:p w14:paraId="7A74AFBE">
            <w:pPr>
              <w:pStyle w:val="118"/>
              <w:ind w:firstLine="31680"/>
              <w:rPr>
                <w:rFonts w:ascii="Times New Roman" w:hAnsi="Times New Roman" w:eastAsia="宋体"/>
                <w:color w:val="auto"/>
                <w:highlight w:val="none"/>
              </w:rPr>
            </w:pPr>
            <w:r>
              <w:rPr>
                <w:rFonts w:ascii="Times New Roman" w:hAnsi="Times New Roman" w:eastAsia="宋体"/>
                <w:color w:val="auto"/>
                <w:highlight w:val="none"/>
              </w:rPr>
              <w:t>B</w:t>
            </w:r>
            <w:r>
              <w:rPr>
                <w:rFonts w:hint="eastAsia"/>
                <w:color w:val="auto"/>
                <w:highlight w:val="none"/>
                <w:lang w:eastAsia="zh-CN"/>
              </w:rPr>
              <w:t>.</w:t>
            </w:r>
            <w:r>
              <w:rPr>
                <w:rFonts w:hint="eastAsia" w:ascii="Times New Roman" w:hAnsi="Times New Roman" w:eastAsia="宋体"/>
                <w:color w:val="auto"/>
                <w:highlight w:val="none"/>
              </w:rPr>
              <w:t>按《</w:t>
            </w:r>
            <w:r>
              <w:rPr>
                <w:rFonts w:hint="eastAsia"/>
                <w:color w:val="auto"/>
                <w:highlight w:val="none"/>
                <w:lang w:eastAsia="zh-CN"/>
              </w:rPr>
              <w:t>环境保护图形标志 固体废物贮存（处置）场</w:t>
            </w:r>
            <w:r>
              <w:rPr>
                <w:rFonts w:hint="eastAsia" w:ascii="Times New Roman" w:hAnsi="Times New Roman" w:eastAsia="宋体"/>
                <w:color w:val="auto"/>
                <w:highlight w:val="none"/>
              </w:rPr>
              <w:t>》（</w:t>
            </w:r>
            <w:r>
              <w:rPr>
                <w:rFonts w:hint="eastAsia"/>
                <w:color w:val="auto"/>
                <w:highlight w:val="none"/>
                <w:lang w:eastAsia="zh-CN"/>
              </w:rPr>
              <w:t>GB 15562.2-1995）</w:t>
            </w:r>
            <w:r>
              <w:rPr>
                <w:rFonts w:hint="eastAsia"/>
                <w:color w:val="auto"/>
                <w:highlight w:val="none"/>
                <w:lang w:val="en-US" w:eastAsia="zh-CN"/>
              </w:rPr>
              <w:t>修改单</w:t>
            </w:r>
            <w:r>
              <w:rPr>
                <w:rFonts w:hint="eastAsia" w:ascii="Times New Roman" w:hAnsi="Times New Roman" w:eastAsia="宋体" w:cs="Times New Roman"/>
                <w:color w:val="auto"/>
                <w:highlight w:val="none"/>
              </w:rPr>
              <w:t>《危险废物识别标志设置技术规范》（HJ 1276-2022）</w:t>
            </w:r>
            <w:r>
              <w:rPr>
                <w:rFonts w:hint="eastAsia" w:ascii="Times New Roman" w:hAnsi="Times New Roman" w:eastAsia="宋体"/>
                <w:color w:val="auto"/>
                <w:highlight w:val="none"/>
              </w:rPr>
              <w:t>在收集场所醒目的地方设置危险废物警告标识。</w:t>
            </w:r>
          </w:p>
          <w:p w14:paraId="63DCDF07">
            <w:pPr>
              <w:pStyle w:val="118"/>
              <w:ind w:firstLine="31680"/>
              <w:rPr>
                <w:rFonts w:ascii="Times New Roman" w:hAnsi="Times New Roman" w:eastAsia="宋体"/>
                <w:color w:val="auto"/>
                <w:highlight w:val="none"/>
              </w:rPr>
            </w:pPr>
            <w:r>
              <w:rPr>
                <w:rFonts w:ascii="Times New Roman" w:hAnsi="Times New Roman" w:eastAsia="宋体"/>
                <w:color w:val="auto"/>
                <w:highlight w:val="none"/>
              </w:rPr>
              <w:t>C</w:t>
            </w:r>
            <w:r>
              <w:rPr>
                <w:rFonts w:hint="eastAsia"/>
                <w:color w:val="auto"/>
                <w:highlight w:val="none"/>
                <w:lang w:eastAsia="zh-CN"/>
              </w:rPr>
              <w:t>.</w:t>
            </w:r>
            <w:r>
              <w:rPr>
                <w:rFonts w:hint="eastAsia" w:ascii="Times New Roman" w:hAnsi="Times New Roman" w:eastAsia="宋体"/>
                <w:color w:val="auto"/>
                <w:highlight w:val="none"/>
              </w:rPr>
              <w:t>由专人负责管理。危险废物按不同名录分类分区堆放，并做好隔离、防水、防晒、防雨、防渗、防火处理。</w:t>
            </w:r>
          </w:p>
          <w:p w14:paraId="7BF66ACE">
            <w:pPr>
              <w:pStyle w:val="118"/>
              <w:ind w:firstLine="31680"/>
              <w:rPr>
                <w:rFonts w:ascii="Times New Roman" w:hAnsi="Times New Roman" w:eastAsia="宋体"/>
                <w:color w:val="auto"/>
                <w:highlight w:val="none"/>
              </w:rPr>
            </w:pPr>
            <w:r>
              <w:rPr>
                <w:rFonts w:ascii="Times New Roman" w:hAnsi="Times New Roman" w:eastAsia="宋体"/>
                <w:color w:val="auto"/>
                <w:highlight w:val="none"/>
              </w:rPr>
              <w:t>D</w:t>
            </w:r>
            <w:r>
              <w:rPr>
                <w:rFonts w:hint="eastAsia"/>
                <w:color w:val="auto"/>
                <w:highlight w:val="none"/>
                <w:lang w:eastAsia="zh-CN"/>
              </w:rPr>
              <w:t>.</w:t>
            </w:r>
            <w:r>
              <w:rPr>
                <w:rFonts w:hint="eastAsia" w:ascii="Times New Roman" w:hAnsi="Times New Roman" w:eastAsia="宋体"/>
                <w:color w:val="auto"/>
                <w:highlight w:val="none"/>
              </w:rPr>
              <w:t>应配备通讯设备、照明设施、安全防护服装及工具，并设有报警装置和应急防护设施。</w:t>
            </w:r>
          </w:p>
          <w:p w14:paraId="7C97D9E3">
            <w:pPr>
              <w:pStyle w:val="118"/>
              <w:ind w:firstLine="31680"/>
              <w:rPr>
                <w:rFonts w:ascii="Times New Roman" w:hAnsi="Times New Roman" w:eastAsia="宋体"/>
                <w:color w:val="auto"/>
                <w:highlight w:val="none"/>
              </w:rPr>
            </w:pPr>
            <w:r>
              <w:rPr>
                <w:rFonts w:ascii="Times New Roman" w:hAnsi="Times New Roman" w:eastAsia="宋体"/>
                <w:color w:val="auto"/>
                <w:highlight w:val="none"/>
              </w:rPr>
              <w:t>E</w:t>
            </w:r>
            <w:r>
              <w:rPr>
                <w:rFonts w:hint="eastAsia"/>
                <w:color w:val="auto"/>
                <w:highlight w:val="none"/>
                <w:lang w:eastAsia="zh-CN"/>
              </w:rPr>
              <w:t>.</w:t>
            </w:r>
            <w:r>
              <w:rPr>
                <w:rFonts w:hint="eastAsia" w:ascii="Times New Roman" w:hAnsi="Times New Roman" w:eastAsia="宋体"/>
                <w:color w:val="auto"/>
                <w:highlight w:val="none"/>
              </w:rPr>
              <w:t>贮存区内禁止混放不相容危险废物；禁止危险废物混入非危险废物中贮存；危险废物按种类分别存放</w:t>
            </w:r>
            <w:r>
              <w:rPr>
                <w:rFonts w:hint="eastAsia"/>
                <w:color w:val="auto"/>
                <w:highlight w:val="none"/>
                <w:lang w:eastAsia="zh-CN"/>
              </w:rPr>
              <w:t>且</w:t>
            </w:r>
            <w:r>
              <w:rPr>
                <w:rFonts w:hint="eastAsia" w:ascii="Times New Roman" w:hAnsi="Times New Roman" w:eastAsia="宋体"/>
                <w:color w:val="auto"/>
                <w:highlight w:val="none"/>
              </w:rPr>
              <w:t>不同类废物间有明显的间隔（如过道等）。</w:t>
            </w:r>
          </w:p>
          <w:p w14:paraId="131F59D3">
            <w:pPr>
              <w:pStyle w:val="118"/>
              <w:ind w:firstLine="31680"/>
              <w:rPr>
                <w:rFonts w:ascii="Times New Roman" w:hAnsi="Times New Roman" w:eastAsia="宋体"/>
                <w:color w:val="auto"/>
                <w:highlight w:val="none"/>
              </w:rPr>
            </w:pPr>
            <w:r>
              <w:rPr>
                <w:rFonts w:ascii="Times New Roman" w:hAnsi="Times New Roman" w:eastAsia="宋体"/>
                <w:color w:val="auto"/>
                <w:highlight w:val="none"/>
              </w:rPr>
              <w:t>F</w:t>
            </w:r>
            <w:r>
              <w:rPr>
                <w:rFonts w:hint="eastAsia"/>
                <w:color w:val="auto"/>
                <w:highlight w:val="none"/>
                <w:lang w:eastAsia="zh-CN"/>
              </w:rPr>
              <w:t>.</w:t>
            </w:r>
            <w:r>
              <w:rPr>
                <w:rFonts w:hint="eastAsia" w:ascii="Times New Roman" w:hAnsi="Times New Roman" w:eastAsia="宋体"/>
                <w:color w:val="auto"/>
                <w:highlight w:val="none"/>
              </w:rPr>
              <w:t>危险废物临时贮存场所的地面和裙脚要用坚固、防渗的材料建造；该贮存场所的地面与裙脚围建一定的空间，该容积不低于堵截最大容器的最大储量或总储量的</w:t>
            </w:r>
            <w:r>
              <w:rPr>
                <w:rFonts w:ascii="Times New Roman" w:hAnsi="Times New Roman" w:eastAsia="宋体"/>
                <w:color w:val="auto"/>
                <w:highlight w:val="none"/>
              </w:rPr>
              <w:t>1/5</w:t>
            </w:r>
            <w:r>
              <w:rPr>
                <w:rFonts w:hint="eastAsia" w:ascii="Times New Roman" w:hAnsi="Times New Roman" w:eastAsia="宋体"/>
                <w:color w:val="auto"/>
                <w:highlight w:val="none"/>
              </w:rPr>
              <w:t>贮存场所需设液体收集装置、气体导出口及气体净化装置；贮存装载液体、半固体危险废物容器的地方，必须有耐腐蚀的硬化地面且表面无裂隙。贮存设施应注意安全照明等问题；不相容的危险废物分开存放，并设有隔离间；基础防渗层为至少</w:t>
            </w:r>
            <w:r>
              <w:rPr>
                <w:rFonts w:ascii="Times New Roman" w:hAnsi="Times New Roman" w:eastAsia="宋体"/>
                <w:color w:val="auto"/>
                <w:highlight w:val="none"/>
              </w:rPr>
              <w:t>1m</w:t>
            </w:r>
            <w:r>
              <w:rPr>
                <w:rFonts w:hint="eastAsia" w:ascii="Times New Roman" w:hAnsi="Times New Roman" w:eastAsia="宋体"/>
                <w:color w:val="auto"/>
                <w:highlight w:val="none"/>
              </w:rPr>
              <w:t>厚黏土层（渗透系数≤</w:t>
            </w:r>
            <w:r>
              <w:rPr>
                <w:rFonts w:ascii="Times New Roman" w:hAnsi="Times New Roman" w:eastAsia="宋体"/>
                <w:color w:val="auto"/>
                <w:highlight w:val="none"/>
              </w:rPr>
              <w:t>10</w:t>
            </w:r>
            <w:r>
              <w:rPr>
                <w:rFonts w:ascii="Times New Roman" w:hAnsi="Times New Roman" w:eastAsia="宋体"/>
                <w:color w:val="auto"/>
                <w:highlight w:val="none"/>
                <w:vertAlign w:val="superscript"/>
              </w:rPr>
              <w:t>-7</w:t>
            </w:r>
            <w:r>
              <w:rPr>
                <w:rFonts w:ascii="Times New Roman" w:hAnsi="Times New Roman" w:eastAsia="宋体"/>
                <w:color w:val="auto"/>
                <w:highlight w:val="none"/>
              </w:rPr>
              <w:t>cm/s</w:t>
            </w:r>
            <w:r>
              <w:rPr>
                <w:rFonts w:hint="eastAsia" w:ascii="Times New Roman" w:hAnsi="Times New Roman" w:eastAsia="宋体"/>
                <w:color w:val="auto"/>
                <w:highlight w:val="none"/>
              </w:rPr>
              <w:t>），或</w:t>
            </w:r>
            <w:r>
              <w:rPr>
                <w:rFonts w:ascii="Times New Roman" w:hAnsi="Times New Roman" w:eastAsia="宋体"/>
                <w:color w:val="auto"/>
                <w:highlight w:val="none"/>
              </w:rPr>
              <w:t>2mm</w:t>
            </w:r>
            <w:r>
              <w:rPr>
                <w:rFonts w:hint="eastAsia" w:ascii="Times New Roman" w:hAnsi="Times New Roman" w:eastAsia="宋体"/>
                <w:color w:val="auto"/>
                <w:highlight w:val="none"/>
              </w:rPr>
              <w:t>厚高密度聚乙烯，或至少</w:t>
            </w:r>
            <w:r>
              <w:rPr>
                <w:rFonts w:ascii="Times New Roman" w:hAnsi="Times New Roman" w:eastAsia="宋体"/>
                <w:color w:val="auto"/>
                <w:highlight w:val="none"/>
              </w:rPr>
              <w:t>2mm</w:t>
            </w:r>
            <w:r>
              <w:rPr>
                <w:rFonts w:hint="eastAsia" w:ascii="Times New Roman" w:hAnsi="Times New Roman" w:eastAsia="宋体"/>
                <w:color w:val="auto"/>
                <w:highlight w:val="none"/>
              </w:rPr>
              <w:t>厚的其他人工材料，渗透系数≤</w:t>
            </w:r>
            <w:r>
              <w:rPr>
                <w:rFonts w:ascii="Times New Roman" w:hAnsi="Times New Roman" w:eastAsia="宋体"/>
                <w:color w:val="auto"/>
                <w:highlight w:val="none"/>
              </w:rPr>
              <w:t>10</w:t>
            </w:r>
            <w:r>
              <w:rPr>
                <w:rFonts w:ascii="Times New Roman" w:hAnsi="Times New Roman" w:eastAsia="宋体"/>
                <w:color w:val="auto"/>
                <w:highlight w:val="none"/>
                <w:vertAlign w:val="superscript"/>
              </w:rPr>
              <w:t>-10</w:t>
            </w:r>
            <w:r>
              <w:rPr>
                <w:rFonts w:ascii="Times New Roman" w:hAnsi="Times New Roman" w:eastAsia="宋体"/>
                <w:color w:val="auto"/>
                <w:highlight w:val="none"/>
              </w:rPr>
              <w:t>cm/s</w:t>
            </w:r>
            <w:r>
              <w:rPr>
                <w:rFonts w:hint="eastAsia" w:ascii="Times New Roman" w:hAnsi="Times New Roman" w:eastAsia="宋体"/>
                <w:color w:val="auto"/>
                <w:highlight w:val="none"/>
              </w:rPr>
              <w:t>。具体设计原则参见《危险废物贮存污染控制标准》（</w:t>
            </w:r>
            <w:r>
              <w:rPr>
                <w:rFonts w:ascii="Times New Roman" w:hAnsi="Times New Roman" w:eastAsia="宋体"/>
                <w:color w:val="auto"/>
                <w:highlight w:val="none"/>
              </w:rPr>
              <w:t>GB18597-2023</w:t>
            </w:r>
            <w:r>
              <w:rPr>
                <w:rFonts w:hint="eastAsia" w:ascii="Times New Roman" w:hAnsi="Times New Roman" w:eastAsia="宋体"/>
                <w:color w:val="auto"/>
                <w:highlight w:val="none"/>
              </w:rPr>
              <w:t>）。</w:t>
            </w:r>
          </w:p>
          <w:p w14:paraId="70E37A4A">
            <w:pPr>
              <w:pStyle w:val="118"/>
              <w:ind w:firstLine="31680"/>
              <w:rPr>
                <w:rFonts w:ascii="Times New Roman" w:hAnsi="Times New Roman" w:eastAsia="宋体"/>
                <w:color w:val="auto"/>
                <w:highlight w:val="none"/>
              </w:rPr>
            </w:pPr>
            <w:r>
              <w:rPr>
                <w:rFonts w:hint="eastAsia" w:ascii="Times New Roman" w:hAnsi="Times New Roman" w:eastAsia="宋体"/>
                <w:color w:val="auto"/>
                <w:highlight w:val="none"/>
              </w:rPr>
              <w:t>②建立危险废物申报登记制度。由专门人员负责危险废物的日常收集和管理，对任何进出临时贮存场所的危险废物都要记录在案，做好台账；危险废物临时贮存场所周围要设置防护栅栏，并设置警示标志。贮存所内配备通讯设备、照明设备、安全防护服装及工具，并有应急防护措施；危险废物的贮存和转运应严格按照《危险废物贮存污染控制标准》（</w:t>
            </w:r>
            <w:r>
              <w:rPr>
                <w:rFonts w:ascii="Times New Roman" w:hAnsi="Times New Roman" w:eastAsia="宋体"/>
                <w:color w:val="auto"/>
                <w:highlight w:val="none"/>
              </w:rPr>
              <w:t>GB18597-2023</w:t>
            </w:r>
            <w:r>
              <w:rPr>
                <w:rFonts w:hint="eastAsia" w:ascii="Times New Roman" w:hAnsi="Times New Roman" w:eastAsia="宋体"/>
                <w:color w:val="auto"/>
                <w:highlight w:val="none"/>
              </w:rPr>
              <w:t>）和《危险废物转移管理办法》要求执行。建设单位应强化废物产生、收集、贮放各环节的管理，各种固体废物按照类别分类存放，避免固体废物在厂区内散失、渗漏，达到无害化的目的，避免产生二次污染。</w:t>
            </w:r>
          </w:p>
          <w:p w14:paraId="35E8373F">
            <w:pPr>
              <w:pStyle w:val="118"/>
              <w:ind w:firstLine="31680"/>
              <w:rPr>
                <w:rFonts w:ascii="Times New Roman" w:hAnsi="Times New Roman" w:eastAsia="宋体"/>
                <w:color w:val="auto"/>
                <w:highlight w:val="none"/>
              </w:rPr>
            </w:pPr>
            <w:r>
              <w:rPr>
                <w:rFonts w:hint="eastAsia" w:ascii="Times New Roman" w:hAnsi="Times New Roman" w:eastAsia="宋体"/>
                <w:color w:val="auto"/>
                <w:highlight w:val="none"/>
              </w:rPr>
              <w:t>危险废物的运输采取危险废物转移“电子联单”制度，保证运输安全，防止非法转移和非法处置，保证危险废物的安全监控，防止危险废物污染事故发生。</w:t>
            </w:r>
          </w:p>
          <w:p w14:paraId="5DC410BF">
            <w:pPr>
              <w:pStyle w:val="118"/>
              <w:ind w:firstLine="31680"/>
              <w:rPr>
                <w:rFonts w:ascii="Times New Roman" w:hAnsi="Times New Roman" w:eastAsia="宋体"/>
                <w:color w:val="auto"/>
                <w:highlight w:val="none"/>
              </w:rPr>
            </w:pPr>
            <w:r>
              <w:rPr>
                <w:rFonts w:hint="eastAsia" w:ascii="Times New Roman" w:hAnsi="Times New Roman" w:eastAsia="宋体"/>
                <w:color w:val="auto"/>
                <w:highlight w:val="none"/>
              </w:rPr>
              <w:t>“电子联单”应通过福建省固体废物环境监管平台申请电子联单，危险废物产生者及其他需要转移危险废物的单位在转移危险废物之前，须按照国家有关规定报批危险废物转移计划。经批准后，通过《信息系统》申请电子联单。</w:t>
            </w:r>
          </w:p>
          <w:p w14:paraId="1392CBA5">
            <w:pPr>
              <w:pStyle w:val="44"/>
              <w:ind w:firstLine="480"/>
              <w:rPr>
                <w:color w:val="auto"/>
                <w:highlight w:val="none"/>
              </w:rPr>
            </w:pPr>
            <w:r>
              <w:rPr>
                <w:rFonts w:hint="eastAsia" w:ascii="Times New Roman" w:hAnsi="Times New Roman" w:eastAsia="宋体"/>
                <w:color w:val="auto"/>
                <w:highlight w:val="none"/>
              </w:rPr>
              <w:t>③应将危险废物提供或者委托给有危险废物经营许可证的单位从事利用和处置，并签订处置合同。同时应加强对运输单位及处置单位的跟踪检查，控制运输过程中的环境风险</w:t>
            </w:r>
            <w:r>
              <w:rPr>
                <w:color w:val="auto"/>
                <w:highlight w:val="none"/>
              </w:rPr>
              <w:t>。</w:t>
            </w:r>
          </w:p>
          <w:p w14:paraId="36CAFA90">
            <w:pPr>
              <w:pStyle w:val="44"/>
              <w:ind w:firstLine="480"/>
              <w:rPr>
                <w:color w:val="auto"/>
                <w:highlight w:val="none"/>
              </w:rPr>
            </w:pPr>
            <w:r>
              <w:rPr>
                <w:rFonts w:hint="eastAsia"/>
                <w:color w:val="auto"/>
                <w:highlight w:val="none"/>
              </w:rPr>
              <w:t>综上分析，采取以上措施后，项目各项固体废物均可得到妥善处理，对周边环境影响较小。</w:t>
            </w:r>
          </w:p>
          <w:p w14:paraId="5D3E851A">
            <w:pPr>
              <w:pStyle w:val="3"/>
              <w:numPr>
                <w:ilvl w:val="1"/>
                <w:numId w:val="1"/>
              </w:numPr>
              <w:bidi w:val="0"/>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地下水、土壤</w:t>
            </w:r>
          </w:p>
          <w:p w14:paraId="3E65A75C">
            <w:pPr>
              <w:pStyle w:val="44"/>
              <w:bidi w:val="0"/>
              <w:rPr>
                <w:rFonts w:hint="default" w:ascii="Times New Roman" w:hAnsi="Times New Roman" w:eastAsia="宋体"/>
                <w:color w:val="auto"/>
                <w:highlight w:val="none"/>
                <w:lang w:val="en-US" w:eastAsia="zh-CN"/>
              </w:rPr>
            </w:pPr>
            <w:r>
              <w:rPr>
                <w:rFonts w:hint="eastAsia"/>
                <w:color w:val="auto"/>
                <w:highlight w:val="none"/>
              </w:rPr>
              <w:t>项目厂区固废贮存严格按照《一般工业固体废物贮存和填埋污染控制标准》（GB18599-2020）和《危险废物贮存污染控制标准》（GB 18597-2023）中有关规定进行落实，具备防风、防雨、防晒、防渗漏等要求，在正常工况，不会对评价区域内地下水、土壤环境产生不利影响。本次评价仅考虑在事故情况下液态物质泄漏，防渗层破损时对土壤和地下水造成污染。</w:t>
            </w:r>
            <w:r>
              <w:rPr>
                <w:rFonts w:hint="eastAsia" w:ascii="Times New Roman" w:hAnsi="Times New Roman" w:eastAsia="宋体"/>
                <w:color w:val="auto"/>
                <w:highlight w:val="none"/>
                <w:lang w:val="en-US" w:eastAsia="zh-CN"/>
              </w:rPr>
              <w:t>地下水、土壤污染物类型及污染途径详见下表。</w:t>
            </w:r>
          </w:p>
          <w:p w14:paraId="0FFCD7C2">
            <w:pPr>
              <w:pStyle w:val="42"/>
              <w:keepNext/>
              <w:keepLines/>
              <w:pageBreakBefore w:val="0"/>
              <w:widowControl w:val="0"/>
              <w:numPr>
                <w:ilvl w:val="7"/>
                <w:numId w:val="14"/>
              </w:numPr>
              <w:tabs>
                <w:tab w:val="left" w:pos="0"/>
              </w:tabs>
              <w:kinsoku/>
              <w:wordWrap/>
              <w:overflowPunct/>
              <w:topLinePunct w:val="0"/>
              <w:autoSpaceDE/>
              <w:autoSpaceDN/>
              <w:bidi w:val="0"/>
              <w:adjustRightInd/>
              <w:snapToGrid/>
              <w:spacing w:after="0"/>
              <w:ind w:left="630" w:leftChars="0" w:firstLine="0" w:firstLineChars="0"/>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地下水、土壤污染途径情况一览表</w:t>
            </w:r>
          </w:p>
          <w:tbl>
            <w:tblPr>
              <w:tblStyle w:val="84"/>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660"/>
              <w:gridCol w:w="2409"/>
              <w:gridCol w:w="4856"/>
            </w:tblGrid>
            <w:tr w14:paraId="63BFACE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29" w:hRule="atLeast"/>
              </w:trPr>
              <w:tc>
                <w:tcPr>
                  <w:tcW w:w="930" w:type="pct"/>
                  <w:tcBorders>
                    <w:bottom w:val="single" w:color="000000" w:sz="12" w:space="0"/>
                  </w:tcBorders>
                  <w:vAlign w:val="center"/>
                </w:tcPr>
                <w:p w14:paraId="612BDEC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1"/>
                      <w:sz w:val="21"/>
                      <w:highlight w:val="none"/>
                    </w:rPr>
                    <w:t>防渗区</w:t>
                  </w:r>
                </w:p>
              </w:tc>
              <w:tc>
                <w:tcPr>
                  <w:tcW w:w="1349" w:type="pct"/>
                  <w:tcBorders>
                    <w:bottom w:val="single" w:color="000000" w:sz="12" w:space="0"/>
                  </w:tcBorders>
                  <w:vAlign w:val="center"/>
                </w:tcPr>
                <w:p w14:paraId="651DD53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构筑物名称</w:t>
                  </w:r>
                </w:p>
              </w:tc>
              <w:tc>
                <w:tcPr>
                  <w:tcW w:w="2719" w:type="pct"/>
                  <w:tcBorders>
                    <w:bottom w:val="single" w:color="000000" w:sz="12" w:space="0"/>
                  </w:tcBorders>
                  <w:vAlign w:val="center"/>
                </w:tcPr>
                <w:p w14:paraId="3827BC17">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防渗技术要求</w:t>
                  </w:r>
                </w:p>
              </w:tc>
            </w:tr>
            <w:tr w14:paraId="35BB6C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63" w:hRule="atLeast"/>
              </w:trPr>
              <w:tc>
                <w:tcPr>
                  <w:tcW w:w="930" w:type="pct"/>
                  <w:tcBorders>
                    <w:top w:val="single" w:color="000000" w:sz="12" w:space="0"/>
                    <w:tl2br w:val="nil"/>
                    <w:tr2bl w:val="nil"/>
                  </w:tcBorders>
                  <w:vAlign w:val="center"/>
                </w:tcPr>
                <w:p w14:paraId="2B893D2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重点防渗区</w:t>
                  </w:r>
                </w:p>
              </w:tc>
              <w:tc>
                <w:tcPr>
                  <w:tcW w:w="1349" w:type="pct"/>
                  <w:tcBorders>
                    <w:top w:val="single" w:color="000000" w:sz="12" w:space="0"/>
                    <w:tl2br w:val="nil"/>
                    <w:tr2bl w:val="nil"/>
                  </w:tcBorders>
                  <w:vAlign w:val="center"/>
                </w:tcPr>
                <w:p w14:paraId="2E6E600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化学品库、电泳线、</w:t>
                  </w:r>
                </w:p>
                <w:p w14:paraId="3E6B06C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污水处理设施、危废</w:t>
                  </w:r>
                </w:p>
                <w:p w14:paraId="3A8D204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暂存间</w:t>
                  </w:r>
                </w:p>
              </w:tc>
              <w:tc>
                <w:tcPr>
                  <w:tcW w:w="2719" w:type="pct"/>
                  <w:tcBorders>
                    <w:top w:val="single" w:color="000000" w:sz="12" w:space="0"/>
                    <w:tl2br w:val="nil"/>
                    <w:tr2bl w:val="nil"/>
                  </w:tcBorders>
                  <w:vAlign w:val="center"/>
                </w:tcPr>
                <w:p w14:paraId="14D2376B">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position w:val="1"/>
                      <w:sz w:val="21"/>
                      <w:highlight w:val="none"/>
                    </w:rPr>
                    <w:t>等效黏土防渗层</w:t>
                  </w:r>
                  <w:r>
                    <w:rPr>
                      <w:rFonts w:ascii="Times New Roman" w:hAnsi="Times New Roman" w:eastAsia="宋体" w:cs="Times New Roman"/>
                      <w:color w:val="auto"/>
                      <w:position w:val="1"/>
                      <w:sz w:val="21"/>
                      <w:highlight w:val="none"/>
                    </w:rPr>
                    <w:t>Mb</w:t>
                  </w:r>
                  <w:r>
                    <w:rPr>
                      <w:rFonts w:ascii="Times New Roman" w:hAnsi="Times New Roman" w:eastAsia="宋体" w:cs="Times New Roman"/>
                      <w:color w:val="auto"/>
                      <w:spacing w:val="6"/>
                      <w:position w:val="1"/>
                      <w:sz w:val="21"/>
                      <w:highlight w:val="none"/>
                    </w:rPr>
                    <w:t>≥6.0m</w:t>
                  </w:r>
                  <w:r>
                    <w:rPr>
                      <w:rFonts w:ascii="Times New Roman" w:hAnsi="Times New Roman" w:eastAsia="宋体"/>
                      <w:color w:val="auto"/>
                      <w:spacing w:val="6"/>
                      <w:position w:val="1"/>
                      <w:sz w:val="21"/>
                      <w:highlight w:val="none"/>
                    </w:rPr>
                    <w:t>，</w:t>
                  </w:r>
                  <w:r>
                    <w:rPr>
                      <w:rFonts w:ascii="Times New Roman" w:hAnsi="Times New Roman" w:eastAsia="宋体" w:cs="Times New Roman"/>
                      <w:color w:val="auto"/>
                      <w:spacing w:val="6"/>
                      <w:position w:val="1"/>
                      <w:sz w:val="21"/>
                      <w:highlight w:val="none"/>
                    </w:rPr>
                    <w:t>K≤10</w:t>
                  </w:r>
                  <w:r>
                    <w:rPr>
                      <w:rFonts w:ascii="Times New Roman" w:hAnsi="Times New Roman" w:eastAsia="宋体" w:cs="Times New Roman"/>
                      <w:color w:val="auto"/>
                      <w:spacing w:val="6"/>
                      <w:position w:val="1"/>
                      <w:sz w:val="21"/>
                      <w:szCs w:val="13"/>
                      <w:highlight w:val="none"/>
                      <w:vertAlign w:val="superscript"/>
                    </w:rPr>
                    <w:t>-7</w:t>
                  </w:r>
                  <w:r>
                    <w:rPr>
                      <w:rFonts w:ascii="Times New Roman" w:hAnsi="Times New Roman" w:eastAsia="宋体" w:cs="Times New Roman"/>
                      <w:color w:val="auto"/>
                      <w:position w:val="1"/>
                      <w:sz w:val="21"/>
                      <w:highlight w:val="none"/>
                    </w:rPr>
                    <w:t>cm</w:t>
                  </w:r>
                  <w:r>
                    <w:rPr>
                      <w:rFonts w:ascii="Times New Roman" w:hAnsi="Times New Roman" w:eastAsia="宋体" w:cs="Times New Roman"/>
                      <w:color w:val="auto"/>
                      <w:spacing w:val="6"/>
                      <w:position w:val="1"/>
                      <w:sz w:val="21"/>
                      <w:highlight w:val="none"/>
                    </w:rPr>
                    <w:t>/s</w:t>
                  </w:r>
                  <w:r>
                    <w:rPr>
                      <w:rFonts w:ascii="Times New Roman" w:hAnsi="Times New Roman" w:eastAsia="宋体"/>
                      <w:color w:val="auto"/>
                      <w:spacing w:val="6"/>
                      <w:position w:val="1"/>
                      <w:sz w:val="21"/>
                      <w:highlight w:val="none"/>
                    </w:rPr>
                    <w:t>或者</w:t>
                  </w:r>
                </w:p>
                <w:p w14:paraId="381C1C6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position w:val="1"/>
                      <w:sz w:val="21"/>
                      <w:highlight w:val="none"/>
                    </w:rPr>
                    <w:t>参照</w:t>
                  </w:r>
                  <w:r>
                    <w:rPr>
                      <w:rFonts w:ascii="Times New Roman" w:hAnsi="Times New Roman" w:eastAsia="宋体" w:cs="Times New Roman"/>
                      <w:color w:val="auto"/>
                      <w:position w:val="1"/>
                      <w:sz w:val="21"/>
                      <w:highlight w:val="none"/>
                    </w:rPr>
                    <w:t>GB</w:t>
                  </w:r>
                  <w:r>
                    <w:rPr>
                      <w:rFonts w:ascii="Times New Roman" w:hAnsi="Times New Roman" w:eastAsia="宋体" w:cs="Times New Roman"/>
                      <w:color w:val="auto"/>
                      <w:spacing w:val="6"/>
                      <w:position w:val="1"/>
                      <w:sz w:val="21"/>
                      <w:highlight w:val="none"/>
                    </w:rPr>
                    <w:t>18598</w:t>
                  </w:r>
                  <w:r>
                    <w:rPr>
                      <w:rFonts w:ascii="Times New Roman" w:hAnsi="Times New Roman" w:eastAsia="宋体"/>
                      <w:color w:val="auto"/>
                      <w:spacing w:val="6"/>
                      <w:position w:val="1"/>
                      <w:sz w:val="21"/>
                      <w:highlight w:val="none"/>
                    </w:rPr>
                    <w:t>执行</w:t>
                  </w:r>
                </w:p>
              </w:tc>
            </w:tr>
            <w:tr w14:paraId="2D7707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930" w:type="pct"/>
                  <w:tcBorders>
                    <w:tl2br w:val="nil"/>
                    <w:tr2bl w:val="nil"/>
                  </w:tcBorders>
                  <w:vAlign w:val="center"/>
                </w:tcPr>
                <w:p w14:paraId="52BCA9FC">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一般防渗区</w:t>
                  </w:r>
                </w:p>
              </w:tc>
              <w:tc>
                <w:tcPr>
                  <w:tcW w:w="1349" w:type="pct"/>
                  <w:tcBorders>
                    <w:tl2br w:val="nil"/>
                    <w:tr2bl w:val="nil"/>
                  </w:tcBorders>
                  <w:vAlign w:val="center"/>
                </w:tcPr>
                <w:p w14:paraId="254650E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一般固废暂存间、半</w:t>
                  </w:r>
                  <w:r>
                    <w:rPr>
                      <w:rFonts w:ascii="Times New Roman" w:hAnsi="Times New Roman" w:eastAsia="宋体"/>
                      <w:color w:val="auto"/>
                      <w:spacing w:val="8"/>
                      <w:sz w:val="21"/>
                      <w:highlight w:val="none"/>
                    </w:rPr>
                    <w:t>成品库、成品库</w:t>
                  </w:r>
                </w:p>
              </w:tc>
              <w:tc>
                <w:tcPr>
                  <w:tcW w:w="2719" w:type="pct"/>
                  <w:tcBorders>
                    <w:tl2br w:val="nil"/>
                    <w:tr2bl w:val="nil"/>
                  </w:tcBorders>
                  <w:vAlign w:val="center"/>
                </w:tcPr>
                <w:p w14:paraId="1D7B7CFE">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position w:val="1"/>
                      <w:sz w:val="21"/>
                      <w:highlight w:val="none"/>
                    </w:rPr>
                    <w:t>等效黏土防渗层</w:t>
                  </w:r>
                  <w:r>
                    <w:rPr>
                      <w:rFonts w:ascii="Times New Roman" w:hAnsi="Times New Roman" w:eastAsia="宋体" w:cs="Times New Roman"/>
                      <w:color w:val="auto"/>
                      <w:position w:val="1"/>
                      <w:sz w:val="21"/>
                      <w:highlight w:val="none"/>
                    </w:rPr>
                    <w:t>Mb</w:t>
                  </w:r>
                  <w:r>
                    <w:rPr>
                      <w:rFonts w:ascii="Times New Roman" w:hAnsi="Times New Roman" w:eastAsia="宋体" w:cs="Times New Roman"/>
                      <w:color w:val="auto"/>
                      <w:spacing w:val="4"/>
                      <w:position w:val="1"/>
                      <w:sz w:val="21"/>
                      <w:highlight w:val="none"/>
                    </w:rPr>
                    <w:t>≥1.5m</w:t>
                  </w:r>
                  <w:r>
                    <w:rPr>
                      <w:rFonts w:ascii="Times New Roman" w:hAnsi="Times New Roman" w:eastAsia="宋体"/>
                      <w:color w:val="auto"/>
                      <w:spacing w:val="4"/>
                      <w:position w:val="1"/>
                      <w:sz w:val="21"/>
                      <w:highlight w:val="none"/>
                    </w:rPr>
                    <w:t>，</w:t>
                  </w:r>
                  <w:r>
                    <w:rPr>
                      <w:rFonts w:ascii="Times New Roman" w:hAnsi="Times New Roman" w:eastAsia="宋体" w:cs="Times New Roman"/>
                      <w:color w:val="auto"/>
                      <w:spacing w:val="4"/>
                      <w:position w:val="1"/>
                      <w:sz w:val="21"/>
                      <w:highlight w:val="none"/>
                    </w:rPr>
                    <w:t>K≤1×10</w:t>
                  </w:r>
                  <w:r>
                    <w:rPr>
                      <w:rFonts w:ascii="Times New Roman" w:hAnsi="Times New Roman" w:eastAsia="宋体" w:cs="Times New Roman"/>
                      <w:color w:val="auto"/>
                      <w:spacing w:val="4"/>
                      <w:position w:val="1"/>
                      <w:sz w:val="21"/>
                      <w:szCs w:val="13"/>
                      <w:highlight w:val="none"/>
                      <w:vertAlign w:val="superscript"/>
                    </w:rPr>
                    <w:t>-7</w:t>
                  </w:r>
                  <w:r>
                    <w:rPr>
                      <w:rFonts w:ascii="Times New Roman" w:hAnsi="Times New Roman" w:eastAsia="宋体" w:cs="Times New Roman"/>
                      <w:color w:val="auto"/>
                      <w:position w:val="1"/>
                      <w:sz w:val="21"/>
                      <w:highlight w:val="none"/>
                    </w:rPr>
                    <w:t>cm</w:t>
                  </w:r>
                  <w:r>
                    <w:rPr>
                      <w:rFonts w:ascii="Times New Roman" w:hAnsi="Times New Roman" w:eastAsia="宋体" w:cs="Times New Roman"/>
                      <w:color w:val="auto"/>
                      <w:spacing w:val="4"/>
                      <w:position w:val="1"/>
                      <w:sz w:val="21"/>
                      <w:highlight w:val="none"/>
                    </w:rPr>
                    <w:t>/s</w:t>
                  </w:r>
                  <w:r>
                    <w:rPr>
                      <w:rFonts w:ascii="Times New Roman" w:hAnsi="Times New Roman" w:eastAsia="宋体"/>
                      <w:color w:val="auto"/>
                      <w:spacing w:val="4"/>
                      <w:position w:val="1"/>
                      <w:sz w:val="21"/>
                      <w:highlight w:val="none"/>
                    </w:rPr>
                    <w:t>；</w:t>
                  </w:r>
                </w:p>
                <w:p w14:paraId="30CAAD76">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position w:val="1"/>
                      <w:sz w:val="21"/>
                      <w:highlight w:val="none"/>
                    </w:rPr>
                    <w:t>或参照</w:t>
                  </w:r>
                  <w:r>
                    <w:rPr>
                      <w:rFonts w:ascii="Times New Roman" w:hAnsi="Times New Roman" w:eastAsia="宋体" w:cs="Times New Roman"/>
                      <w:color w:val="auto"/>
                      <w:position w:val="1"/>
                      <w:sz w:val="21"/>
                      <w:highlight w:val="none"/>
                    </w:rPr>
                    <w:t>GB</w:t>
                  </w:r>
                  <w:r>
                    <w:rPr>
                      <w:rFonts w:ascii="Times New Roman" w:hAnsi="Times New Roman" w:eastAsia="宋体" w:cs="Times New Roman"/>
                      <w:color w:val="auto"/>
                      <w:spacing w:val="6"/>
                      <w:position w:val="1"/>
                      <w:sz w:val="21"/>
                      <w:highlight w:val="none"/>
                    </w:rPr>
                    <w:t>16889</w:t>
                  </w:r>
                  <w:r>
                    <w:rPr>
                      <w:rFonts w:ascii="Times New Roman" w:hAnsi="Times New Roman" w:eastAsia="宋体"/>
                      <w:color w:val="auto"/>
                      <w:spacing w:val="6"/>
                      <w:position w:val="1"/>
                      <w:sz w:val="21"/>
                      <w:highlight w:val="none"/>
                    </w:rPr>
                    <w:t>执行</w:t>
                  </w:r>
                </w:p>
              </w:tc>
            </w:tr>
            <w:tr w14:paraId="7D311D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48" w:hRule="atLeast"/>
              </w:trPr>
              <w:tc>
                <w:tcPr>
                  <w:tcW w:w="930" w:type="pct"/>
                  <w:tcBorders>
                    <w:tl2br w:val="nil"/>
                    <w:tr2bl w:val="nil"/>
                  </w:tcBorders>
                  <w:vAlign w:val="center"/>
                </w:tcPr>
                <w:p w14:paraId="2D34EBB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简单防渗区</w:t>
                  </w:r>
                </w:p>
              </w:tc>
              <w:tc>
                <w:tcPr>
                  <w:tcW w:w="1349" w:type="pct"/>
                  <w:tcBorders>
                    <w:tl2br w:val="nil"/>
                    <w:tr2bl w:val="nil"/>
                  </w:tcBorders>
                  <w:vAlign w:val="center"/>
                </w:tcPr>
                <w:p w14:paraId="067A0B7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办公区、厂内其他区</w:t>
                  </w:r>
                </w:p>
                <w:p w14:paraId="2FF8AB55">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z w:val="21"/>
                      <w:highlight w:val="none"/>
                    </w:rPr>
                    <w:t>域</w:t>
                  </w:r>
                </w:p>
              </w:tc>
              <w:tc>
                <w:tcPr>
                  <w:tcW w:w="2719" w:type="pct"/>
                  <w:tcBorders>
                    <w:tl2br w:val="nil"/>
                    <w:tr2bl w:val="nil"/>
                  </w:tcBorders>
                  <w:vAlign w:val="center"/>
                </w:tcPr>
                <w:p w14:paraId="6390375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一般地面硬化</w:t>
                  </w:r>
                </w:p>
              </w:tc>
            </w:tr>
          </w:tbl>
          <w:p w14:paraId="26776F32">
            <w:pPr>
              <w:pStyle w:val="118"/>
              <w:ind w:firstLine="31680"/>
              <w:rPr>
                <w:rFonts w:ascii="Times New Roman" w:hAnsi="Times New Roman" w:eastAsia="宋体"/>
                <w:color w:val="auto"/>
                <w:highlight w:val="none"/>
              </w:rPr>
            </w:pPr>
            <w:r>
              <w:rPr>
                <w:rFonts w:hint="eastAsia" w:ascii="Times New Roman" w:hAnsi="Times New Roman" w:eastAsia="宋体"/>
                <w:color w:val="auto"/>
                <w:highlight w:val="none"/>
              </w:rPr>
              <w:t>（</w:t>
            </w:r>
            <w:r>
              <w:rPr>
                <w:rFonts w:ascii="Times New Roman" w:hAnsi="Times New Roman" w:eastAsia="宋体"/>
                <w:color w:val="auto"/>
                <w:highlight w:val="none"/>
              </w:rPr>
              <w:t>1</w:t>
            </w:r>
            <w:r>
              <w:rPr>
                <w:rFonts w:hint="eastAsia" w:ascii="Times New Roman" w:hAnsi="Times New Roman" w:eastAsia="宋体"/>
                <w:color w:val="auto"/>
                <w:highlight w:val="none"/>
              </w:rPr>
              <w:t>）地下水、土壤环境影响分析</w:t>
            </w:r>
          </w:p>
          <w:p w14:paraId="1A2CF94E">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1）污水处理设施发生损坏和跑冒滴漏对地下水的影响</w:t>
            </w:r>
          </w:p>
          <w:p w14:paraId="4942E6FB">
            <w:pPr>
              <w:pStyle w:val="44"/>
              <w:bidi w:val="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营运期可能对地下水环境造成影响的因素为</w:t>
            </w:r>
            <w:r>
              <w:rPr>
                <w:rFonts w:hint="eastAsia" w:ascii="Times New Roman" w:hAnsi="Times New Roman" w:eastAsia="宋体" w:cs="Times New Roman"/>
                <w:color w:val="auto"/>
                <w:sz w:val="24"/>
                <w:szCs w:val="22"/>
                <w:highlight w:val="none"/>
                <w:lang w:val="en-US" w:eastAsia="zh-CN"/>
              </w:rPr>
              <w:t>化粪池</w:t>
            </w:r>
            <w:r>
              <w:rPr>
                <w:rFonts w:hint="default" w:ascii="Times New Roman" w:hAnsi="Times New Roman" w:eastAsia="宋体" w:cs="Times New Roman"/>
                <w:color w:val="auto"/>
                <w:sz w:val="24"/>
                <w:szCs w:val="22"/>
                <w:highlight w:val="none"/>
                <w:lang w:val="en-US" w:eastAsia="zh-CN"/>
              </w:rPr>
              <w:t>渗漏、</w:t>
            </w:r>
            <w:r>
              <w:rPr>
                <w:rFonts w:hint="eastAsia" w:ascii="Times New Roman" w:hAnsi="Times New Roman" w:eastAsia="宋体" w:cs="Times New Roman"/>
                <w:color w:val="auto"/>
                <w:sz w:val="24"/>
                <w:szCs w:val="22"/>
                <w:highlight w:val="none"/>
                <w:lang w:val="en-US" w:eastAsia="zh-CN"/>
              </w:rPr>
              <w:t>生活</w:t>
            </w:r>
            <w:r>
              <w:rPr>
                <w:rFonts w:hint="default" w:ascii="Times New Roman" w:hAnsi="Times New Roman" w:eastAsia="宋体" w:cs="Times New Roman"/>
                <w:color w:val="auto"/>
                <w:sz w:val="24"/>
                <w:szCs w:val="22"/>
                <w:highlight w:val="none"/>
                <w:lang w:val="en-US" w:eastAsia="zh-CN"/>
              </w:rPr>
              <w:t>污水管道破裂</w:t>
            </w:r>
            <w:r>
              <w:rPr>
                <w:rFonts w:hint="eastAsia" w:ascii="Times New Roman" w:hAnsi="Times New Roman" w:eastAsia="宋体" w:cs="Times New Roman"/>
                <w:color w:val="auto"/>
                <w:sz w:val="24"/>
                <w:szCs w:val="22"/>
                <w:highlight w:val="none"/>
                <w:lang w:val="en-US" w:eastAsia="zh-CN"/>
              </w:rPr>
              <w:t>导致废水</w:t>
            </w:r>
            <w:r>
              <w:rPr>
                <w:rFonts w:hint="default" w:ascii="Times New Roman" w:hAnsi="Times New Roman" w:eastAsia="宋体" w:cs="Times New Roman"/>
                <w:color w:val="auto"/>
                <w:sz w:val="24"/>
                <w:szCs w:val="22"/>
                <w:highlight w:val="none"/>
                <w:lang w:val="en-US" w:eastAsia="zh-CN"/>
              </w:rPr>
              <w:t>渗漏等所造成的污水事故排放和渗漏。</w:t>
            </w:r>
          </w:p>
          <w:p w14:paraId="5DF4328C">
            <w:pPr>
              <w:pStyle w:val="44"/>
              <w:bidi w:val="0"/>
              <w:rPr>
                <w:rFonts w:hint="default" w:ascii="Times New Roman" w:hAnsi="Times New Roman" w:eastAsia="宋体" w:cs="Times New Roman"/>
                <w:color w:val="auto"/>
                <w:sz w:val="24"/>
                <w:szCs w:val="22"/>
                <w:highlight w:val="none"/>
                <w:lang w:val="en-US" w:eastAsia="zh-CN"/>
              </w:rPr>
            </w:pPr>
            <w:r>
              <w:rPr>
                <w:rFonts w:hint="default" w:ascii="Times New Roman" w:hAnsi="Times New Roman" w:eastAsia="宋体" w:cs="Times New Roman"/>
                <w:color w:val="auto"/>
                <w:sz w:val="24"/>
                <w:szCs w:val="22"/>
                <w:highlight w:val="none"/>
                <w:lang w:val="en-US" w:eastAsia="zh-CN"/>
              </w:rPr>
              <w:t>一般情况下，废水渗漏主要考虑废水容纳构筑物底部破损渗漏和排水管道渗漏两个方面。只要严格按照相应规范要求施工并在竣工验收时严把质量关，废水容纳构筑物底部破损渗漏对地下水产生影响的情况是可以避免的。</w:t>
            </w:r>
          </w:p>
          <w:p w14:paraId="21B1076E">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2）原料</w:t>
            </w:r>
            <w:r>
              <w:rPr>
                <w:rFonts w:hint="eastAsia" w:cs="Times New Roman"/>
                <w:color w:val="auto"/>
                <w:highlight w:val="none"/>
                <w:lang w:val="en-US" w:eastAsia="zh-CN"/>
              </w:rPr>
              <w:t>贮存区</w:t>
            </w:r>
            <w:r>
              <w:rPr>
                <w:rFonts w:hint="default" w:ascii="Times New Roman" w:hAnsi="Times New Roman" w:eastAsia="宋体" w:cs="Times New Roman"/>
                <w:color w:val="auto"/>
                <w:highlight w:val="none"/>
                <w:lang w:val="en-US" w:eastAsia="zh-CN"/>
              </w:rPr>
              <w:t>对地下水的影响</w:t>
            </w:r>
          </w:p>
          <w:p w14:paraId="0E345E09">
            <w:pPr>
              <w:pStyle w:val="44"/>
              <w:bidi w:val="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项目原料</w:t>
            </w:r>
            <w:r>
              <w:rPr>
                <w:rFonts w:hint="eastAsia" w:ascii="Times New Roman" w:hAnsi="Times New Roman" w:eastAsia="宋体" w:cs="Times New Roman"/>
                <w:color w:val="auto"/>
                <w:highlight w:val="none"/>
                <w:lang w:val="en-US" w:eastAsia="zh-CN"/>
              </w:rPr>
              <w:t>为</w:t>
            </w:r>
            <w:r>
              <w:rPr>
                <w:rFonts w:hint="eastAsia"/>
                <w:color w:val="auto"/>
                <w:highlight w:val="none"/>
                <w:lang w:val="en-US" w:eastAsia="zh-CN"/>
              </w:rPr>
              <w:t>机油、电泳涂料等</w:t>
            </w:r>
            <w:r>
              <w:rPr>
                <w:rFonts w:hint="default" w:ascii="Times New Roman" w:hAnsi="Times New Roman" w:eastAsia="宋体" w:cs="Times New Roman"/>
                <w:color w:val="auto"/>
                <w:highlight w:val="none"/>
                <w:lang w:val="en-US" w:eastAsia="zh-CN"/>
              </w:rPr>
              <w:t>，原料</w:t>
            </w:r>
            <w:r>
              <w:rPr>
                <w:rFonts w:hint="eastAsia" w:cs="Times New Roman"/>
                <w:color w:val="auto"/>
                <w:highlight w:val="none"/>
                <w:lang w:val="en-US" w:eastAsia="zh-CN"/>
              </w:rPr>
              <w:t>贮存区</w:t>
            </w:r>
            <w:r>
              <w:rPr>
                <w:rFonts w:hint="default" w:ascii="Times New Roman" w:hAnsi="Times New Roman" w:eastAsia="宋体" w:cs="Times New Roman"/>
                <w:color w:val="auto"/>
                <w:highlight w:val="none"/>
                <w:lang w:val="en-US" w:eastAsia="zh-CN"/>
              </w:rPr>
              <w:t>均采用硬底化地面，因此项目原料</w:t>
            </w:r>
            <w:r>
              <w:rPr>
                <w:rFonts w:hint="eastAsia" w:cs="Times New Roman"/>
                <w:color w:val="auto"/>
                <w:highlight w:val="none"/>
                <w:lang w:val="en-US" w:eastAsia="zh-CN"/>
              </w:rPr>
              <w:t>贮存区</w:t>
            </w:r>
            <w:r>
              <w:rPr>
                <w:rFonts w:hint="default" w:ascii="Times New Roman" w:hAnsi="Times New Roman" w:eastAsia="宋体" w:cs="Times New Roman"/>
                <w:color w:val="auto"/>
                <w:highlight w:val="none"/>
                <w:lang w:val="en-US" w:eastAsia="zh-CN"/>
              </w:rPr>
              <w:t>不会出现液体渗漏污染地下水情况。</w:t>
            </w:r>
          </w:p>
          <w:p w14:paraId="4D8434B2">
            <w:pPr>
              <w:pStyle w:val="44"/>
              <w:bidi w:val="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3）固体废物</w:t>
            </w:r>
            <w:r>
              <w:rPr>
                <w:rFonts w:hint="default" w:ascii="Times New Roman" w:hAnsi="Times New Roman" w:eastAsia="宋体" w:cs="Times New Roman"/>
                <w:color w:val="auto"/>
                <w:sz w:val="24"/>
                <w:szCs w:val="22"/>
                <w:highlight w:val="none"/>
                <w:lang w:val="en-US" w:eastAsia="zh-CN"/>
              </w:rPr>
              <w:t>淋溶对地下水的影响</w:t>
            </w:r>
          </w:p>
          <w:p w14:paraId="3C7402CF">
            <w:pPr>
              <w:pStyle w:val="88"/>
              <w:ind w:firstLine="3168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在项目生产车间、原料</w:t>
            </w:r>
            <w:r>
              <w:rPr>
                <w:rFonts w:hint="eastAsia" w:cs="Times New Roman"/>
                <w:color w:val="auto"/>
                <w:highlight w:val="none"/>
                <w:lang w:val="en-US" w:eastAsia="zh-CN"/>
              </w:rPr>
              <w:t>贮存区</w:t>
            </w:r>
            <w:r>
              <w:rPr>
                <w:rFonts w:hint="default" w:ascii="Times New Roman" w:hAnsi="Times New Roman" w:eastAsia="宋体" w:cs="Times New Roman"/>
                <w:color w:val="auto"/>
                <w:highlight w:val="none"/>
                <w:lang w:val="en-US" w:eastAsia="zh-CN"/>
              </w:rPr>
              <w:t>和</w:t>
            </w:r>
            <w:r>
              <w:rPr>
                <w:rFonts w:hint="eastAsia" w:cs="Times New Roman"/>
                <w:color w:val="auto"/>
                <w:highlight w:val="none"/>
                <w:lang w:val="en-US" w:eastAsia="zh-CN"/>
              </w:rPr>
              <w:t>固废堆存区</w:t>
            </w:r>
            <w:r>
              <w:rPr>
                <w:rFonts w:hint="default" w:ascii="Times New Roman" w:hAnsi="Times New Roman" w:eastAsia="宋体" w:cs="Times New Roman"/>
                <w:color w:val="auto"/>
                <w:highlight w:val="none"/>
                <w:lang w:val="en-US" w:eastAsia="zh-CN"/>
              </w:rPr>
              <w:t>所按要求做好地面防渗工作，加强日常管理维护，污染物不易发生渗漏。因此，区域内通过饱水带下渗污染地下水的可能性很小，对</w:t>
            </w:r>
            <w:r>
              <w:rPr>
                <w:rFonts w:hint="eastAsia" w:ascii="Times New Roman" w:hAnsi="Times New Roman" w:eastAsia="宋体" w:cs="Times New Roman"/>
                <w:color w:val="auto"/>
                <w:highlight w:val="none"/>
                <w:lang w:val="en-US" w:eastAsia="zh-CN"/>
              </w:rPr>
              <w:t>区域地下水</w:t>
            </w:r>
            <w:r>
              <w:rPr>
                <w:rFonts w:hint="default" w:ascii="Times New Roman" w:hAnsi="Times New Roman" w:eastAsia="宋体" w:cs="Times New Roman"/>
                <w:color w:val="auto"/>
                <w:highlight w:val="none"/>
                <w:lang w:val="en-US" w:eastAsia="zh-CN"/>
              </w:rPr>
              <w:t>环境影响不大</w:t>
            </w:r>
            <w:r>
              <w:rPr>
                <w:rFonts w:hint="eastAsia" w:ascii="Times New Roman" w:hAnsi="Times New Roman" w:eastAsia="宋体" w:cs="Times New Roman"/>
                <w:color w:val="auto"/>
                <w:highlight w:val="none"/>
                <w:lang w:val="en-US" w:eastAsia="zh-CN"/>
              </w:rPr>
              <w:t>。</w:t>
            </w:r>
          </w:p>
          <w:p w14:paraId="7EF3AEA8">
            <w:pPr>
              <w:pStyle w:val="88"/>
              <w:ind w:firstLine="31680"/>
              <w:rPr>
                <w:rFonts w:hint="default" w:ascii="Times New Roman" w:hAnsi="Times New Roman" w:eastAsia="宋体" w:cs="Times New Roman"/>
                <w:color w:val="auto"/>
                <w:highlight w:val="none"/>
                <w:lang w:val="en-US" w:eastAsia="zh-CN"/>
              </w:rPr>
            </w:pPr>
            <w:r>
              <w:rPr>
                <w:rFonts w:hint="eastAsia" w:ascii="Times New Roman" w:hAnsi="Times New Roman" w:eastAsia="宋体"/>
                <w:color w:val="auto"/>
                <w:highlight w:val="none"/>
              </w:rPr>
              <w:t>（</w:t>
            </w:r>
            <w:r>
              <w:rPr>
                <w:rFonts w:hint="eastAsia" w:ascii="Times New Roman" w:hAnsi="Times New Roman" w:eastAsia="宋体"/>
                <w:color w:val="auto"/>
                <w:highlight w:val="none"/>
                <w:lang w:val="en-US" w:eastAsia="zh-CN"/>
              </w:rPr>
              <w:t>2</w:t>
            </w:r>
            <w:r>
              <w:rPr>
                <w:rFonts w:hint="eastAsia" w:ascii="Times New Roman" w:hAnsi="Times New Roman" w:eastAsia="宋体"/>
                <w:color w:val="auto"/>
                <w:highlight w:val="none"/>
              </w:rPr>
              <w:t>）污染防控措施</w:t>
            </w:r>
          </w:p>
          <w:p w14:paraId="2410C8A5">
            <w:pPr>
              <w:pStyle w:val="44"/>
              <w:bidi w:val="0"/>
              <w:rPr>
                <w:rFonts w:hint="default" w:ascii="Times New Roman" w:hAnsi="Times New Roman" w:eastAsia="宋体"/>
                <w:color w:val="auto"/>
                <w:highlight w:val="none"/>
                <w:lang w:val="en-US" w:eastAsia="zh-CN"/>
              </w:rPr>
            </w:pPr>
            <w:r>
              <w:rPr>
                <w:rFonts w:hint="default" w:ascii="Times New Roman" w:hAnsi="Times New Roman" w:eastAsia="宋体"/>
                <w:color w:val="auto"/>
                <w:highlight w:val="none"/>
                <w:lang w:val="en-US" w:eastAsia="zh-CN"/>
              </w:rPr>
              <w:t>本项目地下水及土壤污染防治措施按照</w:t>
            </w:r>
            <w:r>
              <w:rPr>
                <w:rFonts w:hint="eastAsia" w:ascii="Times New Roman" w:hAnsi="Times New Roman" w:eastAsia="宋体" w:cs="宋体"/>
                <w:color w:val="auto"/>
                <w:highlight w:val="none"/>
                <w:lang w:val="en-US" w:eastAsia="zh-CN"/>
              </w:rPr>
              <w:t>“源头控制、分区防治、污染监控、应急响应”相结</w:t>
            </w:r>
            <w:r>
              <w:rPr>
                <w:rFonts w:hint="default" w:ascii="Times New Roman" w:hAnsi="Times New Roman" w:eastAsia="宋体"/>
                <w:color w:val="auto"/>
                <w:highlight w:val="none"/>
                <w:lang w:val="en-US" w:eastAsia="zh-CN"/>
              </w:rPr>
              <w:t>合的原则，从污染物的产生、入渗、扩散、应急响应全方位进行控制。</w:t>
            </w:r>
          </w:p>
          <w:p w14:paraId="5BAEA850">
            <w:pPr>
              <w:pStyle w:val="44"/>
              <w:bidi w:val="0"/>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1）源头控制措施</w:t>
            </w:r>
          </w:p>
          <w:p w14:paraId="5E041C0E">
            <w:pPr>
              <w:pStyle w:val="44"/>
              <w:bidi w:val="0"/>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①</w:t>
            </w:r>
            <w:r>
              <w:rPr>
                <w:rFonts w:hint="default" w:ascii="Times New Roman" w:hAnsi="Times New Roman" w:eastAsia="宋体"/>
                <w:color w:val="auto"/>
                <w:highlight w:val="none"/>
                <w:lang w:val="en-US" w:eastAsia="zh-CN"/>
              </w:rPr>
              <w:t>危废</w:t>
            </w:r>
            <w:r>
              <w:rPr>
                <w:rFonts w:hint="eastAsia"/>
                <w:color w:val="auto"/>
                <w:highlight w:val="none"/>
                <w:lang w:val="en-US" w:eastAsia="zh-CN"/>
              </w:rPr>
              <w:t>仓库</w:t>
            </w:r>
            <w:r>
              <w:rPr>
                <w:rFonts w:hint="default" w:ascii="Times New Roman" w:hAnsi="Times New Roman" w:eastAsia="宋体"/>
                <w:color w:val="auto"/>
                <w:highlight w:val="none"/>
                <w:lang w:val="en-US" w:eastAsia="zh-CN"/>
              </w:rPr>
              <w:t>区域进行防腐防渗措施，如地面采取防渗，并在</w:t>
            </w:r>
            <w:r>
              <w:rPr>
                <w:rFonts w:hint="eastAsia" w:ascii="Times New Roman" w:hAnsi="Times New Roman" w:eastAsia="宋体"/>
                <w:color w:val="auto"/>
                <w:highlight w:val="none"/>
                <w:lang w:val="en-US" w:eastAsia="zh-CN"/>
              </w:rPr>
              <w:t>危险废物</w:t>
            </w:r>
            <w:r>
              <w:rPr>
                <w:rFonts w:hint="default" w:ascii="Times New Roman" w:hAnsi="Times New Roman" w:eastAsia="宋体"/>
                <w:color w:val="auto"/>
                <w:highlight w:val="none"/>
                <w:lang w:val="en-US" w:eastAsia="zh-CN"/>
              </w:rPr>
              <w:t>设置托盘，防止液体滴落地面造成污染；</w:t>
            </w:r>
            <w:r>
              <w:rPr>
                <w:rFonts w:hint="eastAsia"/>
                <w:color w:val="auto"/>
                <w:highlight w:val="none"/>
                <w:lang w:val="en-US" w:eastAsia="zh-CN"/>
              </w:rPr>
              <w:t>废机油</w:t>
            </w:r>
            <w:r>
              <w:rPr>
                <w:rFonts w:hint="default" w:ascii="Times New Roman" w:hAnsi="Times New Roman" w:eastAsia="宋体"/>
                <w:color w:val="auto"/>
                <w:highlight w:val="none"/>
                <w:lang w:val="en-US" w:eastAsia="zh-CN"/>
              </w:rPr>
              <w:t>储存区设置围堰，并对围堰采取防腐、防渗处理。</w:t>
            </w:r>
          </w:p>
          <w:p w14:paraId="7DF02DE1">
            <w:pPr>
              <w:pStyle w:val="44"/>
              <w:bidi w:val="0"/>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②加强危废储存场地的检修、加固，防止渗漏，对地下水造成污染。</w:t>
            </w:r>
          </w:p>
          <w:p w14:paraId="4EFE30E5">
            <w:pPr>
              <w:pStyle w:val="44"/>
              <w:bidi w:val="0"/>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2）</w:t>
            </w:r>
            <w:r>
              <w:rPr>
                <w:rFonts w:hint="default" w:ascii="Times New Roman" w:hAnsi="Times New Roman" w:eastAsia="宋体"/>
                <w:color w:val="auto"/>
                <w:highlight w:val="none"/>
                <w:lang w:val="en-US" w:eastAsia="zh-CN"/>
              </w:rPr>
              <w:t>防渗分区防治及措施</w:t>
            </w:r>
          </w:p>
          <w:p w14:paraId="7320198C">
            <w:pPr>
              <w:pStyle w:val="118"/>
              <w:rPr>
                <w:rFonts w:hint="default" w:ascii="Times New Roman" w:hAnsi="Times New Roman" w:eastAsia="宋体"/>
                <w:smallCaps w:val="0"/>
                <w:color w:val="auto"/>
                <w:highlight w:val="none"/>
                <w:shd w:val="clear" w:color="auto" w:fill="auto"/>
                <w:lang w:val="en-US" w:eastAsia="zh-CN"/>
              </w:rPr>
            </w:pPr>
            <w:r>
              <w:rPr>
                <w:rFonts w:hint="default" w:ascii="Times New Roman" w:hAnsi="Times New Roman" w:eastAsia="宋体"/>
                <w:color w:val="auto"/>
                <w:highlight w:val="none"/>
                <w:lang w:val="en-US" w:eastAsia="zh-CN"/>
              </w:rPr>
              <w:t>根据防渗分区技术方法及本项目的工程分析，将危废</w:t>
            </w:r>
            <w:r>
              <w:rPr>
                <w:rFonts w:hint="eastAsia" w:ascii="Times New Roman" w:hAnsi="Times New Roman" w:eastAsia="宋体"/>
                <w:color w:val="auto"/>
                <w:highlight w:val="none"/>
                <w:lang w:val="en-US" w:eastAsia="zh-CN"/>
              </w:rPr>
              <w:t>仓库、</w:t>
            </w:r>
            <w:r>
              <w:rPr>
                <w:rFonts w:hint="eastAsia"/>
                <w:color w:val="auto"/>
                <w:highlight w:val="none"/>
                <w:lang w:val="en-US" w:eastAsia="zh-CN"/>
              </w:rPr>
              <w:t>污水处理站</w:t>
            </w:r>
            <w:r>
              <w:rPr>
                <w:rFonts w:hint="default" w:ascii="Times New Roman" w:hAnsi="Times New Roman" w:eastAsia="宋体"/>
                <w:color w:val="auto"/>
                <w:highlight w:val="none"/>
                <w:lang w:val="en-US" w:eastAsia="zh-CN"/>
              </w:rPr>
              <w:t>划分为重点防渗区；厂房其他生产区划分为一般防渗区</w:t>
            </w:r>
            <w:r>
              <w:rPr>
                <w:rFonts w:hint="eastAsia"/>
                <w:color w:val="auto"/>
                <w:highlight w:val="none"/>
                <w:lang w:eastAsia="zh-CN"/>
              </w:rPr>
              <w:t>，</w:t>
            </w:r>
            <w:r>
              <w:rPr>
                <w:rFonts w:hint="eastAsia"/>
                <w:color w:val="auto"/>
                <w:highlight w:val="none"/>
                <w:lang w:val="en-US" w:eastAsia="zh-CN"/>
              </w:rPr>
              <w:t>厂区道路设置为简单防渗区</w:t>
            </w:r>
            <w:r>
              <w:rPr>
                <w:rFonts w:hint="default" w:ascii="Times New Roman" w:hAnsi="Times New Roman" w:eastAsia="宋体"/>
                <w:color w:val="auto"/>
                <w:highlight w:val="none"/>
                <w:lang w:val="en-US" w:eastAsia="zh-CN"/>
              </w:rPr>
              <w:t>。</w:t>
            </w:r>
            <w:r>
              <w:rPr>
                <w:rFonts w:hint="eastAsia" w:ascii="Times New Roman" w:hAnsi="Times New Roman" w:eastAsia="宋体"/>
                <w:smallCaps w:val="0"/>
                <w:color w:val="auto"/>
                <w:highlight w:val="none"/>
                <w:shd w:val="clear" w:color="auto" w:fill="auto"/>
                <w:lang w:val="en-US" w:eastAsia="zh-CN"/>
              </w:rPr>
              <w:t>防渗要求如下：</w:t>
            </w:r>
          </w:p>
          <w:p w14:paraId="4DCA6744">
            <w:pPr>
              <w:pStyle w:val="44"/>
              <w:ind w:left="420" w:leftChars="200" w:firstLine="0" w:firstLineChars="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fldChar w:fldCharType="begin"/>
            </w:r>
            <w:r>
              <w:rPr>
                <w:rFonts w:ascii="Times New Roman" w:hAnsi="Times New Roman" w:eastAsia="宋体"/>
                <w:smallCaps w:val="0"/>
                <w:color w:val="auto"/>
                <w:highlight w:val="none"/>
                <w:shd w:val="clear" w:color="auto" w:fill="auto"/>
              </w:rPr>
              <w:instrText xml:space="preserve"> = 1 \* GB3 \* MERGEFORMAT </w:instrText>
            </w:r>
            <w:r>
              <w:rPr>
                <w:rFonts w:ascii="Times New Roman" w:hAnsi="Times New Roman" w:eastAsia="宋体"/>
                <w:smallCaps w:val="0"/>
                <w:color w:val="auto"/>
                <w:highlight w:val="none"/>
                <w:shd w:val="clear" w:color="auto" w:fill="auto"/>
              </w:rPr>
              <w:fldChar w:fldCharType="separate"/>
            </w:r>
            <w:r>
              <w:rPr>
                <w:rFonts w:ascii="Times New Roman" w:hAnsi="Times New Roman" w:eastAsia="宋体"/>
                <w:smallCaps w:val="0"/>
                <w:color w:val="auto"/>
                <w:highlight w:val="none"/>
                <w:shd w:val="clear" w:color="auto" w:fill="auto"/>
              </w:rPr>
              <w:t>①</w:t>
            </w:r>
            <w:r>
              <w:rPr>
                <w:rFonts w:ascii="Times New Roman" w:hAnsi="Times New Roman" w:eastAsia="宋体"/>
                <w:smallCaps w:val="0"/>
                <w:color w:val="auto"/>
                <w:highlight w:val="none"/>
                <w:shd w:val="clear" w:color="auto" w:fill="auto"/>
              </w:rPr>
              <w:fldChar w:fldCharType="end"/>
            </w:r>
            <w:r>
              <w:rPr>
                <w:rFonts w:hint="eastAsia" w:ascii="Times New Roman" w:hAnsi="Times New Roman" w:eastAsia="宋体"/>
                <w:smallCaps w:val="0"/>
                <w:color w:val="auto"/>
                <w:highlight w:val="none"/>
                <w:shd w:val="clear" w:color="auto" w:fill="auto"/>
              </w:rPr>
              <w:t>重点防渗区</w:t>
            </w:r>
          </w:p>
          <w:p w14:paraId="6CDC643D">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指污染地下水环境的物料泄漏后，不容易被及时发现和处理的区域。本项目重点污染防治区主要包括危险废物暂存间。</w:t>
            </w:r>
          </w:p>
          <w:p w14:paraId="3E455B85">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重点污染区防渗要求：</w:t>
            </w:r>
            <w:r>
              <w:rPr>
                <w:rFonts w:hint="eastAsia" w:ascii="Times New Roman" w:hAnsi="Times New Roman" w:eastAsia="宋体"/>
                <w:smallCaps w:val="0"/>
                <w:color w:val="auto"/>
                <w:highlight w:val="none"/>
                <w:shd w:val="clear" w:color="auto" w:fill="auto"/>
              </w:rPr>
              <w:t>防渗层为至少1m厚黏土层（</w:t>
            </w:r>
            <w:r>
              <w:rPr>
                <w:rFonts w:ascii="Times New Roman" w:hAnsi="Times New Roman" w:eastAsia="宋体"/>
                <w:smallCaps w:val="0"/>
                <w:color w:val="auto"/>
                <w:highlight w:val="none"/>
                <w:shd w:val="clear" w:color="auto" w:fill="auto"/>
              </w:rPr>
              <w:t>渗透系数≤10</w:t>
            </w:r>
            <w:r>
              <w:rPr>
                <w:rFonts w:ascii="Times New Roman" w:hAnsi="Times New Roman" w:eastAsia="宋体"/>
                <w:smallCaps w:val="0"/>
                <w:color w:val="auto"/>
                <w:highlight w:val="none"/>
                <w:shd w:val="clear" w:color="auto" w:fill="auto"/>
                <w:vertAlign w:val="superscript"/>
              </w:rPr>
              <w:t>-</w:t>
            </w:r>
            <w:r>
              <w:rPr>
                <w:rFonts w:hint="eastAsia" w:ascii="Times New Roman" w:hAnsi="Times New Roman" w:eastAsia="宋体"/>
                <w:smallCaps w:val="0"/>
                <w:color w:val="auto"/>
                <w:highlight w:val="none"/>
                <w:shd w:val="clear" w:color="auto" w:fill="auto"/>
                <w:vertAlign w:val="superscript"/>
              </w:rPr>
              <w:t>7</w:t>
            </w:r>
            <w:r>
              <w:rPr>
                <w:rFonts w:ascii="Times New Roman" w:hAnsi="Times New Roman" w:eastAsia="宋体"/>
                <w:smallCaps w:val="0"/>
                <w:color w:val="auto"/>
                <w:highlight w:val="none"/>
                <w:shd w:val="clear" w:color="auto" w:fill="auto"/>
              </w:rPr>
              <w:t>cm/s</w:t>
            </w:r>
            <w:r>
              <w:rPr>
                <w:rFonts w:hint="eastAsia" w:ascii="Times New Roman" w:hAnsi="Times New Roman" w:eastAsia="宋体"/>
                <w:smallCaps w:val="0"/>
                <w:color w:val="auto"/>
                <w:highlight w:val="none"/>
                <w:shd w:val="clear" w:color="auto" w:fill="auto"/>
              </w:rPr>
              <w:t>），或2mm厚高密度聚氯乙烯，或至少2mm厚</w:t>
            </w:r>
            <w:r>
              <w:rPr>
                <w:rFonts w:hint="eastAsia" w:ascii="Times New Roman" w:hAnsi="Times New Roman" w:eastAsia="宋体"/>
                <w:smallCaps w:val="0"/>
                <w:color w:val="auto"/>
                <w:highlight w:val="none"/>
                <w:shd w:val="clear" w:color="auto" w:fill="auto"/>
                <w:lang w:eastAsia="zh-CN"/>
              </w:rPr>
              <w:t>的其他</w:t>
            </w:r>
            <w:r>
              <w:rPr>
                <w:rFonts w:hint="eastAsia" w:ascii="Times New Roman" w:hAnsi="Times New Roman" w:eastAsia="宋体"/>
                <w:smallCaps w:val="0"/>
                <w:color w:val="auto"/>
                <w:highlight w:val="none"/>
                <w:shd w:val="clear" w:color="auto" w:fill="auto"/>
              </w:rPr>
              <w:t>人工材料，渗透系数</w:t>
            </w:r>
            <w:r>
              <w:rPr>
                <w:rFonts w:ascii="Times New Roman" w:hAnsi="Times New Roman" w:eastAsia="宋体"/>
                <w:smallCaps w:val="0"/>
                <w:color w:val="auto"/>
                <w:highlight w:val="none"/>
                <w:shd w:val="clear" w:color="auto" w:fill="auto"/>
              </w:rPr>
              <w:t>≤10</w:t>
            </w:r>
            <w:r>
              <w:rPr>
                <w:rFonts w:ascii="Times New Roman" w:hAnsi="Times New Roman" w:eastAsia="宋体"/>
                <w:smallCaps w:val="0"/>
                <w:color w:val="auto"/>
                <w:highlight w:val="none"/>
                <w:shd w:val="clear" w:color="auto" w:fill="auto"/>
                <w:vertAlign w:val="superscript"/>
              </w:rPr>
              <w:t>-</w:t>
            </w:r>
            <w:r>
              <w:rPr>
                <w:rFonts w:hint="eastAsia" w:ascii="Times New Roman" w:hAnsi="Times New Roman" w:eastAsia="宋体"/>
                <w:smallCaps w:val="0"/>
                <w:color w:val="auto"/>
                <w:highlight w:val="none"/>
                <w:shd w:val="clear" w:color="auto" w:fill="auto"/>
                <w:vertAlign w:val="superscript"/>
              </w:rPr>
              <w:t>10</w:t>
            </w:r>
            <w:r>
              <w:rPr>
                <w:rFonts w:ascii="Times New Roman" w:hAnsi="Times New Roman" w:eastAsia="宋体"/>
                <w:smallCaps w:val="0"/>
                <w:color w:val="auto"/>
                <w:highlight w:val="none"/>
                <w:shd w:val="clear" w:color="auto" w:fill="auto"/>
              </w:rPr>
              <w:t>cm/s。</w:t>
            </w:r>
          </w:p>
          <w:p w14:paraId="7BF84370">
            <w:pPr>
              <w:pStyle w:val="44"/>
              <w:ind w:left="420" w:leftChars="200" w:firstLine="0" w:firstLineChars="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fldChar w:fldCharType="begin"/>
            </w:r>
            <w:r>
              <w:rPr>
                <w:rFonts w:ascii="Times New Roman" w:hAnsi="Times New Roman" w:eastAsia="宋体"/>
                <w:smallCaps w:val="0"/>
                <w:color w:val="auto"/>
                <w:highlight w:val="none"/>
                <w:shd w:val="clear" w:color="auto" w:fill="auto"/>
              </w:rPr>
              <w:instrText xml:space="preserve"> = 2 \* GB3 \* MERGEFORMAT </w:instrText>
            </w:r>
            <w:r>
              <w:rPr>
                <w:rFonts w:ascii="Times New Roman" w:hAnsi="Times New Roman" w:eastAsia="宋体"/>
                <w:smallCaps w:val="0"/>
                <w:color w:val="auto"/>
                <w:highlight w:val="none"/>
                <w:shd w:val="clear" w:color="auto" w:fill="auto"/>
              </w:rPr>
              <w:fldChar w:fldCharType="separate"/>
            </w:r>
            <w:r>
              <w:rPr>
                <w:rFonts w:ascii="Times New Roman" w:hAnsi="Times New Roman" w:eastAsia="宋体"/>
                <w:smallCaps w:val="0"/>
                <w:color w:val="auto"/>
                <w:highlight w:val="none"/>
                <w:shd w:val="clear" w:color="auto" w:fill="auto"/>
              </w:rPr>
              <w:t>②</w:t>
            </w:r>
            <w:r>
              <w:rPr>
                <w:rFonts w:ascii="Times New Roman" w:hAnsi="Times New Roman" w:eastAsia="宋体"/>
                <w:smallCaps w:val="0"/>
                <w:color w:val="auto"/>
                <w:highlight w:val="none"/>
                <w:shd w:val="clear" w:color="auto" w:fill="auto"/>
              </w:rPr>
              <w:fldChar w:fldCharType="end"/>
            </w:r>
            <w:r>
              <w:rPr>
                <w:rFonts w:hint="eastAsia" w:ascii="Times New Roman" w:hAnsi="Times New Roman" w:eastAsia="宋体"/>
                <w:smallCaps w:val="0"/>
                <w:color w:val="auto"/>
                <w:highlight w:val="none"/>
                <w:shd w:val="clear" w:color="auto" w:fill="auto"/>
              </w:rPr>
              <w:t>一般防渗区</w:t>
            </w:r>
          </w:p>
          <w:p w14:paraId="7D51036A">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指裸露于地面的生产功能单元，污染地下水环境的物料泄漏后，容易被及时发现和处理的区域。</w:t>
            </w:r>
          </w:p>
          <w:p w14:paraId="149D2A82">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对于一般污染防治区，参照《</w:t>
            </w:r>
            <w:r>
              <w:rPr>
                <w:rFonts w:hint="eastAsia"/>
                <w:smallCaps w:val="0"/>
                <w:color w:val="auto"/>
                <w:highlight w:val="none"/>
                <w:shd w:val="clear" w:color="auto" w:fill="auto"/>
                <w:lang w:eastAsia="zh-CN"/>
              </w:rPr>
              <w:t>一般工业固体废物贮存和填埋污染控制标准</w:t>
            </w:r>
            <w:r>
              <w:rPr>
                <w:rFonts w:ascii="Times New Roman" w:hAnsi="Times New Roman" w:eastAsia="宋体"/>
                <w:smallCaps w:val="0"/>
                <w:color w:val="auto"/>
                <w:highlight w:val="none"/>
                <w:shd w:val="clear" w:color="auto" w:fill="auto"/>
              </w:rPr>
              <w:t>》</w:t>
            </w:r>
            <w:r>
              <w:rPr>
                <w:rFonts w:hint="eastAsia" w:ascii="Times New Roman" w:hAnsi="Times New Roman" w:eastAsia="宋体"/>
                <w:smallCaps w:val="0"/>
                <w:color w:val="auto"/>
                <w:highlight w:val="none"/>
                <w:shd w:val="clear" w:color="auto" w:fill="auto"/>
                <w:lang w:eastAsia="zh-CN"/>
              </w:rPr>
              <w:t>（</w:t>
            </w:r>
            <w:r>
              <w:rPr>
                <w:rFonts w:ascii="Times New Roman" w:hAnsi="Times New Roman" w:eastAsia="宋体"/>
                <w:smallCaps w:val="0"/>
                <w:color w:val="auto"/>
                <w:highlight w:val="none"/>
                <w:shd w:val="clear" w:color="auto" w:fill="auto"/>
              </w:rPr>
              <w:t>GB18599-2020</w:t>
            </w:r>
            <w:r>
              <w:rPr>
                <w:rFonts w:hint="eastAsia" w:ascii="Times New Roman" w:hAnsi="Times New Roman" w:eastAsia="宋体"/>
                <w:smallCaps w:val="0"/>
                <w:color w:val="auto"/>
                <w:highlight w:val="none"/>
                <w:shd w:val="clear" w:color="auto" w:fill="auto"/>
                <w:lang w:eastAsia="zh-CN"/>
              </w:rPr>
              <w:t>）</w:t>
            </w:r>
            <w:r>
              <w:rPr>
                <w:rFonts w:ascii="Times New Roman" w:hAnsi="Times New Roman" w:eastAsia="宋体"/>
                <w:smallCaps w:val="0"/>
                <w:color w:val="auto"/>
                <w:highlight w:val="none"/>
                <w:shd w:val="clear" w:color="auto" w:fill="auto"/>
              </w:rPr>
              <w:t>Ⅱ类场进行设计。</w:t>
            </w:r>
          </w:p>
          <w:p w14:paraId="743816E3">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一般污染区防渗要求：</w:t>
            </w:r>
            <w:r>
              <w:rPr>
                <w:rFonts w:hint="eastAsia" w:ascii="Times New Roman" w:hAnsi="Times New Roman" w:eastAsia="宋体"/>
                <w:smallCaps w:val="0"/>
                <w:color w:val="auto"/>
                <w:highlight w:val="none"/>
                <w:shd w:val="clear" w:color="auto" w:fill="auto"/>
                <w:lang w:bidi="ar"/>
              </w:rPr>
              <w:t>人工合成材料应采用高密度聚乙烯膜，厚度不小于</w:t>
            </w:r>
            <w:r>
              <w:rPr>
                <w:rFonts w:ascii="Times New Roman" w:hAnsi="Times New Roman" w:eastAsia="宋体"/>
                <w:smallCaps w:val="0"/>
                <w:color w:val="auto"/>
                <w:highlight w:val="none"/>
                <w:shd w:val="clear" w:color="auto" w:fill="auto"/>
                <w:lang w:bidi="ar"/>
              </w:rPr>
              <w:t>1.5mm</w:t>
            </w:r>
            <w:r>
              <w:rPr>
                <w:rFonts w:hint="eastAsia" w:ascii="Times New Roman" w:hAnsi="Times New Roman" w:eastAsia="宋体"/>
                <w:smallCaps w:val="0"/>
                <w:color w:val="auto"/>
                <w:highlight w:val="none"/>
                <w:shd w:val="clear" w:color="auto" w:fill="auto"/>
                <w:lang w:bidi="ar"/>
              </w:rPr>
              <w:t>，并满足</w:t>
            </w:r>
            <w:r>
              <w:rPr>
                <w:rFonts w:ascii="Times New Roman" w:hAnsi="Times New Roman" w:eastAsia="宋体"/>
                <w:smallCaps w:val="0"/>
                <w:color w:val="auto"/>
                <w:highlight w:val="none"/>
                <w:shd w:val="clear" w:color="auto" w:fill="auto"/>
                <w:lang w:bidi="ar"/>
              </w:rPr>
              <w:t>GB/T17643</w:t>
            </w:r>
            <w:r>
              <w:rPr>
                <w:rFonts w:hint="eastAsia" w:ascii="Times New Roman" w:hAnsi="Times New Roman" w:eastAsia="宋体"/>
                <w:smallCaps w:val="0"/>
                <w:color w:val="auto"/>
                <w:highlight w:val="none"/>
                <w:shd w:val="clear" w:color="auto" w:fill="auto"/>
                <w:lang w:bidi="ar"/>
              </w:rPr>
              <w:t>规定的技术指标要求。采用其他人工合成材料的，其防渗性能至少相当于</w:t>
            </w:r>
            <w:r>
              <w:rPr>
                <w:rFonts w:ascii="Times New Roman" w:hAnsi="Times New Roman" w:eastAsia="宋体"/>
                <w:smallCaps w:val="0"/>
                <w:color w:val="auto"/>
                <w:highlight w:val="none"/>
                <w:shd w:val="clear" w:color="auto" w:fill="auto"/>
                <w:lang w:bidi="ar"/>
              </w:rPr>
              <w:t>1.5 mm</w:t>
            </w:r>
            <w:r>
              <w:rPr>
                <w:rFonts w:hint="eastAsia" w:ascii="Times New Roman" w:hAnsi="Times New Roman" w:eastAsia="宋体"/>
                <w:smallCaps w:val="0"/>
                <w:color w:val="auto"/>
                <w:highlight w:val="none"/>
                <w:shd w:val="clear" w:color="auto" w:fill="auto"/>
                <w:lang w:bidi="ar"/>
              </w:rPr>
              <w:t>高密度聚乙烯膜的防渗性能。</w:t>
            </w:r>
            <w:r>
              <w:rPr>
                <w:rFonts w:hint="eastAsia" w:ascii="Times New Roman" w:hAnsi="Times New Roman" w:eastAsia="宋体"/>
                <w:smallCaps w:val="0"/>
                <w:color w:val="auto"/>
                <w:highlight w:val="none"/>
                <w:shd w:val="clear" w:color="auto" w:fill="auto"/>
                <w:lang w:eastAsia="zh-CN" w:bidi="ar"/>
              </w:rPr>
              <w:t>黏土</w:t>
            </w:r>
            <w:r>
              <w:rPr>
                <w:rFonts w:hint="eastAsia" w:ascii="Times New Roman" w:hAnsi="Times New Roman" w:eastAsia="宋体"/>
                <w:smallCaps w:val="0"/>
                <w:color w:val="auto"/>
                <w:highlight w:val="none"/>
                <w:shd w:val="clear" w:color="auto" w:fill="auto"/>
                <w:lang w:bidi="ar"/>
              </w:rPr>
              <w:t>衬层厚度应不小于</w:t>
            </w:r>
            <w:r>
              <w:rPr>
                <w:rFonts w:ascii="Times New Roman" w:hAnsi="Times New Roman" w:eastAsia="宋体"/>
                <w:smallCaps w:val="0"/>
                <w:color w:val="auto"/>
                <w:highlight w:val="none"/>
                <w:shd w:val="clear" w:color="auto" w:fill="auto"/>
                <w:lang w:bidi="ar"/>
              </w:rPr>
              <w:t>0.75m</w:t>
            </w:r>
            <w:r>
              <w:rPr>
                <w:rFonts w:hint="eastAsia"/>
                <w:smallCaps w:val="0"/>
                <w:color w:val="auto"/>
                <w:highlight w:val="none"/>
                <w:shd w:val="clear" w:color="auto" w:fill="auto"/>
                <w:lang w:eastAsia="zh-CN" w:bidi="ar"/>
              </w:rPr>
              <w:t>且</w:t>
            </w:r>
            <w:r>
              <w:rPr>
                <w:rFonts w:hint="eastAsia" w:ascii="Times New Roman" w:hAnsi="Times New Roman" w:eastAsia="宋体"/>
                <w:smallCaps w:val="0"/>
                <w:color w:val="auto"/>
                <w:highlight w:val="none"/>
                <w:shd w:val="clear" w:color="auto" w:fill="auto"/>
                <w:lang w:bidi="ar"/>
              </w:rPr>
              <w:t>经压实、人工改性等措施处理后的饱和渗透系数不应大于</w:t>
            </w:r>
            <w:r>
              <w:rPr>
                <w:rFonts w:ascii="Times New Roman" w:hAnsi="Times New Roman" w:eastAsia="宋体"/>
                <w:smallCaps w:val="0"/>
                <w:color w:val="auto"/>
                <w:highlight w:val="none"/>
                <w:shd w:val="clear" w:color="auto" w:fill="auto"/>
                <w:lang w:bidi="ar"/>
              </w:rPr>
              <w:t>1.0×10</w:t>
            </w:r>
            <w:r>
              <w:rPr>
                <w:rFonts w:ascii="Times New Roman" w:hAnsi="Times New Roman" w:eastAsia="宋体"/>
                <w:smallCaps w:val="0"/>
                <w:color w:val="auto"/>
                <w:highlight w:val="none"/>
                <w:shd w:val="clear" w:color="auto" w:fill="auto"/>
                <w:vertAlign w:val="superscript"/>
                <w:lang w:bidi="ar"/>
              </w:rPr>
              <w:t>-7</w:t>
            </w:r>
            <w:r>
              <w:rPr>
                <w:rFonts w:ascii="Times New Roman" w:hAnsi="Times New Roman" w:eastAsia="宋体"/>
                <w:smallCaps w:val="0"/>
                <w:color w:val="auto"/>
                <w:highlight w:val="none"/>
                <w:shd w:val="clear" w:color="auto" w:fill="auto"/>
                <w:lang w:bidi="ar"/>
              </w:rPr>
              <w:t>cm/s</w:t>
            </w:r>
            <w:r>
              <w:rPr>
                <w:rFonts w:hint="eastAsia" w:ascii="Times New Roman" w:hAnsi="Times New Roman" w:eastAsia="宋体"/>
                <w:smallCaps w:val="0"/>
                <w:color w:val="auto"/>
                <w:highlight w:val="none"/>
                <w:shd w:val="clear" w:color="auto" w:fill="auto"/>
                <w:lang w:bidi="ar"/>
              </w:rPr>
              <w:t>。使用其他</w:t>
            </w:r>
            <w:r>
              <w:rPr>
                <w:rFonts w:hint="eastAsia" w:ascii="Times New Roman" w:hAnsi="Times New Roman" w:eastAsia="宋体"/>
                <w:smallCaps w:val="0"/>
                <w:color w:val="auto"/>
                <w:highlight w:val="none"/>
                <w:shd w:val="clear" w:color="auto" w:fill="auto"/>
                <w:lang w:eastAsia="zh-CN" w:bidi="ar"/>
              </w:rPr>
              <w:t>黏土</w:t>
            </w:r>
            <w:r>
              <w:rPr>
                <w:rFonts w:hint="eastAsia" w:ascii="Times New Roman" w:hAnsi="Times New Roman" w:eastAsia="宋体"/>
                <w:smallCaps w:val="0"/>
                <w:color w:val="auto"/>
                <w:highlight w:val="none"/>
                <w:shd w:val="clear" w:color="auto" w:fill="auto"/>
                <w:lang w:bidi="ar"/>
              </w:rPr>
              <w:t>类防渗衬层材料时，应具有同等以上隔水效力。</w:t>
            </w:r>
          </w:p>
          <w:p w14:paraId="64221613">
            <w:pPr>
              <w:pStyle w:val="44"/>
              <w:ind w:left="420" w:leftChars="200" w:firstLine="0" w:firstLineChars="0"/>
              <w:rPr>
                <w:rFonts w:ascii="Times New Roman" w:hAnsi="Times New Roman" w:eastAsia="宋体"/>
                <w:smallCaps w:val="0"/>
                <w:color w:val="auto"/>
                <w:highlight w:val="none"/>
                <w:shd w:val="clear" w:color="auto" w:fill="auto"/>
              </w:rPr>
            </w:pPr>
            <w:r>
              <w:rPr>
                <w:rFonts w:hint="eastAsia" w:ascii="Times New Roman" w:hAnsi="Times New Roman" w:eastAsia="宋体"/>
                <w:smallCaps w:val="0"/>
                <w:color w:val="auto"/>
                <w:highlight w:val="none"/>
                <w:shd w:val="clear" w:color="auto" w:fill="auto"/>
              </w:rPr>
              <w:fldChar w:fldCharType="begin"/>
            </w:r>
            <w:r>
              <w:rPr>
                <w:rFonts w:hint="eastAsia" w:ascii="Times New Roman" w:hAnsi="Times New Roman" w:eastAsia="宋体"/>
                <w:smallCaps w:val="0"/>
                <w:color w:val="auto"/>
                <w:highlight w:val="none"/>
                <w:shd w:val="clear" w:color="auto" w:fill="auto"/>
              </w:rPr>
              <w:instrText xml:space="preserve"> = 3 \* GB3 \* MERGEFORMAT </w:instrText>
            </w:r>
            <w:r>
              <w:rPr>
                <w:rFonts w:hint="eastAsia" w:ascii="Times New Roman" w:hAnsi="Times New Roman" w:eastAsia="宋体"/>
                <w:smallCaps w:val="0"/>
                <w:color w:val="auto"/>
                <w:highlight w:val="none"/>
                <w:shd w:val="clear" w:color="auto" w:fill="auto"/>
              </w:rPr>
              <w:fldChar w:fldCharType="separate"/>
            </w:r>
            <w:r>
              <w:rPr>
                <w:rFonts w:ascii="Times New Roman" w:hAnsi="Times New Roman" w:eastAsia="宋体"/>
                <w:smallCaps w:val="0"/>
                <w:color w:val="auto"/>
                <w:highlight w:val="none"/>
                <w:shd w:val="clear" w:color="auto" w:fill="auto"/>
              </w:rPr>
              <w:t>③</w:t>
            </w:r>
            <w:r>
              <w:rPr>
                <w:rFonts w:hint="eastAsia" w:ascii="Times New Roman" w:hAnsi="Times New Roman" w:eastAsia="宋体"/>
                <w:smallCaps w:val="0"/>
                <w:color w:val="auto"/>
                <w:highlight w:val="none"/>
                <w:shd w:val="clear" w:color="auto" w:fill="auto"/>
              </w:rPr>
              <w:fldChar w:fldCharType="end"/>
            </w:r>
            <w:r>
              <w:rPr>
                <w:rFonts w:hint="eastAsia" w:ascii="Times New Roman" w:hAnsi="Times New Roman" w:eastAsia="宋体"/>
                <w:smallCaps w:val="0"/>
                <w:color w:val="auto"/>
                <w:highlight w:val="none"/>
                <w:shd w:val="clear" w:color="auto" w:fill="auto"/>
              </w:rPr>
              <w:t>简单防渗区</w:t>
            </w:r>
          </w:p>
          <w:p w14:paraId="03E1A1D0">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指不会对地下水环境造成污染的区域，主要</w:t>
            </w:r>
            <w:r>
              <w:rPr>
                <w:rFonts w:hint="eastAsia"/>
                <w:smallCaps w:val="0"/>
                <w:color w:val="auto"/>
                <w:highlight w:val="none"/>
                <w:shd w:val="clear" w:color="auto" w:fill="auto"/>
                <w:lang w:val="en-US" w:eastAsia="zh-CN"/>
              </w:rPr>
              <w:t>厂区道路及空置区域</w:t>
            </w:r>
            <w:r>
              <w:rPr>
                <w:rFonts w:ascii="Times New Roman" w:hAnsi="Times New Roman" w:eastAsia="宋体"/>
                <w:smallCaps w:val="0"/>
                <w:color w:val="auto"/>
                <w:highlight w:val="none"/>
                <w:shd w:val="clear" w:color="auto" w:fill="auto"/>
              </w:rPr>
              <w:t>。对于基本上不产生污染物的非污染防治区，不采取专门针对地下水污染的防治措施，但装置区外系统管廊区地基处理应分层压实。</w:t>
            </w:r>
          </w:p>
          <w:p w14:paraId="44436ACA">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为保证防渗工程正常施工、运行，达到设计防渗等级，应对工程质量进行管理控制：</w:t>
            </w:r>
          </w:p>
          <w:p w14:paraId="6D69E4E2">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a.选择具有相应资质的设计单位对工程进行设计，防渗工程的设计符合相应要求及设计规范；</w:t>
            </w:r>
          </w:p>
          <w:p w14:paraId="7CD9F31D">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b.工程材料符合设计要求，并按照有关规定和要求进行质量检验，保证使用材料全部合格；</w:t>
            </w:r>
          </w:p>
          <w:p w14:paraId="13A3C140">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c.聘请优秀专业施工队伍，施工方法符合规范要求；</w:t>
            </w:r>
          </w:p>
          <w:p w14:paraId="6846A151">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d.工程完工后应进行质量检测；</w:t>
            </w:r>
          </w:p>
          <w:p w14:paraId="64741A5D">
            <w:pPr>
              <w:pStyle w:val="44"/>
              <w:ind w:firstLine="480"/>
              <w:rPr>
                <w:rFonts w:ascii="Times New Roman" w:hAnsi="Times New Roman" w:eastAsia="宋体"/>
                <w:smallCaps w:val="0"/>
                <w:color w:val="auto"/>
                <w:highlight w:val="none"/>
                <w:shd w:val="clear" w:color="auto" w:fill="auto"/>
              </w:rPr>
            </w:pPr>
            <w:r>
              <w:rPr>
                <w:rFonts w:ascii="Times New Roman" w:hAnsi="Times New Roman" w:eastAsia="宋体"/>
                <w:smallCaps w:val="0"/>
                <w:color w:val="auto"/>
                <w:highlight w:val="none"/>
                <w:shd w:val="clear" w:color="auto" w:fill="auto"/>
              </w:rPr>
              <w:t>e.在防渗措施投入使用后，应加强日常的维护管理。</w:t>
            </w:r>
          </w:p>
          <w:p w14:paraId="1274EC11">
            <w:pPr>
              <w:pStyle w:val="44"/>
              <w:bidi w:val="0"/>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（3）风险事故应急响应</w:t>
            </w:r>
          </w:p>
          <w:p w14:paraId="343D1F0A">
            <w:pPr>
              <w:pStyle w:val="44"/>
              <w:bidi w:val="0"/>
              <w:rPr>
                <w:rFonts w:hint="default"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企业在运营过程中</w:t>
            </w:r>
            <w:r>
              <w:rPr>
                <w:rFonts w:hint="default" w:ascii="Times New Roman" w:hAnsi="Times New Roman" w:eastAsia="宋体"/>
                <w:color w:val="auto"/>
                <w:highlight w:val="none"/>
                <w:lang w:val="en-US" w:eastAsia="zh-CN"/>
              </w:rPr>
              <w:t>发现渗漏</w:t>
            </w:r>
            <w:r>
              <w:rPr>
                <w:rFonts w:hint="eastAsia" w:ascii="Times New Roman" w:hAnsi="Times New Roman" w:eastAsia="宋体"/>
                <w:color w:val="auto"/>
                <w:highlight w:val="none"/>
                <w:lang w:val="en-US" w:eastAsia="zh-CN"/>
              </w:rPr>
              <w:t>情况</w:t>
            </w:r>
            <w:r>
              <w:rPr>
                <w:rFonts w:hint="default" w:ascii="Times New Roman" w:hAnsi="Times New Roman" w:eastAsia="宋体"/>
                <w:color w:val="auto"/>
                <w:highlight w:val="none"/>
                <w:lang w:val="en-US" w:eastAsia="zh-CN"/>
              </w:rPr>
              <w:t>时应组织人员查明渗漏源头，采取补救措施。</w:t>
            </w:r>
          </w:p>
          <w:p w14:paraId="2C38863E">
            <w:pPr>
              <w:pStyle w:val="44"/>
              <w:ind w:firstLine="480"/>
              <w:rPr>
                <w:color w:val="auto"/>
                <w:highlight w:val="none"/>
              </w:rPr>
            </w:pPr>
            <w:r>
              <w:rPr>
                <w:rFonts w:hint="default" w:ascii="Times New Roman" w:hAnsi="Times New Roman" w:eastAsia="宋体"/>
                <w:color w:val="auto"/>
                <w:highlight w:val="none"/>
                <w:lang w:val="en-US" w:eastAsia="zh-CN"/>
              </w:rPr>
              <w:t>综上，本项目对可能产生地下水及土壤影响的各项途径均进行有效预防，在确保各项防渗措施得到落实，并加强维护和厂区环境管理的前提下，可有效控制厂区内的液态污染物下渗现象，避免污染地下水及土壤，因此本项目不会对地下水及土壤环境产生明显影响。</w:t>
            </w:r>
          </w:p>
          <w:p w14:paraId="4540AC1F">
            <w:pPr>
              <w:pStyle w:val="3"/>
              <w:numPr>
                <w:ilvl w:val="1"/>
                <w:numId w:val="1"/>
              </w:numPr>
              <w:bidi w:val="0"/>
              <w:ind w:left="0" w:leftChars="0" w:firstLine="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环境风险</w:t>
            </w:r>
          </w:p>
          <w:p w14:paraId="5AA4BAC6">
            <w:pPr>
              <w:pStyle w:val="4"/>
              <w:numPr>
                <w:ilvl w:val="2"/>
                <w:numId w:val="1"/>
              </w:numPr>
              <w:bidi w:val="0"/>
              <w:ind w:left="720" w:leftChars="0" w:hanging="720" w:firstLineChars="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环境风险识别</w:t>
            </w:r>
          </w:p>
          <w:p w14:paraId="1C7C024B">
            <w:pPr>
              <w:pStyle w:val="118"/>
              <w:rPr>
                <w:rFonts w:ascii="Times New Roman" w:hAnsi="Times New Roman"/>
                <w:color w:val="auto"/>
                <w:kern w:val="0"/>
                <w:highlight w:val="none"/>
                <w:lang w:val="en-US" w:eastAsia="zh-CN"/>
              </w:rPr>
            </w:pPr>
            <w:r>
              <w:rPr>
                <w:rFonts w:ascii="Times New Roman" w:hAnsi="Times New Roman"/>
                <w:color w:val="auto"/>
                <w:kern w:val="0"/>
                <w:highlight w:val="none"/>
                <w:lang w:val="en-US" w:eastAsia="zh-CN"/>
              </w:rPr>
              <w:t>（1）风险识别范围</w:t>
            </w:r>
          </w:p>
          <w:p w14:paraId="3FF4F995">
            <w:pPr>
              <w:pStyle w:val="118"/>
              <w:rPr>
                <w:rFonts w:ascii="Times New Roman" w:hAnsi="Times New Roman"/>
                <w:color w:val="auto"/>
                <w:kern w:val="0"/>
                <w:highlight w:val="none"/>
                <w:lang w:val="en-US" w:eastAsia="zh-CN"/>
              </w:rPr>
            </w:pPr>
            <w:bookmarkStart w:id="59" w:name="bookmark247"/>
            <w:bookmarkEnd w:id="59"/>
            <w:r>
              <w:rPr>
                <w:rFonts w:hint="eastAsia" w:ascii="Times New Roman" w:hAnsi="Times New Roman"/>
                <w:color w:val="auto"/>
                <w:kern w:val="0"/>
                <w:highlight w:val="none"/>
                <w:lang w:val="en-US" w:eastAsia="zh-CN"/>
              </w:rPr>
              <w:t>①</w:t>
            </w:r>
            <w:r>
              <w:rPr>
                <w:rFonts w:ascii="Times New Roman" w:hAnsi="Times New Roman"/>
                <w:color w:val="auto"/>
                <w:kern w:val="0"/>
                <w:highlight w:val="none"/>
                <w:lang w:val="en-US" w:eastAsia="zh-CN"/>
              </w:rPr>
              <w:t>本项目生产系统危险性识别包括主要生产装置、储运设施、公用工程和辅助生产设施，以及环境保护设施等。</w:t>
            </w:r>
          </w:p>
          <w:p w14:paraId="6B1C3D8F">
            <w:pPr>
              <w:pStyle w:val="118"/>
              <w:rPr>
                <w:rFonts w:ascii="Times New Roman" w:hAnsi="Times New Roman"/>
                <w:color w:val="auto"/>
                <w:kern w:val="0"/>
                <w:highlight w:val="none"/>
                <w:lang w:val="en-US" w:eastAsia="zh-CN"/>
              </w:rPr>
            </w:pPr>
            <w:bookmarkStart w:id="60" w:name="bookmark248"/>
            <w:bookmarkEnd w:id="60"/>
            <w:r>
              <w:rPr>
                <w:rFonts w:hint="eastAsia" w:ascii="Times New Roman" w:hAnsi="Times New Roman"/>
                <w:color w:val="auto"/>
                <w:kern w:val="0"/>
                <w:highlight w:val="none"/>
                <w:lang w:val="en-US" w:eastAsia="zh-CN"/>
              </w:rPr>
              <w:t>②</w:t>
            </w:r>
            <w:r>
              <w:rPr>
                <w:rFonts w:ascii="Times New Roman" w:hAnsi="Times New Roman"/>
                <w:color w:val="auto"/>
                <w:kern w:val="0"/>
                <w:highlight w:val="none"/>
                <w:lang w:val="en-US" w:eastAsia="zh-CN"/>
              </w:rPr>
              <w:t>物质危险性识别包括主要原辅材料、中间产品、副产品、最终产品、污染物、火灾和爆炸伴生/次生物等。</w:t>
            </w:r>
          </w:p>
          <w:p w14:paraId="10A80B92">
            <w:pPr>
              <w:pStyle w:val="118"/>
              <w:rPr>
                <w:rFonts w:ascii="Times New Roman" w:hAnsi="Times New Roman"/>
                <w:color w:val="auto"/>
                <w:kern w:val="0"/>
                <w:highlight w:val="none"/>
                <w:lang w:val="en-US" w:eastAsia="zh-CN"/>
              </w:rPr>
            </w:pPr>
            <w:r>
              <w:rPr>
                <w:rFonts w:ascii="Times New Roman" w:hAnsi="Times New Roman"/>
                <w:color w:val="auto"/>
                <w:kern w:val="0"/>
                <w:highlight w:val="none"/>
                <w:lang w:val="en-US" w:eastAsia="zh-CN"/>
              </w:rPr>
              <w:t>（2）风险识别类型</w:t>
            </w:r>
          </w:p>
          <w:p w14:paraId="4D3BC3A9">
            <w:pPr>
              <w:pStyle w:val="118"/>
              <w:rPr>
                <w:rFonts w:ascii="Times New Roman" w:hAnsi="Times New Roman"/>
                <w:color w:val="auto"/>
                <w:kern w:val="0"/>
                <w:highlight w:val="none"/>
                <w:lang w:val="en-US" w:eastAsia="zh-CN"/>
              </w:rPr>
            </w:pPr>
            <w:r>
              <w:rPr>
                <w:rFonts w:ascii="Times New Roman" w:hAnsi="Times New Roman"/>
                <w:color w:val="auto"/>
                <w:kern w:val="0"/>
                <w:highlight w:val="none"/>
                <w:lang w:val="en-US" w:eastAsia="zh-CN"/>
              </w:rPr>
              <w:t>物质在使用及储存过程中可能发生的事故有机械破损、物体摔落、腐蚀性物质喷溅致残、有毒物质的泄漏引起火灾、爆炸、有毒物质排放等，其中后三种可能导致具有严重后果的危害。因此，本次环境风险评价的主要研究对象是：A</w:t>
            </w:r>
            <w:r>
              <w:rPr>
                <w:rFonts w:hint="eastAsia" w:ascii="Times New Roman" w:hAnsi="Times New Roman"/>
                <w:color w:val="auto"/>
                <w:kern w:val="0"/>
                <w:highlight w:val="none"/>
                <w:lang w:val="en-US" w:eastAsia="zh-CN"/>
              </w:rPr>
              <w:t>.</w:t>
            </w:r>
            <w:r>
              <w:rPr>
                <w:rFonts w:ascii="Times New Roman" w:hAnsi="Times New Roman"/>
                <w:color w:val="auto"/>
                <w:kern w:val="0"/>
                <w:highlight w:val="none"/>
                <w:lang w:val="en-US" w:eastAsia="zh-CN"/>
              </w:rPr>
              <w:t>火灾；B</w:t>
            </w:r>
            <w:r>
              <w:rPr>
                <w:rFonts w:hint="eastAsia" w:ascii="Times New Roman" w:hAnsi="Times New Roman"/>
                <w:color w:val="auto"/>
                <w:kern w:val="0"/>
                <w:highlight w:val="none"/>
                <w:lang w:val="en-US" w:eastAsia="zh-CN"/>
              </w:rPr>
              <w:t>.</w:t>
            </w:r>
            <w:r>
              <w:rPr>
                <w:rFonts w:hint="eastAsia"/>
                <w:color w:val="auto"/>
                <w:kern w:val="0"/>
                <w:highlight w:val="none"/>
                <w:lang w:val="en-US" w:eastAsia="zh-CN"/>
              </w:rPr>
              <w:t>天然气泄漏引发的</w:t>
            </w:r>
            <w:r>
              <w:rPr>
                <w:rFonts w:ascii="Times New Roman" w:hAnsi="Times New Roman"/>
                <w:color w:val="auto"/>
                <w:kern w:val="0"/>
                <w:highlight w:val="none"/>
                <w:lang w:val="en-US" w:eastAsia="zh-CN"/>
              </w:rPr>
              <w:t>爆炸；C</w:t>
            </w:r>
            <w:r>
              <w:rPr>
                <w:rFonts w:hint="eastAsia" w:ascii="Times New Roman" w:hAnsi="Times New Roman"/>
                <w:color w:val="auto"/>
                <w:kern w:val="0"/>
                <w:highlight w:val="none"/>
                <w:lang w:val="en-US" w:eastAsia="zh-CN"/>
              </w:rPr>
              <w:t>.</w:t>
            </w:r>
            <w:r>
              <w:rPr>
                <w:rFonts w:ascii="Times New Roman" w:hAnsi="Times New Roman"/>
                <w:color w:val="auto"/>
                <w:kern w:val="0"/>
                <w:highlight w:val="none"/>
                <w:lang w:val="en-US" w:eastAsia="zh-CN"/>
              </w:rPr>
              <w:t>物质泄漏风险。</w:t>
            </w:r>
          </w:p>
          <w:p w14:paraId="62719609">
            <w:pPr>
              <w:pStyle w:val="118"/>
              <w:rPr>
                <w:rFonts w:ascii="Times New Roman" w:hAnsi="Times New Roman"/>
                <w:color w:val="auto"/>
                <w:kern w:val="0"/>
                <w:highlight w:val="none"/>
                <w:lang w:val="en-US" w:eastAsia="zh-CN"/>
              </w:rPr>
            </w:pPr>
            <w:r>
              <w:rPr>
                <w:rFonts w:ascii="Times New Roman" w:hAnsi="Times New Roman"/>
                <w:color w:val="auto"/>
                <w:kern w:val="0"/>
                <w:highlight w:val="none"/>
                <w:lang w:val="en-US" w:eastAsia="zh-CN"/>
              </w:rPr>
              <w:t>（3）物质风险识别</w:t>
            </w:r>
          </w:p>
          <w:p w14:paraId="64C505E7">
            <w:pPr>
              <w:pStyle w:val="118"/>
              <w:rPr>
                <w:rFonts w:ascii="Times New Roman" w:hAnsi="Times New Roman"/>
                <w:color w:val="auto"/>
                <w:kern w:val="0"/>
                <w:highlight w:val="none"/>
                <w:lang w:val="en-US" w:eastAsia="zh-CN"/>
              </w:rPr>
            </w:pPr>
            <w:r>
              <w:rPr>
                <w:rFonts w:ascii="Times New Roman" w:hAnsi="Times New Roman"/>
                <w:color w:val="auto"/>
                <w:kern w:val="0"/>
                <w:highlight w:val="none"/>
                <w:lang w:val="en-US" w:eastAsia="zh-CN"/>
              </w:rPr>
              <w:t>根据《危险化学品重大危险源辨识》（GB18218-2018）表2和《建设项目环境风险评价技术导则》</w:t>
            </w:r>
            <w:r>
              <w:rPr>
                <w:rFonts w:hint="eastAsia" w:ascii="Times New Roman" w:hAnsi="Times New Roman"/>
                <w:color w:val="auto"/>
                <w:kern w:val="0"/>
                <w:highlight w:val="none"/>
                <w:lang w:val="en-US" w:eastAsia="zh-CN"/>
              </w:rPr>
              <w:t>（</w:t>
            </w:r>
            <w:r>
              <w:rPr>
                <w:rFonts w:ascii="Times New Roman" w:hAnsi="Times New Roman"/>
                <w:color w:val="auto"/>
                <w:kern w:val="0"/>
                <w:highlight w:val="none"/>
                <w:lang w:val="en-US" w:eastAsia="zh-CN"/>
              </w:rPr>
              <w:t>HJ169—2018</w:t>
            </w:r>
            <w:r>
              <w:rPr>
                <w:rFonts w:hint="eastAsia" w:ascii="Times New Roman" w:hAnsi="Times New Roman"/>
                <w:color w:val="auto"/>
                <w:kern w:val="0"/>
                <w:highlight w:val="none"/>
                <w:lang w:val="en-US" w:eastAsia="zh-CN"/>
              </w:rPr>
              <w:t>）</w:t>
            </w:r>
            <w:r>
              <w:rPr>
                <w:rFonts w:ascii="Times New Roman" w:hAnsi="Times New Roman"/>
                <w:color w:val="auto"/>
                <w:kern w:val="0"/>
                <w:highlight w:val="none"/>
                <w:lang w:val="en-US" w:eastAsia="zh-CN"/>
              </w:rPr>
              <w:t>附录B危险化学品的临界量，项目物质危险性识别结果见表4.</w:t>
            </w:r>
            <w:r>
              <w:rPr>
                <w:rFonts w:hint="eastAsia" w:ascii="Times New Roman" w:hAnsi="Times New Roman"/>
                <w:color w:val="auto"/>
                <w:kern w:val="0"/>
                <w:highlight w:val="none"/>
                <w:lang w:val="en-US" w:eastAsia="zh-CN"/>
              </w:rPr>
              <w:t>7</w:t>
            </w:r>
            <w:r>
              <w:rPr>
                <w:rFonts w:ascii="Times New Roman" w:hAnsi="Times New Roman"/>
                <w:color w:val="auto"/>
                <w:kern w:val="0"/>
                <w:highlight w:val="none"/>
                <w:lang w:val="en-US" w:eastAsia="zh-CN"/>
              </w:rPr>
              <w:t>-</w:t>
            </w:r>
            <w:r>
              <w:rPr>
                <w:rFonts w:hint="eastAsia"/>
                <w:color w:val="auto"/>
                <w:kern w:val="0"/>
                <w:highlight w:val="none"/>
                <w:lang w:val="en-US" w:eastAsia="zh-CN"/>
              </w:rPr>
              <w:t>2</w:t>
            </w:r>
            <w:r>
              <w:rPr>
                <w:rFonts w:ascii="Times New Roman" w:hAnsi="Times New Roman"/>
                <w:color w:val="auto"/>
                <w:kern w:val="0"/>
                <w:highlight w:val="none"/>
                <w:lang w:val="en-US" w:eastAsia="zh-CN"/>
              </w:rPr>
              <w:t>。</w:t>
            </w:r>
          </w:p>
          <w:p w14:paraId="3921139E">
            <w:pPr>
              <w:pStyle w:val="42"/>
              <w:keepNext/>
              <w:keepLines/>
              <w:pageBreakBefore w:val="0"/>
              <w:widowControl w:val="0"/>
              <w:numPr>
                <w:ilvl w:val="7"/>
                <w:numId w:val="11"/>
              </w:numPr>
              <w:tabs>
                <w:tab w:val="left" w:pos="0"/>
              </w:tabs>
              <w:kinsoku/>
              <w:wordWrap/>
              <w:overflowPunct/>
              <w:topLinePunct w:val="0"/>
              <w:autoSpaceDE/>
              <w:autoSpaceDN/>
              <w:bidi w:val="0"/>
              <w:adjustRightInd/>
              <w:snapToGrid/>
              <w:spacing w:before="0" w:after="0"/>
              <w:ind w:left="630" w:leftChars="0" w:firstLineChars="0"/>
              <w:jc w:val="center"/>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危险性判定表</w:t>
            </w:r>
          </w:p>
          <w:tbl>
            <w:tblPr>
              <w:tblStyle w:val="84"/>
              <w:tblW w:w="4998"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85"/>
              <w:gridCol w:w="2435"/>
              <w:gridCol w:w="1246"/>
              <w:gridCol w:w="1873"/>
              <w:gridCol w:w="961"/>
              <w:gridCol w:w="1725"/>
            </w:tblGrid>
            <w:tr w14:paraId="0E9400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3" w:hRule="atLeast"/>
              </w:trPr>
              <w:tc>
                <w:tcPr>
                  <w:tcW w:w="384" w:type="pct"/>
                  <w:tcBorders>
                    <w:bottom w:val="single" w:color="000000" w:sz="12" w:space="0"/>
                  </w:tcBorders>
                  <w:textDirection w:val="tbRlV"/>
                  <w:vAlign w:val="center"/>
                </w:tcPr>
                <w:p w14:paraId="03A4D64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7"/>
                      <w:sz w:val="21"/>
                      <w:highlight w:val="none"/>
                    </w:rPr>
                    <w:t>序号</w:t>
                  </w:r>
                </w:p>
              </w:tc>
              <w:tc>
                <w:tcPr>
                  <w:tcW w:w="1364" w:type="pct"/>
                  <w:tcBorders>
                    <w:bottom w:val="single" w:color="000000" w:sz="12" w:space="0"/>
                  </w:tcBorders>
                  <w:vAlign w:val="center"/>
                </w:tcPr>
                <w:p w14:paraId="59B3943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危险物质名称</w:t>
                  </w:r>
                </w:p>
              </w:tc>
              <w:tc>
                <w:tcPr>
                  <w:tcW w:w="698" w:type="pct"/>
                  <w:tcBorders>
                    <w:bottom w:val="single" w:color="000000" w:sz="12" w:space="0"/>
                  </w:tcBorders>
                  <w:vAlign w:val="center"/>
                </w:tcPr>
                <w:p w14:paraId="35C63EF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b/>
                      <w:bCs/>
                      <w:color w:val="auto"/>
                      <w:sz w:val="21"/>
                      <w:highlight w:val="none"/>
                    </w:rPr>
                    <w:t>CAS</w:t>
                  </w:r>
                  <w:r>
                    <w:rPr>
                      <w:rFonts w:ascii="Times New Roman" w:hAnsi="Times New Roman" w:eastAsia="宋体"/>
                      <w:b/>
                      <w:bCs/>
                      <w:color w:val="auto"/>
                      <w:spacing w:val="8"/>
                      <w:sz w:val="21"/>
                      <w:highlight w:val="none"/>
                    </w:rPr>
                    <w:t>号</w:t>
                  </w:r>
                </w:p>
              </w:tc>
              <w:tc>
                <w:tcPr>
                  <w:tcW w:w="1049" w:type="pct"/>
                  <w:tcBorders>
                    <w:bottom w:val="single" w:color="000000" w:sz="12" w:space="0"/>
                  </w:tcBorders>
                  <w:vAlign w:val="center"/>
                </w:tcPr>
                <w:p w14:paraId="701C7D74">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最大存储总量</w:t>
                  </w:r>
                </w:p>
                <w:p w14:paraId="51EC7DF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b/>
                      <w:bCs/>
                      <w:color w:val="auto"/>
                      <w:sz w:val="21"/>
                      <w:szCs w:val="20"/>
                      <w:highlight w:val="none"/>
                    </w:rPr>
                    <w:t>q</w:t>
                  </w:r>
                  <w:r>
                    <w:rPr>
                      <w:rFonts w:ascii="Times New Roman" w:hAnsi="Times New Roman" w:eastAsia="宋体" w:cs="Times New Roman"/>
                      <w:b/>
                      <w:bCs/>
                      <w:color w:val="auto"/>
                      <w:position w:val="-1"/>
                      <w:sz w:val="21"/>
                      <w:szCs w:val="13"/>
                      <w:highlight w:val="none"/>
                    </w:rPr>
                    <w:t>n</w:t>
                  </w:r>
                  <w:r>
                    <w:rPr>
                      <w:rFonts w:ascii="Times New Roman" w:hAnsi="Times New Roman" w:eastAsia="宋体" w:cs="Times New Roman"/>
                      <w:b/>
                      <w:bCs/>
                      <w:color w:val="auto"/>
                      <w:spacing w:val="2"/>
                      <w:sz w:val="21"/>
                      <w:szCs w:val="20"/>
                      <w:highlight w:val="none"/>
                    </w:rPr>
                    <w:t>/t</w:t>
                  </w:r>
                </w:p>
              </w:tc>
              <w:tc>
                <w:tcPr>
                  <w:tcW w:w="536" w:type="pct"/>
                  <w:tcBorders>
                    <w:bottom w:val="single" w:color="000000" w:sz="12" w:space="0"/>
                  </w:tcBorders>
                  <w:vAlign w:val="center"/>
                </w:tcPr>
                <w:p w14:paraId="6F4B5D62">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highlight w:val="none"/>
                    </w:rPr>
                  </w:pPr>
                  <w:r>
                    <w:rPr>
                      <w:rFonts w:ascii="Times New Roman" w:hAnsi="Times New Roman" w:eastAsia="宋体"/>
                      <w:b/>
                      <w:bCs/>
                      <w:color w:val="auto"/>
                      <w:spacing w:val="1"/>
                      <w:sz w:val="21"/>
                      <w:highlight w:val="none"/>
                    </w:rPr>
                    <w:t>临界量</w:t>
                  </w:r>
                  <w:r>
                    <w:rPr>
                      <w:rFonts w:ascii="Times New Roman" w:hAnsi="Times New Roman" w:eastAsia="宋体" w:cs="Times New Roman"/>
                      <w:b/>
                      <w:bCs/>
                      <w:color w:val="auto"/>
                      <w:sz w:val="21"/>
                      <w:highlight w:val="none"/>
                    </w:rPr>
                    <w:t>Q</w:t>
                  </w:r>
                  <w:r>
                    <w:rPr>
                      <w:rFonts w:ascii="Times New Roman" w:hAnsi="Times New Roman" w:eastAsia="宋体" w:cs="Times New Roman"/>
                      <w:b/>
                      <w:bCs/>
                      <w:color w:val="auto"/>
                      <w:position w:val="-1"/>
                      <w:sz w:val="21"/>
                      <w:szCs w:val="13"/>
                      <w:highlight w:val="none"/>
                    </w:rPr>
                    <w:t>n</w:t>
                  </w:r>
                  <w:r>
                    <w:rPr>
                      <w:rFonts w:ascii="Times New Roman" w:hAnsi="Times New Roman" w:eastAsia="宋体" w:cs="Times New Roman"/>
                      <w:b/>
                      <w:bCs/>
                      <w:color w:val="auto"/>
                      <w:spacing w:val="3"/>
                      <w:sz w:val="21"/>
                      <w:highlight w:val="none"/>
                    </w:rPr>
                    <w:t>/t</w:t>
                  </w:r>
                </w:p>
              </w:tc>
              <w:tc>
                <w:tcPr>
                  <w:tcW w:w="966" w:type="pct"/>
                  <w:tcBorders>
                    <w:bottom w:val="single" w:color="000000" w:sz="12" w:space="0"/>
                  </w:tcBorders>
                  <w:vAlign w:val="center"/>
                </w:tcPr>
                <w:p w14:paraId="78D42C4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该种危险物质</w:t>
                  </w:r>
                </w:p>
                <w:p w14:paraId="0AE5F07D">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s="Times New Roman"/>
                      <w:b/>
                      <w:bCs/>
                      <w:color w:val="auto"/>
                      <w:spacing w:val="-2"/>
                      <w:sz w:val="21"/>
                      <w:highlight w:val="none"/>
                    </w:rPr>
                    <w:t>Q</w:t>
                  </w:r>
                  <w:r>
                    <w:rPr>
                      <w:rFonts w:ascii="Times New Roman" w:hAnsi="Times New Roman" w:eastAsia="宋体"/>
                      <w:b/>
                      <w:bCs/>
                      <w:color w:val="auto"/>
                      <w:spacing w:val="-2"/>
                      <w:sz w:val="21"/>
                      <w:highlight w:val="none"/>
                    </w:rPr>
                    <w:t>值</w:t>
                  </w:r>
                </w:p>
              </w:tc>
            </w:tr>
            <w:tr w14:paraId="4B3085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384" w:type="pct"/>
                  <w:tcBorders>
                    <w:top w:val="single" w:color="000000" w:sz="12" w:space="0"/>
                    <w:tl2br w:val="nil"/>
                    <w:tr2bl w:val="nil"/>
                  </w:tcBorders>
                  <w:vAlign w:val="center"/>
                </w:tcPr>
                <w:p w14:paraId="58824C3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1"/>
                      <w:sz w:val="21"/>
                      <w:szCs w:val="20"/>
                      <w:highlight w:val="none"/>
                    </w:rPr>
                    <w:t>1</w:t>
                  </w:r>
                </w:p>
              </w:tc>
              <w:tc>
                <w:tcPr>
                  <w:tcW w:w="1364" w:type="pct"/>
                  <w:tcBorders>
                    <w:top w:val="single" w:color="000000" w:sz="12" w:space="0"/>
                    <w:tl2br w:val="nil"/>
                    <w:tr2bl w:val="nil"/>
                  </w:tcBorders>
                  <w:vAlign w:val="center"/>
                </w:tcPr>
                <w:p w14:paraId="3B36C61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6"/>
                      <w:sz w:val="21"/>
                      <w:highlight w:val="none"/>
                    </w:rPr>
                    <w:t>油类物质</w:t>
                  </w:r>
                </w:p>
              </w:tc>
              <w:tc>
                <w:tcPr>
                  <w:tcW w:w="698" w:type="pct"/>
                  <w:tcBorders>
                    <w:top w:val="single" w:color="000000" w:sz="12" w:space="0"/>
                    <w:tl2br w:val="nil"/>
                    <w:tr2bl w:val="nil"/>
                  </w:tcBorders>
                  <w:vAlign w:val="center"/>
                </w:tcPr>
                <w:p w14:paraId="2697C79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2"/>
                      <w:position w:val="1"/>
                      <w:sz w:val="21"/>
                      <w:szCs w:val="20"/>
                      <w:highlight w:val="none"/>
                    </w:rPr>
                    <w:t>/</w:t>
                  </w:r>
                </w:p>
              </w:tc>
              <w:tc>
                <w:tcPr>
                  <w:tcW w:w="1049" w:type="pct"/>
                  <w:tcBorders>
                    <w:top w:val="single" w:color="000000" w:sz="12" w:space="0"/>
                    <w:tl2br w:val="nil"/>
                    <w:tr2bl w:val="nil"/>
                  </w:tcBorders>
                  <w:vAlign w:val="center"/>
                </w:tcPr>
                <w:p w14:paraId="59DA701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2"/>
                      <w:position w:val="1"/>
                      <w:sz w:val="21"/>
                      <w:szCs w:val="20"/>
                      <w:highlight w:val="none"/>
                    </w:rPr>
                    <w:t>0.22</w:t>
                  </w:r>
                </w:p>
              </w:tc>
              <w:tc>
                <w:tcPr>
                  <w:tcW w:w="536" w:type="pct"/>
                  <w:tcBorders>
                    <w:top w:val="single" w:color="000000" w:sz="12" w:space="0"/>
                    <w:tl2br w:val="nil"/>
                    <w:tr2bl w:val="nil"/>
                  </w:tcBorders>
                  <w:vAlign w:val="center"/>
                </w:tcPr>
                <w:p w14:paraId="79DB9A4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4"/>
                      <w:position w:val="1"/>
                      <w:sz w:val="21"/>
                      <w:szCs w:val="20"/>
                      <w:highlight w:val="none"/>
                    </w:rPr>
                    <w:t>2500</w:t>
                  </w:r>
                </w:p>
              </w:tc>
              <w:tc>
                <w:tcPr>
                  <w:tcW w:w="966" w:type="pct"/>
                  <w:tcBorders>
                    <w:top w:val="single" w:color="000000" w:sz="12" w:space="0"/>
                    <w:tl2br w:val="nil"/>
                    <w:tr2bl w:val="nil"/>
                  </w:tcBorders>
                  <w:vAlign w:val="center"/>
                </w:tcPr>
                <w:p w14:paraId="51C5626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0.000088</w:t>
                  </w:r>
                </w:p>
              </w:tc>
            </w:tr>
            <w:tr w14:paraId="13EE2D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384" w:type="pct"/>
                  <w:tcBorders>
                    <w:tl2br w:val="nil"/>
                    <w:tr2bl w:val="nil"/>
                  </w:tcBorders>
                  <w:vAlign w:val="center"/>
                </w:tcPr>
                <w:p w14:paraId="7ED1AF0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1"/>
                      <w:sz w:val="21"/>
                      <w:szCs w:val="20"/>
                      <w:highlight w:val="none"/>
                    </w:rPr>
                    <w:t>2</w:t>
                  </w:r>
                </w:p>
              </w:tc>
              <w:tc>
                <w:tcPr>
                  <w:tcW w:w="1364" w:type="pct"/>
                  <w:tcBorders>
                    <w:tl2br w:val="nil"/>
                    <w:tr2bl w:val="nil"/>
                  </w:tcBorders>
                  <w:vAlign w:val="center"/>
                </w:tcPr>
                <w:p w14:paraId="0B510921">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乙酸</w:t>
                  </w:r>
                </w:p>
              </w:tc>
              <w:tc>
                <w:tcPr>
                  <w:tcW w:w="698" w:type="pct"/>
                  <w:tcBorders>
                    <w:tl2br w:val="nil"/>
                    <w:tr2bl w:val="nil"/>
                  </w:tcBorders>
                  <w:vAlign w:val="center"/>
                </w:tcPr>
                <w:p w14:paraId="5CB8996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64-19-7</w:t>
                  </w:r>
                </w:p>
              </w:tc>
              <w:tc>
                <w:tcPr>
                  <w:tcW w:w="1049" w:type="pct"/>
                  <w:tcBorders>
                    <w:tl2br w:val="nil"/>
                    <w:tr2bl w:val="nil"/>
                  </w:tcBorders>
                  <w:vAlign w:val="center"/>
                </w:tcPr>
                <w:p w14:paraId="746E368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2"/>
                      <w:position w:val="1"/>
                      <w:sz w:val="21"/>
                      <w:szCs w:val="20"/>
                      <w:highlight w:val="none"/>
                    </w:rPr>
                    <w:t>0.047</w:t>
                  </w:r>
                </w:p>
              </w:tc>
              <w:tc>
                <w:tcPr>
                  <w:tcW w:w="536" w:type="pct"/>
                  <w:tcBorders>
                    <w:tl2br w:val="nil"/>
                    <w:tr2bl w:val="nil"/>
                  </w:tcBorders>
                  <w:vAlign w:val="center"/>
                </w:tcPr>
                <w:p w14:paraId="578D170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8"/>
                      <w:position w:val="1"/>
                      <w:sz w:val="21"/>
                      <w:szCs w:val="20"/>
                      <w:highlight w:val="none"/>
                    </w:rPr>
                    <w:t>10</w:t>
                  </w:r>
                </w:p>
              </w:tc>
              <w:tc>
                <w:tcPr>
                  <w:tcW w:w="966" w:type="pct"/>
                  <w:tcBorders>
                    <w:tl2br w:val="nil"/>
                    <w:tr2bl w:val="nil"/>
                  </w:tcBorders>
                  <w:vAlign w:val="center"/>
                </w:tcPr>
                <w:p w14:paraId="4800926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0.0047</w:t>
                  </w:r>
                </w:p>
              </w:tc>
            </w:tr>
            <w:tr w14:paraId="406D1D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79" w:hRule="atLeast"/>
              </w:trPr>
              <w:tc>
                <w:tcPr>
                  <w:tcW w:w="384" w:type="pct"/>
                  <w:tcBorders>
                    <w:tl2br w:val="nil"/>
                    <w:tr2bl w:val="nil"/>
                  </w:tcBorders>
                  <w:vAlign w:val="center"/>
                </w:tcPr>
                <w:p w14:paraId="3EF2F77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position w:val="1"/>
                      <w:sz w:val="21"/>
                      <w:szCs w:val="20"/>
                      <w:highlight w:val="none"/>
                    </w:rPr>
                    <w:t>6</w:t>
                  </w:r>
                </w:p>
              </w:tc>
              <w:tc>
                <w:tcPr>
                  <w:tcW w:w="1364" w:type="pct"/>
                  <w:tcBorders>
                    <w:tl2br w:val="nil"/>
                    <w:tr2bl w:val="nil"/>
                  </w:tcBorders>
                  <w:vAlign w:val="center"/>
                </w:tcPr>
                <w:p w14:paraId="5D1856B9">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highlight w:val="none"/>
                    </w:rPr>
                  </w:pPr>
                  <w:r>
                    <w:rPr>
                      <w:rFonts w:ascii="Times New Roman" w:hAnsi="Times New Roman" w:eastAsia="宋体"/>
                      <w:color w:val="auto"/>
                      <w:spacing w:val="-9"/>
                      <w:sz w:val="21"/>
                      <w:highlight w:val="none"/>
                    </w:rPr>
                    <w:t>甲烷</w:t>
                  </w:r>
                </w:p>
              </w:tc>
              <w:tc>
                <w:tcPr>
                  <w:tcW w:w="698" w:type="pct"/>
                  <w:tcBorders>
                    <w:tl2br w:val="nil"/>
                    <w:tr2bl w:val="nil"/>
                  </w:tcBorders>
                  <w:vAlign w:val="center"/>
                </w:tcPr>
                <w:p w14:paraId="0A9385A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74-82-8</w:t>
                  </w:r>
                </w:p>
              </w:tc>
              <w:tc>
                <w:tcPr>
                  <w:tcW w:w="1049" w:type="pct"/>
                  <w:tcBorders>
                    <w:tl2br w:val="nil"/>
                    <w:tr2bl w:val="nil"/>
                  </w:tcBorders>
                  <w:vAlign w:val="center"/>
                </w:tcPr>
                <w:p w14:paraId="0A65127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2"/>
                      <w:position w:val="1"/>
                      <w:sz w:val="21"/>
                      <w:szCs w:val="20"/>
                      <w:highlight w:val="none"/>
                    </w:rPr>
                    <w:t>0.001</w:t>
                  </w:r>
                </w:p>
              </w:tc>
              <w:tc>
                <w:tcPr>
                  <w:tcW w:w="536" w:type="pct"/>
                  <w:tcBorders>
                    <w:tl2br w:val="nil"/>
                    <w:tr2bl w:val="nil"/>
                  </w:tcBorders>
                  <w:vAlign w:val="center"/>
                </w:tcPr>
                <w:p w14:paraId="7DC0BC8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8"/>
                      <w:position w:val="1"/>
                      <w:sz w:val="21"/>
                      <w:szCs w:val="20"/>
                      <w:highlight w:val="none"/>
                    </w:rPr>
                    <w:t>10</w:t>
                  </w:r>
                </w:p>
              </w:tc>
              <w:tc>
                <w:tcPr>
                  <w:tcW w:w="966" w:type="pct"/>
                  <w:tcBorders>
                    <w:tl2br w:val="nil"/>
                    <w:tr2bl w:val="nil"/>
                  </w:tcBorders>
                  <w:vAlign w:val="center"/>
                </w:tcPr>
                <w:p w14:paraId="22EB805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1"/>
                      <w:sz w:val="21"/>
                      <w:szCs w:val="20"/>
                      <w:highlight w:val="none"/>
                    </w:rPr>
                    <w:t>0.0001</w:t>
                  </w:r>
                </w:p>
              </w:tc>
            </w:tr>
            <w:tr w14:paraId="45E57B9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9" w:hRule="atLeast"/>
              </w:trPr>
              <w:tc>
                <w:tcPr>
                  <w:tcW w:w="4033" w:type="pct"/>
                  <w:gridSpan w:val="5"/>
                  <w:tcBorders>
                    <w:tl2br w:val="nil"/>
                    <w:tr2bl w:val="nil"/>
                  </w:tcBorders>
                  <w:vAlign w:val="center"/>
                </w:tcPr>
                <w:p w14:paraId="258F7D80">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highlight w:val="none"/>
                    </w:rPr>
                  </w:pPr>
                  <w:r>
                    <w:rPr>
                      <w:rFonts w:ascii="Times New Roman" w:hAnsi="Times New Roman" w:eastAsia="宋体"/>
                      <w:color w:val="auto"/>
                      <w:spacing w:val="14"/>
                      <w:position w:val="2"/>
                      <w:sz w:val="21"/>
                      <w:highlight w:val="none"/>
                    </w:rPr>
                    <w:t>项目</w:t>
                  </w:r>
                  <w:r>
                    <w:rPr>
                      <w:rFonts w:ascii="Times New Roman" w:hAnsi="Times New Roman" w:eastAsia="宋体" w:cs="Times New Roman"/>
                      <w:color w:val="auto"/>
                      <w:spacing w:val="14"/>
                      <w:position w:val="2"/>
                      <w:sz w:val="21"/>
                      <w:highlight w:val="none"/>
                    </w:rPr>
                    <w:t>Q</w:t>
                  </w:r>
                  <w:r>
                    <w:rPr>
                      <w:rFonts w:ascii="Times New Roman" w:hAnsi="Times New Roman" w:eastAsia="宋体"/>
                      <w:color w:val="auto"/>
                      <w:spacing w:val="14"/>
                      <w:position w:val="2"/>
                      <w:sz w:val="21"/>
                      <w:highlight w:val="none"/>
                    </w:rPr>
                    <w:t>值</w:t>
                  </w:r>
                  <w:r>
                    <w:rPr>
                      <w:rFonts w:ascii="Times New Roman" w:hAnsi="Times New Roman" w:eastAsia="宋体" w:cs="Times New Roman"/>
                      <w:color w:val="auto"/>
                      <w:spacing w:val="14"/>
                      <w:position w:val="2"/>
                      <w:sz w:val="21"/>
                      <w:highlight w:val="none"/>
                    </w:rPr>
                    <w:t>∑</w:t>
                  </w:r>
                </w:p>
              </w:tc>
              <w:tc>
                <w:tcPr>
                  <w:tcW w:w="966" w:type="pct"/>
                  <w:tcBorders>
                    <w:tl2br w:val="nil"/>
                    <w:tr2bl w:val="nil"/>
                  </w:tcBorders>
                  <w:vAlign w:val="center"/>
                </w:tcPr>
                <w:p w14:paraId="0D93DD2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3"/>
                      <w:position w:val="2"/>
                      <w:sz w:val="21"/>
                      <w:szCs w:val="20"/>
                      <w:highlight w:val="none"/>
                    </w:rPr>
                    <w:t>0.004888</w:t>
                  </w:r>
                </w:p>
              </w:tc>
            </w:tr>
          </w:tbl>
          <w:p w14:paraId="25B6FAB1">
            <w:pPr>
              <w:pStyle w:val="118"/>
              <w:rPr>
                <w:rFonts w:ascii="Times New Roman" w:hAnsi="Times New Roman"/>
                <w:color w:val="auto"/>
                <w:highlight w:val="none"/>
                <w:lang w:val="en-US" w:eastAsia="zh-CN"/>
              </w:rPr>
            </w:pPr>
            <w:r>
              <w:rPr>
                <w:rFonts w:ascii="Times New Roman" w:hAnsi="Times New Roman"/>
                <w:color w:val="auto"/>
                <w:kern w:val="0"/>
                <w:highlight w:val="none"/>
                <w:lang w:val="en-US" w:eastAsia="zh-CN"/>
              </w:rPr>
              <w:t>根据上表</w:t>
            </w:r>
            <w:r>
              <w:rPr>
                <w:rFonts w:hint="eastAsia" w:ascii="Times New Roman" w:hAnsi="Times New Roman"/>
                <w:color w:val="auto"/>
                <w:kern w:val="0"/>
                <w:highlight w:val="none"/>
                <w:lang w:val="en-US" w:eastAsia="zh-CN"/>
              </w:rPr>
              <w:t>计算</w:t>
            </w:r>
            <w:r>
              <w:rPr>
                <w:rFonts w:ascii="Times New Roman" w:hAnsi="Times New Roman"/>
                <w:color w:val="auto"/>
                <w:kern w:val="0"/>
                <w:highlight w:val="none"/>
                <w:lang w:val="en-US" w:eastAsia="zh-CN"/>
              </w:rPr>
              <w:t>Q=0.004888&lt;1</w:t>
            </w:r>
            <w:r>
              <w:rPr>
                <w:rFonts w:hint="eastAsia" w:ascii="Times New Roman" w:hAnsi="Times New Roman"/>
                <w:color w:val="auto"/>
                <w:kern w:val="0"/>
                <w:highlight w:val="none"/>
                <w:lang w:val="en-US" w:eastAsia="zh-CN"/>
              </w:rPr>
              <w:t>。因此</w:t>
            </w:r>
            <w:r>
              <w:rPr>
                <w:rFonts w:ascii="Times New Roman" w:hAnsi="Times New Roman"/>
                <w:color w:val="auto"/>
                <w:kern w:val="0"/>
                <w:highlight w:val="none"/>
                <w:lang w:val="en-US" w:eastAsia="zh-CN"/>
              </w:rPr>
              <w:t>，项目环境风险潜势为I。</w:t>
            </w:r>
            <w:r>
              <w:rPr>
                <w:rFonts w:hint="eastAsia" w:ascii="Times New Roman" w:hAnsi="Times New Roman"/>
                <w:color w:val="auto"/>
                <w:kern w:val="0"/>
                <w:highlight w:val="none"/>
                <w:lang w:val="en-US" w:eastAsia="zh-CN"/>
              </w:rPr>
              <w:t>根据《建设项目环境风险评价技术导则》（HJ169-2018）中关于环境风险评价工作等级划分表的判据，确定项目风险评价等级为简单分析。</w:t>
            </w:r>
          </w:p>
          <w:p w14:paraId="780E174B">
            <w:pPr>
              <w:pStyle w:val="4"/>
              <w:numPr>
                <w:ilvl w:val="2"/>
                <w:numId w:val="1"/>
              </w:numPr>
              <w:bidi w:val="0"/>
              <w:ind w:left="720" w:leftChars="0" w:hanging="72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环境风险影响分析及风险防范措施要求</w:t>
            </w:r>
          </w:p>
          <w:p w14:paraId="4CE914DF">
            <w:pPr>
              <w:pStyle w:val="118"/>
              <w:rPr>
                <w:rFonts w:hint="eastAsia"/>
                <w:color w:val="auto"/>
                <w:highlight w:val="none"/>
                <w:lang w:val="en-US" w:eastAsia="zh-CN"/>
              </w:rPr>
            </w:pPr>
            <w:r>
              <w:rPr>
                <w:rFonts w:hint="eastAsia"/>
                <w:color w:val="auto"/>
                <w:highlight w:val="none"/>
                <w:lang w:val="en-US" w:eastAsia="zh-CN"/>
              </w:rPr>
              <w:t>本项目环境风险主要来自火灾事故、助剂泄漏和废气事故排放，采取的环境风险防范措施如下：</w:t>
            </w:r>
          </w:p>
          <w:p w14:paraId="46B9D46D">
            <w:pPr>
              <w:pStyle w:val="118"/>
              <w:rPr>
                <w:rFonts w:hint="eastAsia"/>
                <w:color w:val="auto"/>
                <w:highlight w:val="none"/>
                <w:lang w:val="en-US" w:eastAsia="zh-CN"/>
              </w:rPr>
            </w:pPr>
            <w:r>
              <w:rPr>
                <w:rFonts w:hint="eastAsia"/>
                <w:color w:val="auto"/>
                <w:highlight w:val="none"/>
                <w:lang w:val="en-US" w:eastAsia="zh-CN"/>
              </w:rPr>
              <w:t>（1）泄漏事故风险防范措施：</w:t>
            </w:r>
          </w:p>
          <w:p w14:paraId="7F51618D">
            <w:pPr>
              <w:pStyle w:val="118"/>
              <w:rPr>
                <w:rFonts w:hint="eastAsia"/>
                <w:color w:val="auto"/>
                <w:highlight w:val="none"/>
                <w:lang w:val="en-US" w:eastAsia="zh-CN"/>
              </w:rPr>
            </w:pPr>
            <w:r>
              <w:rPr>
                <w:rFonts w:hint="eastAsia"/>
                <w:color w:val="auto"/>
                <w:highlight w:val="none"/>
                <w:lang w:val="en-US" w:eastAsia="zh-CN"/>
              </w:rPr>
              <w:t>①危废贮存库四周设置导流沟，地面采取防渗，设置警示标识等。</w:t>
            </w:r>
          </w:p>
          <w:p w14:paraId="71886438">
            <w:pPr>
              <w:pStyle w:val="118"/>
              <w:rPr>
                <w:rFonts w:hint="eastAsia"/>
                <w:color w:val="auto"/>
                <w:highlight w:val="none"/>
                <w:lang w:val="en-US" w:eastAsia="zh-CN"/>
              </w:rPr>
            </w:pPr>
            <w:r>
              <w:rPr>
                <w:rFonts w:hint="eastAsia"/>
                <w:color w:val="auto"/>
                <w:highlight w:val="none"/>
                <w:lang w:val="en-US" w:eastAsia="zh-CN"/>
              </w:rPr>
              <w:t>②严禁明火，严格遵守操作规程，避免因操作失误发生事故。</w:t>
            </w:r>
          </w:p>
          <w:p w14:paraId="170CD773">
            <w:pPr>
              <w:pStyle w:val="118"/>
              <w:rPr>
                <w:rFonts w:hint="eastAsia"/>
                <w:color w:val="auto"/>
                <w:highlight w:val="none"/>
                <w:lang w:val="en-US" w:eastAsia="zh-CN"/>
              </w:rPr>
            </w:pPr>
            <w:r>
              <w:rPr>
                <w:rFonts w:hint="eastAsia"/>
                <w:color w:val="auto"/>
                <w:highlight w:val="none"/>
                <w:lang w:val="en-US" w:eastAsia="zh-CN"/>
              </w:rPr>
              <w:t>③配备相应的堵漏材料(沙袋、吸油毡等)。</w:t>
            </w:r>
          </w:p>
          <w:p w14:paraId="3FA9B2B6">
            <w:pPr>
              <w:pStyle w:val="118"/>
              <w:rPr>
                <w:rFonts w:hint="eastAsia"/>
                <w:color w:val="auto"/>
                <w:highlight w:val="none"/>
                <w:lang w:val="en-US" w:eastAsia="zh-CN"/>
              </w:rPr>
            </w:pPr>
            <w:r>
              <w:rPr>
                <w:rFonts w:hint="eastAsia"/>
                <w:color w:val="auto"/>
                <w:highlight w:val="none"/>
                <w:lang w:val="en-US" w:eastAsia="zh-CN"/>
              </w:rPr>
              <w:t>（2）火灾事故风险防范措施</w:t>
            </w:r>
          </w:p>
          <w:p w14:paraId="70F8D48D">
            <w:pPr>
              <w:pStyle w:val="118"/>
              <w:rPr>
                <w:rFonts w:hint="eastAsia"/>
                <w:color w:val="auto"/>
                <w:highlight w:val="none"/>
                <w:lang w:val="en-US" w:eastAsia="zh-CN"/>
              </w:rPr>
            </w:pPr>
            <w:r>
              <w:rPr>
                <w:rFonts w:hint="eastAsia"/>
                <w:color w:val="auto"/>
                <w:highlight w:val="none"/>
                <w:lang w:val="en-US" w:eastAsia="zh-CN"/>
              </w:rPr>
              <w:t>①加强消防设施和灭火器材的配备，严格落实有关消防技术规范的规定，加强人员疏散设施管理，保证疏散通道畅通。</w:t>
            </w:r>
          </w:p>
          <w:p w14:paraId="38B0C967">
            <w:pPr>
              <w:pStyle w:val="118"/>
              <w:rPr>
                <w:rFonts w:hint="eastAsia"/>
                <w:color w:val="auto"/>
                <w:highlight w:val="none"/>
                <w:lang w:val="en-US" w:eastAsia="zh-CN"/>
              </w:rPr>
            </w:pPr>
            <w:r>
              <w:rPr>
                <w:rFonts w:hint="eastAsia"/>
                <w:color w:val="auto"/>
                <w:highlight w:val="none"/>
                <w:lang w:val="en-US" w:eastAsia="zh-CN"/>
              </w:rPr>
              <w:t>②定期进行防火安全检查，确保消防设施完整好用。</w:t>
            </w:r>
          </w:p>
          <w:p w14:paraId="4A8C0022">
            <w:pPr>
              <w:pStyle w:val="118"/>
              <w:rPr>
                <w:rFonts w:hint="eastAsia"/>
                <w:color w:val="auto"/>
                <w:highlight w:val="none"/>
                <w:lang w:val="en-US" w:eastAsia="zh-CN"/>
              </w:rPr>
            </w:pPr>
            <w:r>
              <w:rPr>
                <w:rFonts w:hint="eastAsia"/>
                <w:color w:val="auto"/>
                <w:highlight w:val="none"/>
                <w:lang w:val="en-US" w:eastAsia="zh-CN"/>
              </w:rPr>
              <w:t>③公司要求职工应遵守各项规章制度，作业时要遵守各项规定要求，确保安全生产。</w:t>
            </w:r>
          </w:p>
          <w:p w14:paraId="0C8C8B1F">
            <w:pPr>
              <w:pStyle w:val="118"/>
              <w:rPr>
                <w:rFonts w:hint="eastAsia"/>
                <w:color w:val="auto"/>
                <w:highlight w:val="none"/>
                <w:lang w:val="en-US" w:eastAsia="zh-CN"/>
              </w:rPr>
            </w:pPr>
            <w:r>
              <w:rPr>
                <w:rFonts w:hint="eastAsia"/>
                <w:color w:val="auto"/>
                <w:highlight w:val="none"/>
                <w:lang w:val="en-US" w:eastAsia="zh-CN"/>
              </w:rPr>
              <w:t>④公司强化安全、消防和环保管理，完善环保安全管理机构，完善各项管理制度，加强日常监督检查；车间内严禁烟火。</w:t>
            </w:r>
          </w:p>
          <w:p w14:paraId="43E1C0CF">
            <w:pPr>
              <w:pStyle w:val="118"/>
              <w:ind w:firstLine="480"/>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（3）废气事故排放防范措施</w:t>
            </w:r>
          </w:p>
          <w:p w14:paraId="3DB6AD45">
            <w:pPr>
              <w:pStyle w:val="118"/>
              <w:ind w:firstLine="480"/>
              <w:rPr>
                <w:rFonts w:hint="eastAsia" w:ascii="Times New Roman" w:hAnsi="Times New Roman" w:eastAsia="宋体"/>
                <w:color w:val="auto"/>
                <w:highlight w:val="none"/>
                <w:lang w:val="en-US" w:eastAsia="zh-CN"/>
              </w:rPr>
            </w:pPr>
            <w:r>
              <w:rPr>
                <w:rFonts w:hint="eastAsia" w:ascii="Times New Roman" w:hAnsi="Times New Roman" w:eastAsia="宋体"/>
                <w:color w:val="auto"/>
                <w:highlight w:val="none"/>
                <w:lang w:val="en-US" w:eastAsia="zh-CN"/>
              </w:rPr>
              <w:t>a.定期对废气处理设施从设备到输送管道、阀门部件等进行检修，发现问题及时解决。</w:t>
            </w:r>
          </w:p>
          <w:p w14:paraId="48ABB6F9">
            <w:pPr>
              <w:pStyle w:val="118"/>
              <w:ind w:firstLine="480"/>
              <w:rPr>
                <w:rFonts w:hint="eastAsia"/>
                <w:color w:val="auto"/>
                <w:highlight w:val="none"/>
                <w:lang w:val="en-US" w:eastAsia="zh-CN"/>
              </w:rPr>
            </w:pPr>
            <w:r>
              <w:rPr>
                <w:rFonts w:hint="eastAsia" w:ascii="Times New Roman" w:hAnsi="Times New Roman" w:eastAsia="宋体"/>
                <w:color w:val="auto"/>
                <w:highlight w:val="none"/>
                <w:lang w:val="en-US" w:eastAsia="zh-CN"/>
              </w:rPr>
              <w:t>b.各生产岗位制定严格的操作规程和注意事项，车间工人需熟悉工作流程，严格按操作规程进行运行控制，防止操作失误导致废气事故排放</w:t>
            </w:r>
            <w:r>
              <w:rPr>
                <w:rFonts w:hint="eastAsia"/>
                <w:color w:val="auto"/>
                <w:highlight w:val="none"/>
                <w:lang w:val="en-US" w:eastAsia="zh-CN"/>
              </w:rPr>
              <w:t>。</w:t>
            </w:r>
          </w:p>
          <w:p w14:paraId="32269348">
            <w:pPr>
              <w:pStyle w:val="3"/>
              <w:numPr>
                <w:ilvl w:val="1"/>
                <w:numId w:val="1"/>
              </w:numPr>
              <w:bidi w:val="0"/>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排污</w:t>
            </w:r>
            <w:r>
              <w:rPr>
                <w:rFonts w:hint="eastAsia" w:ascii="Times New Roman" w:hAnsi="Times New Roman" w:eastAsia="宋体" w:cs="Times New Roman"/>
                <w:color w:val="auto"/>
                <w:highlight w:val="none"/>
                <w:lang w:val="en-US" w:eastAsia="zh-CN"/>
              </w:rPr>
              <w:t>许可申报及排污</w:t>
            </w:r>
            <w:r>
              <w:rPr>
                <w:rFonts w:hint="default" w:ascii="Times New Roman" w:hAnsi="Times New Roman" w:eastAsia="宋体" w:cs="Times New Roman"/>
                <w:color w:val="auto"/>
                <w:highlight w:val="none"/>
                <w:lang w:val="en-US" w:eastAsia="zh-CN"/>
              </w:rPr>
              <w:t>口规范化管理</w:t>
            </w:r>
          </w:p>
          <w:p w14:paraId="7148A003">
            <w:pPr>
              <w:pStyle w:val="4"/>
              <w:numPr>
                <w:ilvl w:val="2"/>
                <w:numId w:val="1"/>
              </w:numPr>
              <w:bidi w:val="0"/>
              <w:ind w:left="720" w:leftChars="0" w:hanging="720" w:firstLineChars="0"/>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申报要求</w:t>
            </w:r>
          </w:p>
          <w:p w14:paraId="6FBE620F">
            <w:pPr>
              <w:spacing w:line="360" w:lineRule="auto"/>
              <w:ind w:firstLine="480"/>
              <w:rPr>
                <w:rFonts w:hint="default" w:ascii="Times New Roman" w:hAnsi="Times New Roman" w:eastAsia="宋体" w:cs="Times New Roman"/>
                <w:color w:val="auto"/>
                <w:sz w:val="24"/>
                <w:szCs w:val="24"/>
                <w:highlight w:val="none"/>
              </w:rPr>
            </w:pPr>
            <w:r>
              <w:rPr>
                <w:rFonts w:hint="eastAsia" w:ascii="Times New Roman" w:hAnsi="Times New Roman"/>
                <w:color w:val="auto"/>
                <w:sz w:val="24"/>
                <w:szCs w:val="24"/>
                <w:highlight w:val="none"/>
                <w:shd w:val="clear" w:color="auto" w:fill="auto"/>
              </w:rPr>
              <w:t>《排污许可管理办法》生态环境部部令第32号</w:t>
            </w:r>
            <w:r>
              <w:rPr>
                <w:rFonts w:hint="eastAsia"/>
                <w:color w:val="auto"/>
                <w:sz w:val="24"/>
                <w:szCs w:val="24"/>
                <w:highlight w:val="none"/>
                <w:shd w:val="clear" w:color="auto" w:fill="auto"/>
                <w:lang w:eastAsia="zh-CN"/>
              </w:rPr>
              <w:t>，</w:t>
            </w:r>
            <w:r>
              <w:rPr>
                <w:rFonts w:hint="eastAsia" w:ascii="Times New Roman" w:hAnsi="Times New Roman"/>
                <w:color w:val="auto"/>
                <w:sz w:val="24"/>
                <w:szCs w:val="24"/>
                <w:highlight w:val="none"/>
                <w:shd w:val="clear" w:color="auto" w:fill="auto"/>
              </w:rPr>
              <w:t>2023年</w:t>
            </w:r>
            <w:r>
              <w:rPr>
                <w:rFonts w:hint="eastAsia"/>
                <w:color w:val="auto"/>
                <w:sz w:val="24"/>
                <w:szCs w:val="24"/>
                <w:highlight w:val="none"/>
                <w:shd w:val="clear" w:color="auto" w:fill="auto"/>
                <w:lang w:eastAsia="zh-CN"/>
              </w:rPr>
              <w:t>4月1日</w:t>
            </w:r>
            <w:r>
              <w:rPr>
                <w:rFonts w:hint="eastAsia" w:ascii="Times New Roman" w:hAnsi="Times New Roman"/>
                <w:color w:val="auto"/>
                <w:sz w:val="24"/>
                <w:szCs w:val="24"/>
                <w:highlight w:val="none"/>
                <w:shd w:val="clear" w:color="auto" w:fill="auto"/>
              </w:rPr>
              <w:t>公布，2024年7月1日起施行。企业应当按照规定的时限申请并取得排污许可证</w:t>
            </w:r>
            <w:r>
              <w:rPr>
                <w:rFonts w:hint="default" w:ascii="Times New Roman" w:hAnsi="Times New Roman" w:eastAsia="宋体" w:cs="Times New Roman"/>
                <w:color w:val="auto"/>
                <w:sz w:val="24"/>
                <w:szCs w:val="24"/>
                <w:highlight w:val="none"/>
              </w:rPr>
              <w:t>。申请材料应当包括：</w:t>
            </w:r>
          </w:p>
          <w:p w14:paraId="722C2D14">
            <w:pPr>
              <w:spacing w:line="360" w:lineRule="auto"/>
              <w:ind w:firstLine="48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排污许可证申请表，主要内容包括：排污单位基本信息，主要生产设施、主要产品及产能、主要原辅材料，废气、废水等产排污环节和污染防治设施，申请的排放口位置和数量、排放方式、排放去向，按照排放口和生产设施或者车间申请的排放污染物种类、排放浓度和排放量，执行的排放标准；</w:t>
            </w:r>
          </w:p>
          <w:p w14:paraId="1CA94662">
            <w:pPr>
              <w:spacing w:line="360" w:lineRule="auto"/>
              <w:ind w:firstLine="48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自行监测方案，自行监测方案应当包括以下内容：监测点位及示意图、监测指标、监测频次；使用的监测分析方法、采样方法</w:t>
            </w:r>
          </w:p>
          <w:p w14:paraId="49CE7072">
            <w:pPr>
              <w:spacing w:line="360" w:lineRule="auto"/>
              <w:ind w:firstLine="48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由排污单位法定代表人或者主要负责人签字或者盖章的承诺书；</w:t>
            </w:r>
          </w:p>
          <w:p w14:paraId="61D850D6">
            <w:pPr>
              <w:spacing w:line="360" w:lineRule="auto"/>
              <w:ind w:firstLine="48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排污单位有关排污口规范化的情况说明；</w:t>
            </w:r>
          </w:p>
          <w:p w14:paraId="1F022A55">
            <w:pPr>
              <w:spacing w:line="360" w:lineRule="auto"/>
              <w:ind w:firstLine="48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5</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建设项目环境影响评价文件审批文号，或者按照有关国家规定经地方人民政府依法处理、整顿规范并符合要求的相关证明材料；</w:t>
            </w:r>
          </w:p>
          <w:p w14:paraId="1AAAA88C">
            <w:pPr>
              <w:spacing w:line="360" w:lineRule="auto"/>
              <w:ind w:firstLine="480"/>
              <w:rPr>
                <w:rFonts w:hint="default" w:ascii="Times New Roman" w:hAnsi="Times New Roman" w:eastAsia="宋体"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排污许可证申请前信息公开情况说明表；</w:t>
            </w:r>
          </w:p>
          <w:p w14:paraId="10FC32F1">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在填报排污许可证</w:t>
            </w:r>
            <w:r>
              <w:rPr>
                <w:rFonts w:hint="eastAsia" w:ascii="Times New Roman" w:hAnsi="Times New Roman" w:cs="Times New Roman"/>
                <w:color w:val="auto"/>
                <w:sz w:val="24"/>
                <w:szCs w:val="24"/>
                <w:highlight w:val="none"/>
                <w:lang w:val="en-US" w:eastAsia="zh-CN"/>
              </w:rPr>
              <w:t>变更</w:t>
            </w:r>
            <w:r>
              <w:rPr>
                <w:rFonts w:hint="default" w:ascii="Times New Roman" w:hAnsi="Times New Roman" w:eastAsia="宋体" w:cs="Times New Roman"/>
                <w:color w:val="auto"/>
                <w:sz w:val="24"/>
                <w:szCs w:val="24"/>
                <w:highlight w:val="none"/>
              </w:rPr>
              <w:t>申请时，应承诺排污许可证申请材料是完整、真实和合法的；承诺按照排污许可证的规定排放污染物，落实排污许可证规定的环境管理要求，并由法定代表人或者主要负责人签字或者盖章。</w:t>
            </w:r>
          </w:p>
          <w:p w14:paraId="70F27706">
            <w:pPr>
              <w:pStyle w:val="4"/>
              <w:numPr>
                <w:ilvl w:val="2"/>
                <w:numId w:val="1"/>
              </w:numPr>
              <w:bidi w:val="0"/>
              <w:ind w:left="720" w:leftChars="0" w:hanging="72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排污许可管理要求</w:t>
            </w:r>
          </w:p>
          <w:p w14:paraId="2ACCABFE">
            <w:pPr>
              <w:spacing w:line="360" w:lineRule="auto"/>
              <w:ind w:firstLine="48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根据《固定污染源排污许可分类管理名录(2019年版)》(生态环境部第11号)可知，本项目实行排污许可登记管理(详见</w:t>
            </w:r>
            <w:r>
              <w:rPr>
                <w:rFonts w:hint="default" w:ascii="Times New Roman" w:hAnsi="Times New Roman" w:eastAsia="宋体" w:cs="Times New Roman"/>
                <w:color w:val="auto"/>
                <w:sz w:val="24"/>
                <w:szCs w:val="24"/>
                <w:highlight w:val="none"/>
                <w:lang w:eastAsia="zh-CN"/>
              </w:rPr>
              <w:t>表</w:t>
            </w:r>
            <w:r>
              <w:rPr>
                <w:rFonts w:hint="eastAsia" w:ascii="Times New Roman" w:hAnsi="Times New Roman" w:eastAsia="宋体" w:cs="Times New Roman"/>
                <w:color w:val="auto"/>
                <w:sz w:val="24"/>
                <w:szCs w:val="24"/>
                <w:highlight w:val="none"/>
                <w:lang w:val="en-US" w:eastAsia="zh-CN"/>
              </w:rPr>
              <w:t>4.8</w:t>
            </w:r>
            <w:r>
              <w:rPr>
                <w:rFonts w:hint="default" w:ascii="Times New Roman" w:hAnsi="Times New Roman" w:eastAsia="宋体" w:cs="Times New Roman"/>
                <w:color w:val="auto"/>
                <w:sz w:val="24"/>
                <w:szCs w:val="24"/>
                <w:highlight w:val="none"/>
                <w:lang w:val="en-US" w:eastAsia="zh-CN"/>
              </w:rPr>
              <w:t>-1</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因此，建设单位应在启动生产设施或者发生实际排污之前在全国排污许可证管理信息平台进行排污许可登记申报。</w:t>
            </w:r>
          </w:p>
          <w:p w14:paraId="33366015">
            <w:pPr>
              <w:pStyle w:val="42"/>
              <w:keepNext/>
              <w:keepLines/>
              <w:pageBreakBefore w:val="0"/>
              <w:widowControl w:val="0"/>
              <w:numPr>
                <w:ilvl w:val="7"/>
                <w:numId w:val="11"/>
              </w:numPr>
              <w:tabs>
                <w:tab w:val="left" w:pos="0"/>
              </w:tabs>
              <w:kinsoku/>
              <w:wordWrap/>
              <w:overflowPunct/>
              <w:topLinePunct w:val="0"/>
              <w:autoSpaceDE/>
              <w:autoSpaceDN/>
              <w:bidi w:val="0"/>
              <w:adjustRightInd/>
              <w:snapToGrid/>
              <w:spacing w:before="0" w:after="0"/>
              <w:ind w:left="630" w:leftChars="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 固定污染源排污许可分类管理名录(摘录)</w:t>
            </w:r>
          </w:p>
          <w:tbl>
            <w:tblPr>
              <w:tblStyle w:val="84"/>
              <w:tblW w:w="4997"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26"/>
              <w:gridCol w:w="2176"/>
              <w:gridCol w:w="1032"/>
              <w:gridCol w:w="4257"/>
              <w:gridCol w:w="933"/>
            </w:tblGrid>
            <w:tr w14:paraId="10CB5D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9" w:hRule="atLeast"/>
              </w:trPr>
              <w:tc>
                <w:tcPr>
                  <w:tcW w:w="295" w:type="pct"/>
                  <w:tcBorders>
                    <w:bottom w:val="single" w:color="000000" w:sz="12" w:space="0"/>
                  </w:tcBorders>
                  <w:vAlign w:val="center"/>
                </w:tcPr>
                <w:p w14:paraId="405D169B">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4"/>
                      <w:sz w:val="21"/>
                      <w:highlight w:val="none"/>
                    </w:rPr>
                    <w:t>序号</w:t>
                  </w:r>
                </w:p>
              </w:tc>
              <w:tc>
                <w:tcPr>
                  <w:tcW w:w="1219" w:type="pct"/>
                  <w:tcBorders>
                    <w:bottom w:val="single" w:color="000000" w:sz="12" w:space="0"/>
                  </w:tcBorders>
                  <w:vAlign w:val="center"/>
                </w:tcPr>
                <w:p w14:paraId="0AD89B3F">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行业类别</w:t>
                  </w:r>
                </w:p>
              </w:tc>
              <w:tc>
                <w:tcPr>
                  <w:tcW w:w="578" w:type="pct"/>
                  <w:tcBorders>
                    <w:bottom w:val="single" w:color="000000" w:sz="12" w:space="0"/>
                  </w:tcBorders>
                  <w:vAlign w:val="center"/>
                </w:tcPr>
                <w:p w14:paraId="3B80C78B">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6"/>
                      <w:sz w:val="21"/>
                      <w:highlight w:val="none"/>
                    </w:rPr>
                    <w:t>重点管理</w:t>
                  </w:r>
                </w:p>
              </w:tc>
              <w:tc>
                <w:tcPr>
                  <w:tcW w:w="2385" w:type="pct"/>
                  <w:tcBorders>
                    <w:bottom w:val="single" w:color="000000" w:sz="12" w:space="0"/>
                  </w:tcBorders>
                  <w:shd w:val="clear" w:color="auto" w:fill="D7D7D7" w:themeFill="background1" w:themeFillShade="D8"/>
                  <w:vAlign w:val="center"/>
                </w:tcPr>
                <w:p w14:paraId="1BAB432C">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简化管理</w:t>
                  </w:r>
                </w:p>
              </w:tc>
              <w:tc>
                <w:tcPr>
                  <w:tcW w:w="521" w:type="pct"/>
                  <w:tcBorders>
                    <w:bottom w:val="single" w:color="000000" w:sz="12" w:space="0"/>
                  </w:tcBorders>
                  <w:vAlign w:val="center"/>
                </w:tcPr>
                <w:p w14:paraId="4E8B3415">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b/>
                      <w:bCs/>
                      <w:color w:val="auto"/>
                      <w:spacing w:val="5"/>
                      <w:sz w:val="21"/>
                      <w:highlight w:val="none"/>
                    </w:rPr>
                    <w:t>登记管理</w:t>
                  </w:r>
                </w:p>
              </w:tc>
            </w:tr>
            <w:tr w14:paraId="77D94F0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4" w:hRule="atLeast"/>
              </w:trPr>
              <w:tc>
                <w:tcPr>
                  <w:tcW w:w="5000" w:type="pct"/>
                  <w:gridSpan w:val="5"/>
                  <w:tcBorders>
                    <w:top w:val="single" w:color="000000" w:sz="12" w:space="0"/>
                    <w:tl2br w:val="nil"/>
                    <w:tr2bl w:val="nil"/>
                  </w:tcBorders>
                  <w:shd w:val="clear" w:color="auto" w:fill="D7D7D7" w:themeFill="background1" w:themeFillShade="D8"/>
                  <w:vAlign w:val="center"/>
                </w:tcPr>
                <w:p w14:paraId="62A000AE">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highlight w:val="none"/>
                    </w:rPr>
                  </w:pPr>
                  <w:r>
                    <w:rPr>
                      <w:rFonts w:ascii="Times New Roman" w:hAnsi="Times New Roman" w:eastAsia="宋体"/>
                      <w:color w:val="auto"/>
                      <w:spacing w:val="8"/>
                      <w:position w:val="1"/>
                      <w:sz w:val="21"/>
                      <w:highlight w:val="none"/>
                    </w:rPr>
                    <w:t>三十一、汽车制造业</w:t>
                  </w:r>
                  <w:r>
                    <w:rPr>
                      <w:rFonts w:ascii="Times New Roman" w:hAnsi="Times New Roman" w:eastAsia="宋体" w:cs="Times New Roman"/>
                      <w:color w:val="auto"/>
                      <w:spacing w:val="8"/>
                      <w:position w:val="1"/>
                      <w:sz w:val="21"/>
                      <w:highlight w:val="none"/>
                    </w:rPr>
                    <w:t>36</w:t>
                  </w:r>
                </w:p>
              </w:tc>
            </w:tr>
            <w:tr w14:paraId="18106C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86" w:hRule="atLeast"/>
              </w:trPr>
              <w:tc>
                <w:tcPr>
                  <w:tcW w:w="295" w:type="pct"/>
                  <w:tcBorders>
                    <w:tl2br w:val="nil"/>
                    <w:tr2bl w:val="nil"/>
                  </w:tcBorders>
                  <w:vAlign w:val="center"/>
                </w:tcPr>
                <w:p w14:paraId="14D3229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s="Times New Roman"/>
                      <w:color w:val="auto"/>
                      <w:sz w:val="21"/>
                      <w:szCs w:val="20"/>
                      <w:highlight w:val="none"/>
                    </w:rPr>
                  </w:pPr>
                  <w:r>
                    <w:rPr>
                      <w:rFonts w:ascii="Times New Roman" w:hAnsi="Times New Roman" w:eastAsia="宋体" w:cs="Times New Roman"/>
                      <w:color w:val="auto"/>
                      <w:spacing w:val="-2"/>
                      <w:position w:val="2"/>
                      <w:sz w:val="21"/>
                      <w:szCs w:val="20"/>
                      <w:highlight w:val="none"/>
                    </w:rPr>
                    <w:t>85</w:t>
                  </w:r>
                </w:p>
              </w:tc>
              <w:tc>
                <w:tcPr>
                  <w:tcW w:w="1219" w:type="pct"/>
                  <w:tcBorders>
                    <w:tl2br w:val="nil"/>
                    <w:tr2bl w:val="nil"/>
                  </w:tcBorders>
                  <w:vAlign w:val="center"/>
                </w:tcPr>
                <w:p w14:paraId="7EB533BD">
                  <w:pPr>
                    <w:pStyle w:val="113"/>
                    <w:keepNext w:val="0"/>
                    <w:keepLines w:val="0"/>
                    <w:pageBreakBefore w:val="0"/>
                    <w:widowControl w:val="0"/>
                    <w:kinsoku/>
                    <w:wordWrap/>
                    <w:overflowPunct/>
                    <w:topLinePunct w:val="0"/>
                    <w:autoSpaceDE/>
                    <w:autoSpaceDN/>
                    <w:bidi w:val="0"/>
                    <w:adjustRightInd/>
                    <w:snapToGrid/>
                    <w:spacing w:line="240" w:lineRule="auto"/>
                    <w:ind w:left="210" w:leftChars="100" w:right="210" w:rightChars="100"/>
                    <w:jc w:val="both"/>
                    <w:textAlignment w:val="auto"/>
                    <w:rPr>
                      <w:rFonts w:ascii="Times New Roman" w:hAnsi="Times New Roman" w:eastAsia="宋体" w:cs="Times New Roman"/>
                      <w:color w:val="auto"/>
                      <w:sz w:val="21"/>
                      <w:highlight w:val="none"/>
                    </w:rPr>
                  </w:pPr>
                  <w:r>
                    <w:rPr>
                      <w:rFonts w:ascii="Times New Roman" w:hAnsi="Times New Roman" w:eastAsia="宋体"/>
                      <w:color w:val="auto"/>
                      <w:spacing w:val="3"/>
                      <w:position w:val="1"/>
                      <w:sz w:val="21"/>
                      <w:highlight w:val="none"/>
                    </w:rPr>
                    <w:t>汽车整车制造</w:t>
                  </w:r>
                  <w:r>
                    <w:rPr>
                      <w:rFonts w:ascii="Times New Roman" w:hAnsi="Times New Roman" w:eastAsia="宋体" w:cs="Times New Roman"/>
                      <w:color w:val="auto"/>
                      <w:spacing w:val="3"/>
                      <w:position w:val="1"/>
                      <w:sz w:val="21"/>
                      <w:highlight w:val="none"/>
                    </w:rPr>
                    <w:t>361</w:t>
                  </w:r>
                  <w:r>
                    <w:rPr>
                      <w:rFonts w:ascii="Times New Roman" w:hAnsi="Times New Roman" w:eastAsia="宋体"/>
                      <w:color w:val="auto"/>
                      <w:spacing w:val="3"/>
                      <w:position w:val="1"/>
                      <w:sz w:val="21"/>
                      <w:highlight w:val="none"/>
                    </w:rPr>
                    <w:t>，汽车用发动机制造</w:t>
                  </w:r>
                  <w:r>
                    <w:rPr>
                      <w:rFonts w:ascii="Times New Roman" w:hAnsi="Times New Roman" w:eastAsia="宋体" w:cs="Times New Roman"/>
                      <w:color w:val="auto"/>
                      <w:spacing w:val="3"/>
                      <w:position w:val="1"/>
                      <w:sz w:val="21"/>
                      <w:highlight w:val="none"/>
                    </w:rPr>
                    <w:t>362</w:t>
                  </w:r>
                  <w:r>
                    <w:rPr>
                      <w:rFonts w:ascii="Times New Roman" w:hAnsi="Times New Roman" w:eastAsia="宋体"/>
                      <w:color w:val="auto"/>
                      <w:spacing w:val="3"/>
                      <w:position w:val="1"/>
                      <w:sz w:val="21"/>
                      <w:highlight w:val="none"/>
                    </w:rPr>
                    <w:t>，改装汽车制造</w:t>
                  </w:r>
                  <w:r>
                    <w:rPr>
                      <w:rFonts w:ascii="Times New Roman" w:hAnsi="Times New Roman" w:eastAsia="宋体" w:cs="Times New Roman"/>
                      <w:color w:val="auto"/>
                      <w:spacing w:val="5"/>
                      <w:position w:val="1"/>
                      <w:sz w:val="21"/>
                      <w:highlight w:val="none"/>
                    </w:rPr>
                    <w:t>363</w:t>
                  </w:r>
                  <w:r>
                    <w:rPr>
                      <w:rFonts w:ascii="Times New Roman" w:hAnsi="Times New Roman" w:eastAsia="宋体"/>
                      <w:color w:val="auto"/>
                      <w:spacing w:val="5"/>
                      <w:position w:val="1"/>
                      <w:sz w:val="21"/>
                      <w:highlight w:val="none"/>
                    </w:rPr>
                    <w:t>，低速汽车制造</w:t>
                  </w:r>
                  <w:r>
                    <w:rPr>
                      <w:rFonts w:ascii="Times New Roman" w:hAnsi="Times New Roman" w:eastAsia="宋体" w:cs="Times New Roman"/>
                      <w:color w:val="auto"/>
                      <w:spacing w:val="5"/>
                      <w:position w:val="1"/>
                      <w:sz w:val="21"/>
                      <w:highlight w:val="none"/>
                    </w:rPr>
                    <w:t>364</w:t>
                  </w:r>
                  <w:r>
                    <w:rPr>
                      <w:rFonts w:ascii="Times New Roman" w:hAnsi="Times New Roman" w:eastAsia="宋体"/>
                      <w:color w:val="auto"/>
                      <w:spacing w:val="5"/>
                      <w:position w:val="1"/>
                      <w:sz w:val="21"/>
                      <w:highlight w:val="none"/>
                    </w:rPr>
                    <w:t>，电</w:t>
                  </w:r>
                  <w:r>
                    <w:rPr>
                      <w:rFonts w:ascii="Times New Roman" w:hAnsi="Times New Roman" w:eastAsia="宋体"/>
                      <w:color w:val="auto"/>
                      <w:spacing w:val="3"/>
                      <w:position w:val="1"/>
                      <w:sz w:val="21"/>
                      <w:highlight w:val="none"/>
                    </w:rPr>
                    <w:t>车制造</w:t>
                  </w:r>
                  <w:r>
                    <w:rPr>
                      <w:rFonts w:ascii="Times New Roman" w:hAnsi="Times New Roman" w:eastAsia="宋体" w:cs="Times New Roman"/>
                      <w:color w:val="auto"/>
                      <w:spacing w:val="3"/>
                      <w:position w:val="1"/>
                      <w:sz w:val="21"/>
                      <w:highlight w:val="none"/>
                    </w:rPr>
                    <w:t>365</w:t>
                  </w:r>
                  <w:r>
                    <w:rPr>
                      <w:rFonts w:ascii="Times New Roman" w:hAnsi="Times New Roman" w:eastAsia="宋体"/>
                      <w:color w:val="auto"/>
                      <w:spacing w:val="3"/>
                      <w:position w:val="1"/>
                      <w:sz w:val="21"/>
                      <w:highlight w:val="none"/>
                    </w:rPr>
                    <w:t>，汽车车身、挂车制造</w:t>
                  </w:r>
                  <w:r>
                    <w:rPr>
                      <w:rFonts w:ascii="Times New Roman" w:hAnsi="Times New Roman" w:eastAsia="宋体" w:cs="Times New Roman"/>
                      <w:color w:val="auto"/>
                      <w:spacing w:val="3"/>
                      <w:position w:val="1"/>
                      <w:sz w:val="21"/>
                      <w:highlight w:val="none"/>
                    </w:rPr>
                    <w:t>366</w:t>
                  </w:r>
                  <w:r>
                    <w:rPr>
                      <w:rFonts w:ascii="Times New Roman" w:hAnsi="Times New Roman" w:eastAsia="宋体"/>
                      <w:color w:val="auto"/>
                      <w:spacing w:val="3"/>
                      <w:position w:val="1"/>
                      <w:sz w:val="21"/>
                      <w:highlight w:val="none"/>
                    </w:rPr>
                    <w:t>，汽车零部件及配件</w:t>
                  </w:r>
                  <w:r>
                    <w:rPr>
                      <w:rFonts w:ascii="Times New Roman" w:hAnsi="Times New Roman" w:eastAsia="宋体"/>
                      <w:color w:val="auto"/>
                      <w:spacing w:val="5"/>
                      <w:position w:val="1"/>
                      <w:sz w:val="21"/>
                      <w:highlight w:val="none"/>
                    </w:rPr>
                    <w:t>制造</w:t>
                  </w:r>
                  <w:r>
                    <w:rPr>
                      <w:rFonts w:ascii="Times New Roman" w:hAnsi="Times New Roman" w:eastAsia="宋体" w:cs="Times New Roman"/>
                      <w:color w:val="auto"/>
                      <w:spacing w:val="5"/>
                      <w:position w:val="1"/>
                      <w:sz w:val="21"/>
                      <w:highlight w:val="none"/>
                    </w:rPr>
                    <w:t>367</w:t>
                  </w:r>
                </w:p>
              </w:tc>
              <w:tc>
                <w:tcPr>
                  <w:tcW w:w="578" w:type="pct"/>
                  <w:tcBorders>
                    <w:tl2br w:val="nil"/>
                    <w:tr2bl w:val="nil"/>
                  </w:tcBorders>
                  <w:vAlign w:val="center"/>
                </w:tcPr>
                <w:p w14:paraId="32708B7D">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7"/>
                      <w:sz w:val="21"/>
                      <w:highlight w:val="none"/>
                    </w:rPr>
                    <w:t>纳入重点排污单位名录</w:t>
                  </w:r>
                  <w:r>
                    <w:rPr>
                      <w:rFonts w:ascii="Times New Roman" w:hAnsi="Times New Roman" w:eastAsia="宋体"/>
                      <w:color w:val="auto"/>
                      <w:sz w:val="21"/>
                      <w:highlight w:val="none"/>
                    </w:rPr>
                    <w:t>的</w:t>
                  </w:r>
                </w:p>
              </w:tc>
              <w:tc>
                <w:tcPr>
                  <w:tcW w:w="2385" w:type="pct"/>
                  <w:tcBorders>
                    <w:tl2br w:val="nil"/>
                    <w:tr2bl w:val="nil"/>
                  </w:tcBorders>
                  <w:shd w:val="clear" w:color="auto" w:fill="D7D7D7" w:themeFill="background1" w:themeFillShade="D8"/>
                  <w:vAlign w:val="center"/>
                </w:tcPr>
                <w:p w14:paraId="5780EEA5">
                  <w:pPr>
                    <w:pStyle w:val="113"/>
                    <w:keepNext w:val="0"/>
                    <w:keepLines w:val="0"/>
                    <w:pageBreakBefore w:val="0"/>
                    <w:widowControl w:val="0"/>
                    <w:kinsoku/>
                    <w:wordWrap/>
                    <w:overflowPunct/>
                    <w:topLinePunct w:val="0"/>
                    <w:autoSpaceDE/>
                    <w:autoSpaceDN/>
                    <w:bidi w:val="0"/>
                    <w:adjustRightInd/>
                    <w:snapToGrid/>
                    <w:spacing w:line="240" w:lineRule="auto"/>
                    <w:ind w:left="210" w:leftChars="100" w:right="210" w:rightChars="100"/>
                    <w:jc w:val="center"/>
                    <w:textAlignment w:val="auto"/>
                    <w:rPr>
                      <w:rFonts w:ascii="Times New Roman" w:hAnsi="Times New Roman" w:eastAsia="宋体" w:cs="Times New Roman"/>
                      <w:color w:val="auto"/>
                      <w:sz w:val="21"/>
                      <w:highlight w:val="none"/>
                    </w:rPr>
                  </w:pPr>
                  <w:r>
                    <w:rPr>
                      <w:rFonts w:ascii="Times New Roman" w:hAnsi="Times New Roman" w:eastAsia="宋体"/>
                      <w:color w:val="auto"/>
                      <w:spacing w:val="8"/>
                      <w:sz w:val="21"/>
                      <w:highlight w:val="none"/>
                    </w:rPr>
                    <w:t>除重点管理以外的汽车整车制</w:t>
                  </w:r>
                  <w:r>
                    <w:rPr>
                      <w:rFonts w:ascii="Times New Roman" w:hAnsi="Times New Roman" w:eastAsia="宋体"/>
                      <w:color w:val="auto"/>
                      <w:spacing w:val="6"/>
                      <w:position w:val="1"/>
                      <w:sz w:val="21"/>
                      <w:highlight w:val="none"/>
                    </w:rPr>
                    <w:t>造</w:t>
                  </w:r>
                  <w:r>
                    <w:rPr>
                      <w:rFonts w:ascii="Times New Roman" w:hAnsi="Times New Roman" w:eastAsia="宋体" w:cs="Times New Roman"/>
                      <w:color w:val="auto"/>
                      <w:spacing w:val="6"/>
                      <w:position w:val="1"/>
                      <w:sz w:val="21"/>
                      <w:highlight w:val="none"/>
                    </w:rPr>
                    <w:t>361</w:t>
                  </w:r>
                  <w:r>
                    <w:rPr>
                      <w:rFonts w:ascii="Times New Roman" w:hAnsi="Times New Roman" w:eastAsia="宋体"/>
                      <w:color w:val="auto"/>
                      <w:spacing w:val="6"/>
                      <w:position w:val="1"/>
                      <w:sz w:val="21"/>
                      <w:highlight w:val="none"/>
                    </w:rPr>
                    <w:t>，除重点管理以外的年使</w:t>
                  </w:r>
                  <w:r>
                    <w:rPr>
                      <w:rFonts w:ascii="Times New Roman" w:hAnsi="Times New Roman" w:eastAsia="宋体"/>
                      <w:color w:val="auto"/>
                      <w:spacing w:val="8"/>
                      <w:position w:val="1"/>
                      <w:sz w:val="21"/>
                      <w:highlight w:val="none"/>
                    </w:rPr>
                    <w:t>用</w:t>
                  </w:r>
                  <w:r>
                    <w:rPr>
                      <w:rFonts w:ascii="Times New Roman" w:hAnsi="Times New Roman" w:eastAsia="宋体" w:cs="Times New Roman"/>
                      <w:color w:val="auto"/>
                      <w:spacing w:val="8"/>
                      <w:position w:val="1"/>
                      <w:sz w:val="21"/>
                      <w:highlight w:val="none"/>
                    </w:rPr>
                    <w:t>10</w:t>
                  </w:r>
                  <w:r>
                    <w:rPr>
                      <w:rFonts w:ascii="Times New Roman" w:hAnsi="Times New Roman" w:eastAsia="宋体"/>
                      <w:color w:val="auto"/>
                      <w:spacing w:val="8"/>
                      <w:position w:val="1"/>
                      <w:sz w:val="21"/>
                      <w:highlight w:val="none"/>
                    </w:rPr>
                    <w:t>吨及以上溶剂型涂料或者</w:t>
                  </w:r>
                  <w:r>
                    <w:rPr>
                      <w:rFonts w:ascii="Times New Roman" w:hAnsi="Times New Roman" w:eastAsia="宋体"/>
                      <w:color w:val="auto"/>
                      <w:spacing w:val="7"/>
                      <w:sz w:val="21"/>
                      <w:highlight w:val="none"/>
                    </w:rPr>
                    <w:t>胶黏剂（含稀释剂、固化剂、清</w:t>
                  </w:r>
                  <w:r>
                    <w:rPr>
                      <w:rFonts w:ascii="Times New Roman" w:hAnsi="Times New Roman" w:eastAsia="宋体"/>
                      <w:color w:val="auto"/>
                      <w:spacing w:val="9"/>
                      <w:sz w:val="21"/>
                      <w:highlight w:val="none"/>
                    </w:rPr>
                    <w:t>洗溶剂）的汽车用发动机制造</w:t>
                  </w:r>
                  <w:r>
                    <w:rPr>
                      <w:rFonts w:ascii="Times New Roman" w:hAnsi="Times New Roman" w:eastAsia="宋体" w:cs="Times New Roman"/>
                      <w:color w:val="auto"/>
                      <w:spacing w:val="3"/>
                      <w:position w:val="1"/>
                      <w:sz w:val="21"/>
                      <w:highlight w:val="none"/>
                    </w:rPr>
                    <w:t>362</w:t>
                  </w:r>
                  <w:r>
                    <w:rPr>
                      <w:rFonts w:ascii="Times New Roman" w:hAnsi="Times New Roman" w:eastAsia="宋体"/>
                      <w:color w:val="auto"/>
                      <w:spacing w:val="3"/>
                      <w:position w:val="1"/>
                      <w:sz w:val="21"/>
                      <w:highlight w:val="none"/>
                    </w:rPr>
                    <w:t>、改装汽车制造</w:t>
                  </w:r>
                  <w:r>
                    <w:rPr>
                      <w:rFonts w:ascii="Times New Roman" w:hAnsi="Times New Roman" w:eastAsia="宋体" w:cs="Times New Roman"/>
                      <w:color w:val="auto"/>
                      <w:spacing w:val="3"/>
                      <w:position w:val="1"/>
                      <w:sz w:val="21"/>
                      <w:highlight w:val="none"/>
                    </w:rPr>
                    <w:t>363</w:t>
                  </w:r>
                  <w:r>
                    <w:rPr>
                      <w:rFonts w:ascii="Times New Roman" w:hAnsi="Times New Roman" w:eastAsia="宋体"/>
                      <w:color w:val="auto"/>
                      <w:spacing w:val="3"/>
                      <w:position w:val="1"/>
                      <w:sz w:val="21"/>
                      <w:highlight w:val="none"/>
                    </w:rPr>
                    <w:t>、低速汽车制造</w:t>
                  </w:r>
                  <w:r>
                    <w:rPr>
                      <w:rFonts w:ascii="Times New Roman" w:hAnsi="Times New Roman" w:eastAsia="宋体" w:cs="Times New Roman"/>
                      <w:color w:val="auto"/>
                      <w:spacing w:val="3"/>
                      <w:position w:val="1"/>
                      <w:sz w:val="21"/>
                      <w:highlight w:val="none"/>
                    </w:rPr>
                    <w:t>364</w:t>
                  </w:r>
                  <w:r>
                    <w:rPr>
                      <w:rFonts w:ascii="Times New Roman" w:hAnsi="Times New Roman" w:eastAsia="宋体"/>
                      <w:color w:val="auto"/>
                      <w:spacing w:val="3"/>
                      <w:position w:val="1"/>
                      <w:sz w:val="21"/>
                      <w:highlight w:val="none"/>
                    </w:rPr>
                    <w:t>、电车制造</w:t>
                  </w:r>
                  <w:r>
                    <w:rPr>
                      <w:rFonts w:ascii="Times New Roman" w:hAnsi="Times New Roman" w:eastAsia="宋体" w:cs="Times New Roman"/>
                      <w:color w:val="auto"/>
                      <w:spacing w:val="3"/>
                      <w:position w:val="1"/>
                      <w:sz w:val="21"/>
                      <w:highlight w:val="none"/>
                    </w:rPr>
                    <w:t>365</w:t>
                  </w:r>
                  <w:r>
                    <w:rPr>
                      <w:rFonts w:ascii="Times New Roman" w:hAnsi="Times New Roman" w:eastAsia="宋体"/>
                      <w:color w:val="auto"/>
                      <w:spacing w:val="3"/>
                      <w:position w:val="1"/>
                      <w:sz w:val="21"/>
                      <w:highlight w:val="none"/>
                    </w:rPr>
                    <w:t>、汽车</w:t>
                  </w:r>
                  <w:r>
                    <w:rPr>
                      <w:rFonts w:ascii="Times New Roman" w:hAnsi="Times New Roman" w:eastAsia="宋体"/>
                      <w:color w:val="auto"/>
                      <w:spacing w:val="6"/>
                      <w:position w:val="1"/>
                      <w:sz w:val="21"/>
                      <w:highlight w:val="none"/>
                    </w:rPr>
                    <w:t>车身、挂车制造</w:t>
                  </w:r>
                  <w:r>
                    <w:rPr>
                      <w:rFonts w:ascii="Times New Roman" w:hAnsi="Times New Roman" w:eastAsia="宋体" w:cs="Times New Roman"/>
                      <w:color w:val="auto"/>
                      <w:spacing w:val="6"/>
                      <w:position w:val="1"/>
                      <w:sz w:val="21"/>
                      <w:highlight w:val="none"/>
                    </w:rPr>
                    <w:t>366</w:t>
                  </w:r>
                  <w:r>
                    <w:rPr>
                      <w:rFonts w:ascii="Times New Roman" w:hAnsi="Times New Roman" w:eastAsia="宋体"/>
                      <w:color w:val="auto"/>
                      <w:spacing w:val="6"/>
                      <w:position w:val="1"/>
                      <w:sz w:val="21"/>
                      <w:highlight w:val="none"/>
                    </w:rPr>
                    <w:t>、汽车零部</w:t>
                  </w:r>
                  <w:r>
                    <w:rPr>
                      <w:rFonts w:ascii="Times New Roman" w:hAnsi="Times New Roman" w:eastAsia="宋体"/>
                      <w:color w:val="auto"/>
                      <w:spacing w:val="7"/>
                      <w:position w:val="1"/>
                      <w:sz w:val="21"/>
                      <w:highlight w:val="none"/>
                    </w:rPr>
                    <w:t>件及配件制造</w:t>
                  </w:r>
                  <w:r>
                    <w:rPr>
                      <w:rFonts w:ascii="Times New Roman" w:hAnsi="Times New Roman" w:eastAsia="宋体" w:cs="Times New Roman"/>
                      <w:color w:val="auto"/>
                      <w:spacing w:val="7"/>
                      <w:position w:val="1"/>
                      <w:sz w:val="21"/>
                      <w:highlight w:val="none"/>
                    </w:rPr>
                    <w:t>367</w:t>
                  </w:r>
                </w:p>
              </w:tc>
              <w:tc>
                <w:tcPr>
                  <w:tcW w:w="521" w:type="pct"/>
                  <w:tcBorders>
                    <w:tl2br w:val="nil"/>
                    <w:tr2bl w:val="nil"/>
                  </w:tcBorders>
                  <w:vAlign w:val="center"/>
                </w:tcPr>
                <w:p w14:paraId="0ECBF558">
                  <w:pPr>
                    <w:pStyle w:val="113"/>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宋体"/>
                      <w:color w:val="auto"/>
                      <w:sz w:val="21"/>
                      <w:highlight w:val="none"/>
                    </w:rPr>
                  </w:pPr>
                  <w:r>
                    <w:rPr>
                      <w:rFonts w:ascii="Times New Roman" w:hAnsi="Times New Roman" w:eastAsia="宋体"/>
                      <w:color w:val="auto"/>
                      <w:spacing w:val="4"/>
                      <w:sz w:val="21"/>
                      <w:highlight w:val="none"/>
                    </w:rPr>
                    <w:t>其他</w:t>
                  </w:r>
                </w:p>
              </w:tc>
            </w:tr>
          </w:tbl>
          <w:p w14:paraId="338D8B94">
            <w:pPr>
              <w:rPr>
                <w:rFonts w:hint="default"/>
                <w:color w:val="auto"/>
                <w:highlight w:val="none"/>
                <w:lang w:val="en-US" w:eastAsia="zh-CN"/>
              </w:rPr>
            </w:pPr>
          </w:p>
          <w:p w14:paraId="291C6232">
            <w:pPr>
              <w:pStyle w:val="3"/>
              <w:numPr>
                <w:ilvl w:val="1"/>
                <w:numId w:val="1"/>
              </w:numPr>
              <w:bidi w:val="0"/>
              <w:ind w:left="0" w:leftChars="0" w:firstLine="0" w:firstLineChars="0"/>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排污口规范化管理</w:t>
            </w:r>
          </w:p>
          <w:p w14:paraId="09AE9914">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排污口规范化是实施污染物总量控制管理的基础工作，也是总量控制不可缺少的一项内容，排污口规范化对于污染源管理，现场监督检查，促进厂家企业强化环保管理，促进污染治理，实现科学化、定量化都有极大的现实意义。</w:t>
            </w:r>
          </w:p>
          <w:p w14:paraId="54E478AA">
            <w:pPr>
              <w:spacing w:line="360" w:lineRule="auto"/>
              <w:ind w:firstLine="480"/>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rPr>
              <w:t>项目需规范的排污口主要有</w:t>
            </w:r>
            <w:r>
              <w:rPr>
                <w:rFonts w:hint="eastAsia" w:cs="Times New Roman"/>
                <w:color w:val="auto"/>
                <w:sz w:val="24"/>
                <w:szCs w:val="24"/>
                <w:highlight w:val="none"/>
                <w:lang w:val="en-US" w:eastAsia="zh-CN"/>
              </w:rPr>
              <w:t>生活污水</w:t>
            </w:r>
            <w:r>
              <w:rPr>
                <w:rFonts w:hint="default" w:ascii="Times New Roman" w:hAnsi="Times New Roman" w:eastAsia="宋体" w:cs="Times New Roman"/>
                <w:color w:val="auto"/>
                <w:sz w:val="24"/>
                <w:szCs w:val="24"/>
                <w:highlight w:val="none"/>
              </w:rPr>
              <w:t>排放口、废气排气筒、固废临时堆放点</w:t>
            </w:r>
            <w:r>
              <w:rPr>
                <w:rFonts w:hint="eastAsia" w:cs="Times New Roman"/>
                <w:color w:val="auto"/>
                <w:sz w:val="24"/>
                <w:szCs w:val="24"/>
                <w:highlight w:val="none"/>
                <w:lang w:val="en-US" w:eastAsia="zh-CN"/>
              </w:rPr>
              <w:t>等</w:t>
            </w:r>
            <w:r>
              <w:rPr>
                <w:rFonts w:hint="default" w:ascii="Times New Roman" w:hAnsi="Times New Roman" w:eastAsia="宋体" w:cs="Times New Roman"/>
                <w:color w:val="auto"/>
                <w:sz w:val="24"/>
                <w:szCs w:val="24"/>
                <w:highlight w:val="none"/>
              </w:rPr>
              <w:t>。</w:t>
            </w:r>
          </w:p>
          <w:p w14:paraId="651C1EE4">
            <w:pPr>
              <w:spacing w:line="360" w:lineRule="auto"/>
              <w:ind w:firstLine="480"/>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eastAsia" w:cs="Times New Roman"/>
                <w:color w:val="auto"/>
                <w:sz w:val="24"/>
                <w:szCs w:val="24"/>
                <w:highlight w:val="none"/>
                <w:lang w:val="en-US" w:eastAsia="zh-CN"/>
              </w:rPr>
              <w:t>生活污水</w:t>
            </w:r>
            <w:r>
              <w:rPr>
                <w:rFonts w:hint="default" w:ascii="Times New Roman" w:hAnsi="Times New Roman" w:eastAsia="宋体" w:cs="Times New Roman"/>
                <w:color w:val="auto"/>
                <w:sz w:val="24"/>
                <w:szCs w:val="24"/>
                <w:highlight w:val="none"/>
              </w:rPr>
              <w:t>排放口：本项目</w:t>
            </w:r>
            <w:r>
              <w:rPr>
                <w:rFonts w:hint="eastAsia" w:cs="Times New Roman"/>
                <w:color w:val="auto"/>
                <w:sz w:val="24"/>
                <w:szCs w:val="24"/>
                <w:highlight w:val="none"/>
                <w:lang w:val="en-US" w:eastAsia="zh-CN"/>
              </w:rPr>
              <w:t>生活污水经化粪池处理后进入福清市第二污水处理厂</w:t>
            </w:r>
            <w:r>
              <w:rPr>
                <w:rFonts w:hint="eastAsia" w:ascii="Times New Roman" w:hAnsi="Times New Roman" w:eastAsia="宋体" w:cs="Times New Roman"/>
                <w:color w:val="auto"/>
                <w:sz w:val="24"/>
                <w:szCs w:val="24"/>
                <w:highlight w:val="none"/>
                <w:lang w:val="en-US" w:eastAsia="zh-CN"/>
              </w:rPr>
              <w:t>集中处理</w:t>
            </w:r>
            <w:r>
              <w:rPr>
                <w:rFonts w:hint="default" w:ascii="Times New Roman" w:hAnsi="Times New Roman" w:eastAsia="宋体" w:cs="Times New Roman"/>
                <w:color w:val="auto"/>
                <w:sz w:val="24"/>
                <w:szCs w:val="24"/>
                <w:highlight w:val="none"/>
              </w:rPr>
              <w:t>。排污口设置符合对排污口的规范化的要求。具体有以下要求的内容：</w:t>
            </w:r>
          </w:p>
          <w:p w14:paraId="7603CB96">
            <w:pPr>
              <w:spacing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A</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按《污水综合排放标准》(GB8978—1996)和《污水监测技术规范》（HJ 91.1-2019）的规定，在排污单位的排放口设置采样点。</w:t>
            </w:r>
          </w:p>
          <w:p w14:paraId="464AF12B">
            <w:pPr>
              <w:spacing w:line="360" w:lineRule="auto"/>
              <w:ind w:firstLine="480"/>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B</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应尽量安装污水流量计，堰槽式测流装置满足《</w:t>
            </w:r>
            <w:r>
              <w:rPr>
                <w:rFonts w:hint="eastAsia" w:cs="Times New Roman"/>
                <w:color w:val="auto"/>
                <w:sz w:val="24"/>
                <w:szCs w:val="24"/>
                <w:highlight w:val="none"/>
                <w:lang w:eastAsia="zh-CN"/>
              </w:rPr>
              <w:t>明渠堰槽流量计（试行）检定规程</w:t>
            </w:r>
            <w:r>
              <w:rPr>
                <w:rFonts w:hint="default" w:ascii="Times New Roman" w:hAnsi="Times New Roman" w:eastAsia="宋体" w:cs="Times New Roman"/>
                <w:color w:val="auto"/>
                <w:sz w:val="24"/>
                <w:szCs w:val="24"/>
                <w:highlight w:val="none"/>
                <w:lang w:eastAsia="zh-CN"/>
              </w:rPr>
              <w:t>》（JJG711-90）标准要求。</w:t>
            </w:r>
          </w:p>
          <w:p w14:paraId="2FE73706">
            <w:pPr>
              <w:spacing w:line="360" w:lineRule="auto"/>
              <w:ind w:firstLine="480" w:firstLineChars="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C</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废水排放口环境保护图形标志牌设在排放口附近醒目处。</w:t>
            </w:r>
          </w:p>
          <w:p w14:paraId="38D840AB">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（2）废气排放口：各烟囱或烟道应设置永久采样孔，并安装采样监测平台，废气采样口设置必须符合《</w:t>
            </w:r>
            <w:r>
              <w:rPr>
                <w:rFonts w:hint="eastAsia" w:ascii="Times New Roman" w:hAnsi="Times New Roman"/>
                <w:color w:val="auto"/>
                <w:sz w:val="24"/>
                <w:szCs w:val="24"/>
                <w:highlight w:val="none"/>
              </w:rPr>
              <w:t>固定源废气监测技术规范</w:t>
            </w:r>
            <w:r>
              <w:rPr>
                <w:rFonts w:hint="default" w:ascii="Times New Roman" w:hAnsi="Times New Roman" w:eastAsia="宋体" w:cs="Times New Roman"/>
                <w:color w:val="auto"/>
                <w:sz w:val="24"/>
                <w:szCs w:val="24"/>
                <w:highlight w:val="none"/>
              </w:rPr>
              <w:t>》</w:t>
            </w:r>
            <w:r>
              <w:rPr>
                <w:rFonts w:hint="eastAsia" w:ascii="Times New Roman" w:hAnsi="Times New Roman"/>
                <w:color w:val="auto"/>
                <w:sz w:val="24"/>
                <w:szCs w:val="24"/>
                <w:highlight w:val="none"/>
                <w:lang w:eastAsia="zh-CN"/>
              </w:rPr>
              <w:t>（</w:t>
            </w:r>
            <w:r>
              <w:rPr>
                <w:rFonts w:hint="eastAsia"/>
                <w:color w:val="auto"/>
                <w:sz w:val="24"/>
                <w:szCs w:val="24"/>
                <w:highlight w:val="none"/>
                <w:lang w:eastAsia="zh-CN"/>
              </w:rPr>
              <w:t>HJ/T 397-2007</w:t>
            </w:r>
            <w:r>
              <w:rPr>
                <w:rFonts w:hint="eastAsia" w:ascii="Times New Roman" w:hAnsi="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规定的高度和要求，便于采样、监测的要求，并得到授权的环境监察支队和环境监测中心站共同确认。具体有以下要求的内容：</w:t>
            </w:r>
          </w:p>
          <w:p w14:paraId="7B377892">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A</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采样口位置原则上应避开烟道弯头和断面急剧变化的部位。对颗粒物采集或连续测定，应设置在距弯头、阀门、变径管下游方向不小于</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倍直径，和距上述部件上游方向不小于</w:t>
            </w:r>
            <w:r>
              <w:rPr>
                <w:rFonts w:hint="eastAsia"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rPr>
              <w:t>倍直径处；对气态污染物采集或连续测定，应设置在距弯头、阀门、变径管道下游方向不小于2倍直径处，和距上述部件上游方向不小于</w:t>
            </w:r>
            <w:r>
              <w:rPr>
                <w:rFonts w:hint="eastAsia" w:ascii="Times New Roman" w:hAnsi="Times New Roman" w:eastAsia="宋体" w:cs="Times New Roman"/>
                <w:color w:val="auto"/>
                <w:sz w:val="24"/>
                <w:szCs w:val="24"/>
                <w:highlight w:val="none"/>
                <w:lang w:val="en-US" w:eastAsia="zh-CN"/>
              </w:rPr>
              <w:t>1.5</w:t>
            </w:r>
            <w:r>
              <w:rPr>
                <w:rFonts w:hint="default" w:ascii="Times New Roman" w:hAnsi="Times New Roman" w:eastAsia="宋体" w:cs="Times New Roman"/>
                <w:color w:val="auto"/>
                <w:sz w:val="24"/>
                <w:szCs w:val="24"/>
                <w:highlight w:val="none"/>
              </w:rPr>
              <w:t>倍直径处。</w:t>
            </w:r>
          </w:p>
          <w:p w14:paraId="01637324">
            <w:pPr>
              <w:spacing w:line="360" w:lineRule="auto"/>
              <w:ind w:firstLine="480"/>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B</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采样口径一般不少于</w:t>
            </w:r>
            <w:r>
              <w:rPr>
                <w:rFonts w:hint="eastAsia" w:ascii="Times New Roman" w:hAnsi="Times New Roman" w:eastAsia="宋体"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rPr>
              <w:t>毫米。当采取有毒或变温气体且采样点烟道处于正压状态时，应加设防喷装置。烟气排放连续监测系统的采样口径应按产品说明书要求确定</w:t>
            </w:r>
            <w:r>
              <w:rPr>
                <w:rFonts w:hint="eastAsia" w:ascii="Times New Roman" w:hAnsi="Times New Roman" w:eastAsia="宋体" w:cs="Times New Roman"/>
                <w:color w:val="auto"/>
                <w:sz w:val="24"/>
                <w:szCs w:val="24"/>
                <w:highlight w:val="none"/>
                <w:lang w:eastAsia="zh-CN"/>
              </w:rPr>
              <w:t>。</w:t>
            </w:r>
          </w:p>
          <w:p w14:paraId="15BEA2B1">
            <w:pPr>
              <w:spacing w:line="360" w:lineRule="auto"/>
              <w:ind w:firstLine="480"/>
              <w:rPr>
                <w:rFonts w:hint="eastAsia"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rPr>
              <w:t>C</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废气排放口的环境保护图形标志牌应设在排气筒附近地面醒目处</w:t>
            </w:r>
            <w:r>
              <w:rPr>
                <w:rFonts w:hint="eastAsia" w:ascii="Times New Roman" w:hAnsi="Times New Roman" w:eastAsia="宋体" w:cs="Times New Roman"/>
                <w:color w:val="auto"/>
                <w:sz w:val="24"/>
                <w:szCs w:val="24"/>
                <w:highlight w:val="none"/>
                <w:lang w:eastAsia="zh-CN"/>
              </w:rPr>
              <w:t>。</w:t>
            </w:r>
          </w:p>
          <w:p w14:paraId="077CECC7">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（3）固定噪声排放源</w:t>
            </w:r>
          </w:p>
          <w:p w14:paraId="5B50AC7B">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按规定对固定噪声进行治理，并在边界噪声敏感点</w:t>
            </w:r>
            <w:r>
              <w:rPr>
                <w:rFonts w:hint="eastAsia" w:cs="Times New Roman"/>
                <w:color w:val="auto"/>
                <w:sz w:val="24"/>
                <w:szCs w:val="24"/>
                <w:highlight w:val="none"/>
                <w:lang w:eastAsia="zh-CN"/>
              </w:rPr>
              <w:t>且</w:t>
            </w:r>
            <w:r>
              <w:rPr>
                <w:rFonts w:hint="default" w:ascii="Times New Roman" w:hAnsi="Times New Roman" w:eastAsia="宋体" w:cs="Times New Roman"/>
                <w:color w:val="auto"/>
                <w:sz w:val="24"/>
                <w:szCs w:val="24"/>
                <w:highlight w:val="none"/>
              </w:rPr>
              <w:t>对外界影响最大处设置标志牌。</w:t>
            </w:r>
          </w:p>
          <w:p w14:paraId="3356FFC0">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（4）固体废物贮存处置</w:t>
            </w:r>
          </w:p>
          <w:p w14:paraId="4E3FFF83">
            <w:pPr>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对各种固体废物应分类收集，设置暂存点应有防扬尘、防流失、防渗漏等措施。</w:t>
            </w:r>
          </w:p>
          <w:p w14:paraId="27C44C85">
            <w:pPr>
              <w:pStyle w:val="42"/>
              <w:keepNext/>
              <w:keepLines/>
              <w:pageBreakBefore w:val="0"/>
              <w:widowControl w:val="0"/>
              <w:numPr>
                <w:ilvl w:val="7"/>
                <w:numId w:val="11"/>
              </w:numPr>
              <w:tabs>
                <w:tab w:val="left" w:pos="0"/>
              </w:tabs>
              <w:kinsoku/>
              <w:wordWrap/>
              <w:overflowPunct/>
              <w:topLinePunct w:val="0"/>
              <w:autoSpaceDE/>
              <w:autoSpaceDN/>
              <w:bidi w:val="0"/>
              <w:adjustRightInd/>
              <w:snapToGrid/>
              <w:spacing w:before="0" w:after="0"/>
              <w:ind w:left="630" w:leftChars="0" w:firstLine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 排放口图形标志</w:t>
            </w:r>
          </w:p>
          <w:tbl>
            <w:tblPr>
              <w:tblStyle w:val="33"/>
              <w:tblW w:w="864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1497"/>
              <w:gridCol w:w="1540"/>
              <w:gridCol w:w="1364"/>
              <w:gridCol w:w="1473"/>
              <w:gridCol w:w="1969"/>
            </w:tblGrid>
            <w:tr w14:paraId="1F8F2C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4" w:type="dxa"/>
                  <w:tcBorders>
                    <w:bottom w:val="single" w:color="auto" w:sz="12" w:space="0"/>
                  </w:tcBorders>
                  <w:noWrap w:val="0"/>
                  <w:tcMar>
                    <w:left w:w="28" w:type="dxa"/>
                    <w:right w:w="28" w:type="dxa"/>
                  </w:tcMar>
                  <w:vAlign w:val="center"/>
                </w:tcPr>
                <w:p w14:paraId="25F4D46B">
                  <w:pPr>
                    <w:spacing w:line="240" w:lineRule="auto"/>
                    <w:ind w:firstLine="0" w:firstLineChars="0"/>
                    <w:jc w:val="center"/>
                    <w:rPr>
                      <w:rFonts w:ascii="Times New Roman" w:hAnsi="Times New Roman"/>
                      <w:b/>
                      <w:bCs/>
                      <w:iCs/>
                      <w:color w:val="auto"/>
                      <w:sz w:val="21"/>
                      <w:szCs w:val="21"/>
                      <w:highlight w:val="none"/>
                    </w:rPr>
                  </w:pPr>
                  <w:r>
                    <w:rPr>
                      <w:rFonts w:ascii="Times New Roman" w:hAnsi="Times New Roman"/>
                      <w:b/>
                      <w:bCs/>
                      <w:iCs/>
                      <w:color w:val="auto"/>
                      <w:sz w:val="21"/>
                      <w:szCs w:val="21"/>
                      <w:highlight w:val="none"/>
                    </w:rPr>
                    <w:t>名称</w:t>
                  </w:r>
                </w:p>
              </w:tc>
              <w:tc>
                <w:tcPr>
                  <w:tcW w:w="1497" w:type="dxa"/>
                  <w:tcBorders>
                    <w:bottom w:val="single" w:color="auto" w:sz="12" w:space="0"/>
                  </w:tcBorders>
                  <w:noWrap w:val="0"/>
                  <w:tcMar>
                    <w:left w:w="28" w:type="dxa"/>
                    <w:right w:w="28" w:type="dxa"/>
                  </w:tcMar>
                  <w:vAlign w:val="center"/>
                </w:tcPr>
                <w:p w14:paraId="73855B0D">
                  <w:pPr>
                    <w:spacing w:line="240" w:lineRule="auto"/>
                    <w:ind w:firstLine="0" w:firstLineChars="0"/>
                    <w:jc w:val="center"/>
                    <w:rPr>
                      <w:rFonts w:ascii="Times New Roman" w:hAnsi="Times New Roman"/>
                      <w:b/>
                      <w:bCs/>
                      <w:iCs/>
                      <w:color w:val="auto"/>
                      <w:sz w:val="21"/>
                      <w:szCs w:val="21"/>
                      <w:highlight w:val="none"/>
                    </w:rPr>
                  </w:pPr>
                  <w:r>
                    <w:rPr>
                      <w:rFonts w:ascii="Times New Roman" w:hAnsi="Times New Roman"/>
                      <w:b/>
                      <w:bCs/>
                      <w:iCs/>
                      <w:color w:val="auto"/>
                      <w:sz w:val="21"/>
                      <w:szCs w:val="21"/>
                      <w:highlight w:val="none"/>
                    </w:rPr>
                    <w:t>废气排放口</w:t>
                  </w:r>
                </w:p>
              </w:tc>
              <w:tc>
                <w:tcPr>
                  <w:tcW w:w="1540" w:type="dxa"/>
                  <w:tcBorders>
                    <w:bottom w:val="single" w:color="auto" w:sz="12" w:space="0"/>
                  </w:tcBorders>
                  <w:noWrap w:val="0"/>
                  <w:tcMar>
                    <w:left w:w="28" w:type="dxa"/>
                    <w:right w:w="28" w:type="dxa"/>
                  </w:tcMar>
                  <w:vAlign w:val="center"/>
                </w:tcPr>
                <w:p w14:paraId="50D8B9D1">
                  <w:pPr>
                    <w:spacing w:line="240" w:lineRule="auto"/>
                    <w:ind w:firstLine="0" w:firstLineChars="0"/>
                    <w:jc w:val="center"/>
                    <w:rPr>
                      <w:rFonts w:ascii="Times New Roman" w:hAnsi="Times New Roman"/>
                      <w:b/>
                      <w:bCs/>
                      <w:iCs/>
                      <w:color w:val="auto"/>
                      <w:sz w:val="21"/>
                      <w:szCs w:val="21"/>
                      <w:highlight w:val="none"/>
                    </w:rPr>
                  </w:pPr>
                  <w:r>
                    <w:rPr>
                      <w:rFonts w:ascii="Times New Roman" w:hAnsi="Times New Roman"/>
                      <w:b/>
                      <w:bCs/>
                      <w:iCs/>
                      <w:color w:val="auto"/>
                      <w:sz w:val="21"/>
                      <w:szCs w:val="21"/>
                      <w:highlight w:val="none"/>
                    </w:rPr>
                    <w:t>噪声排放源</w:t>
                  </w:r>
                </w:p>
              </w:tc>
              <w:tc>
                <w:tcPr>
                  <w:tcW w:w="1364" w:type="dxa"/>
                  <w:tcBorders>
                    <w:bottom w:val="single" w:color="auto" w:sz="12" w:space="0"/>
                  </w:tcBorders>
                  <w:noWrap w:val="0"/>
                  <w:tcMar>
                    <w:left w:w="28" w:type="dxa"/>
                    <w:right w:w="28" w:type="dxa"/>
                  </w:tcMar>
                  <w:vAlign w:val="center"/>
                </w:tcPr>
                <w:p w14:paraId="27C32273">
                  <w:pPr>
                    <w:spacing w:line="240" w:lineRule="auto"/>
                    <w:ind w:firstLine="0" w:firstLineChars="0"/>
                    <w:jc w:val="center"/>
                    <w:rPr>
                      <w:rFonts w:ascii="Times New Roman" w:hAnsi="Times New Roman"/>
                      <w:b/>
                      <w:bCs/>
                      <w:iCs/>
                      <w:color w:val="auto"/>
                      <w:sz w:val="21"/>
                      <w:szCs w:val="21"/>
                      <w:highlight w:val="none"/>
                    </w:rPr>
                  </w:pPr>
                  <w:r>
                    <w:rPr>
                      <w:rFonts w:ascii="Times New Roman" w:hAnsi="Times New Roman"/>
                      <w:b/>
                      <w:bCs/>
                      <w:iCs/>
                      <w:color w:val="auto"/>
                      <w:sz w:val="21"/>
                      <w:szCs w:val="21"/>
                      <w:highlight w:val="none"/>
                    </w:rPr>
                    <w:t>一般固体废物</w:t>
                  </w:r>
                </w:p>
              </w:tc>
              <w:tc>
                <w:tcPr>
                  <w:tcW w:w="1473" w:type="dxa"/>
                  <w:tcBorders>
                    <w:bottom w:val="single" w:color="auto" w:sz="12" w:space="0"/>
                  </w:tcBorders>
                  <w:noWrap w:val="0"/>
                  <w:tcMar>
                    <w:left w:w="28" w:type="dxa"/>
                    <w:right w:w="28" w:type="dxa"/>
                  </w:tcMar>
                  <w:vAlign w:val="center"/>
                </w:tcPr>
                <w:p w14:paraId="605D767D">
                  <w:pPr>
                    <w:spacing w:line="240" w:lineRule="auto"/>
                    <w:ind w:firstLine="0" w:firstLineChars="0"/>
                    <w:jc w:val="center"/>
                    <w:rPr>
                      <w:rFonts w:hint="default" w:ascii="Times New Roman" w:hAnsi="Times New Roman" w:eastAsia="宋体"/>
                      <w:b/>
                      <w:bCs/>
                      <w:iCs/>
                      <w:color w:val="auto"/>
                      <w:sz w:val="21"/>
                      <w:szCs w:val="21"/>
                      <w:highlight w:val="none"/>
                      <w:lang w:val="en-US" w:eastAsia="zh-CN"/>
                    </w:rPr>
                  </w:pPr>
                  <w:r>
                    <w:rPr>
                      <w:rFonts w:hint="eastAsia"/>
                      <w:b/>
                      <w:bCs/>
                      <w:iCs/>
                      <w:color w:val="auto"/>
                      <w:sz w:val="21"/>
                      <w:szCs w:val="21"/>
                      <w:highlight w:val="none"/>
                      <w:lang w:val="en-US" w:eastAsia="zh-CN"/>
                    </w:rPr>
                    <w:t>废水排放口</w:t>
                  </w:r>
                </w:p>
              </w:tc>
              <w:tc>
                <w:tcPr>
                  <w:tcW w:w="1969" w:type="dxa"/>
                  <w:tcBorders>
                    <w:bottom w:val="single" w:color="auto" w:sz="12" w:space="0"/>
                  </w:tcBorders>
                  <w:noWrap w:val="0"/>
                  <w:tcMar>
                    <w:left w:w="28" w:type="dxa"/>
                    <w:right w:w="28" w:type="dxa"/>
                  </w:tcMar>
                  <w:vAlign w:val="center"/>
                </w:tcPr>
                <w:p w14:paraId="237CE247">
                  <w:pPr>
                    <w:spacing w:line="240" w:lineRule="auto"/>
                    <w:ind w:firstLine="0" w:firstLineChars="0"/>
                    <w:jc w:val="center"/>
                    <w:rPr>
                      <w:rFonts w:ascii="Times New Roman" w:hAnsi="Times New Roman"/>
                      <w:b/>
                      <w:bCs/>
                      <w:iCs/>
                      <w:color w:val="auto"/>
                      <w:sz w:val="21"/>
                      <w:szCs w:val="21"/>
                      <w:highlight w:val="none"/>
                    </w:rPr>
                  </w:pPr>
                  <w:r>
                    <w:rPr>
                      <w:rFonts w:ascii="Times New Roman" w:hAnsi="Times New Roman"/>
                      <w:b/>
                      <w:bCs/>
                      <w:iCs/>
                      <w:color w:val="auto"/>
                      <w:sz w:val="21"/>
                      <w:szCs w:val="21"/>
                      <w:highlight w:val="none"/>
                    </w:rPr>
                    <w:t>危险废物</w:t>
                  </w:r>
                </w:p>
              </w:tc>
            </w:tr>
            <w:tr w14:paraId="78ACE3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804" w:type="dxa"/>
                  <w:tcBorders>
                    <w:top w:val="single" w:color="auto" w:sz="12" w:space="0"/>
                    <w:tl2br w:val="nil"/>
                    <w:tr2bl w:val="nil"/>
                  </w:tcBorders>
                  <w:noWrap w:val="0"/>
                  <w:tcMar>
                    <w:left w:w="28" w:type="dxa"/>
                    <w:right w:w="28" w:type="dxa"/>
                  </w:tcMar>
                  <w:vAlign w:val="center"/>
                </w:tcPr>
                <w:p w14:paraId="48C9A162">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iCs/>
                      <w:color w:val="auto"/>
                      <w:sz w:val="21"/>
                      <w:szCs w:val="21"/>
                      <w:highlight w:val="none"/>
                    </w:rPr>
                    <w:t>提示图形符号</w:t>
                  </w:r>
                </w:p>
              </w:tc>
              <w:tc>
                <w:tcPr>
                  <w:tcW w:w="1497" w:type="dxa"/>
                  <w:tcBorders>
                    <w:top w:val="single" w:color="auto" w:sz="12" w:space="0"/>
                    <w:tl2br w:val="nil"/>
                    <w:tr2bl w:val="nil"/>
                  </w:tcBorders>
                  <w:noWrap w:val="0"/>
                  <w:tcMar>
                    <w:left w:w="28" w:type="dxa"/>
                    <w:right w:w="28" w:type="dxa"/>
                  </w:tcMar>
                  <w:vAlign w:val="center"/>
                </w:tcPr>
                <w:p w14:paraId="51CCEC9F">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color w:val="auto"/>
                      <w:sz w:val="21"/>
                      <w:szCs w:val="21"/>
                      <w:highlight w:val="none"/>
                    </w:rPr>
                    <w:drawing>
                      <wp:inline distT="0" distB="0" distL="114300" distR="114300">
                        <wp:extent cx="828040" cy="685165"/>
                        <wp:effectExtent l="0" t="0" r="10160" b="635"/>
                        <wp:docPr id="127" name="图片 25" descr="废气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5" descr="废气排放口1"/>
                                <pic:cNvPicPr>
                                  <a:picLocks noChangeAspect="1"/>
                                </pic:cNvPicPr>
                              </pic:nvPicPr>
                              <pic:blipFill>
                                <a:blip r:embed="rId40"/>
                                <a:stretch>
                                  <a:fillRect/>
                                </a:stretch>
                              </pic:blipFill>
                              <pic:spPr>
                                <a:xfrm>
                                  <a:off x="0" y="0"/>
                                  <a:ext cx="828040" cy="685165"/>
                                </a:xfrm>
                                <a:prstGeom prst="rect">
                                  <a:avLst/>
                                </a:prstGeom>
                                <a:noFill/>
                                <a:ln>
                                  <a:noFill/>
                                </a:ln>
                              </pic:spPr>
                            </pic:pic>
                          </a:graphicData>
                        </a:graphic>
                      </wp:inline>
                    </w:drawing>
                  </w:r>
                </w:p>
              </w:tc>
              <w:tc>
                <w:tcPr>
                  <w:tcW w:w="1540" w:type="dxa"/>
                  <w:tcBorders>
                    <w:top w:val="single" w:color="auto" w:sz="12" w:space="0"/>
                    <w:tl2br w:val="nil"/>
                    <w:tr2bl w:val="nil"/>
                  </w:tcBorders>
                  <w:noWrap w:val="0"/>
                  <w:tcMar>
                    <w:left w:w="28" w:type="dxa"/>
                    <w:right w:w="28" w:type="dxa"/>
                  </w:tcMar>
                  <w:vAlign w:val="center"/>
                </w:tcPr>
                <w:p w14:paraId="38506040">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color w:val="auto"/>
                      <w:sz w:val="21"/>
                      <w:szCs w:val="21"/>
                      <w:highlight w:val="none"/>
                    </w:rPr>
                    <w:drawing>
                      <wp:inline distT="0" distB="0" distL="114300" distR="114300">
                        <wp:extent cx="781685" cy="694690"/>
                        <wp:effectExtent l="0" t="0" r="18415" b="10160"/>
                        <wp:docPr id="41" name="图片 26" descr="噪声排放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6" descr="噪声排放口1"/>
                                <pic:cNvPicPr>
                                  <a:picLocks noChangeAspect="1"/>
                                </pic:cNvPicPr>
                              </pic:nvPicPr>
                              <pic:blipFill>
                                <a:blip r:embed="rId41"/>
                                <a:stretch>
                                  <a:fillRect/>
                                </a:stretch>
                              </pic:blipFill>
                              <pic:spPr>
                                <a:xfrm>
                                  <a:off x="0" y="0"/>
                                  <a:ext cx="781685" cy="694690"/>
                                </a:xfrm>
                                <a:prstGeom prst="rect">
                                  <a:avLst/>
                                </a:prstGeom>
                                <a:noFill/>
                                <a:ln>
                                  <a:noFill/>
                                </a:ln>
                              </pic:spPr>
                            </pic:pic>
                          </a:graphicData>
                        </a:graphic>
                      </wp:inline>
                    </w:drawing>
                  </w:r>
                </w:p>
              </w:tc>
              <w:tc>
                <w:tcPr>
                  <w:tcW w:w="1364" w:type="dxa"/>
                  <w:tcBorders>
                    <w:top w:val="single" w:color="auto" w:sz="12" w:space="0"/>
                    <w:tl2br w:val="nil"/>
                    <w:tr2bl w:val="nil"/>
                  </w:tcBorders>
                  <w:noWrap w:val="0"/>
                  <w:tcMar>
                    <w:left w:w="28" w:type="dxa"/>
                    <w:right w:w="28" w:type="dxa"/>
                  </w:tcMar>
                  <w:vAlign w:val="center"/>
                </w:tcPr>
                <w:p w14:paraId="45936E7A">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color w:val="auto"/>
                      <w:sz w:val="21"/>
                      <w:szCs w:val="21"/>
                      <w:highlight w:val="none"/>
                    </w:rPr>
                    <w:drawing>
                      <wp:inline distT="0" distB="0" distL="114300" distR="114300">
                        <wp:extent cx="805180" cy="744855"/>
                        <wp:effectExtent l="0" t="0" r="13970" b="17145"/>
                        <wp:docPr id="12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7"/>
                                <pic:cNvPicPr>
                                  <a:picLocks noChangeAspect="1"/>
                                </pic:cNvPicPr>
                              </pic:nvPicPr>
                              <pic:blipFill>
                                <a:blip r:embed="rId42"/>
                                <a:stretch>
                                  <a:fillRect/>
                                </a:stretch>
                              </pic:blipFill>
                              <pic:spPr>
                                <a:xfrm>
                                  <a:off x="0" y="0"/>
                                  <a:ext cx="805180" cy="744855"/>
                                </a:xfrm>
                                <a:prstGeom prst="rect">
                                  <a:avLst/>
                                </a:prstGeom>
                                <a:noFill/>
                                <a:ln>
                                  <a:noFill/>
                                </a:ln>
                              </pic:spPr>
                            </pic:pic>
                          </a:graphicData>
                        </a:graphic>
                      </wp:inline>
                    </w:drawing>
                  </w:r>
                </w:p>
              </w:tc>
              <w:tc>
                <w:tcPr>
                  <w:tcW w:w="1473" w:type="dxa"/>
                  <w:tcBorders>
                    <w:top w:val="single" w:color="auto" w:sz="12" w:space="0"/>
                    <w:tl2br w:val="nil"/>
                    <w:tr2bl w:val="nil"/>
                  </w:tcBorders>
                  <w:noWrap w:val="0"/>
                  <w:tcMar>
                    <w:left w:w="28" w:type="dxa"/>
                    <w:right w:w="28" w:type="dxa"/>
                  </w:tcMar>
                  <w:vAlign w:val="center"/>
                </w:tcPr>
                <w:p w14:paraId="39FEFEC1">
                  <w:pPr>
                    <w:spacing w:line="240" w:lineRule="auto"/>
                    <w:ind w:firstLine="0" w:firstLineChars="0"/>
                    <w:jc w:val="center"/>
                    <w:rPr>
                      <w:rFonts w:ascii="Times New Roman" w:hAnsi="Times New Roman"/>
                      <w:color w:val="auto"/>
                      <w:sz w:val="21"/>
                      <w:szCs w:val="21"/>
                      <w:highlight w:val="none"/>
                    </w:rPr>
                  </w:pPr>
                  <w:r>
                    <w:rPr>
                      <w:rFonts w:ascii="Times New Roman" w:hAnsi="Times New Roman"/>
                      <w:color w:val="auto"/>
                      <w:position w:val="-25"/>
                      <w:highlight w:val="none"/>
                    </w:rPr>
                    <w:drawing>
                      <wp:inline distT="0" distB="0" distL="114300" distR="114300">
                        <wp:extent cx="749935" cy="699135"/>
                        <wp:effectExtent l="0" t="0" r="12065" b="5715"/>
                        <wp:docPr id="105" name="图片 31"/>
                        <wp:cNvGraphicFramePr/>
                        <a:graphic xmlns:a="http://schemas.openxmlformats.org/drawingml/2006/main">
                          <a:graphicData uri="http://schemas.openxmlformats.org/drawingml/2006/picture">
                            <pic:pic xmlns:pic="http://schemas.openxmlformats.org/drawingml/2006/picture">
                              <pic:nvPicPr>
                                <pic:cNvPr id="105" name="图片 31"/>
                                <pic:cNvPicPr/>
                              </pic:nvPicPr>
                              <pic:blipFill>
                                <a:blip r:embed="rId43"/>
                                <a:stretch>
                                  <a:fillRect/>
                                </a:stretch>
                              </pic:blipFill>
                              <pic:spPr>
                                <a:xfrm>
                                  <a:off x="0" y="0"/>
                                  <a:ext cx="749935" cy="699135"/>
                                </a:xfrm>
                                <a:prstGeom prst="rect">
                                  <a:avLst/>
                                </a:prstGeom>
                                <a:noFill/>
                                <a:ln>
                                  <a:noFill/>
                                </a:ln>
                              </pic:spPr>
                            </pic:pic>
                          </a:graphicData>
                        </a:graphic>
                      </wp:inline>
                    </w:drawing>
                  </w:r>
                </w:p>
              </w:tc>
              <w:tc>
                <w:tcPr>
                  <w:tcW w:w="1969" w:type="dxa"/>
                  <w:tcBorders>
                    <w:top w:val="single" w:color="auto" w:sz="12" w:space="0"/>
                    <w:tl2br w:val="nil"/>
                    <w:tr2bl w:val="nil"/>
                  </w:tcBorders>
                  <w:noWrap w:val="0"/>
                  <w:tcMar>
                    <w:left w:w="28" w:type="dxa"/>
                    <w:right w:w="28" w:type="dxa"/>
                  </w:tcMar>
                  <w:vAlign w:val="center"/>
                </w:tcPr>
                <w:p w14:paraId="224FCB46">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color w:val="auto"/>
                      <w:highlight w:val="none"/>
                    </w:rPr>
                    <w:drawing>
                      <wp:inline distT="0" distB="0" distL="114300" distR="114300">
                        <wp:extent cx="1051560" cy="667385"/>
                        <wp:effectExtent l="0" t="0" r="15240" b="18415"/>
                        <wp:docPr id="1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8"/>
                                <pic:cNvPicPr>
                                  <a:picLocks noChangeAspect="1"/>
                                </pic:cNvPicPr>
                              </pic:nvPicPr>
                              <pic:blipFill>
                                <a:blip r:embed="rId44"/>
                                <a:stretch>
                                  <a:fillRect/>
                                </a:stretch>
                              </pic:blipFill>
                              <pic:spPr>
                                <a:xfrm>
                                  <a:off x="0" y="0"/>
                                  <a:ext cx="1051560" cy="667385"/>
                                </a:xfrm>
                                <a:prstGeom prst="rect">
                                  <a:avLst/>
                                </a:prstGeom>
                                <a:noFill/>
                                <a:ln>
                                  <a:noFill/>
                                </a:ln>
                              </pic:spPr>
                            </pic:pic>
                          </a:graphicData>
                        </a:graphic>
                      </wp:inline>
                    </w:drawing>
                  </w:r>
                </w:p>
              </w:tc>
            </w:tr>
            <w:tr w14:paraId="3E9B3D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804" w:type="dxa"/>
                  <w:tcBorders>
                    <w:tl2br w:val="nil"/>
                    <w:tr2bl w:val="nil"/>
                  </w:tcBorders>
                  <w:noWrap w:val="0"/>
                  <w:tcMar>
                    <w:left w:w="28" w:type="dxa"/>
                    <w:right w:w="28" w:type="dxa"/>
                  </w:tcMar>
                  <w:vAlign w:val="center"/>
                </w:tcPr>
                <w:p w14:paraId="3D0776A1">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iCs/>
                      <w:color w:val="auto"/>
                      <w:sz w:val="21"/>
                      <w:szCs w:val="21"/>
                      <w:highlight w:val="none"/>
                    </w:rPr>
                    <w:t>功能</w:t>
                  </w:r>
                </w:p>
                <w:p w14:paraId="373DC133">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iCs/>
                      <w:color w:val="auto"/>
                      <w:sz w:val="21"/>
                      <w:szCs w:val="21"/>
                      <w:highlight w:val="none"/>
                    </w:rPr>
                    <w:t>表示</w:t>
                  </w:r>
                </w:p>
              </w:tc>
              <w:tc>
                <w:tcPr>
                  <w:tcW w:w="1497" w:type="dxa"/>
                  <w:tcBorders>
                    <w:tl2br w:val="nil"/>
                    <w:tr2bl w:val="nil"/>
                  </w:tcBorders>
                  <w:noWrap w:val="0"/>
                  <w:tcMar>
                    <w:left w:w="28" w:type="dxa"/>
                    <w:right w:w="28" w:type="dxa"/>
                  </w:tcMar>
                  <w:vAlign w:val="center"/>
                </w:tcPr>
                <w:p w14:paraId="40F9D88D">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iCs/>
                      <w:color w:val="auto"/>
                      <w:sz w:val="21"/>
                      <w:szCs w:val="21"/>
                      <w:highlight w:val="none"/>
                    </w:rPr>
                    <w:t>向大气环境排放废气</w:t>
                  </w:r>
                </w:p>
              </w:tc>
              <w:tc>
                <w:tcPr>
                  <w:tcW w:w="1540" w:type="dxa"/>
                  <w:tcBorders>
                    <w:tl2br w:val="nil"/>
                    <w:tr2bl w:val="nil"/>
                  </w:tcBorders>
                  <w:noWrap w:val="0"/>
                  <w:tcMar>
                    <w:left w:w="28" w:type="dxa"/>
                    <w:right w:w="28" w:type="dxa"/>
                  </w:tcMar>
                  <w:vAlign w:val="center"/>
                </w:tcPr>
                <w:p w14:paraId="6305936B">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iCs/>
                      <w:color w:val="auto"/>
                      <w:sz w:val="21"/>
                      <w:szCs w:val="21"/>
                      <w:highlight w:val="none"/>
                    </w:rPr>
                    <w:t>向外环境排放噪声</w:t>
                  </w:r>
                </w:p>
              </w:tc>
              <w:tc>
                <w:tcPr>
                  <w:tcW w:w="1364" w:type="dxa"/>
                  <w:tcBorders>
                    <w:tl2br w:val="nil"/>
                    <w:tr2bl w:val="nil"/>
                  </w:tcBorders>
                  <w:noWrap w:val="0"/>
                  <w:tcMar>
                    <w:left w:w="28" w:type="dxa"/>
                    <w:right w:w="28" w:type="dxa"/>
                  </w:tcMar>
                  <w:vAlign w:val="center"/>
                </w:tcPr>
                <w:p w14:paraId="5DD753BD">
                  <w:pPr>
                    <w:spacing w:line="240" w:lineRule="auto"/>
                    <w:ind w:firstLine="0" w:firstLineChars="0"/>
                    <w:jc w:val="center"/>
                    <w:rPr>
                      <w:rFonts w:ascii="Times New Roman" w:hAnsi="Times New Roman"/>
                      <w:iCs/>
                      <w:color w:val="auto"/>
                      <w:sz w:val="21"/>
                      <w:szCs w:val="21"/>
                      <w:highlight w:val="none"/>
                    </w:rPr>
                  </w:pPr>
                  <w:r>
                    <w:rPr>
                      <w:rFonts w:ascii="Times New Roman" w:hAnsi="Times New Roman"/>
                      <w:iCs/>
                      <w:color w:val="auto"/>
                      <w:sz w:val="21"/>
                      <w:szCs w:val="21"/>
                      <w:highlight w:val="none"/>
                    </w:rPr>
                    <w:t>一般固体废物贮存、处置场</w:t>
                  </w:r>
                </w:p>
              </w:tc>
              <w:tc>
                <w:tcPr>
                  <w:tcW w:w="1473" w:type="dxa"/>
                  <w:tcBorders>
                    <w:tl2br w:val="nil"/>
                    <w:tr2bl w:val="nil"/>
                  </w:tcBorders>
                  <w:noWrap w:val="0"/>
                  <w:tcMar>
                    <w:left w:w="28" w:type="dxa"/>
                    <w:right w:w="28" w:type="dxa"/>
                  </w:tcMar>
                  <w:vAlign w:val="center"/>
                </w:tcPr>
                <w:p w14:paraId="536A6186">
                  <w:pPr>
                    <w:spacing w:line="240" w:lineRule="auto"/>
                    <w:ind w:firstLine="0" w:firstLineChars="0"/>
                    <w:jc w:val="center"/>
                    <w:rPr>
                      <w:rFonts w:hint="eastAsia" w:ascii="Times New Roman" w:hAnsi="Times New Roman" w:eastAsia="宋体"/>
                      <w:iCs/>
                      <w:color w:val="auto"/>
                      <w:sz w:val="21"/>
                      <w:szCs w:val="21"/>
                      <w:highlight w:val="none"/>
                      <w:lang w:val="en-US" w:eastAsia="zh-CN"/>
                    </w:rPr>
                  </w:pPr>
                  <w:r>
                    <w:rPr>
                      <w:rFonts w:ascii="Times New Roman" w:hAnsi="Times New Roman"/>
                      <w:iCs/>
                      <w:color w:val="auto"/>
                      <w:sz w:val="21"/>
                      <w:szCs w:val="21"/>
                      <w:highlight w:val="none"/>
                    </w:rPr>
                    <w:t>向</w:t>
                  </w:r>
                  <w:r>
                    <w:rPr>
                      <w:rFonts w:hint="eastAsia" w:ascii="Times New Roman" w:hAnsi="Times New Roman"/>
                      <w:iCs/>
                      <w:color w:val="auto"/>
                      <w:sz w:val="21"/>
                      <w:szCs w:val="21"/>
                      <w:highlight w:val="none"/>
                      <w:lang w:val="en-US" w:eastAsia="zh-CN"/>
                    </w:rPr>
                    <w:t>水</w:t>
                  </w:r>
                  <w:r>
                    <w:rPr>
                      <w:rFonts w:ascii="Times New Roman" w:hAnsi="Times New Roman"/>
                      <w:iCs/>
                      <w:color w:val="auto"/>
                      <w:sz w:val="21"/>
                      <w:szCs w:val="21"/>
                      <w:highlight w:val="none"/>
                    </w:rPr>
                    <w:t>环境</w:t>
                  </w:r>
                  <w:r>
                    <w:rPr>
                      <w:rFonts w:hint="eastAsia" w:ascii="Times New Roman" w:hAnsi="Times New Roman"/>
                      <w:iCs/>
                      <w:color w:val="auto"/>
                      <w:sz w:val="21"/>
                      <w:szCs w:val="21"/>
                      <w:highlight w:val="none"/>
                      <w:lang w:val="en-US" w:eastAsia="zh-CN"/>
                    </w:rPr>
                    <w:t>或污水处理单位</w:t>
                  </w:r>
                  <w:r>
                    <w:rPr>
                      <w:rFonts w:ascii="Times New Roman" w:hAnsi="Times New Roman"/>
                      <w:iCs/>
                      <w:color w:val="auto"/>
                      <w:sz w:val="21"/>
                      <w:szCs w:val="21"/>
                      <w:highlight w:val="none"/>
                    </w:rPr>
                    <w:t>排放废</w:t>
                  </w:r>
                  <w:r>
                    <w:rPr>
                      <w:rFonts w:hint="eastAsia" w:ascii="Times New Roman" w:hAnsi="Times New Roman"/>
                      <w:iCs/>
                      <w:color w:val="auto"/>
                      <w:sz w:val="21"/>
                      <w:szCs w:val="21"/>
                      <w:highlight w:val="none"/>
                      <w:lang w:val="en-US" w:eastAsia="zh-CN"/>
                    </w:rPr>
                    <w:t>水</w:t>
                  </w:r>
                </w:p>
              </w:tc>
              <w:tc>
                <w:tcPr>
                  <w:tcW w:w="1969" w:type="dxa"/>
                  <w:tcBorders>
                    <w:tl2br w:val="nil"/>
                    <w:tr2bl w:val="nil"/>
                  </w:tcBorders>
                  <w:noWrap w:val="0"/>
                  <w:tcMar>
                    <w:left w:w="28" w:type="dxa"/>
                    <w:right w:w="28" w:type="dxa"/>
                  </w:tcMar>
                  <w:vAlign w:val="center"/>
                </w:tcPr>
                <w:p w14:paraId="63FFD7A9">
                  <w:pPr>
                    <w:spacing w:line="240" w:lineRule="auto"/>
                    <w:ind w:firstLine="0" w:firstLineChars="0"/>
                    <w:jc w:val="center"/>
                    <w:rPr>
                      <w:rFonts w:hint="eastAsia" w:ascii="Times New Roman" w:hAnsi="Times New Roman" w:eastAsia="宋体"/>
                      <w:iCs/>
                      <w:color w:val="auto"/>
                      <w:sz w:val="21"/>
                      <w:szCs w:val="21"/>
                      <w:highlight w:val="none"/>
                      <w:lang w:val="en-US" w:eastAsia="zh-CN"/>
                    </w:rPr>
                  </w:pPr>
                  <w:r>
                    <w:rPr>
                      <w:rFonts w:ascii="Times New Roman" w:hAnsi="Times New Roman"/>
                      <w:iCs/>
                      <w:color w:val="auto"/>
                      <w:sz w:val="21"/>
                      <w:szCs w:val="21"/>
                      <w:highlight w:val="none"/>
                    </w:rPr>
                    <w:t>危险废物贮存</w:t>
                  </w:r>
                  <w:r>
                    <w:rPr>
                      <w:rFonts w:hint="eastAsia" w:ascii="Times New Roman" w:hAnsi="Times New Roman"/>
                      <w:iCs/>
                      <w:color w:val="auto"/>
                      <w:sz w:val="21"/>
                      <w:szCs w:val="21"/>
                      <w:highlight w:val="none"/>
                      <w:lang w:val="en-US" w:eastAsia="zh-CN"/>
                    </w:rPr>
                    <w:t>设施</w:t>
                  </w:r>
                </w:p>
              </w:tc>
            </w:tr>
          </w:tbl>
          <w:p w14:paraId="61F69929">
            <w:pPr>
              <w:pStyle w:val="44"/>
              <w:ind w:left="0" w:leftChars="0" w:firstLine="0" w:firstLineChars="0"/>
              <w:rPr>
                <w:rFonts w:hint="eastAsia" w:ascii="宋体" w:hAnsi="宋体" w:cs="宋体"/>
                <w:bCs/>
                <w:color w:val="auto"/>
                <w:szCs w:val="21"/>
                <w:highlight w:val="none"/>
              </w:rPr>
            </w:pPr>
          </w:p>
        </w:tc>
      </w:tr>
    </w:tbl>
    <w:p w14:paraId="607DFC82">
      <w:pPr>
        <w:adjustRightInd w:val="0"/>
        <w:snapToGrid w:val="0"/>
        <w:spacing w:line="360" w:lineRule="auto"/>
        <w:rPr>
          <w:rFonts w:ascii="宋体" w:cs="宋体"/>
          <w:b/>
          <w:color w:val="auto"/>
          <w:kern w:val="0"/>
          <w:sz w:val="28"/>
          <w:szCs w:val="28"/>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14:paraId="1C28CE0C">
      <w:pPr>
        <w:pStyle w:val="2"/>
        <w:keepNext/>
        <w:keepLines w:val="0"/>
        <w:pageBreakBefore w:val="0"/>
        <w:widowControl w:val="0"/>
        <w:numPr>
          <w:ilvl w:val="0"/>
          <w:numId w:val="14"/>
        </w:numPr>
        <w:tabs>
          <w:tab w:val="left" w:pos="0"/>
        </w:tabs>
        <w:kinsoku/>
        <w:wordWrap/>
        <w:overflowPunct w:val="0"/>
        <w:topLinePunct w:val="0"/>
        <w:autoSpaceDE/>
        <w:autoSpaceDN/>
        <w:bidi w:val="0"/>
        <w:adjustRightInd/>
        <w:snapToGrid w:val="0"/>
        <w:spacing w:line="240" w:lineRule="auto"/>
        <w:ind w:left="431" w:leftChars="0" w:hanging="431" w:firstLineChars="0"/>
        <w:textAlignment w:val="auto"/>
        <w:rPr>
          <w:rFonts w:hint="eastAsia" w:eastAsia="宋体"/>
          <w:color w:val="auto"/>
          <w:highlight w:val="none"/>
        </w:rPr>
      </w:pPr>
      <w:bookmarkStart w:id="61" w:name="_Toc25031"/>
      <w:bookmarkStart w:id="62" w:name="_Toc8930"/>
      <w:bookmarkStart w:id="63" w:name="_Toc16374"/>
      <w:bookmarkStart w:id="64" w:name="_Hlk54167917"/>
      <w:bookmarkStart w:id="65" w:name="_Toc28252"/>
      <w:bookmarkStart w:id="66" w:name="_Toc28314"/>
      <w:r>
        <w:rPr>
          <w:rFonts w:hint="eastAsia" w:eastAsia="宋体"/>
          <w:color w:val="auto"/>
          <w:highlight w:val="none"/>
        </w:rPr>
        <w:t>环境保护措施监督检查清单</w:t>
      </w:r>
      <w:bookmarkEnd w:id="61"/>
      <w:bookmarkEnd w:id="62"/>
      <w:bookmarkEnd w:id="63"/>
      <w:bookmarkEnd w:id="64"/>
      <w:bookmarkEnd w:id="65"/>
      <w:bookmarkEnd w:id="66"/>
    </w:p>
    <w:tbl>
      <w:tblPr>
        <w:tblStyle w:val="33"/>
        <w:tblW w:w="89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60"/>
        <w:gridCol w:w="1350"/>
        <w:gridCol w:w="1391"/>
        <w:gridCol w:w="2059"/>
        <w:gridCol w:w="3311"/>
      </w:tblGrid>
      <w:tr w14:paraId="0F1504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60" w:type="dxa"/>
            <w:tcBorders>
              <w:tl2br w:val="single" w:color="auto" w:sz="4" w:space="0"/>
            </w:tcBorders>
            <w:vAlign w:val="center"/>
          </w:tcPr>
          <w:p w14:paraId="3A03671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right"/>
              <w:textAlignment w:val="auto"/>
              <w:rPr>
                <w:rFonts w:ascii="宋体" w:hAnsi="宋体" w:cs="宋体"/>
                <w:color w:val="auto"/>
                <w:szCs w:val="21"/>
                <w:highlight w:val="none"/>
              </w:rPr>
            </w:pPr>
            <w:r>
              <w:rPr>
                <w:rFonts w:hint="eastAsia" w:ascii="宋体" w:hAnsi="宋体" w:cs="宋体"/>
                <w:color w:val="auto"/>
                <w:szCs w:val="21"/>
                <w:highlight w:val="none"/>
              </w:rPr>
              <w:t>内容</w:t>
            </w:r>
          </w:p>
          <w:p w14:paraId="5F9B4FF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hint="eastAsia" w:ascii="宋体" w:hAnsi="宋体" w:cs="宋体"/>
                <w:color w:val="auto"/>
                <w:szCs w:val="21"/>
                <w:highlight w:val="none"/>
              </w:rPr>
            </w:pPr>
          </w:p>
          <w:p w14:paraId="5B2EF4D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ascii="宋体" w:hAnsi="宋体" w:cs="宋体"/>
                <w:color w:val="auto"/>
                <w:szCs w:val="21"/>
                <w:highlight w:val="none"/>
              </w:rPr>
            </w:pPr>
            <w:r>
              <w:rPr>
                <w:rFonts w:hint="eastAsia" w:ascii="宋体" w:hAnsi="宋体" w:cs="宋体"/>
                <w:color w:val="auto"/>
                <w:szCs w:val="21"/>
                <w:highlight w:val="none"/>
              </w:rPr>
              <w:t>要素</w:t>
            </w:r>
          </w:p>
        </w:tc>
        <w:tc>
          <w:tcPr>
            <w:tcW w:w="1350" w:type="dxa"/>
            <w:vAlign w:val="center"/>
          </w:tcPr>
          <w:p w14:paraId="5282431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排放口(编号、名称)/污染源</w:t>
            </w:r>
          </w:p>
        </w:tc>
        <w:tc>
          <w:tcPr>
            <w:tcW w:w="1391" w:type="dxa"/>
            <w:vAlign w:val="center"/>
          </w:tcPr>
          <w:p w14:paraId="001567D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污染物项目</w:t>
            </w:r>
          </w:p>
        </w:tc>
        <w:tc>
          <w:tcPr>
            <w:tcW w:w="2059" w:type="dxa"/>
            <w:vAlign w:val="center"/>
          </w:tcPr>
          <w:p w14:paraId="15C91703">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环境保护措施</w:t>
            </w:r>
          </w:p>
        </w:tc>
        <w:tc>
          <w:tcPr>
            <w:tcW w:w="3311" w:type="dxa"/>
            <w:vAlign w:val="center"/>
          </w:tcPr>
          <w:p w14:paraId="69B37F9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执行标准</w:t>
            </w:r>
          </w:p>
        </w:tc>
      </w:tr>
      <w:tr w14:paraId="183C4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1" w:hRule="atLeast"/>
          <w:jc w:val="center"/>
        </w:trPr>
        <w:tc>
          <w:tcPr>
            <w:tcW w:w="860" w:type="dxa"/>
            <w:vMerge w:val="restart"/>
            <w:vAlign w:val="center"/>
          </w:tcPr>
          <w:p w14:paraId="529A839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大气</w:t>
            </w:r>
          </w:p>
          <w:p w14:paraId="5104A77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环境</w:t>
            </w:r>
          </w:p>
        </w:tc>
        <w:tc>
          <w:tcPr>
            <w:tcW w:w="1350" w:type="dxa"/>
            <w:shd w:val="clear" w:color="auto" w:fill="auto"/>
            <w:vAlign w:val="center"/>
          </w:tcPr>
          <w:p w14:paraId="4B66C71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pacing w:val="-1"/>
              </w:rPr>
            </w:pPr>
            <w:r>
              <w:rPr>
                <w:rFonts w:ascii="Times New Roman" w:hAnsi="Times New Roman" w:eastAsia="Times New Roman" w:cs="Times New Roman"/>
                <w:color w:val="auto"/>
              </w:rPr>
              <w:t>DA</w:t>
            </w:r>
            <w:r>
              <w:rPr>
                <w:rFonts w:ascii="Times New Roman" w:hAnsi="Times New Roman" w:eastAsia="Times New Roman" w:cs="Times New Roman"/>
                <w:color w:val="auto"/>
                <w:spacing w:val="8"/>
              </w:rPr>
              <w:t>001/</w:t>
            </w:r>
            <w:r>
              <w:rPr>
                <w:color w:val="auto"/>
                <w:spacing w:val="8"/>
              </w:rPr>
              <w:t>电泳、固</w:t>
            </w:r>
            <w:r>
              <w:rPr>
                <w:color w:val="auto"/>
                <w:spacing w:val="-1"/>
              </w:rPr>
              <w:t>化废气、燃烧</w:t>
            </w:r>
            <w:r>
              <w:rPr>
                <w:rFonts w:hint="eastAsia"/>
                <w:color w:val="auto"/>
                <w:spacing w:val="-1"/>
                <w:lang w:val="en-US" w:eastAsia="zh-CN"/>
              </w:rPr>
              <w:t>废</w:t>
            </w:r>
            <w:r>
              <w:rPr>
                <w:color w:val="auto"/>
                <w:spacing w:val="-1"/>
              </w:rPr>
              <w:t>气</w:t>
            </w:r>
          </w:p>
          <w:p w14:paraId="4EE5D79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p>
        </w:tc>
        <w:tc>
          <w:tcPr>
            <w:tcW w:w="1391" w:type="dxa"/>
            <w:shd w:val="clear" w:color="auto" w:fill="auto"/>
            <w:vAlign w:val="center"/>
          </w:tcPr>
          <w:p w14:paraId="240EF62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ascii="宋体" w:hAnsi="宋体" w:cs="宋体"/>
                <w:color w:val="auto"/>
                <w:szCs w:val="21"/>
                <w:highlight w:val="none"/>
              </w:rPr>
              <w:t>非甲烷总烃、</w:t>
            </w:r>
            <w:r>
              <w:rPr>
                <w:rFonts w:hint="eastAsia" w:eastAsia="宋体"/>
                <w:color w:val="auto"/>
                <w:highlight w:val="none"/>
                <w:lang w:eastAsia="zh-CN"/>
              </w:rPr>
              <w:t>烟（粉）尘、</w:t>
            </w:r>
            <w:r>
              <w:rPr>
                <w:rFonts w:ascii="宋体" w:hAnsi="宋体" w:cs="宋体"/>
                <w:color w:val="auto"/>
                <w:szCs w:val="21"/>
                <w:highlight w:val="none"/>
              </w:rPr>
              <w:t>二氧化硫、氮氧化物</w:t>
            </w:r>
          </w:p>
          <w:p w14:paraId="71761EA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p>
        </w:tc>
        <w:tc>
          <w:tcPr>
            <w:tcW w:w="2059" w:type="dxa"/>
            <w:shd w:val="clear" w:color="auto" w:fill="auto"/>
            <w:vAlign w:val="center"/>
          </w:tcPr>
          <w:p w14:paraId="021CBC3C">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pacing w:val="-8"/>
                <w:sz w:val="21"/>
              </w:rPr>
            </w:pPr>
            <w:r>
              <w:rPr>
                <w:color w:val="auto"/>
                <w:spacing w:val="-8"/>
                <w:sz w:val="21"/>
              </w:rPr>
              <w:t>电泳、固化废气经二级</w:t>
            </w:r>
          </w:p>
          <w:p w14:paraId="27F2911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pacing w:val="-8"/>
                <w:sz w:val="21"/>
              </w:rPr>
            </w:pPr>
            <w:r>
              <w:rPr>
                <w:color w:val="auto"/>
                <w:spacing w:val="-8"/>
                <w:sz w:val="21"/>
              </w:rPr>
              <w:t>活性炭吸附处理后，通</w:t>
            </w:r>
          </w:p>
          <w:p w14:paraId="63A011B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pacing w:val="-8"/>
                <w:sz w:val="21"/>
              </w:rPr>
            </w:pPr>
            <w:r>
              <w:rPr>
                <w:color w:val="auto"/>
                <w:spacing w:val="-8"/>
                <w:sz w:val="21"/>
              </w:rPr>
              <w:t>过1根</w:t>
            </w:r>
            <w:r>
              <w:rPr>
                <w:rFonts w:hint="eastAsia"/>
                <w:color w:val="auto"/>
                <w:spacing w:val="-8"/>
                <w:sz w:val="21"/>
                <w:lang w:eastAsia="zh-CN"/>
              </w:rPr>
              <w:t>23m</w:t>
            </w:r>
            <w:r>
              <w:rPr>
                <w:color w:val="auto"/>
                <w:spacing w:val="-8"/>
                <w:sz w:val="21"/>
              </w:rPr>
              <w:t>高排气筒达标排放（DA001）；燃烧废气通过1根</w:t>
            </w:r>
            <w:r>
              <w:rPr>
                <w:rFonts w:hint="eastAsia"/>
                <w:color w:val="auto"/>
                <w:spacing w:val="-8"/>
                <w:sz w:val="21"/>
                <w:lang w:eastAsia="zh-CN"/>
              </w:rPr>
              <w:t>23m</w:t>
            </w:r>
            <w:r>
              <w:rPr>
                <w:color w:val="auto"/>
                <w:spacing w:val="-8"/>
                <w:sz w:val="21"/>
              </w:rPr>
              <w:t>高排气筒达标排放（DA001）；</w:t>
            </w:r>
          </w:p>
          <w:p w14:paraId="65ADBFDA">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p>
        </w:tc>
        <w:tc>
          <w:tcPr>
            <w:tcW w:w="3311" w:type="dxa"/>
            <w:shd w:val="clear" w:color="auto" w:fill="auto"/>
            <w:vAlign w:val="center"/>
          </w:tcPr>
          <w:p w14:paraId="38B886DF">
            <w:pPr>
              <w:pStyle w:val="46"/>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DA001排放非甲烷总烃有组织排放执行</w:t>
            </w:r>
            <w:r>
              <w:rPr>
                <w:rFonts w:hint="eastAsia" w:ascii="Times New Roman" w:hAnsi="Times New Roman" w:eastAsia="宋体" w:cs="Times New Roman"/>
                <w:color w:val="auto"/>
                <w:highlight w:val="none"/>
                <w:lang w:val="en-US" w:eastAsia="zh-CN"/>
              </w:rPr>
              <w:t>《工业涂装工序挥发性有机物排放标准》(DB35/1783-2018)中表1标准限值</w:t>
            </w:r>
            <w:r>
              <w:rPr>
                <w:rFonts w:hint="eastAsia" w:ascii="Times New Roman" w:hAnsi="Times New Roman" w:eastAsia="宋体" w:cs="Times New Roman"/>
                <w:color w:val="auto"/>
                <w:highlight w:val="none"/>
                <w:lang w:eastAsia="zh-CN"/>
              </w:rPr>
              <w:t>；</w:t>
            </w:r>
          </w:p>
          <w:p w14:paraId="6DDB4109">
            <w:pPr>
              <w:pStyle w:val="46"/>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val="en-US" w:eastAsia="zh-CN"/>
              </w:rPr>
              <w:t>无组织排放的非甲烷总烃执行《工业涂装工序挥发性有机物排放标准》(DB35/1783-2018)中表3、表4标准限值及《挥发性有机物无组织排放控制标准》(GB 37822-2019)中附录A表A.1标准限值</w:t>
            </w:r>
            <w:r>
              <w:rPr>
                <w:rFonts w:hint="eastAsia" w:ascii="Times New Roman" w:hAnsi="Times New Roman" w:eastAsia="宋体" w:cs="Times New Roman"/>
                <w:color w:val="auto"/>
                <w:highlight w:val="none"/>
                <w:lang w:eastAsia="zh-CN"/>
              </w:rPr>
              <w:t>；</w:t>
            </w:r>
          </w:p>
          <w:p w14:paraId="3ED9056A">
            <w:pPr>
              <w:pStyle w:val="46"/>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t>烟（粉）尘、二氧化硫、氮氧化物排放标准执行</w:t>
            </w:r>
            <w:r>
              <w:rPr>
                <w:rFonts w:hint="eastAsia" w:ascii="Times New Roman" w:hAnsi="Times New Roman" w:eastAsia="宋体" w:cs="Times New Roman"/>
                <w:color w:val="auto"/>
                <w:highlight w:val="none"/>
                <w:lang w:val="en-US" w:eastAsia="zh-CN"/>
              </w:rPr>
              <w:t>《福建省工业炉窑大气污染综合治理方案》（闽环保大气〔2019〕10号）中明确规定的重点区域限值</w:t>
            </w:r>
            <w:r>
              <w:rPr>
                <w:rFonts w:hint="eastAsia" w:ascii="Times New Roman" w:hAnsi="Times New Roman" w:eastAsia="宋体" w:cs="Times New Roman"/>
                <w:color w:val="auto"/>
                <w:highlight w:val="none"/>
                <w:lang w:eastAsia="zh-CN"/>
              </w:rPr>
              <w:t>；</w:t>
            </w:r>
          </w:p>
          <w:p w14:paraId="18CAD295">
            <w:pPr>
              <w:pStyle w:val="46"/>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eastAsia="宋体"/>
                <w:color w:val="auto"/>
                <w:highlight w:val="none"/>
                <w:lang w:eastAsia="zh-CN"/>
              </w:rPr>
            </w:pPr>
          </w:p>
        </w:tc>
      </w:tr>
      <w:tr w14:paraId="6317CE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96" w:hRule="atLeast"/>
          <w:jc w:val="center"/>
        </w:trPr>
        <w:tc>
          <w:tcPr>
            <w:tcW w:w="860" w:type="dxa"/>
            <w:vMerge w:val="continue"/>
            <w:vAlign w:val="center"/>
          </w:tcPr>
          <w:p w14:paraId="424A276D">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rPr>
            </w:pPr>
          </w:p>
        </w:tc>
        <w:tc>
          <w:tcPr>
            <w:tcW w:w="1350" w:type="dxa"/>
            <w:shd w:val="clear" w:color="auto" w:fill="auto"/>
            <w:vAlign w:val="center"/>
          </w:tcPr>
          <w:p w14:paraId="5C390AD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rPr>
            </w:pPr>
            <w:r>
              <w:rPr>
                <w:rFonts w:ascii="Times New Roman" w:hAnsi="Times New Roman" w:eastAsia="Times New Roman" w:cs="Times New Roman"/>
                <w:color w:val="auto"/>
              </w:rPr>
              <w:t>DA</w:t>
            </w:r>
            <w:r>
              <w:rPr>
                <w:rFonts w:ascii="Times New Roman" w:hAnsi="Times New Roman" w:eastAsia="Times New Roman" w:cs="Times New Roman"/>
                <w:color w:val="auto"/>
                <w:spacing w:val="13"/>
              </w:rPr>
              <w:t>002/</w:t>
            </w:r>
            <w:r>
              <w:rPr>
                <w:color w:val="auto"/>
                <w:spacing w:val="13"/>
              </w:rPr>
              <w:t>焊接废气</w:t>
            </w:r>
          </w:p>
        </w:tc>
        <w:tc>
          <w:tcPr>
            <w:tcW w:w="1391" w:type="dxa"/>
            <w:shd w:val="clear" w:color="auto" w:fill="auto"/>
            <w:vAlign w:val="center"/>
          </w:tcPr>
          <w:p w14:paraId="0BF416A7">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rPr>
            </w:pPr>
            <w:r>
              <w:rPr>
                <w:rFonts w:ascii="宋体" w:hAnsi="宋体" w:cs="宋体"/>
                <w:color w:val="auto"/>
                <w:szCs w:val="21"/>
                <w:highlight w:val="none"/>
              </w:rPr>
              <w:t>颗粒物</w:t>
            </w:r>
          </w:p>
        </w:tc>
        <w:tc>
          <w:tcPr>
            <w:tcW w:w="2059" w:type="dxa"/>
            <w:shd w:val="clear" w:color="auto" w:fill="auto"/>
            <w:vAlign w:val="center"/>
          </w:tcPr>
          <w:p w14:paraId="6C3B5A0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pacing w:val="-8"/>
                <w:sz w:val="21"/>
              </w:rPr>
            </w:pPr>
            <w:r>
              <w:rPr>
                <w:color w:val="auto"/>
                <w:spacing w:val="-8"/>
                <w:sz w:val="21"/>
              </w:rPr>
              <w:t>焊接废气经</w:t>
            </w:r>
            <w:r>
              <w:rPr>
                <w:rFonts w:hint="eastAsia"/>
                <w:color w:val="auto"/>
                <w:spacing w:val="-8"/>
                <w:sz w:val="21"/>
                <w:lang w:eastAsia="zh-CN"/>
              </w:rPr>
              <w:t>布袋</w:t>
            </w:r>
            <w:r>
              <w:rPr>
                <w:color w:val="auto"/>
                <w:spacing w:val="-8"/>
                <w:sz w:val="21"/>
              </w:rPr>
              <w:t>除尘器处理后，通过1根20m高排气筒达标排放（DA002）；</w:t>
            </w:r>
          </w:p>
          <w:p w14:paraId="0D0C5B1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rPr>
            </w:pPr>
          </w:p>
        </w:tc>
        <w:tc>
          <w:tcPr>
            <w:tcW w:w="3311" w:type="dxa"/>
            <w:shd w:val="clear" w:color="auto" w:fill="auto"/>
            <w:vAlign w:val="center"/>
          </w:tcPr>
          <w:p w14:paraId="7BD5BC1E">
            <w:pPr>
              <w:pStyle w:val="46"/>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eastAsia" w:eastAsia="宋体"/>
                <w:color w:val="auto"/>
                <w:highlight w:val="none"/>
                <w:lang w:eastAsia="zh-CN"/>
              </w:rPr>
            </w:pPr>
            <w:r>
              <w:rPr>
                <w:rFonts w:hint="eastAsia" w:eastAsia="宋体"/>
                <w:color w:val="auto"/>
                <w:highlight w:val="none"/>
                <w:lang w:eastAsia="zh-CN"/>
              </w:rPr>
              <w:t>DA002排放颗粒物执行《大气污染物综合排放标准》（GB16297-1996）表2标准；</w:t>
            </w:r>
          </w:p>
          <w:p w14:paraId="0DD1B296">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rPr>
            </w:pPr>
          </w:p>
        </w:tc>
      </w:tr>
      <w:tr w14:paraId="0BC45A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1" w:hRule="atLeast"/>
          <w:jc w:val="center"/>
        </w:trPr>
        <w:tc>
          <w:tcPr>
            <w:tcW w:w="860" w:type="dxa"/>
            <w:vMerge w:val="continue"/>
            <w:vAlign w:val="center"/>
          </w:tcPr>
          <w:p w14:paraId="68668A31">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rPr>
            </w:pPr>
          </w:p>
        </w:tc>
        <w:tc>
          <w:tcPr>
            <w:tcW w:w="1350" w:type="dxa"/>
            <w:shd w:val="clear" w:color="auto" w:fill="auto"/>
            <w:vAlign w:val="center"/>
          </w:tcPr>
          <w:p w14:paraId="34777598">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rPr>
            </w:pPr>
            <w:r>
              <w:rPr>
                <w:color w:val="auto"/>
                <w:spacing w:val="-8"/>
                <w:sz w:val="21"/>
              </w:rPr>
              <w:t>废水处理废气</w:t>
            </w:r>
          </w:p>
        </w:tc>
        <w:tc>
          <w:tcPr>
            <w:tcW w:w="1391" w:type="dxa"/>
            <w:shd w:val="clear" w:color="auto" w:fill="auto"/>
            <w:vAlign w:val="center"/>
          </w:tcPr>
          <w:p w14:paraId="4A30D5B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eastAsia="宋体"/>
                <w:color w:val="auto"/>
                <w:highlight w:val="none"/>
                <w:lang w:eastAsia="zh-CN"/>
              </w:rPr>
              <w:t>氨、硫化氢和臭气浓度</w:t>
            </w:r>
          </w:p>
        </w:tc>
        <w:tc>
          <w:tcPr>
            <w:tcW w:w="2059" w:type="dxa"/>
            <w:shd w:val="clear" w:color="auto" w:fill="auto"/>
            <w:vAlign w:val="center"/>
          </w:tcPr>
          <w:p w14:paraId="582D3DA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Times New Roman" w:hAnsi="Times New Roman" w:eastAsia="Times New Roman" w:cs="Times New Roman"/>
                <w:color w:val="auto"/>
              </w:rPr>
            </w:pPr>
            <w:r>
              <w:rPr>
                <w:color w:val="auto"/>
                <w:spacing w:val="-8"/>
                <w:sz w:val="21"/>
              </w:rPr>
              <w:t>废水处理废气无组织排放</w:t>
            </w:r>
          </w:p>
        </w:tc>
        <w:tc>
          <w:tcPr>
            <w:tcW w:w="3311" w:type="dxa"/>
            <w:shd w:val="clear" w:color="auto" w:fill="auto"/>
            <w:vAlign w:val="center"/>
          </w:tcPr>
          <w:p w14:paraId="594EC987">
            <w:pPr>
              <w:pStyle w:val="46"/>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eastAsia" w:eastAsia="宋体"/>
                <w:color w:val="auto"/>
                <w:highlight w:val="none"/>
                <w:lang w:eastAsia="zh-CN"/>
              </w:rPr>
            </w:pPr>
            <w:r>
              <w:rPr>
                <w:rFonts w:hint="eastAsia" w:eastAsia="宋体"/>
                <w:color w:val="auto"/>
                <w:highlight w:val="none"/>
                <w:lang w:eastAsia="zh-CN"/>
              </w:rPr>
              <w:t>氨、硫化氢和臭气浓度无组</w:t>
            </w:r>
          </w:p>
          <w:p w14:paraId="019C9210">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color w:val="auto"/>
                <w:highlight w:val="none"/>
                <w:lang w:eastAsia="zh-CN"/>
              </w:rPr>
            </w:pPr>
            <w:r>
              <w:rPr>
                <w:rFonts w:hint="eastAsia" w:eastAsia="宋体"/>
                <w:color w:val="auto"/>
                <w:highlight w:val="none"/>
                <w:lang w:eastAsia="zh-CN"/>
              </w:rPr>
              <w:t>织排放执行《恶臭污染物排放标准》（GB14554-93）表1标准</w:t>
            </w:r>
          </w:p>
        </w:tc>
      </w:tr>
      <w:tr w14:paraId="55385B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860" w:type="dxa"/>
            <w:vMerge w:val="restart"/>
            <w:vAlign w:val="center"/>
          </w:tcPr>
          <w:p w14:paraId="04243B7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color w:val="auto"/>
                <w:szCs w:val="21"/>
                <w:highlight w:val="none"/>
              </w:rPr>
              <w:t>地表水环境</w:t>
            </w:r>
          </w:p>
        </w:tc>
        <w:tc>
          <w:tcPr>
            <w:tcW w:w="1350" w:type="dxa"/>
            <w:vAlign w:val="center"/>
          </w:tcPr>
          <w:p w14:paraId="5A27D24B">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宋体" w:hAnsi="宋体" w:cs="宋体"/>
                <w:color w:val="auto"/>
                <w:szCs w:val="21"/>
                <w:highlight w:val="none"/>
                <w:lang w:val="en-US"/>
              </w:rPr>
            </w:pPr>
            <w:r>
              <w:rPr>
                <w:rFonts w:hint="eastAsia" w:ascii="Times New Roman" w:hAnsi="Times New Roman" w:cs="Times New Roman"/>
                <w:color w:val="auto"/>
                <w:sz w:val="21"/>
                <w:highlight w:val="none"/>
                <w:lang w:val="en-US" w:eastAsia="zh-CN"/>
              </w:rPr>
              <w:t>生活污水排放口</w:t>
            </w:r>
            <w:r>
              <w:rPr>
                <w:rFonts w:hint="eastAsia" w:cs="Times New Roman"/>
                <w:color w:val="auto"/>
                <w:sz w:val="21"/>
                <w:highlight w:val="none"/>
                <w:lang w:val="en-US" w:eastAsia="zh-CN"/>
              </w:rPr>
              <w:t>DW001</w:t>
            </w:r>
          </w:p>
        </w:tc>
        <w:tc>
          <w:tcPr>
            <w:tcW w:w="1391" w:type="dxa"/>
            <w:vAlign w:val="center"/>
          </w:tcPr>
          <w:p w14:paraId="2C259AAA">
            <w:pPr>
              <w:pStyle w:val="46"/>
              <w:keepNext w:val="0"/>
              <w:keepLines w:val="0"/>
              <w:pageBreakBefore w:val="0"/>
              <w:widowControl w:val="0"/>
              <w:tabs>
                <w:tab w:val="left" w:pos="0"/>
              </w:tabs>
              <w:kinsoku/>
              <w:wordWrap/>
              <w:overflowPunct/>
              <w:topLinePunct w:val="0"/>
              <w:autoSpaceDE/>
              <w:autoSpaceDN/>
              <w:bidi w:val="0"/>
              <w:spacing w:line="240" w:lineRule="auto"/>
              <w:ind w:left="0" w:firstLine="0" w:firstLineChars="0"/>
              <w:textAlignment w:val="auto"/>
              <w:rPr>
                <w:color w:val="auto"/>
                <w:szCs w:val="21"/>
                <w:highlight w:val="none"/>
              </w:rPr>
            </w:pPr>
            <w:r>
              <w:rPr>
                <w:color w:val="auto"/>
                <w:szCs w:val="21"/>
                <w:highlight w:val="none"/>
              </w:rPr>
              <w:t>pH、COD、BOD</w:t>
            </w:r>
            <w:r>
              <w:rPr>
                <w:color w:val="auto"/>
                <w:szCs w:val="21"/>
                <w:highlight w:val="none"/>
                <w:vertAlign w:val="subscript"/>
              </w:rPr>
              <w:t>5</w:t>
            </w:r>
            <w:r>
              <w:rPr>
                <w:color w:val="auto"/>
                <w:szCs w:val="21"/>
                <w:highlight w:val="none"/>
              </w:rPr>
              <w:t>、SS、氨氮</w:t>
            </w:r>
          </w:p>
        </w:tc>
        <w:tc>
          <w:tcPr>
            <w:tcW w:w="2059" w:type="dxa"/>
            <w:vAlign w:val="center"/>
          </w:tcPr>
          <w:p w14:paraId="287AC705">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Cs w:val="21"/>
                <w:highlight w:val="none"/>
              </w:rPr>
            </w:pPr>
            <w:r>
              <w:rPr>
                <w:color w:val="auto"/>
                <w:szCs w:val="21"/>
                <w:highlight w:val="none"/>
              </w:rPr>
              <w:t>生活污水经化粪池预处理后排入市政污水管网，送往</w:t>
            </w:r>
            <w:r>
              <w:rPr>
                <w:rFonts w:hint="eastAsia"/>
                <w:color w:val="auto"/>
                <w:szCs w:val="21"/>
                <w:highlight w:val="none"/>
                <w:lang w:eastAsia="zh-CN"/>
              </w:rPr>
              <w:t>福清市第二污水处理厂</w:t>
            </w:r>
            <w:r>
              <w:rPr>
                <w:color w:val="auto"/>
                <w:szCs w:val="21"/>
                <w:highlight w:val="none"/>
              </w:rPr>
              <w:t>集中处理</w:t>
            </w:r>
          </w:p>
        </w:tc>
        <w:tc>
          <w:tcPr>
            <w:tcW w:w="3311" w:type="dxa"/>
            <w:vMerge w:val="restart"/>
            <w:vAlign w:val="center"/>
          </w:tcPr>
          <w:p w14:paraId="751DA832">
            <w:pPr>
              <w:pStyle w:val="46"/>
              <w:keepNext w:val="0"/>
              <w:keepLines w:val="0"/>
              <w:pageBreakBefore w:val="0"/>
              <w:widowControl w:val="0"/>
              <w:tabs>
                <w:tab w:val="left" w:pos="0"/>
              </w:tabs>
              <w:kinsoku/>
              <w:wordWrap/>
              <w:overflowPunct/>
              <w:topLinePunct w:val="0"/>
              <w:autoSpaceDE/>
              <w:autoSpaceDN/>
              <w:bidi w:val="0"/>
              <w:spacing w:line="240" w:lineRule="auto"/>
              <w:ind w:left="0" w:firstLine="0" w:firstLineChars="0"/>
              <w:textAlignment w:val="auto"/>
              <w:rPr>
                <w:color w:val="auto"/>
                <w:highlight w:val="none"/>
              </w:rPr>
            </w:pPr>
            <w:r>
              <w:rPr>
                <w:color w:val="auto"/>
                <w:szCs w:val="21"/>
                <w:highlight w:val="none"/>
              </w:rPr>
              <w:t>《污水综合排放标准》（GB8978-1996）表4中的三级标准（NH</w:t>
            </w:r>
            <w:r>
              <w:rPr>
                <w:color w:val="auto"/>
                <w:szCs w:val="21"/>
                <w:highlight w:val="none"/>
                <w:vertAlign w:val="subscript"/>
              </w:rPr>
              <w:t>3</w:t>
            </w:r>
            <w:r>
              <w:rPr>
                <w:color w:val="auto"/>
                <w:szCs w:val="21"/>
                <w:highlight w:val="none"/>
              </w:rPr>
              <w:t>-N</w:t>
            </w:r>
            <w:r>
              <w:rPr>
                <w:rFonts w:hint="eastAsia"/>
                <w:color w:val="auto"/>
                <w:szCs w:val="21"/>
                <w:highlight w:val="none"/>
              </w:rPr>
              <w:t>、TP、TN</w:t>
            </w:r>
            <w:r>
              <w:rPr>
                <w:color w:val="auto"/>
                <w:szCs w:val="21"/>
                <w:highlight w:val="none"/>
              </w:rPr>
              <w:t>参照《污水排入城镇下水道水质标准》（GB/T 31962-2015）表1中B等级标准）</w:t>
            </w:r>
          </w:p>
        </w:tc>
      </w:tr>
      <w:tr w14:paraId="614580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860" w:type="dxa"/>
            <w:vMerge w:val="continue"/>
            <w:vAlign w:val="center"/>
          </w:tcPr>
          <w:p w14:paraId="53D6CA9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color w:val="auto"/>
                <w:szCs w:val="21"/>
                <w:highlight w:val="none"/>
              </w:rPr>
            </w:pPr>
          </w:p>
        </w:tc>
        <w:tc>
          <w:tcPr>
            <w:tcW w:w="1350" w:type="dxa"/>
            <w:vAlign w:val="center"/>
          </w:tcPr>
          <w:p w14:paraId="1FA5153F">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default" w:ascii="Times New Roman" w:hAnsi="Times New Roman" w:eastAsia="宋体"/>
                <w:color w:val="auto"/>
                <w:szCs w:val="21"/>
                <w:highlight w:val="none"/>
                <w:lang w:val="en-US" w:eastAsia="zh-CN"/>
              </w:rPr>
            </w:pPr>
            <w:r>
              <w:rPr>
                <w:rFonts w:hint="eastAsia"/>
                <w:color w:val="auto"/>
                <w:szCs w:val="21"/>
                <w:highlight w:val="none"/>
                <w:lang w:val="en-US" w:eastAsia="zh-CN"/>
              </w:rPr>
              <w:t>生产废水排放口DW002</w:t>
            </w:r>
          </w:p>
        </w:tc>
        <w:tc>
          <w:tcPr>
            <w:tcW w:w="1391" w:type="dxa"/>
            <w:vAlign w:val="center"/>
          </w:tcPr>
          <w:p w14:paraId="02C856C8">
            <w:pPr>
              <w:pStyle w:val="46"/>
              <w:keepNext w:val="0"/>
              <w:keepLines w:val="0"/>
              <w:pageBreakBefore w:val="0"/>
              <w:widowControl w:val="0"/>
              <w:tabs>
                <w:tab w:val="left" w:pos="0"/>
              </w:tabs>
              <w:kinsoku/>
              <w:wordWrap/>
              <w:overflowPunct/>
              <w:topLinePunct w:val="0"/>
              <w:autoSpaceDE/>
              <w:autoSpaceDN/>
              <w:bidi w:val="0"/>
              <w:spacing w:line="240" w:lineRule="auto"/>
              <w:ind w:left="0" w:firstLine="0" w:firstLineChars="0"/>
              <w:jc w:val="center"/>
              <w:textAlignment w:val="auto"/>
              <w:rPr>
                <w:rFonts w:hint="default" w:eastAsia="宋体"/>
                <w:color w:val="auto"/>
                <w:szCs w:val="21"/>
                <w:highlight w:val="none"/>
                <w:lang w:val="en-US" w:eastAsia="zh-CN"/>
              </w:rPr>
            </w:pPr>
            <w:r>
              <w:rPr>
                <w:rFonts w:hint="default" w:eastAsia="宋体"/>
                <w:color w:val="auto"/>
                <w:szCs w:val="21"/>
                <w:highlight w:val="none"/>
                <w:lang w:val="en-US" w:eastAsia="zh-CN"/>
              </w:rPr>
              <w:t>COD</w:t>
            </w:r>
            <w:r>
              <w:rPr>
                <w:rFonts w:hint="eastAsia"/>
                <w:color w:val="auto"/>
                <w:szCs w:val="21"/>
                <w:highlight w:val="none"/>
                <w:lang w:val="en-US" w:eastAsia="zh-CN"/>
              </w:rPr>
              <w:t>、</w:t>
            </w:r>
            <w:r>
              <w:rPr>
                <w:rFonts w:hint="default" w:eastAsia="宋体"/>
                <w:color w:val="auto"/>
                <w:szCs w:val="21"/>
                <w:highlight w:val="none"/>
                <w:lang w:val="en-US" w:eastAsia="zh-CN"/>
              </w:rPr>
              <w:t>BOD</w:t>
            </w:r>
            <w:r>
              <w:rPr>
                <w:rFonts w:hint="default" w:eastAsia="宋体"/>
                <w:color w:val="auto"/>
                <w:szCs w:val="21"/>
                <w:highlight w:val="none"/>
                <w:vertAlign w:val="subscript"/>
                <w:lang w:val="en-US" w:eastAsia="zh-CN"/>
              </w:rPr>
              <w:t>5</w:t>
            </w:r>
            <w:r>
              <w:rPr>
                <w:rFonts w:hint="default" w:eastAsia="宋体"/>
                <w:color w:val="auto"/>
                <w:szCs w:val="21"/>
                <w:highlight w:val="none"/>
                <w:lang w:val="en-US" w:eastAsia="zh-CN"/>
              </w:rPr>
              <w:t>、SS、石油类</w:t>
            </w:r>
            <w:r>
              <w:rPr>
                <w:rFonts w:hint="eastAsia"/>
                <w:color w:val="auto"/>
                <w:szCs w:val="21"/>
                <w:highlight w:val="none"/>
                <w:lang w:val="en-US" w:eastAsia="zh-CN"/>
              </w:rPr>
              <w:t>、</w:t>
            </w:r>
            <w:r>
              <w:rPr>
                <w:rFonts w:hint="default" w:eastAsia="宋体"/>
                <w:color w:val="auto"/>
                <w:szCs w:val="21"/>
                <w:highlight w:val="none"/>
                <w:lang w:val="en-US" w:eastAsia="zh-CN"/>
              </w:rPr>
              <w:t>LAS</w:t>
            </w:r>
            <w:r>
              <w:rPr>
                <w:rFonts w:hint="eastAsia"/>
                <w:color w:val="auto"/>
                <w:szCs w:val="21"/>
                <w:highlight w:val="none"/>
                <w:lang w:val="en-US" w:eastAsia="zh-CN"/>
              </w:rPr>
              <w:t>、</w:t>
            </w:r>
            <w:r>
              <w:rPr>
                <w:rFonts w:hint="default" w:eastAsia="宋体"/>
                <w:color w:val="auto"/>
                <w:szCs w:val="21"/>
                <w:highlight w:val="none"/>
                <w:lang w:val="en-US" w:eastAsia="zh-CN"/>
              </w:rPr>
              <w:t>NH</w:t>
            </w:r>
            <w:r>
              <w:rPr>
                <w:rFonts w:hint="default" w:eastAsia="宋体"/>
                <w:color w:val="auto"/>
                <w:szCs w:val="21"/>
                <w:highlight w:val="none"/>
                <w:vertAlign w:val="subscript"/>
                <w:lang w:val="en-US" w:eastAsia="zh-CN"/>
              </w:rPr>
              <w:t>3</w:t>
            </w:r>
            <w:r>
              <w:rPr>
                <w:rFonts w:hint="default" w:eastAsia="宋体"/>
                <w:color w:val="auto"/>
                <w:szCs w:val="21"/>
                <w:highlight w:val="none"/>
                <w:lang w:val="en-US" w:eastAsia="zh-CN"/>
              </w:rPr>
              <w:t>-N、TN</w:t>
            </w:r>
          </w:p>
        </w:tc>
        <w:tc>
          <w:tcPr>
            <w:tcW w:w="2059" w:type="dxa"/>
            <w:vAlign w:val="center"/>
          </w:tcPr>
          <w:p w14:paraId="248803CE">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经“</w:t>
            </w:r>
            <w:r>
              <w:rPr>
                <w:rFonts w:hint="eastAsia"/>
                <w:color w:val="auto"/>
                <w:sz w:val="21"/>
                <w:szCs w:val="21"/>
                <w:highlight w:val="none"/>
                <w:lang w:val="en-US" w:eastAsia="zh-CN"/>
              </w:rPr>
              <w:t>气浮+A/O+沉淀</w:t>
            </w:r>
            <w:r>
              <w:rPr>
                <w:rFonts w:hint="eastAsia" w:ascii="Times New Roman" w:hAnsi="Times New Roman"/>
                <w:color w:val="auto"/>
                <w:sz w:val="21"/>
                <w:szCs w:val="21"/>
                <w:highlight w:val="none"/>
                <w:lang w:val="en-US" w:eastAsia="zh-CN"/>
              </w:rPr>
              <w:t>”处理后，接市政污水管网</w:t>
            </w:r>
            <w:r>
              <w:rPr>
                <w:color w:val="auto"/>
                <w:szCs w:val="21"/>
                <w:highlight w:val="none"/>
              </w:rPr>
              <w:t>送往</w:t>
            </w:r>
            <w:r>
              <w:rPr>
                <w:rFonts w:hint="eastAsia"/>
                <w:color w:val="auto"/>
                <w:szCs w:val="21"/>
                <w:highlight w:val="none"/>
                <w:lang w:eastAsia="zh-CN"/>
              </w:rPr>
              <w:t>福清市第二污水处理厂</w:t>
            </w:r>
            <w:r>
              <w:rPr>
                <w:color w:val="auto"/>
                <w:szCs w:val="21"/>
                <w:highlight w:val="none"/>
              </w:rPr>
              <w:t>集中处理</w:t>
            </w:r>
          </w:p>
        </w:tc>
        <w:tc>
          <w:tcPr>
            <w:tcW w:w="3311" w:type="dxa"/>
            <w:vMerge w:val="continue"/>
            <w:vAlign w:val="center"/>
          </w:tcPr>
          <w:p w14:paraId="3D540F3E">
            <w:pPr>
              <w:pStyle w:val="46"/>
              <w:keepNext w:val="0"/>
              <w:keepLines w:val="0"/>
              <w:pageBreakBefore w:val="0"/>
              <w:widowControl w:val="0"/>
              <w:tabs>
                <w:tab w:val="left" w:pos="0"/>
              </w:tabs>
              <w:kinsoku/>
              <w:wordWrap/>
              <w:overflowPunct/>
              <w:topLinePunct w:val="0"/>
              <w:autoSpaceDE/>
              <w:autoSpaceDN/>
              <w:bidi w:val="0"/>
              <w:spacing w:line="240" w:lineRule="auto"/>
              <w:ind w:left="0" w:firstLine="0" w:firstLineChars="0"/>
              <w:textAlignment w:val="auto"/>
              <w:rPr>
                <w:rFonts w:hint="eastAsia" w:eastAsia="宋体"/>
                <w:color w:val="auto"/>
                <w:szCs w:val="21"/>
                <w:highlight w:val="none"/>
                <w:lang w:val="en-US" w:eastAsia="zh-CN"/>
              </w:rPr>
            </w:pPr>
          </w:p>
        </w:tc>
      </w:tr>
      <w:tr w14:paraId="6F32DE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860" w:type="dxa"/>
            <w:vAlign w:val="center"/>
          </w:tcPr>
          <w:p w14:paraId="3E91B564">
            <w:pPr>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声环境</w:t>
            </w:r>
          </w:p>
        </w:tc>
        <w:tc>
          <w:tcPr>
            <w:tcW w:w="1350" w:type="dxa"/>
            <w:vAlign w:val="center"/>
          </w:tcPr>
          <w:p w14:paraId="09FED4C8">
            <w:pPr>
              <w:pStyle w:val="46"/>
              <w:keepNext w:val="0"/>
              <w:keepLines w:val="0"/>
              <w:pageBreakBefore w:val="0"/>
              <w:widowControl w:val="0"/>
              <w:tabs>
                <w:tab w:val="left" w:pos="0"/>
              </w:tabs>
              <w:kinsoku/>
              <w:wordWrap/>
              <w:overflowPunct/>
              <w:topLinePunct w:val="0"/>
              <w:autoSpaceDE/>
              <w:autoSpaceDN/>
              <w:bidi w:val="0"/>
              <w:spacing w:line="240" w:lineRule="auto"/>
              <w:ind w:left="0" w:firstLine="0" w:firstLineChars="0"/>
              <w:textAlignment w:val="auto"/>
              <w:rPr>
                <w:rFonts w:ascii="宋体" w:hAnsi="宋体" w:cs="宋体"/>
                <w:color w:val="auto"/>
                <w:szCs w:val="21"/>
                <w:highlight w:val="none"/>
              </w:rPr>
            </w:pPr>
            <w:r>
              <w:rPr>
                <w:color w:val="auto"/>
                <w:highlight w:val="none"/>
              </w:rPr>
              <w:t>厂界噪声</w:t>
            </w:r>
          </w:p>
        </w:tc>
        <w:tc>
          <w:tcPr>
            <w:tcW w:w="1391" w:type="dxa"/>
            <w:vAlign w:val="center"/>
          </w:tcPr>
          <w:p w14:paraId="2957808A">
            <w:pPr>
              <w:pStyle w:val="46"/>
              <w:keepNext w:val="0"/>
              <w:keepLines w:val="0"/>
              <w:pageBreakBefore w:val="0"/>
              <w:widowControl w:val="0"/>
              <w:tabs>
                <w:tab w:val="left" w:pos="0"/>
              </w:tabs>
              <w:kinsoku/>
              <w:wordWrap/>
              <w:overflowPunct/>
              <w:topLinePunct w:val="0"/>
              <w:autoSpaceDE/>
              <w:autoSpaceDN/>
              <w:bidi w:val="0"/>
              <w:spacing w:line="240" w:lineRule="auto"/>
              <w:ind w:left="0" w:firstLine="0" w:firstLineChars="0"/>
              <w:textAlignment w:val="auto"/>
              <w:rPr>
                <w:rFonts w:ascii="宋体" w:hAnsi="宋体" w:cs="宋体"/>
                <w:color w:val="auto"/>
                <w:szCs w:val="21"/>
                <w:highlight w:val="none"/>
              </w:rPr>
            </w:pPr>
            <w:r>
              <w:rPr>
                <w:color w:val="auto"/>
                <w:highlight w:val="none"/>
              </w:rPr>
              <w:t>连续等效A声级</w:t>
            </w:r>
          </w:p>
        </w:tc>
        <w:tc>
          <w:tcPr>
            <w:tcW w:w="2059" w:type="dxa"/>
            <w:vAlign w:val="center"/>
          </w:tcPr>
          <w:p w14:paraId="25761570">
            <w:pPr>
              <w:pStyle w:val="46"/>
              <w:keepNext w:val="0"/>
              <w:keepLines w:val="0"/>
              <w:pageBreakBefore w:val="0"/>
              <w:widowControl w:val="0"/>
              <w:tabs>
                <w:tab w:val="left" w:pos="0"/>
              </w:tabs>
              <w:kinsoku/>
              <w:wordWrap/>
              <w:overflowPunct/>
              <w:topLinePunct w:val="0"/>
              <w:autoSpaceDE/>
              <w:autoSpaceDN/>
              <w:bidi w:val="0"/>
              <w:spacing w:line="240" w:lineRule="auto"/>
              <w:ind w:left="0" w:firstLine="0" w:firstLineChars="0"/>
              <w:textAlignment w:val="auto"/>
              <w:rPr>
                <w:rFonts w:ascii="宋体" w:hAnsi="宋体" w:cs="宋体"/>
                <w:color w:val="auto"/>
                <w:szCs w:val="21"/>
                <w:highlight w:val="none"/>
              </w:rPr>
            </w:pPr>
            <w:r>
              <w:rPr>
                <w:color w:val="auto"/>
                <w:highlight w:val="none"/>
              </w:rPr>
              <w:t>设备采取隔声降噪减振和消声等措施</w:t>
            </w:r>
          </w:p>
        </w:tc>
        <w:tc>
          <w:tcPr>
            <w:tcW w:w="3311" w:type="dxa"/>
            <w:vAlign w:val="center"/>
          </w:tcPr>
          <w:p w14:paraId="1E79825C">
            <w:pPr>
              <w:pStyle w:val="46"/>
              <w:keepNext w:val="0"/>
              <w:keepLines w:val="0"/>
              <w:pageBreakBefore w:val="0"/>
              <w:widowControl w:val="0"/>
              <w:tabs>
                <w:tab w:val="left" w:pos="0"/>
              </w:tabs>
              <w:kinsoku/>
              <w:wordWrap/>
              <w:overflowPunct/>
              <w:topLinePunct w:val="0"/>
              <w:autoSpaceDE/>
              <w:autoSpaceDN/>
              <w:bidi w:val="0"/>
              <w:spacing w:line="240" w:lineRule="auto"/>
              <w:ind w:left="0" w:firstLine="0" w:firstLineChars="0"/>
              <w:jc w:val="center"/>
              <w:textAlignment w:val="auto"/>
              <w:rPr>
                <w:rFonts w:hint="eastAsia" w:ascii="宋体" w:hAnsi="宋体" w:eastAsia="宋体" w:cs="宋体"/>
                <w:color w:val="auto"/>
                <w:szCs w:val="21"/>
                <w:highlight w:val="none"/>
                <w:lang w:eastAsia="zh-CN"/>
              </w:rPr>
            </w:pPr>
            <w:r>
              <w:rPr>
                <w:rFonts w:hint="eastAsia"/>
                <w:color w:val="auto"/>
                <w:highlight w:val="none"/>
                <w:lang w:val="en-US" w:eastAsia="zh-CN"/>
              </w:rPr>
              <w:t>厂界执行</w:t>
            </w:r>
            <w:r>
              <w:rPr>
                <w:color w:val="auto"/>
                <w:highlight w:val="none"/>
              </w:rPr>
              <w:t>《工业企业厂界环境噪声排放标准》(GB12348-2008)</w:t>
            </w:r>
            <w:r>
              <w:rPr>
                <w:rFonts w:hint="eastAsia"/>
                <w:color w:val="auto"/>
                <w:highlight w:val="none"/>
                <w:lang w:val="en-US" w:eastAsia="zh-CN"/>
              </w:rPr>
              <w:t>3</w:t>
            </w:r>
            <w:r>
              <w:rPr>
                <w:color w:val="auto"/>
                <w:highlight w:val="none"/>
              </w:rPr>
              <w:t>类标准</w:t>
            </w:r>
            <w:r>
              <w:rPr>
                <w:rFonts w:hint="eastAsia"/>
                <w:color w:val="auto"/>
                <w:sz w:val="21"/>
                <w:szCs w:val="21"/>
                <w:highlight w:val="none"/>
              </w:rPr>
              <w:t>限值</w:t>
            </w:r>
          </w:p>
        </w:tc>
      </w:tr>
      <w:tr w14:paraId="1C1422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0" w:type="dxa"/>
            <w:vAlign w:val="center"/>
          </w:tcPr>
          <w:p w14:paraId="624F07D9">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电磁</w:t>
            </w:r>
          </w:p>
          <w:p w14:paraId="7921F79B">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辐射</w:t>
            </w:r>
          </w:p>
        </w:tc>
        <w:tc>
          <w:tcPr>
            <w:tcW w:w="1350" w:type="dxa"/>
            <w:vAlign w:val="center"/>
          </w:tcPr>
          <w:p w14:paraId="4DBFFB0A">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w:t>
            </w:r>
          </w:p>
        </w:tc>
        <w:tc>
          <w:tcPr>
            <w:tcW w:w="1391" w:type="dxa"/>
            <w:vAlign w:val="center"/>
          </w:tcPr>
          <w:p w14:paraId="50FAA1D3">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w:t>
            </w:r>
          </w:p>
        </w:tc>
        <w:tc>
          <w:tcPr>
            <w:tcW w:w="2059" w:type="dxa"/>
            <w:vAlign w:val="center"/>
          </w:tcPr>
          <w:p w14:paraId="16325498">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w:t>
            </w:r>
          </w:p>
        </w:tc>
        <w:tc>
          <w:tcPr>
            <w:tcW w:w="3311" w:type="dxa"/>
            <w:vAlign w:val="center"/>
          </w:tcPr>
          <w:p w14:paraId="0DC1775F">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w:t>
            </w:r>
          </w:p>
        </w:tc>
      </w:tr>
      <w:tr w14:paraId="0CB284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9" w:hRule="atLeast"/>
          <w:jc w:val="center"/>
        </w:trPr>
        <w:tc>
          <w:tcPr>
            <w:tcW w:w="860" w:type="dxa"/>
            <w:vAlign w:val="center"/>
          </w:tcPr>
          <w:p w14:paraId="728F149C">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固体</w:t>
            </w:r>
          </w:p>
          <w:p w14:paraId="68F498D9">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废物</w:t>
            </w:r>
          </w:p>
        </w:tc>
        <w:tc>
          <w:tcPr>
            <w:tcW w:w="8111" w:type="dxa"/>
            <w:gridSpan w:val="4"/>
            <w:vAlign w:val="center"/>
          </w:tcPr>
          <w:p w14:paraId="2B31C379">
            <w:pPr>
              <w:pageBreakBefore w:val="0"/>
              <w:kinsoku/>
              <w:overflowPunct/>
              <w:topLinePunct w:val="0"/>
              <w:bidi w:val="0"/>
              <w:adjustRightInd w:val="0"/>
              <w:snapToGrid w:val="0"/>
              <w:spacing w:line="240" w:lineRule="auto"/>
              <w:ind w:left="0" w:firstLine="0" w:firstLineChars="0"/>
              <w:textAlignment w:val="auto"/>
              <w:rPr>
                <w:rFonts w:hint="eastAsia" w:ascii="宋体" w:hAnsi="宋体" w:eastAsia="宋体" w:cs="宋体"/>
                <w:color w:val="auto"/>
                <w:szCs w:val="21"/>
                <w:highlight w:val="none"/>
                <w:lang w:val="en-US" w:eastAsia="zh-CN"/>
              </w:rPr>
            </w:pPr>
            <w:r>
              <w:rPr>
                <w:rFonts w:hint="eastAsia" w:cs="宋体"/>
                <w:color w:val="auto"/>
                <w:szCs w:val="21"/>
                <w:highlight w:val="none"/>
                <w:lang w:bidi="ar"/>
              </w:rPr>
              <w:t>一般工业固废：设置一般工业固废暂存间，妥善分类收集后回用于生产或外售综合利用；满足</w:t>
            </w:r>
            <w:r>
              <w:rPr>
                <w:rFonts w:hint="eastAsia"/>
                <w:color w:val="auto"/>
                <w:highlight w:val="none"/>
              </w:rPr>
              <w:t>《一般工业固体废物贮存和填埋污染控制标准》（GB18599-2020）</w:t>
            </w:r>
            <w:r>
              <w:rPr>
                <w:rFonts w:hint="eastAsia" w:cs="宋体"/>
                <w:color w:val="auto"/>
                <w:szCs w:val="21"/>
                <w:highlight w:val="none"/>
                <w:lang w:bidi="ar"/>
              </w:rPr>
              <w:t>的相关要求；危险废物：</w:t>
            </w:r>
            <w:r>
              <w:rPr>
                <w:rFonts w:hint="eastAsia" w:cs="宋体"/>
                <w:color w:val="auto"/>
                <w:szCs w:val="21"/>
                <w:highlight w:val="none"/>
                <w:lang w:val="en-US" w:eastAsia="zh-CN" w:bidi="ar"/>
              </w:rPr>
              <w:t>建设危废仓库1座</w:t>
            </w:r>
            <w:r>
              <w:rPr>
                <w:rFonts w:hint="eastAsia" w:cs="宋体"/>
                <w:color w:val="auto"/>
                <w:szCs w:val="21"/>
                <w:highlight w:val="none"/>
                <w:lang w:bidi="ar"/>
              </w:rPr>
              <w:t>。危险废物分类收集，暂存在危废</w:t>
            </w:r>
            <w:r>
              <w:rPr>
                <w:rFonts w:hint="eastAsia" w:cs="宋体"/>
                <w:color w:val="auto"/>
                <w:szCs w:val="21"/>
                <w:highlight w:val="none"/>
                <w:lang w:val="en-US" w:eastAsia="zh-CN" w:bidi="ar"/>
              </w:rPr>
              <w:t>仓库</w:t>
            </w:r>
            <w:r>
              <w:rPr>
                <w:rFonts w:hint="eastAsia" w:cs="宋体"/>
                <w:color w:val="auto"/>
                <w:szCs w:val="21"/>
                <w:highlight w:val="none"/>
                <w:lang w:bidi="ar"/>
              </w:rPr>
              <w:t>，定期委托有资质单位处置，危险废物收集、暂存、装运等需满足《危险废物贮存污染控制标准》</w:t>
            </w:r>
            <w:r>
              <w:rPr>
                <w:color w:val="auto"/>
                <w:szCs w:val="21"/>
                <w:highlight w:val="none"/>
                <w:lang w:bidi="ar"/>
              </w:rPr>
              <w:t>(GB18597-20</w:t>
            </w:r>
            <w:r>
              <w:rPr>
                <w:rFonts w:hint="eastAsia"/>
                <w:color w:val="auto"/>
                <w:szCs w:val="21"/>
                <w:highlight w:val="none"/>
                <w:lang w:val="en-US" w:eastAsia="zh-CN" w:bidi="ar"/>
              </w:rPr>
              <w:t>23</w:t>
            </w:r>
            <w:r>
              <w:rPr>
                <w:color w:val="auto"/>
                <w:szCs w:val="21"/>
                <w:highlight w:val="none"/>
                <w:lang w:bidi="ar"/>
              </w:rPr>
              <w:t>)</w:t>
            </w:r>
            <w:r>
              <w:rPr>
                <w:rFonts w:hint="eastAsia" w:cs="宋体"/>
                <w:color w:val="auto"/>
                <w:szCs w:val="21"/>
                <w:highlight w:val="none"/>
                <w:lang w:bidi="ar"/>
              </w:rPr>
              <w:t>。危废转移应严格按《危险废物转移联单管理办法》要求执行；</w:t>
            </w:r>
            <w:r>
              <w:rPr>
                <w:rFonts w:hint="eastAsia"/>
                <w:color w:val="auto"/>
                <w:szCs w:val="21"/>
                <w:highlight w:val="none"/>
                <w:lang w:bidi="ar"/>
              </w:rPr>
              <w:t>生活垃圾：由垃圾桶收集，由市政环卫部门统一清运处理</w:t>
            </w:r>
            <w:r>
              <w:rPr>
                <w:rFonts w:hint="eastAsia"/>
                <w:color w:val="auto"/>
                <w:szCs w:val="21"/>
                <w:highlight w:val="none"/>
                <w:lang w:val="en-US" w:eastAsia="zh-CN" w:bidi="ar"/>
              </w:rPr>
              <w:t>。</w:t>
            </w:r>
          </w:p>
        </w:tc>
      </w:tr>
      <w:tr w14:paraId="7E5124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3" w:hRule="atLeast"/>
          <w:jc w:val="center"/>
        </w:trPr>
        <w:tc>
          <w:tcPr>
            <w:tcW w:w="860" w:type="dxa"/>
            <w:vAlign w:val="center"/>
          </w:tcPr>
          <w:p w14:paraId="723011D2">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土壤及地下水污染防治措施</w:t>
            </w:r>
          </w:p>
        </w:tc>
        <w:tc>
          <w:tcPr>
            <w:tcW w:w="8111" w:type="dxa"/>
            <w:gridSpan w:val="4"/>
            <w:vAlign w:val="center"/>
          </w:tcPr>
          <w:p w14:paraId="2C7D264F">
            <w:pPr>
              <w:pStyle w:val="44"/>
              <w:pageBreakBefore w:val="0"/>
              <w:kinsoku/>
              <w:overflowPunct/>
              <w:topLinePunct w:val="0"/>
              <w:bidi w:val="0"/>
              <w:spacing w:line="240" w:lineRule="auto"/>
              <w:ind w:left="0" w:leftChars="0" w:firstLine="0" w:firstLineChars="0"/>
              <w:textAlignment w:val="auto"/>
              <w:rPr>
                <w:rFonts w:ascii="宋体" w:hAnsi="宋体" w:cs="宋体"/>
                <w:color w:val="auto"/>
                <w:sz w:val="21"/>
                <w:szCs w:val="21"/>
                <w:highlight w:val="none"/>
              </w:rPr>
            </w:pPr>
            <w:r>
              <w:rPr>
                <w:color w:val="auto"/>
                <w:sz w:val="21"/>
                <w:szCs w:val="21"/>
                <w:highlight w:val="none"/>
              </w:rPr>
              <w:t>按照</w:t>
            </w:r>
            <w:r>
              <w:rPr>
                <w:rFonts w:hint="eastAsia"/>
                <w:color w:val="auto"/>
                <w:sz w:val="21"/>
                <w:szCs w:val="21"/>
                <w:highlight w:val="none"/>
                <w:lang w:eastAsia="zh-CN"/>
              </w:rPr>
              <w:t>“</w:t>
            </w:r>
            <w:r>
              <w:rPr>
                <w:color w:val="auto"/>
                <w:sz w:val="21"/>
                <w:szCs w:val="21"/>
                <w:highlight w:val="none"/>
              </w:rPr>
              <w:t>源头控制、分区防治、污染监控、应急响应</w:t>
            </w:r>
            <w:r>
              <w:rPr>
                <w:rFonts w:hint="eastAsia"/>
                <w:color w:val="auto"/>
                <w:sz w:val="21"/>
                <w:szCs w:val="21"/>
                <w:highlight w:val="none"/>
                <w:lang w:eastAsia="zh-CN"/>
              </w:rPr>
              <w:t>”</w:t>
            </w:r>
            <w:r>
              <w:rPr>
                <w:color w:val="auto"/>
                <w:sz w:val="21"/>
                <w:szCs w:val="21"/>
                <w:highlight w:val="none"/>
              </w:rPr>
              <w:t>相结合的原则全阶段进行控制</w:t>
            </w:r>
            <w:r>
              <w:rPr>
                <w:rFonts w:hint="eastAsia"/>
                <w:color w:val="auto"/>
                <w:sz w:val="21"/>
                <w:szCs w:val="21"/>
                <w:highlight w:val="none"/>
              </w:rPr>
              <w:t>。</w:t>
            </w:r>
          </w:p>
        </w:tc>
      </w:tr>
      <w:tr w14:paraId="0566A9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860" w:type="dxa"/>
            <w:vAlign w:val="center"/>
          </w:tcPr>
          <w:p w14:paraId="25739373">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生态保护措施</w:t>
            </w:r>
          </w:p>
        </w:tc>
        <w:tc>
          <w:tcPr>
            <w:tcW w:w="8111" w:type="dxa"/>
            <w:gridSpan w:val="4"/>
            <w:vAlign w:val="center"/>
          </w:tcPr>
          <w:p w14:paraId="5E2FD9BF">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zCs w:val="21"/>
                <w:highlight w:val="none"/>
              </w:rPr>
            </w:pPr>
            <w:r>
              <w:rPr>
                <w:rFonts w:hint="eastAsia" w:ascii="宋体" w:hAnsi="宋体" w:cs="宋体"/>
                <w:color w:val="auto"/>
                <w:szCs w:val="21"/>
                <w:highlight w:val="none"/>
              </w:rPr>
              <w:t>/</w:t>
            </w:r>
          </w:p>
        </w:tc>
      </w:tr>
      <w:tr w14:paraId="17F320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60" w:type="dxa"/>
            <w:vAlign w:val="center"/>
          </w:tcPr>
          <w:p w14:paraId="10473167">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pacing w:val="-8"/>
                <w:szCs w:val="21"/>
                <w:highlight w:val="none"/>
              </w:rPr>
            </w:pPr>
            <w:r>
              <w:rPr>
                <w:rFonts w:hint="eastAsia" w:ascii="宋体" w:hAnsi="宋体" w:cs="宋体"/>
                <w:color w:val="auto"/>
                <w:spacing w:val="-8"/>
                <w:szCs w:val="21"/>
                <w:highlight w:val="none"/>
              </w:rPr>
              <w:t>环境风险防范措施</w:t>
            </w:r>
          </w:p>
        </w:tc>
        <w:tc>
          <w:tcPr>
            <w:tcW w:w="8111" w:type="dxa"/>
            <w:gridSpan w:val="4"/>
            <w:vAlign w:val="center"/>
          </w:tcPr>
          <w:p w14:paraId="48C5F278">
            <w:pPr>
              <w:pStyle w:val="44"/>
              <w:pageBreakBefore w:val="0"/>
              <w:kinsoku/>
              <w:overflowPunct/>
              <w:topLinePunct w:val="0"/>
              <w:bidi w:val="0"/>
              <w:spacing w:line="240" w:lineRule="auto"/>
              <w:ind w:left="0" w:firstLine="0" w:firstLineChars="0"/>
              <w:textAlignment w:val="auto"/>
              <w:rPr>
                <w:rFonts w:hint="eastAsia"/>
                <w:color w:val="auto"/>
                <w:sz w:val="21"/>
                <w:szCs w:val="21"/>
                <w:highlight w:val="none"/>
              </w:rPr>
            </w:pPr>
            <w:r>
              <w:rPr>
                <w:rFonts w:hint="eastAsia"/>
                <w:color w:val="auto"/>
                <w:sz w:val="21"/>
                <w:szCs w:val="21"/>
                <w:highlight w:val="none"/>
              </w:rPr>
              <w:t>①</w:t>
            </w:r>
            <w:r>
              <w:rPr>
                <w:rFonts w:ascii="Times New Roman" w:hAnsi="Times New Roman" w:eastAsia="宋体" w:cs="Times New Roman"/>
                <w:color w:val="auto"/>
                <w:sz w:val="21"/>
                <w:szCs w:val="21"/>
                <w:highlight w:val="none"/>
                <w:lang w:val="en-US" w:eastAsia="zh-CN"/>
              </w:rPr>
              <w:t>生产车间、仓库设置有消防设备</w:t>
            </w:r>
            <w:r>
              <w:rPr>
                <w:rFonts w:hint="eastAsia" w:ascii="Times New Roman" w:hAnsi="Times New Roman" w:cs="Times New Roman"/>
                <w:color w:val="auto"/>
                <w:sz w:val="21"/>
                <w:szCs w:val="21"/>
                <w:highlight w:val="none"/>
                <w:lang w:val="en-US" w:eastAsia="zh-CN"/>
              </w:rPr>
              <w:t>。</w:t>
            </w:r>
          </w:p>
          <w:p w14:paraId="1F2D843A">
            <w:pPr>
              <w:pStyle w:val="44"/>
              <w:pageBreakBefore w:val="0"/>
              <w:kinsoku/>
              <w:overflowPunct/>
              <w:topLinePunct w:val="0"/>
              <w:bidi w:val="0"/>
              <w:spacing w:line="240" w:lineRule="auto"/>
              <w:ind w:left="0" w:firstLine="0" w:firstLineChars="0"/>
              <w:textAlignment w:val="auto"/>
              <w:rPr>
                <w:color w:val="auto"/>
                <w:sz w:val="21"/>
                <w:szCs w:val="21"/>
                <w:highlight w:val="none"/>
              </w:rPr>
            </w:pPr>
            <w:r>
              <w:rPr>
                <w:rFonts w:hint="eastAsia"/>
                <w:color w:val="auto"/>
                <w:sz w:val="21"/>
                <w:szCs w:val="21"/>
                <w:highlight w:val="none"/>
              </w:rPr>
              <w:t>②</w:t>
            </w:r>
            <w:r>
              <w:rPr>
                <w:color w:val="auto"/>
                <w:sz w:val="21"/>
                <w:szCs w:val="21"/>
                <w:highlight w:val="none"/>
              </w:rPr>
              <w:t>加强职工管理，进行必要的安全消防教育，并做好个人防护。</w:t>
            </w:r>
          </w:p>
          <w:p w14:paraId="1DA10FE0">
            <w:pPr>
              <w:pStyle w:val="44"/>
              <w:pageBreakBefore w:val="0"/>
              <w:kinsoku/>
              <w:overflowPunct/>
              <w:topLinePunct w:val="0"/>
              <w:bidi w:val="0"/>
              <w:spacing w:line="240" w:lineRule="auto"/>
              <w:ind w:left="0" w:firstLine="0" w:firstLineChars="0"/>
              <w:textAlignment w:val="auto"/>
              <w:rPr>
                <w:color w:val="auto"/>
                <w:sz w:val="21"/>
                <w:szCs w:val="21"/>
                <w:highlight w:val="none"/>
              </w:rPr>
            </w:pPr>
            <w:r>
              <w:rPr>
                <w:rFonts w:hint="eastAsia"/>
                <w:color w:val="auto"/>
                <w:sz w:val="21"/>
                <w:szCs w:val="21"/>
                <w:highlight w:val="none"/>
              </w:rPr>
              <w:t>③</w:t>
            </w:r>
            <w:r>
              <w:rPr>
                <w:color w:val="auto"/>
                <w:sz w:val="21"/>
                <w:szCs w:val="21"/>
                <w:highlight w:val="none"/>
              </w:rPr>
              <w:t>企业应加强设备管理，确保设备完好，并制定严格的操作、管理制度，工作人员应培训上岗，定期对池体进行检查，杜绝“跑、冒、滴、漏”的发生。</w:t>
            </w:r>
          </w:p>
          <w:p w14:paraId="7B1C4079">
            <w:pPr>
              <w:pStyle w:val="44"/>
              <w:pageBreakBefore w:val="0"/>
              <w:kinsoku/>
              <w:overflowPunct/>
              <w:topLinePunct w:val="0"/>
              <w:bidi w:val="0"/>
              <w:spacing w:line="240" w:lineRule="auto"/>
              <w:ind w:left="0" w:firstLine="0" w:firstLineChars="0"/>
              <w:textAlignment w:val="auto"/>
              <w:rPr>
                <w:rFonts w:hint="default" w:eastAsia="宋体"/>
                <w:color w:val="auto"/>
                <w:sz w:val="21"/>
                <w:szCs w:val="21"/>
                <w:highlight w:val="none"/>
                <w:lang w:val="en-US" w:eastAsia="zh-CN"/>
              </w:rPr>
            </w:pPr>
            <w:r>
              <w:rPr>
                <w:rFonts w:hint="eastAsia"/>
                <w:color w:val="auto"/>
                <w:sz w:val="21"/>
                <w:szCs w:val="21"/>
                <w:highlight w:val="none"/>
              </w:rPr>
              <w:t>④</w:t>
            </w:r>
            <w:r>
              <w:rPr>
                <w:rFonts w:ascii="Times New Roman" w:hAnsi="Times New Roman" w:eastAsia="宋体" w:cs="Times New Roman"/>
                <w:color w:val="auto"/>
                <w:sz w:val="21"/>
                <w:szCs w:val="21"/>
                <w:highlight w:val="none"/>
                <w:lang w:val="en-US" w:eastAsia="zh-CN"/>
              </w:rPr>
              <w:t>生产车间应进行地面硬化，确保项目</w:t>
            </w:r>
            <w:r>
              <w:rPr>
                <w:rFonts w:hint="eastAsia" w:ascii="Times New Roman" w:hAnsi="Times New Roman" w:eastAsia="宋体" w:cs="Times New Roman"/>
                <w:color w:val="auto"/>
                <w:sz w:val="21"/>
                <w:szCs w:val="21"/>
                <w:highlight w:val="none"/>
                <w:lang w:val="en-US" w:eastAsia="zh-CN"/>
              </w:rPr>
              <w:t>原料</w:t>
            </w:r>
            <w:r>
              <w:rPr>
                <w:rFonts w:hint="eastAsia" w:cs="Times New Roman"/>
                <w:color w:val="auto"/>
                <w:sz w:val="21"/>
                <w:szCs w:val="21"/>
                <w:highlight w:val="none"/>
                <w:lang w:val="en-US" w:eastAsia="zh-CN"/>
              </w:rPr>
              <w:t>贮存区</w:t>
            </w:r>
            <w:r>
              <w:rPr>
                <w:rFonts w:hint="eastAsia" w:ascii="Times New Roman" w:hAnsi="Times New Roman" w:eastAsia="宋体" w:cs="Times New Roman"/>
                <w:color w:val="auto"/>
                <w:sz w:val="21"/>
                <w:szCs w:val="21"/>
                <w:highlight w:val="none"/>
                <w:lang w:val="en-US" w:eastAsia="zh-CN"/>
              </w:rPr>
              <w:t>、</w:t>
            </w:r>
            <w:r>
              <w:rPr>
                <w:rFonts w:ascii="Times New Roman" w:hAnsi="Times New Roman" w:eastAsia="宋体" w:cs="Times New Roman"/>
                <w:color w:val="auto"/>
                <w:sz w:val="21"/>
                <w:szCs w:val="21"/>
                <w:highlight w:val="none"/>
                <w:lang w:val="en-US" w:eastAsia="zh-CN"/>
              </w:rPr>
              <w:t>生产设备等发生</w:t>
            </w:r>
            <w:r>
              <w:rPr>
                <w:rFonts w:hint="eastAsia" w:ascii="Times New Roman" w:hAnsi="Times New Roman" w:eastAsia="宋体" w:cs="Times New Roman"/>
                <w:color w:val="auto"/>
                <w:sz w:val="21"/>
                <w:szCs w:val="21"/>
                <w:highlight w:val="none"/>
                <w:lang w:val="en-US" w:eastAsia="zh-CN"/>
              </w:rPr>
              <w:t>泄漏</w:t>
            </w:r>
            <w:r>
              <w:rPr>
                <w:rFonts w:ascii="Times New Roman" w:hAnsi="Times New Roman" w:eastAsia="宋体" w:cs="Times New Roman"/>
                <w:color w:val="auto"/>
                <w:sz w:val="21"/>
                <w:szCs w:val="21"/>
                <w:highlight w:val="none"/>
                <w:lang w:val="en-US" w:eastAsia="zh-CN"/>
              </w:rPr>
              <w:t>，物料不会对土壤及地下水造成污染；</w:t>
            </w:r>
            <w:r>
              <w:rPr>
                <w:rFonts w:hint="eastAsia"/>
                <w:color w:val="auto"/>
                <w:sz w:val="21"/>
                <w:szCs w:val="21"/>
                <w:highlight w:val="none"/>
                <w:lang w:val="en-US" w:eastAsia="zh-CN"/>
              </w:rPr>
              <w:t>危废</w:t>
            </w:r>
            <w:r>
              <w:rPr>
                <w:rFonts w:hint="eastAsia"/>
                <w:color w:val="auto"/>
                <w:sz w:val="21"/>
                <w:szCs w:val="21"/>
                <w:highlight w:val="none"/>
              </w:rPr>
              <w:t>仓库</w:t>
            </w:r>
            <w:r>
              <w:rPr>
                <w:color w:val="auto"/>
                <w:sz w:val="21"/>
                <w:szCs w:val="21"/>
                <w:highlight w:val="none"/>
              </w:rPr>
              <w:t>应涂上环氧树脂防渗材料。</w:t>
            </w:r>
          </w:p>
        </w:tc>
      </w:tr>
      <w:tr w14:paraId="265446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60" w:type="dxa"/>
            <w:vAlign w:val="center"/>
          </w:tcPr>
          <w:p w14:paraId="47FB8A68">
            <w:pPr>
              <w:pageBreakBefore w:val="0"/>
              <w:kinsoku/>
              <w:overflowPunct/>
              <w:topLinePunct w:val="0"/>
              <w:bidi w:val="0"/>
              <w:adjustRightInd w:val="0"/>
              <w:snapToGrid w:val="0"/>
              <w:spacing w:line="240" w:lineRule="auto"/>
              <w:ind w:left="0" w:firstLine="0" w:firstLineChars="0"/>
              <w:jc w:val="center"/>
              <w:textAlignment w:val="auto"/>
              <w:rPr>
                <w:rFonts w:ascii="宋体" w:hAnsi="宋体" w:cs="宋体"/>
                <w:color w:val="auto"/>
                <w:spacing w:val="-8"/>
                <w:szCs w:val="21"/>
                <w:highlight w:val="none"/>
              </w:rPr>
            </w:pPr>
            <w:r>
              <w:rPr>
                <w:rFonts w:hint="eastAsia" w:ascii="宋体" w:hAnsi="宋体" w:cs="宋体"/>
                <w:color w:val="auto"/>
                <w:spacing w:val="-8"/>
                <w:szCs w:val="21"/>
                <w:highlight w:val="none"/>
              </w:rPr>
              <w:t>其他环境管理要求</w:t>
            </w:r>
          </w:p>
        </w:tc>
        <w:tc>
          <w:tcPr>
            <w:tcW w:w="8111" w:type="dxa"/>
            <w:gridSpan w:val="4"/>
            <w:vAlign w:val="center"/>
          </w:tcPr>
          <w:p w14:paraId="44BE2182">
            <w:pPr>
              <w:pStyle w:val="31"/>
              <w:pageBreakBefore w:val="0"/>
              <w:widowControl w:val="0"/>
              <w:kinsoku/>
              <w:overflowPunct/>
              <w:topLinePunct w:val="0"/>
              <w:bidi w:val="0"/>
              <w:spacing w:before="0" w:beforeAutospacing="0" w:after="0" w:afterAutospacing="0" w:line="240" w:lineRule="auto"/>
              <w:ind w:left="0" w:firstLine="0" w:firstLineChars="0"/>
              <w:textAlignment w:val="auto"/>
              <w:rPr>
                <w:rFonts w:hint="eastAsia" w:ascii="Times New Roman" w:hAnsi="Times New Roman"/>
                <w:color w:val="auto"/>
                <w:sz w:val="21"/>
                <w:szCs w:val="21"/>
                <w:highlight w:val="none"/>
              </w:rPr>
            </w:pPr>
          </w:p>
          <w:p w14:paraId="5E37205E">
            <w:pPr>
              <w:pStyle w:val="44"/>
              <w:pageBreakBefore w:val="0"/>
              <w:kinsoku/>
              <w:overflowPunct/>
              <w:topLinePunct w:val="0"/>
              <w:bidi w:val="0"/>
              <w:spacing w:line="240" w:lineRule="auto"/>
              <w:ind w:left="0" w:firstLine="0" w:firstLineChars="0"/>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①根据《固定污染源排污许可分类管理名录（2019年版）》相关内容可知，本项目需执行登记管理，项目竣工后应当在全国排污许可证管理信息平台填报。</w:t>
            </w:r>
          </w:p>
          <w:p w14:paraId="40BD9118">
            <w:pPr>
              <w:pStyle w:val="44"/>
              <w:pageBreakBefore w:val="0"/>
              <w:kinsoku/>
              <w:overflowPunct/>
              <w:topLinePunct w:val="0"/>
              <w:bidi w:val="0"/>
              <w:spacing w:line="240" w:lineRule="auto"/>
              <w:ind w:left="0" w:firstLine="0" w:firstLineChars="0"/>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②项目需按《建设项目竣工环境保护验收技术指南污染影响类》（生态环境部令第9号）要求完成竣工环保验收。</w:t>
            </w:r>
          </w:p>
          <w:p w14:paraId="79012450">
            <w:pPr>
              <w:pStyle w:val="44"/>
              <w:pageBreakBefore w:val="0"/>
              <w:kinsoku/>
              <w:overflowPunct/>
              <w:topLinePunct w:val="0"/>
              <w:bidi w:val="0"/>
              <w:spacing w:line="240" w:lineRule="auto"/>
              <w:ind w:left="0" w:firstLine="0" w:firstLineChars="0"/>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③项目竣工后，应当根据建设实际情况对厂内进行应急预案编制。</w:t>
            </w:r>
          </w:p>
          <w:p w14:paraId="12185B0B">
            <w:pPr>
              <w:pStyle w:val="44"/>
              <w:pageBreakBefore w:val="0"/>
              <w:kinsoku/>
              <w:overflowPunct/>
              <w:topLinePunct w:val="0"/>
              <w:bidi w:val="0"/>
              <w:spacing w:line="240" w:lineRule="auto"/>
              <w:ind w:left="0" w:firstLine="0" w:firstLineChars="0"/>
              <w:textAlignment w:val="auto"/>
              <w:rPr>
                <w:rFonts w:hint="eastAsia"/>
                <w:color w:val="auto"/>
                <w:kern w:val="0"/>
                <w:sz w:val="21"/>
                <w:szCs w:val="21"/>
                <w:highlight w:val="none"/>
                <w:lang w:val="en-US" w:eastAsia="zh-CN"/>
              </w:rPr>
            </w:pPr>
            <w:r>
              <w:rPr>
                <w:rFonts w:hint="eastAsia"/>
                <w:color w:val="auto"/>
                <w:sz w:val="21"/>
                <w:szCs w:val="21"/>
                <w:highlight w:val="none"/>
              </w:rPr>
              <w:t>④</w:t>
            </w:r>
            <w:r>
              <w:rPr>
                <w:rFonts w:hint="eastAsia"/>
                <w:color w:val="auto"/>
                <w:kern w:val="0"/>
                <w:sz w:val="21"/>
                <w:szCs w:val="21"/>
                <w:highlight w:val="none"/>
                <w:lang w:val="en-US" w:eastAsia="zh-CN"/>
              </w:rPr>
              <w:t>环保投资估算：</w:t>
            </w:r>
          </w:p>
          <w:p w14:paraId="724C4894">
            <w:pPr>
              <w:pStyle w:val="6"/>
              <w:pageBreakBefore w:val="0"/>
              <w:numPr>
                <w:ilvl w:val="4"/>
                <w:numId w:val="0"/>
              </w:numPr>
              <w:kinsoku/>
              <w:overflowPunct/>
              <w:topLinePunct w:val="0"/>
              <w:bidi w:val="0"/>
              <w:spacing w:before="0" w:after="0" w:line="240" w:lineRule="auto"/>
              <w:ind w:lef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 xml:space="preserve">表5.1-1 </w:t>
            </w:r>
            <w:r>
              <w:rPr>
                <w:rFonts w:hint="default" w:ascii="Times New Roman" w:hAnsi="Times New Roman" w:eastAsia="宋体" w:cs="Times New Roman"/>
                <w:b/>
                <w:bCs/>
                <w:color w:val="auto"/>
                <w:kern w:val="2"/>
                <w:sz w:val="21"/>
                <w:szCs w:val="21"/>
                <w:highlight w:val="none"/>
                <w:lang w:val="en-US" w:eastAsia="zh-CN" w:bidi="ar-SA"/>
              </w:rPr>
              <w:t xml:space="preserve"> 项目环保投资估算表</w:t>
            </w:r>
          </w:p>
          <w:tbl>
            <w:tblPr>
              <w:tblStyle w:val="34"/>
              <w:tblW w:w="4998" w:type="pct"/>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5"/>
              <w:gridCol w:w="2000"/>
              <w:gridCol w:w="2703"/>
              <w:gridCol w:w="1974"/>
            </w:tblGrid>
            <w:tr w14:paraId="6BAAE05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tcBorders>
                    <w:bottom w:val="single" w:color="auto" w:sz="8" w:space="0"/>
                  </w:tcBorders>
                  <w:vAlign w:val="center"/>
                </w:tcPr>
                <w:p w14:paraId="2312A9D8">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类型</w:t>
                  </w:r>
                </w:p>
              </w:tc>
              <w:tc>
                <w:tcPr>
                  <w:tcW w:w="1267" w:type="pct"/>
                  <w:tcBorders>
                    <w:bottom w:val="single" w:color="auto" w:sz="8" w:space="0"/>
                  </w:tcBorders>
                  <w:vAlign w:val="center"/>
                </w:tcPr>
                <w:p w14:paraId="0FE3BE7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处理对象</w:t>
                  </w:r>
                </w:p>
              </w:tc>
              <w:tc>
                <w:tcPr>
                  <w:tcW w:w="1711" w:type="pct"/>
                  <w:tcBorders>
                    <w:bottom w:val="single" w:color="auto" w:sz="8" w:space="0"/>
                  </w:tcBorders>
                  <w:vAlign w:val="center"/>
                </w:tcPr>
                <w:p w14:paraId="4DD0E04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处理措施/设备</w:t>
                  </w:r>
                </w:p>
              </w:tc>
              <w:tc>
                <w:tcPr>
                  <w:tcW w:w="1250" w:type="pct"/>
                  <w:tcBorders>
                    <w:bottom w:val="single" w:color="auto" w:sz="8" w:space="0"/>
                  </w:tcBorders>
                  <w:vAlign w:val="center"/>
                </w:tcPr>
                <w:p w14:paraId="3D669F3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投资（万元）</w:t>
                  </w:r>
                </w:p>
              </w:tc>
            </w:tr>
            <w:tr w14:paraId="015635F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vMerge w:val="restart"/>
                  <w:tcBorders>
                    <w:top w:val="single" w:color="auto" w:sz="8" w:space="0"/>
                    <w:tl2br w:val="nil"/>
                    <w:tr2bl w:val="nil"/>
                  </w:tcBorders>
                  <w:vAlign w:val="center"/>
                </w:tcPr>
                <w:p w14:paraId="47E5B84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废气</w:t>
                  </w:r>
                </w:p>
              </w:tc>
              <w:tc>
                <w:tcPr>
                  <w:tcW w:w="1267" w:type="pct"/>
                  <w:tcBorders>
                    <w:top w:val="single" w:color="auto" w:sz="8" w:space="0"/>
                    <w:tl2br w:val="nil"/>
                    <w:tr2bl w:val="nil"/>
                  </w:tcBorders>
                  <w:shd w:val="clear" w:color="auto" w:fill="auto"/>
                  <w:vAlign w:val="center"/>
                </w:tcPr>
                <w:p w14:paraId="6946EC1D">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5"/>
                      <w:sz w:val="21"/>
                    </w:rPr>
                    <w:t>电泳、固化废气</w:t>
                  </w:r>
                </w:p>
              </w:tc>
              <w:tc>
                <w:tcPr>
                  <w:tcW w:w="1711" w:type="pct"/>
                  <w:tcBorders>
                    <w:top w:val="single" w:color="auto" w:sz="8" w:space="0"/>
                    <w:tl2br w:val="nil"/>
                    <w:tr2bl w:val="nil"/>
                  </w:tcBorders>
                  <w:vAlign w:val="center"/>
                </w:tcPr>
                <w:p w14:paraId="19D6C280">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ascii="Times New Roman" w:hAnsi="Times New Roman" w:eastAsia="宋体"/>
                      <w:color w:val="auto"/>
                      <w:spacing w:val="7"/>
                      <w:sz w:val="21"/>
                    </w:rPr>
                    <w:t>电泳、固化废气经</w:t>
                  </w:r>
                  <w:r>
                    <w:rPr>
                      <w:rFonts w:hint="eastAsia" w:ascii="Times New Roman" w:hAnsi="Times New Roman"/>
                      <w:color w:val="auto"/>
                      <w:spacing w:val="7"/>
                      <w:sz w:val="21"/>
                      <w:lang w:eastAsia="zh-CN"/>
                    </w:rPr>
                    <w:t>喷淋＋二级活性炭吸附</w:t>
                  </w:r>
                  <w:r>
                    <w:rPr>
                      <w:rFonts w:ascii="Times New Roman" w:hAnsi="Times New Roman" w:eastAsia="宋体"/>
                      <w:color w:val="auto"/>
                      <w:spacing w:val="7"/>
                      <w:sz w:val="21"/>
                    </w:rPr>
                    <w:t>处理后，通</w:t>
                  </w:r>
                  <w:r>
                    <w:rPr>
                      <w:rFonts w:ascii="Times New Roman" w:hAnsi="Times New Roman" w:eastAsia="宋体"/>
                      <w:color w:val="auto"/>
                      <w:spacing w:val="5"/>
                      <w:sz w:val="21"/>
                    </w:rPr>
                    <w:t>过</w:t>
                  </w:r>
                  <w:r>
                    <w:rPr>
                      <w:rFonts w:ascii="Times New Roman" w:hAnsi="Times New Roman" w:eastAsia="宋体" w:cs="Times New Roman"/>
                      <w:color w:val="auto"/>
                      <w:spacing w:val="5"/>
                      <w:sz w:val="21"/>
                    </w:rPr>
                    <w:t>1</w:t>
                  </w:r>
                  <w:r>
                    <w:rPr>
                      <w:rFonts w:ascii="Times New Roman" w:hAnsi="Times New Roman" w:eastAsia="宋体"/>
                      <w:color w:val="auto"/>
                      <w:spacing w:val="5"/>
                      <w:sz w:val="21"/>
                    </w:rPr>
                    <w:t>根</w:t>
                  </w:r>
                  <w:r>
                    <w:rPr>
                      <w:rFonts w:hint="eastAsia" w:ascii="Times New Roman" w:hAnsi="Times New Roman" w:cs="Times New Roman"/>
                      <w:color w:val="auto"/>
                      <w:spacing w:val="5"/>
                      <w:sz w:val="21"/>
                      <w:lang w:eastAsia="zh-CN"/>
                    </w:rPr>
                    <w:t>23m</w:t>
                  </w:r>
                  <w:r>
                    <w:rPr>
                      <w:rFonts w:ascii="Times New Roman" w:hAnsi="Times New Roman" w:eastAsia="宋体"/>
                      <w:color w:val="auto"/>
                      <w:spacing w:val="5"/>
                      <w:sz w:val="21"/>
                    </w:rPr>
                    <w:t>高排气筒达标排放（</w:t>
                  </w:r>
                  <w:r>
                    <w:rPr>
                      <w:rFonts w:ascii="Times New Roman" w:hAnsi="Times New Roman" w:eastAsia="宋体" w:cs="Times New Roman"/>
                      <w:color w:val="auto"/>
                      <w:sz w:val="21"/>
                    </w:rPr>
                    <w:t>DA</w:t>
                  </w:r>
                  <w:r>
                    <w:rPr>
                      <w:rFonts w:ascii="Times New Roman" w:hAnsi="Times New Roman" w:eastAsia="宋体" w:cs="Times New Roman"/>
                      <w:color w:val="auto"/>
                      <w:spacing w:val="5"/>
                      <w:sz w:val="21"/>
                    </w:rPr>
                    <w:t>001</w:t>
                  </w:r>
                  <w:r>
                    <w:rPr>
                      <w:rFonts w:ascii="Times New Roman" w:hAnsi="Times New Roman" w:eastAsia="宋体"/>
                      <w:color w:val="auto"/>
                      <w:spacing w:val="5"/>
                      <w:sz w:val="21"/>
                    </w:rPr>
                    <w:t>）</w:t>
                  </w:r>
                </w:p>
              </w:tc>
              <w:tc>
                <w:tcPr>
                  <w:tcW w:w="1250" w:type="pct"/>
                  <w:tcBorders>
                    <w:top w:val="single" w:color="auto" w:sz="8" w:space="0"/>
                    <w:tl2br w:val="nil"/>
                    <w:tr2bl w:val="nil"/>
                  </w:tcBorders>
                  <w:vAlign w:val="center"/>
                </w:tcPr>
                <w:p w14:paraId="5D9E3B01">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b w:val="0"/>
                      <w:bCs w:val="0"/>
                      <w:iCs/>
                      <w:color w:val="auto"/>
                      <w:sz w:val="21"/>
                      <w:szCs w:val="21"/>
                      <w:highlight w:val="none"/>
                      <w:lang w:val="en-US" w:eastAsia="zh-CN"/>
                    </w:rPr>
                  </w:pPr>
                  <w:r>
                    <w:rPr>
                      <w:rFonts w:ascii="Times New Roman" w:hAnsi="Times New Roman" w:eastAsia="宋体" w:cs="Times New Roman"/>
                      <w:color w:val="auto"/>
                      <w:spacing w:val="2"/>
                      <w:position w:val="2"/>
                      <w:sz w:val="21"/>
                      <w:szCs w:val="20"/>
                    </w:rPr>
                    <w:t>20</w:t>
                  </w:r>
                </w:p>
              </w:tc>
            </w:tr>
            <w:tr w14:paraId="408BEC6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vMerge w:val="continue"/>
                  <w:tcBorders>
                    <w:tl2br w:val="nil"/>
                    <w:tr2bl w:val="nil"/>
                  </w:tcBorders>
                  <w:vAlign w:val="center"/>
                </w:tcPr>
                <w:p w14:paraId="7EC85B4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b w:val="0"/>
                      <w:bCs w:val="0"/>
                      <w:iCs/>
                      <w:color w:val="auto"/>
                      <w:sz w:val="21"/>
                      <w:szCs w:val="21"/>
                      <w:highlight w:val="none"/>
                      <w:lang w:val="en-US" w:eastAsia="zh-CN"/>
                    </w:rPr>
                  </w:pPr>
                </w:p>
              </w:tc>
              <w:tc>
                <w:tcPr>
                  <w:tcW w:w="1267" w:type="pct"/>
                  <w:tcBorders>
                    <w:tl2br w:val="nil"/>
                    <w:tr2bl w:val="nil"/>
                  </w:tcBorders>
                  <w:shd w:val="clear" w:color="auto" w:fill="auto"/>
                  <w:vAlign w:val="center"/>
                </w:tcPr>
                <w:p w14:paraId="0E87038D">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cs="宋体"/>
                      <w:color w:val="auto"/>
                      <w:kern w:val="2"/>
                      <w:sz w:val="21"/>
                      <w:szCs w:val="24"/>
                      <w:lang w:val="en-US" w:eastAsia="zh-CN" w:bidi="ar-SA"/>
                    </w:rPr>
                  </w:pPr>
                  <w:r>
                    <w:rPr>
                      <w:rFonts w:ascii="Times New Roman" w:hAnsi="Times New Roman" w:eastAsia="宋体"/>
                      <w:color w:val="auto"/>
                      <w:spacing w:val="7"/>
                      <w:sz w:val="21"/>
                    </w:rPr>
                    <w:t>焊接废气</w:t>
                  </w:r>
                </w:p>
              </w:tc>
              <w:tc>
                <w:tcPr>
                  <w:tcW w:w="1711" w:type="pct"/>
                  <w:tcBorders>
                    <w:tl2br w:val="nil"/>
                    <w:tr2bl w:val="nil"/>
                  </w:tcBorders>
                  <w:vAlign w:val="center"/>
                </w:tcPr>
                <w:p w14:paraId="52EF4708">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7"/>
                      <w:position w:val="1"/>
                      <w:sz w:val="21"/>
                    </w:rPr>
                    <w:t>焊接废气</w:t>
                  </w:r>
                  <w:r>
                    <w:rPr>
                      <w:rFonts w:hint="eastAsia" w:ascii="Times New Roman" w:hAnsi="Times New Roman"/>
                      <w:color w:val="auto"/>
                      <w:spacing w:val="7"/>
                      <w:position w:val="1"/>
                      <w:sz w:val="21"/>
                      <w:lang w:eastAsia="zh-CN"/>
                    </w:rPr>
                    <w:t>布袋</w:t>
                  </w:r>
                  <w:r>
                    <w:rPr>
                      <w:rFonts w:ascii="Times New Roman" w:hAnsi="Times New Roman" w:eastAsia="宋体"/>
                      <w:color w:val="auto"/>
                      <w:spacing w:val="7"/>
                      <w:position w:val="1"/>
                      <w:sz w:val="21"/>
                    </w:rPr>
                    <w:t>除尘器处理后，通过</w:t>
                  </w:r>
                  <w:r>
                    <w:rPr>
                      <w:rFonts w:ascii="Times New Roman" w:hAnsi="Times New Roman" w:eastAsia="宋体" w:cs="Times New Roman"/>
                      <w:color w:val="auto"/>
                      <w:spacing w:val="7"/>
                      <w:position w:val="1"/>
                      <w:sz w:val="21"/>
                    </w:rPr>
                    <w:t>1</w:t>
                  </w:r>
                  <w:r>
                    <w:rPr>
                      <w:rFonts w:ascii="Times New Roman" w:hAnsi="Times New Roman" w:eastAsia="宋体"/>
                      <w:color w:val="auto"/>
                      <w:spacing w:val="7"/>
                      <w:position w:val="1"/>
                      <w:sz w:val="21"/>
                    </w:rPr>
                    <w:t>根</w:t>
                  </w:r>
                </w:p>
                <w:p w14:paraId="5476CA47">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b w:val="0"/>
                      <w:bCs w:val="0"/>
                      <w:iCs/>
                      <w:color w:val="auto"/>
                      <w:sz w:val="21"/>
                      <w:szCs w:val="21"/>
                      <w:highlight w:val="none"/>
                      <w:lang w:val="en-US" w:eastAsia="zh-CN"/>
                    </w:rPr>
                  </w:pPr>
                  <w:r>
                    <w:rPr>
                      <w:rFonts w:ascii="Times New Roman" w:hAnsi="Times New Roman" w:eastAsia="宋体" w:cs="Times New Roman"/>
                      <w:color w:val="auto"/>
                      <w:spacing w:val="7"/>
                      <w:position w:val="1"/>
                      <w:sz w:val="21"/>
                    </w:rPr>
                    <w:t>20m</w:t>
                  </w:r>
                  <w:r>
                    <w:rPr>
                      <w:rFonts w:ascii="Times New Roman" w:hAnsi="Times New Roman" w:eastAsia="宋体"/>
                      <w:color w:val="auto"/>
                      <w:spacing w:val="7"/>
                      <w:position w:val="1"/>
                      <w:sz w:val="21"/>
                    </w:rPr>
                    <w:t>高排气筒达标排放（</w:t>
                  </w:r>
                  <w:r>
                    <w:rPr>
                      <w:rFonts w:ascii="Times New Roman" w:hAnsi="Times New Roman" w:eastAsia="宋体" w:cs="Times New Roman"/>
                      <w:color w:val="auto"/>
                      <w:position w:val="1"/>
                      <w:sz w:val="21"/>
                    </w:rPr>
                    <w:t>DA</w:t>
                  </w:r>
                  <w:r>
                    <w:rPr>
                      <w:rFonts w:ascii="Times New Roman" w:hAnsi="Times New Roman" w:eastAsia="宋体" w:cs="Times New Roman"/>
                      <w:color w:val="auto"/>
                      <w:spacing w:val="7"/>
                      <w:position w:val="1"/>
                      <w:sz w:val="21"/>
                    </w:rPr>
                    <w:t>002</w:t>
                  </w:r>
                  <w:r>
                    <w:rPr>
                      <w:rFonts w:ascii="Times New Roman" w:hAnsi="Times New Roman" w:eastAsia="宋体"/>
                      <w:color w:val="auto"/>
                      <w:spacing w:val="7"/>
                      <w:position w:val="1"/>
                      <w:sz w:val="21"/>
                    </w:rPr>
                    <w:t>）</w:t>
                  </w:r>
                </w:p>
              </w:tc>
              <w:tc>
                <w:tcPr>
                  <w:tcW w:w="1250" w:type="pct"/>
                  <w:tcBorders>
                    <w:tl2br w:val="nil"/>
                    <w:tr2bl w:val="nil"/>
                  </w:tcBorders>
                  <w:vAlign w:val="center"/>
                </w:tcPr>
                <w:p w14:paraId="1AFFE10F">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default" w:ascii="Times New Roman" w:hAnsi="Times New Roman" w:eastAsia="宋体"/>
                      <w:b w:val="0"/>
                      <w:bCs w:val="0"/>
                      <w:iCs/>
                      <w:color w:val="auto"/>
                      <w:sz w:val="21"/>
                      <w:szCs w:val="21"/>
                      <w:highlight w:val="none"/>
                      <w:lang w:val="en-US" w:eastAsia="zh-CN"/>
                    </w:rPr>
                  </w:pPr>
                  <w:r>
                    <w:rPr>
                      <w:rFonts w:ascii="Times New Roman" w:hAnsi="Times New Roman" w:eastAsia="宋体" w:cs="Times New Roman"/>
                      <w:color w:val="auto"/>
                      <w:spacing w:val="2"/>
                      <w:position w:val="2"/>
                      <w:sz w:val="21"/>
                      <w:szCs w:val="20"/>
                    </w:rPr>
                    <w:t>25</w:t>
                  </w:r>
                </w:p>
              </w:tc>
            </w:tr>
            <w:tr w14:paraId="0F989BB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vMerge w:val="restart"/>
                  <w:tcBorders>
                    <w:tl2br w:val="nil"/>
                    <w:tr2bl w:val="nil"/>
                  </w:tcBorders>
                  <w:vAlign w:val="center"/>
                </w:tcPr>
                <w:p w14:paraId="624A41A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废水</w:t>
                  </w:r>
                </w:p>
              </w:tc>
              <w:tc>
                <w:tcPr>
                  <w:tcW w:w="1267" w:type="pct"/>
                  <w:tcBorders>
                    <w:tl2br w:val="nil"/>
                    <w:tr2bl w:val="nil"/>
                  </w:tcBorders>
                  <w:shd w:val="clear" w:color="auto" w:fill="auto"/>
                  <w:vAlign w:val="center"/>
                </w:tcPr>
                <w:p w14:paraId="7779628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iCs/>
                      <w:color w:val="auto"/>
                      <w:kern w:val="2"/>
                      <w:sz w:val="21"/>
                      <w:szCs w:val="21"/>
                      <w:highlight w:val="none"/>
                      <w:lang w:val="en-US" w:eastAsia="zh-CN" w:bidi="ar-SA"/>
                    </w:rPr>
                  </w:pPr>
                  <w:r>
                    <w:rPr>
                      <w:rFonts w:hint="default" w:ascii="Times New Roman" w:hAnsi="Times New Roman" w:eastAsia="宋体" w:cs="Times New Roman"/>
                      <w:b w:val="0"/>
                      <w:bCs w:val="0"/>
                      <w:iCs/>
                      <w:color w:val="auto"/>
                      <w:kern w:val="2"/>
                      <w:sz w:val="21"/>
                      <w:szCs w:val="21"/>
                      <w:highlight w:val="none"/>
                      <w:lang w:val="en-US" w:eastAsia="zh-CN" w:bidi="ar-SA"/>
                    </w:rPr>
                    <w:t>生活污水</w:t>
                  </w:r>
                </w:p>
              </w:tc>
              <w:tc>
                <w:tcPr>
                  <w:tcW w:w="1711" w:type="pct"/>
                  <w:tcBorders>
                    <w:tl2br w:val="nil"/>
                    <w:tr2bl w:val="nil"/>
                  </w:tcBorders>
                  <w:shd w:val="clear" w:color="auto" w:fill="auto"/>
                  <w:vAlign w:val="center"/>
                </w:tcPr>
                <w:p w14:paraId="3DB816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iCs/>
                      <w:color w:val="auto"/>
                      <w:kern w:val="2"/>
                      <w:sz w:val="21"/>
                      <w:szCs w:val="21"/>
                      <w:highlight w:val="none"/>
                      <w:lang w:val="en-US" w:eastAsia="zh-CN" w:bidi="ar-SA"/>
                    </w:rPr>
                  </w:pPr>
                  <w:r>
                    <w:rPr>
                      <w:rFonts w:hint="default" w:ascii="Times New Roman" w:hAnsi="Times New Roman" w:eastAsia="宋体" w:cs="Times New Roman"/>
                      <w:b w:val="0"/>
                      <w:bCs w:val="0"/>
                      <w:iCs/>
                      <w:color w:val="auto"/>
                      <w:kern w:val="2"/>
                      <w:sz w:val="21"/>
                      <w:szCs w:val="21"/>
                      <w:highlight w:val="none"/>
                      <w:lang w:val="en-US" w:eastAsia="zh-CN" w:bidi="ar-SA"/>
                    </w:rPr>
                    <w:t>经化粪池处理后接市政污水管网</w:t>
                  </w:r>
                </w:p>
              </w:tc>
              <w:tc>
                <w:tcPr>
                  <w:tcW w:w="1250" w:type="pct"/>
                  <w:tcBorders>
                    <w:tl2br w:val="nil"/>
                    <w:tr2bl w:val="nil"/>
                  </w:tcBorders>
                  <w:shd w:val="clear" w:color="auto" w:fill="auto"/>
                  <w:vAlign w:val="center"/>
                </w:tcPr>
                <w:p w14:paraId="269392B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iCs/>
                      <w:color w:val="auto"/>
                      <w:kern w:val="2"/>
                      <w:sz w:val="21"/>
                      <w:szCs w:val="21"/>
                      <w:highlight w:val="none"/>
                      <w:lang w:val="en-US" w:eastAsia="zh-CN" w:bidi="ar-SA"/>
                    </w:rPr>
                  </w:pPr>
                  <w:r>
                    <w:rPr>
                      <w:rFonts w:hint="eastAsia" w:ascii="Times New Roman" w:hAnsi="Times New Roman" w:eastAsia="宋体"/>
                      <w:b w:val="0"/>
                      <w:bCs w:val="0"/>
                      <w:iCs/>
                      <w:color w:val="auto"/>
                      <w:sz w:val="21"/>
                      <w:szCs w:val="21"/>
                      <w:highlight w:val="none"/>
                      <w:lang w:val="en-US" w:eastAsia="zh-CN"/>
                    </w:rPr>
                    <w:t>5</w:t>
                  </w:r>
                </w:p>
              </w:tc>
            </w:tr>
            <w:tr w14:paraId="69ABD6D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vMerge w:val="continue"/>
                  <w:tcBorders>
                    <w:tl2br w:val="nil"/>
                    <w:tr2bl w:val="nil"/>
                  </w:tcBorders>
                  <w:vAlign w:val="center"/>
                </w:tcPr>
                <w:p w14:paraId="0B0FF51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b w:val="0"/>
                      <w:bCs w:val="0"/>
                      <w:iCs/>
                      <w:color w:val="auto"/>
                      <w:sz w:val="21"/>
                      <w:szCs w:val="21"/>
                      <w:highlight w:val="none"/>
                      <w:lang w:val="en-US" w:eastAsia="zh-CN"/>
                    </w:rPr>
                  </w:pPr>
                </w:p>
              </w:tc>
              <w:tc>
                <w:tcPr>
                  <w:tcW w:w="1267" w:type="pct"/>
                  <w:tcBorders>
                    <w:tl2br w:val="nil"/>
                    <w:tr2bl w:val="nil"/>
                  </w:tcBorders>
                  <w:shd w:val="clear" w:color="auto" w:fill="auto"/>
                  <w:vAlign w:val="center"/>
                </w:tcPr>
                <w:p w14:paraId="2A950D33">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4"/>
                      <w:lang w:val="en-US" w:eastAsia="zh-CN" w:bidi="ar-SA"/>
                    </w:rPr>
                  </w:pPr>
                  <w:r>
                    <w:rPr>
                      <w:rFonts w:ascii="Times New Roman" w:hAnsi="Times New Roman" w:eastAsia="宋体"/>
                      <w:color w:val="auto"/>
                      <w:spacing w:val="6"/>
                      <w:sz w:val="21"/>
                    </w:rPr>
                    <w:t>生产废水</w:t>
                  </w:r>
                </w:p>
              </w:tc>
              <w:tc>
                <w:tcPr>
                  <w:tcW w:w="1711" w:type="pct"/>
                  <w:tcBorders>
                    <w:tl2br w:val="nil"/>
                    <w:tr2bl w:val="nil"/>
                  </w:tcBorders>
                  <w:shd w:val="clear" w:color="auto" w:fill="auto"/>
                  <w:vAlign w:val="center"/>
                </w:tcPr>
                <w:p w14:paraId="5BA2BB9A">
                  <w:pPr>
                    <w:pStyle w:val="113"/>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ascii="Times New Roman" w:hAnsi="Times New Roman" w:eastAsia="宋体"/>
                      <w:color w:val="auto"/>
                      <w:sz w:val="21"/>
                    </w:rPr>
                  </w:pPr>
                  <w:r>
                    <w:rPr>
                      <w:rFonts w:ascii="Times New Roman" w:hAnsi="Times New Roman" w:eastAsia="宋体"/>
                      <w:color w:val="auto"/>
                      <w:spacing w:val="6"/>
                      <w:position w:val="1"/>
                      <w:sz w:val="21"/>
                    </w:rPr>
                    <w:t>经“</w:t>
                  </w:r>
                  <w:r>
                    <w:rPr>
                      <w:rFonts w:hint="eastAsia" w:ascii="Times New Roman" w:hAnsi="Times New Roman"/>
                      <w:color w:val="auto"/>
                      <w:spacing w:val="6"/>
                      <w:position w:val="1"/>
                      <w:sz w:val="21"/>
                      <w:lang w:eastAsia="zh-CN"/>
                    </w:rPr>
                    <w:t>气浮+A/O+沉淀</w:t>
                  </w:r>
                  <w:r>
                    <w:rPr>
                      <w:rFonts w:ascii="Times New Roman" w:hAnsi="Times New Roman" w:eastAsia="宋体"/>
                      <w:color w:val="auto"/>
                      <w:spacing w:val="6"/>
                      <w:position w:val="1"/>
                      <w:sz w:val="21"/>
                    </w:rPr>
                    <w:t>”处理后，接</w:t>
                  </w:r>
                </w:p>
                <w:p w14:paraId="337B75C2">
                  <w:pPr>
                    <w:pStyle w:val="113"/>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宋体"/>
                      <w:color w:val="auto"/>
                      <w:kern w:val="2"/>
                      <w:sz w:val="21"/>
                      <w:szCs w:val="24"/>
                      <w:lang w:val="en-US" w:eastAsia="en-US" w:bidi="ar-SA"/>
                    </w:rPr>
                  </w:pPr>
                  <w:r>
                    <w:rPr>
                      <w:rFonts w:ascii="Times New Roman" w:hAnsi="Times New Roman" w:eastAsia="宋体"/>
                      <w:color w:val="auto"/>
                      <w:spacing w:val="7"/>
                      <w:sz w:val="21"/>
                    </w:rPr>
                    <w:t>市政污水管网</w:t>
                  </w:r>
                </w:p>
              </w:tc>
              <w:tc>
                <w:tcPr>
                  <w:tcW w:w="1250" w:type="pct"/>
                  <w:tcBorders>
                    <w:tl2br w:val="nil"/>
                    <w:tr2bl w:val="nil"/>
                  </w:tcBorders>
                  <w:shd w:val="clear" w:color="auto" w:fill="auto"/>
                  <w:vAlign w:val="center"/>
                </w:tcPr>
                <w:p w14:paraId="22966495">
                  <w:pPr>
                    <w:keepNext w:val="0"/>
                    <w:keepLines w:val="0"/>
                    <w:pageBreakBefore w:val="0"/>
                    <w:widowControl w:val="0"/>
                    <w:kinsoku/>
                    <w:wordWrap/>
                    <w:overflowPunct/>
                    <w:topLinePunct w:val="0"/>
                    <w:autoSpaceDE/>
                    <w:autoSpaceDN/>
                    <w:bidi w:val="0"/>
                    <w:adjustRightInd/>
                    <w:snapToGrid/>
                    <w:spacing w:line="240" w:lineRule="auto"/>
                    <w:ind w:left="0" w:leftChars="0" w:right="0" w:firstLine="0"/>
                    <w:jc w:val="center"/>
                    <w:textAlignment w:val="auto"/>
                    <w:rPr>
                      <w:rFonts w:hint="eastAsia" w:ascii="Times New Roman" w:hAnsi="Times New Roman" w:eastAsia="宋体" w:cs="Times New Roman"/>
                      <w:color w:val="auto"/>
                      <w:kern w:val="2"/>
                      <w:sz w:val="21"/>
                      <w:szCs w:val="20"/>
                      <w:lang w:val="en-US" w:eastAsia="zh-CN" w:bidi="ar-SA"/>
                    </w:rPr>
                  </w:pPr>
                  <w:r>
                    <w:rPr>
                      <w:rFonts w:ascii="Times New Roman" w:hAnsi="Times New Roman" w:eastAsia="宋体" w:cs="Times New Roman"/>
                      <w:color w:val="auto"/>
                      <w:spacing w:val="2"/>
                      <w:position w:val="2"/>
                      <w:sz w:val="21"/>
                      <w:szCs w:val="20"/>
                    </w:rPr>
                    <w:t>20</w:t>
                  </w:r>
                </w:p>
              </w:tc>
            </w:tr>
            <w:tr w14:paraId="58ED7E1F">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tcBorders>
                    <w:tl2br w:val="nil"/>
                    <w:tr2bl w:val="nil"/>
                  </w:tcBorders>
                  <w:vAlign w:val="center"/>
                </w:tcPr>
                <w:p w14:paraId="4FA41B8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噪声</w:t>
                  </w:r>
                </w:p>
              </w:tc>
              <w:tc>
                <w:tcPr>
                  <w:tcW w:w="1267" w:type="pct"/>
                  <w:tcBorders>
                    <w:tl2br w:val="nil"/>
                    <w:tr2bl w:val="nil"/>
                  </w:tcBorders>
                  <w:vAlign w:val="center"/>
                </w:tcPr>
                <w:p w14:paraId="3F57786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设备</w:t>
                  </w:r>
                </w:p>
              </w:tc>
              <w:tc>
                <w:tcPr>
                  <w:tcW w:w="1711" w:type="pct"/>
                  <w:tcBorders>
                    <w:tl2br w:val="nil"/>
                    <w:tr2bl w:val="nil"/>
                  </w:tcBorders>
                  <w:vAlign w:val="center"/>
                </w:tcPr>
                <w:p w14:paraId="39E9401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降噪减震</w:t>
                  </w:r>
                </w:p>
              </w:tc>
              <w:tc>
                <w:tcPr>
                  <w:tcW w:w="1250" w:type="pct"/>
                  <w:tcBorders>
                    <w:tl2br w:val="nil"/>
                    <w:tr2bl w:val="nil"/>
                  </w:tcBorders>
                  <w:vAlign w:val="center"/>
                </w:tcPr>
                <w:p w14:paraId="139C04F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5</w:t>
                  </w:r>
                </w:p>
              </w:tc>
            </w:tr>
            <w:tr w14:paraId="2C1A9B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vMerge w:val="restart"/>
                  <w:tcBorders>
                    <w:tl2br w:val="nil"/>
                    <w:tr2bl w:val="nil"/>
                  </w:tcBorders>
                  <w:vAlign w:val="center"/>
                </w:tcPr>
                <w:p w14:paraId="04DAE57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固废</w:t>
                  </w:r>
                </w:p>
              </w:tc>
              <w:tc>
                <w:tcPr>
                  <w:tcW w:w="1267" w:type="pct"/>
                  <w:tcBorders>
                    <w:tl2br w:val="nil"/>
                    <w:tr2bl w:val="nil"/>
                  </w:tcBorders>
                  <w:vAlign w:val="center"/>
                </w:tcPr>
                <w:p w14:paraId="09EF16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一般固废</w:t>
                  </w:r>
                </w:p>
              </w:tc>
              <w:tc>
                <w:tcPr>
                  <w:tcW w:w="1711" w:type="pct"/>
                  <w:tcBorders>
                    <w:tl2br w:val="nil"/>
                    <w:tr2bl w:val="nil"/>
                  </w:tcBorders>
                  <w:vAlign w:val="center"/>
                </w:tcPr>
                <w:p w14:paraId="692DACD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一般固废间</w:t>
                  </w:r>
                </w:p>
              </w:tc>
              <w:tc>
                <w:tcPr>
                  <w:tcW w:w="1250" w:type="pct"/>
                  <w:tcBorders>
                    <w:tl2br w:val="nil"/>
                    <w:tr2bl w:val="nil"/>
                  </w:tcBorders>
                  <w:vAlign w:val="center"/>
                </w:tcPr>
                <w:p w14:paraId="31550FA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2</w:t>
                  </w:r>
                </w:p>
              </w:tc>
            </w:tr>
            <w:tr w14:paraId="4DC0C8C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vMerge w:val="continue"/>
                  <w:tcBorders>
                    <w:tl2br w:val="nil"/>
                    <w:tr2bl w:val="nil"/>
                  </w:tcBorders>
                  <w:vAlign w:val="center"/>
                </w:tcPr>
                <w:p w14:paraId="2B6D461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b w:val="0"/>
                      <w:bCs w:val="0"/>
                      <w:iCs/>
                      <w:color w:val="auto"/>
                      <w:sz w:val="21"/>
                      <w:szCs w:val="21"/>
                      <w:highlight w:val="none"/>
                      <w:lang w:val="en-US" w:eastAsia="zh-CN"/>
                    </w:rPr>
                  </w:pPr>
                </w:p>
              </w:tc>
              <w:tc>
                <w:tcPr>
                  <w:tcW w:w="1267" w:type="pct"/>
                  <w:tcBorders>
                    <w:tl2br w:val="nil"/>
                    <w:tr2bl w:val="nil"/>
                  </w:tcBorders>
                  <w:vAlign w:val="center"/>
                </w:tcPr>
                <w:p w14:paraId="33AF602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危险废物</w:t>
                  </w:r>
                </w:p>
              </w:tc>
              <w:tc>
                <w:tcPr>
                  <w:tcW w:w="1711" w:type="pct"/>
                  <w:tcBorders>
                    <w:tl2br w:val="nil"/>
                    <w:tr2bl w:val="nil"/>
                  </w:tcBorders>
                  <w:vAlign w:val="center"/>
                </w:tcPr>
                <w:p w14:paraId="74C89DE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危废暂存间、委托有资质单位处置</w:t>
                  </w:r>
                </w:p>
              </w:tc>
              <w:tc>
                <w:tcPr>
                  <w:tcW w:w="1250" w:type="pct"/>
                  <w:tcBorders>
                    <w:tl2br w:val="nil"/>
                    <w:tr2bl w:val="nil"/>
                  </w:tcBorders>
                  <w:vAlign w:val="center"/>
                </w:tcPr>
                <w:p w14:paraId="113AEF0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3</w:t>
                  </w:r>
                </w:p>
              </w:tc>
            </w:tr>
            <w:tr w14:paraId="3C2EEC5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70" w:type="pct"/>
                  <w:tcBorders>
                    <w:tl2br w:val="nil"/>
                    <w:tr2bl w:val="nil"/>
                  </w:tcBorders>
                  <w:vAlign w:val="center"/>
                </w:tcPr>
                <w:p w14:paraId="4B74EA5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风险</w:t>
                  </w:r>
                </w:p>
              </w:tc>
              <w:tc>
                <w:tcPr>
                  <w:tcW w:w="1267" w:type="pct"/>
                  <w:tcBorders>
                    <w:tl2br w:val="nil"/>
                    <w:tr2bl w:val="nil"/>
                  </w:tcBorders>
                  <w:vAlign w:val="center"/>
                </w:tcPr>
                <w:p w14:paraId="64A277BA">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防渗</w:t>
                  </w:r>
                </w:p>
              </w:tc>
              <w:tc>
                <w:tcPr>
                  <w:tcW w:w="1711" w:type="pct"/>
                  <w:tcBorders>
                    <w:tl2br w:val="nil"/>
                    <w:tr2bl w:val="nil"/>
                  </w:tcBorders>
                  <w:vAlign w:val="center"/>
                </w:tcPr>
                <w:p w14:paraId="6568B51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地面防渗措施</w:t>
                  </w:r>
                </w:p>
              </w:tc>
              <w:tc>
                <w:tcPr>
                  <w:tcW w:w="1250" w:type="pct"/>
                  <w:tcBorders>
                    <w:tl2br w:val="nil"/>
                    <w:tr2bl w:val="nil"/>
                  </w:tcBorders>
                  <w:vAlign w:val="center"/>
                </w:tcPr>
                <w:p w14:paraId="3913655F">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10</w:t>
                  </w:r>
                </w:p>
              </w:tc>
            </w:tr>
            <w:tr w14:paraId="45AE42F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70" w:type="pct"/>
                  <w:tcBorders>
                    <w:tl2br w:val="nil"/>
                    <w:tr2bl w:val="nil"/>
                  </w:tcBorders>
                  <w:vAlign w:val="center"/>
                </w:tcPr>
                <w:p w14:paraId="6C84016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自行监测</w:t>
                  </w:r>
                </w:p>
              </w:tc>
              <w:tc>
                <w:tcPr>
                  <w:tcW w:w="1267" w:type="pct"/>
                  <w:tcBorders>
                    <w:tl2br w:val="nil"/>
                    <w:tr2bl w:val="nil"/>
                  </w:tcBorders>
                  <w:vAlign w:val="center"/>
                </w:tcPr>
                <w:p w14:paraId="23A9953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废气、废水、噪声</w:t>
                  </w:r>
                </w:p>
              </w:tc>
              <w:tc>
                <w:tcPr>
                  <w:tcW w:w="1711" w:type="pct"/>
                  <w:tcBorders>
                    <w:tl2br w:val="nil"/>
                    <w:tr2bl w:val="nil"/>
                  </w:tcBorders>
                  <w:vAlign w:val="center"/>
                </w:tcPr>
                <w:p w14:paraId="29347270">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自行监测</w:t>
                  </w:r>
                </w:p>
              </w:tc>
              <w:tc>
                <w:tcPr>
                  <w:tcW w:w="1250" w:type="pct"/>
                  <w:tcBorders>
                    <w:tl2br w:val="nil"/>
                    <w:tr2bl w:val="nil"/>
                  </w:tcBorders>
                  <w:vAlign w:val="center"/>
                </w:tcPr>
                <w:p w14:paraId="426B0D17">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5</w:t>
                  </w:r>
                </w:p>
              </w:tc>
            </w:tr>
            <w:tr w14:paraId="79A8F34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49" w:type="pct"/>
                  <w:gridSpan w:val="3"/>
                  <w:tcBorders>
                    <w:tl2br w:val="nil"/>
                    <w:tr2bl w:val="nil"/>
                  </w:tcBorders>
                  <w:vAlign w:val="center"/>
                </w:tcPr>
                <w:p w14:paraId="6C5541F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ascii="Times New Roman" w:hAnsi="Times New Roman" w:eastAsia="宋体"/>
                      <w:b w:val="0"/>
                      <w:bCs w:val="0"/>
                      <w:iCs/>
                      <w:color w:val="auto"/>
                      <w:sz w:val="21"/>
                      <w:szCs w:val="21"/>
                      <w:highlight w:val="none"/>
                      <w:lang w:val="en-US" w:eastAsia="zh-CN"/>
                    </w:rPr>
                    <w:t>合计</w:t>
                  </w:r>
                </w:p>
              </w:tc>
              <w:tc>
                <w:tcPr>
                  <w:tcW w:w="1250" w:type="pct"/>
                  <w:tcBorders>
                    <w:tl2br w:val="nil"/>
                    <w:tr2bl w:val="nil"/>
                  </w:tcBorders>
                  <w:vAlign w:val="center"/>
                </w:tcPr>
                <w:p w14:paraId="5984D26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b w:val="0"/>
                      <w:bCs w:val="0"/>
                      <w:iCs/>
                      <w:color w:val="auto"/>
                      <w:sz w:val="21"/>
                      <w:szCs w:val="21"/>
                      <w:highlight w:val="none"/>
                      <w:lang w:val="en-US" w:eastAsia="zh-CN"/>
                    </w:rPr>
                  </w:pPr>
                  <w:r>
                    <w:rPr>
                      <w:rFonts w:hint="eastAsia"/>
                      <w:b w:val="0"/>
                      <w:bCs w:val="0"/>
                      <w:iCs/>
                      <w:color w:val="auto"/>
                      <w:sz w:val="21"/>
                      <w:szCs w:val="21"/>
                      <w:highlight w:val="none"/>
                      <w:lang w:val="en-US" w:eastAsia="zh-CN"/>
                    </w:rPr>
                    <w:t>95</w:t>
                  </w:r>
                </w:p>
              </w:tc>
            </w:tr>
          </w:tbl>
          <w:p w14:paraId="7660E07B">
            <w:pPr>
              <w:pStyle w:val="44"/>
              <w:pageBreakBefore w:val="0"/>
              <w:kinsoku/>
              <w:overflowPunct/>
              <w:topLinePunct w:val="0"/>
              <w:bidi w:val="0"/>
              <w:spacing w:line="240" w:lineRule="auto"/>
              <w:ind w:left="0" w:firstLine="0" w:firstLineChars="0"/>
              <w:textAlignment w:val="auto"/>
              <w:rPr>
                <w:rFonts w:hint="default"/>
                <w:color w:val="auto"/>
                <w:kern w:val="0"/>
                <w:sz w:val="21"/>
                <w:szCs w:val="21"/>
                <w:highlight w:val="none"/>
                <w:lang w:val="en-US" w:eastAsia="zh-CN"/>
              </w:rPr>
            </w:pPr>
          </w:p>
        </w:tc>
      </w:tr>
    </w:tbl>
    <w:p w14:paraId="1D5AA5B7">
      <w:pPr>
        <w:pStyle w:val="2"/>
        <w:numPr>
          <w:ilvl w:val="0"/>
          <w:numId w:val="0"/>
        </w:numPr>
        <w:tabs>
          <w:tab w:val="left" w:pos="0"/>
        </w:tabs>
        <w:ind w:left="432" w:leftChars="0" w:hanging="432" w:firstLineChars="0"/>
        <w:outlineLvl w:val="9"/>
        <w:rPr>
          <w:snapToGrid w:val="0"/>
          <w:color w:val="auto"/>
          <w:highlight w:val="none"/>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14:paraId="41F4E0C4">
      <w:pPr>
        <w:pStyle w:val="2"/>
        <w:numPr>
          <w:ilvl w:val="0"/>
          <w:numId w:val="1"/>
        </w:numPr>
        <w:bidi w:val="0"/>
        <w:ind w:left="432" w:leftChars="0" w:hanging="432" w:firstLineChars="0"/>
        <w:rPr>
          <w:rFonts w:hint="eastAsia" w:ascii="Times New Roman" w:hAnsi="Times New Roman" w:eastAsia="宋体"/>
          <w:color w:val="auto"/>
          <w:highlight w:val="none"/>
        </w:rPr>
      </w:pPr>
      <w:bookmarkStart w:id="67" w:name="_Toc288"/>
      <w:bookmarkStart w:id="68" w:name="_Toc15523"/>
      <w:bookmarkStart w:id="69" w:name="_Toc17753"/>
      <w:bookmarkStart w:id="70" w:name="_Toc14873"/>
      <w:bookmarkStart w:id="71" w:name="_Toc4502"/>
      <w:r>
        <w:rPr>
          <w:rFonts w:hint="eastAsia" w:ascii="Times New Roman" w:hAnsi="Times New Roman" w:eastAsia="宋体"/>
          <w:color w:val="auto"/>
          <w:highlight w:val="none"/>
        </w:rPr>
        <w:drawing>
          <wp:anchor distT="0" distB="0" distL="114300" distR="114300" simplePos="0" relativeHeight="251665408" behindDoc="0" locked="0" layoutInCell="1" allowOverlap="1">
            <wp:simplePos x="0" y="0"/>
            <wp:positionH relativeFrom="column">
              <wp:posOffset>43815</wp:posOffset>
            </wp:positionH>
            <wp:positionV relativeFrom="paragraph">
              <wp:posOffset>-51435</wp:posOffset>
            </wp:positionV>
            <wp:extent cx="5758815" cy="8335645"/>
            <wp:effectExtent l="0" t="0" r="13335" b="8255"/>
            <wp:wrapNone/>
            <wp:docPr id="1" name="图片 1" descr="doc00316620250827092213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oc00316620250827092213_01(1)"/>
                    <pic:cNvPicPr>
                      <a:picLocks noChangeAspect="1"/>
                    </pic:cNvPicPr>
                  </pic:nvPicPr>
                  <pic:blipFill>
                    <a:blip r:embed="rId45"/>
                    <a:stretch>
                      <a:fillRect/>
                    </a:stretch>
                  </pic:blipFill>
                  <pic:spPr>
                    <a:xfrm>
                      <a:off x="0" y="0"/>
                      <a:ext cx="5758815" cy="8335645"/>
                    </a:xfrm>
                    <a:prstGeom prst="rect">
                      <a:avLst/>
                    </a:prstGeom>
                  </pic:spPr>
                </pic:pic>
              </a:graphicData>
            </a:graphic>
          </wp:anchor>
        </w:drawing>
      </w:r>
      <w:r>
        <w:rPr>
          <w:rFonts w:hint="eastAsia" w:ascii="Times New Roman" w:hAnsi="Times New Roman" w:eastAsia="宋体"/>
          <w:color w:val="auto"/>
          <w:highlight w:val="none"/>
        </w:rPr>
        <w:t>结论</w:t>
      </w:r>
      <w:bookmarkEnd w:id="67"/>
      <w:bookmarkEnd w:id="68"/>
      <w:bookmarkEnd w:id="69"/>
      <w:bookmarkEnd w:id="70"/>
      <w:bookmarkEnd w:id="71"/>
    </w:p>
    <w:tbl>
      <w:tblPr>
        <w:tblStyle w:val="33"/>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1D1F7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top"/>
          </w:tcPr>
          <w:p w14:paraId="40F5D0DB">
            <w:pPr>
              <w:pStyle w:val="155"/>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0" w:firstLineChars="0"/>
              <w:jc w:val="left"/>
              <w:textAlignment w:val="baseline"/>
              <w:outlineLvl w:val="1"/>
              <w:rPr>
                <w:rFonts w:hint="default" w:ascii="Times New Roman" w:hAnsi="Times New Roman" w:eastAsia="宋体" w:cs="Times New Roman"/>
                <w:color w:val="auto"/>
                <w:sz w:val="28"/>
                <w:szCs w:val="28"/>
                <w:highlight w:val="none"/>
              </w:rPr>
            </w:pPr>
            <w:bookmarkStart w:id="72" w:name="_Toc8175"/>
            <w:bookmarkStart w:id="73" w:name="_Toc22364"/>
            <w:bookmarkStart w:id="74" w:name="_Toc4427"/>
            <w:bookmarkStart w:id="75" w:name="_Toc18917"/>
            <w:r>
              <w:rPr>
                <w:rFonts w:hint="default" w:ascii="Times New Roman" w:hAnsi="Times New Roman" w:eastAsia="宋体" w:cs="Times New Roman"/>
                <w:b/>
                <w:color w:val="auto"/>
                <w:sz w:val="28"/>
                <w:szCs w:val="28"/>
                <w:highlight w:val="none"/>
                <w:lang w:val="en-US" w:eastAsia="zh-CN"/>
              </w:rPr>
              <w:t>6.1</w:t>
            </w:r>
            <w:r>
              <w:rPr>
                <w:rFonts w:hint="default" w:ascii="Times New Roman" w:hAnsi="Times New Roman" w:eastAsia="宋体" w:cs="Times New Roman"/>
                <w:b/>
                <w:color w:val="auto"/>
                <w:sz w:val="28"/>
                <w:szCs w:val="28"/>
                <w:highlight w:val="none"/>
              </w:rPr>
              <w:t xml:space="preserve"> 总结论</w:t>
            </w:r>
            <w:bookmarkEnd w:id="72"/>
            <w:bookmarkEnd w:id="73"/>
            <w:bookmarkEnd w:id="74"/>
            <w:bookmarkEnd w:id="75"/>
          </w:p>
          <w:p w14:paraId="48204671">
            <w:pPr>
              <w:pStyle w:val="44"/>
              <w:keepNext w:val="0"/>
              <w:keepLines w:val="0"/>
              <w:pageBreakBefore w:val="0"/>
              <w:widowControl w:val="0"/>
              <w:kinsoku/>
              <w:wordWrap/>
              <w:overflowPunct/>
              <w:topLinePunct w:val="0"/>
              <w:autoSpaceDE w:val="0"/>
              <w:autoSpaceDN w:val="0"/>
              <w:bidi w:val="0"/>
              <w:adjustRightInd/>
              <w:snapToGrid/>
              <w:ind w:firstLine="480"/>
              <w:textAlignment w:val="auto"/>
              <w:rPr>
                <w:rFonts w:ascii="Times New Roman" w:hAnsi="Times New Roman" w:eastAsia="宋体"/>
                <w:color w:val="auto"/>
                <w:highlight w:val="none"/>
              </w:rPr>
            </w:pPr>
            <w:r>
              <w:rPr>
                <w:rFonts w:hint="eastAsia"/>
                <w:color w:val="auto"/>
                <w:szCs w:val="21"/>
                <w:highlight w:val="none"/>
                <w:lang w:eastAsia="zh-CN"/>
              </w:rPr>
              <w:t>福州奇联汽车零部件有限公司年加工汽车座椅骨架10万套项目</w:t>
            </w:r>
            <w:r>
              <w:rPr>
                <w:rFonts w:ascii="Times New Roman" w:hAnsi="Times New Roman" w:eastAsia="宋体"/>
                <w:color w:val="auto"/>
                <w:highlight w:val="none"/>
              </w:rPr>
              <w:t>的建设符合国家有关产业政策，项目选址合理</w:t>
            </w:r>
            <w:r>
              <w:rPr>
                <w:rFonts w:ascii="Times New Roman" w:hAnsi="Times New Roman" w:eastAsia="宋体"/>
                <w:color w:val="auto"/>
                <w:highlight w:val="none"/>
                <w:lang w:val="zh-CN"/>
              </w:rPr>
              <w:t>，</w:t>
            </w:r>
            <w:r>
              <w:rPr>
                <w:rFonts w:hint="eastAsia" w:ascii="Times New Roman" w:hAnsi="Times New Roman" w:eastAsia="宋体"/>
                <w:color w:val="auto"/>
                <w:highlight w:val="none"/>
              </w:rPr>
              <w:t>平面布局可行。经核查，项目选址位于福清融侨经济技术开发区，符合该区域实施的《福清融侨经济技术开发区总体规划(2018</w:t>
            </w:r>
            <w:r>
              <w:rPr>
                <w:rFonts w:hint="eastAsia" w:ascii="Times New Roman" w:hAnsi="Times New Roman" w:eastAsia="宋体"/>
                <w:color w:val="auto"/>
                <w:highlight w:val="none"/>
                <w:lang w:eastAsia="zh-CN"/>
              </w:rPr>
              <w:t>—</w:t>
            </w:r>
            <w:r>
              <w:rPr>
                <w:rFonts w:hint="eastAsia" w:ascii="Times New Roman" w:hAnsi="Times New Roman" w:eastAsia="宋体"/>
                <w:color w:val="auto"/>
                <w:highlight w:val="none"/>
              </w:rPr>
              <w:t>2035年)》的要求及产业定位、环境功能区划和空间布局等要求。同时，项目符合</w:t>
            </w:r>
            <w:r>
              <w:rPr>
                <w:rFonts w:hint="eastAsia"/>
                <w:color w:val="auto"/>
                <w:highlight w:val="none"/>
                <w:lang w:val="en-US" w:eastAsia="zh-CN"/>
              </w:rPr>
              <w:t>福建省</w:t>
            </w:r>
            <w:r>
              <w:rPr>
                <w:rFonts w:hint="eastAsia" w:ascii="Times New Roman" w:hAnsi="Times New Roman" w:eastAsia="宋体"/>
                <w:color w:val="auto"/>
                <w:highlight w:val="none"/>
              </w:rPr>
              <w:t>生态环境分区管控（“三线一单”）要求，本项目所在地管控单位类别为重点管控单元（环境管控单元编码：</w:t>
            </w:r>
            <w:r>
              <w:rPr>
                <w:rFonts w:hint="eastAsia" w:ascii="Times New Roman" w:hAnsi="Times New Roman" w:eastAsia="宋体"/>
                <w:color w:val="auto"/>
                <w:highlight w:val="none"/>
                <w:lang w:val="en-US" w:eastAsia="zh-CN"/>
              </w:rPr>
              <w:t>ZH35018120008</w:t>
            </w:r>
            <w:r>
              <w:rPr>
                <w:rFonts w:hint="eastAsia" w:ascii="Times New Roman" w:hAnsi="Times New Roman" w:eastAsia="宋体"/>
                <w:color w:val="auto"/>
                <w:highlight w:val="none"/>
              </w:rPr>
              <w:t>）的许可范围内，其规模、生产工艺、污染物排放控制符合该单元的生态环境准入清单规定，选址具有环境可行性，布局合理。</w:t>
            </w:r>
            <w:r>
              <w:rPr>
                <w:rFonts w:ascii="Times New Roman" w:hAnsi="Times New Roman" w:eastAsia="宋体"/>
                <w:color w:val="auto"/>
                <w:highlight w:val="none"/>
              </w:rPr>
              <w:t>项目运营后产生的污水、废气、噪声、固废通过采取相应的措施治理，能够实现污染物的达标排放。在工程建设中，严格执行“三同时”制度，项目投产后，严格</w:t>
            </w:r>
            <w:r>
              <w:rPr>
                <w:rFonts w:hint="eastAsia" w:ascii="Times New Roman" w:hAnsi="Times New Roman" w:eastAsia="宋体"/>
                <w:color w:val="auto"/>
                <w:highlight w:val="none"/>
              </w:rPr>
              <w:t>遵守</w:t>
            </w:r>
            <w:r>
              <w:rPr>
                <w:rFonts w:ascii="Times New Roman" w:hAnsi="Times New Roman" w:eastAsia="宋体"/>
                <w:color w:val="auto"/>
                <w:highlight w:val="none"/>
              </w:rPr>
              <w:t>国家有关法律法规</w:t>
            </w:r>
            <w:r>
              <w:rPr>
                <w:rFonts w:hint="eastAsia" w:ascii="Times New Roman" w:hAnsi="Times New Roman" w:eastAsia="宋体"/>
                <w:color w:val="auto"/>
                <w:highlight w:val="none"/>
              </w:rPr>
              <w:t>，严格执行相关标准和</w:t>
            </w:r>
            <w:r>
              <w:rPr>
                <w:rFonts w:ascii="Times New Roman" w:hAnsi="Times New Roman" w:eastAsia="宋体"/>
                <w:color w:val="auto"/>
                <w:highlight w:val="none"/>
              </w:rPr>
              <w:t>技术规范，</w:t>
            </w:r>
            <w:r>
              <w:rPr>
                <w:rFonts w:hint="eastAsia" w:ascii="Times New Roman" w:hAnsi="Times New Roman" w:eastAsia="宋体"/>
                <w:color w:val="auto"/>
                <w:highlight w:val="none"/>
              </w:rPr>
              <w:t>严格</w:t>
            </w:r>
            <w:r>
              <w:rPr>
                <w:rFonts w:ascii="Times New Roman" w:hAnsi="Times New Roman" w:eastAsia="宋体"/>
                <w:color w:val="auto"/>
                <w:highlight w:val="none"/>
              </w:rPr>
              <w:t>落实各项环境风险防范措施，确保污染物排放总量控制在经</w:t>
            </w:r>
            <w:r>
              <w:rPr>
                <w:rFonts w:hint="eastAsia" w:ascii="Times New Roman" w:hAnsi="Times New Roman" w:eastAsia="宋体"/>
                <w:color w:val="auto"/>
                <w:highlight w:val="none"/>
                <w:lang w:val="en-US" w:eastAsia="zh-CN"/>
              </w:rPr>
              <w:t>生态环境</w:t>
            </w:r>
            <w:r>
              <w:rPr>
                <w:rFonts w:ascii="Times New Roman" w:hAnsi="Times New Roman" w:eastAsia="宋体"/>
                <w:color w:val="auto"/>
                <w:highlight w:val="none"/>
              </w:rPr>
              <w:t>主管部门核定的范围内，污染物达标排放的前提下，对周边环境影响较小，</w:t>
            </w:r>
            <w:r>
              <w:rPr>
                <w:rFonts w:hint="eastAsia" w:ascii="Times New Roman" w:hAnsi="Times New Roman" w:eastAsia="宋体"/>
                <w:color w:val="auto"/>
                <w:highlight w:val="none"/>
              </w:rPr>
              <w:t>该项目可实现经济效益、环境效益的协调性发展。</w:t>
            </w:r>
            <w:r>
              <w:rPr>
                <w:rFonts w:ascii="Times New Roman" w:hAnsi="Times New Roman" w:eastAsia="宋体"/>
                <w:color w:val="auto"/>
                <w:highlight w:val="none"/>
              </w:rPr>
              <w:t>从环境保护的角度分析，该项目的建设是可行的。</w:t>
            </w:r>
          </w:p>
          <w:p w14:paraId="19F39A05">
            <w:pPr>
              <w:pStyle w:val="155"/>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0" w:firstLineChars="0"/>
              <w:jc w:val="left"/>
              <w:textAlignment w:val="baseline"/>
              <w:outlineLvl w:val="1"/>
              <w:rPr>
                <w:rFonts w:hint="default" w:ascii="Times New Roman" w:hAnsi="Times New Roman" w:eastAsia="宋体" w:cs="Times New Roman"/>
                <w:b/>
                <w:color w:val="auto"/>
                <w:sz w:val="28"/>
                <w:szCs w:val="28"/>
                <w:highlight w:val="none"/>
              </w:rPr>
            </w:pPr>
            <w:bookmarkStart w:id="76" w:name="_Toc29899"/>
            <w:bookmarkStart w:id="77" w:name="_Toc29585"/>
            <w:bookmarkStart w:id="78" w:name="_Toc11017"/>
            <w:bookmarkStart w:id="79" w:name="_Toc29401"/>
            <w:r>
              <w:rPr>
                <w:rFonts w:hint="default" w:ascii="Times New Roman" w:hAnsi="Times New Roman" w:eastAsia="宋体" w:cs="Times New Roman"/>
                <w:b/>
                <w:color w:val="auto"/>
                <w:sz w:val="28"/>
                <w:szCs w:val="28"/>
                <w:highlight w:val="none"/>
                <w:lang w:val="en-US" w:eastAsia="zh-CN"/>
              </w:rPr>
              <w:t>6.2</w:t>
            </w:r>
            <w:r>
              <w:rPr>
                <w:rFonts w:hint="default" w:ascii="Times New Roman" w:hAnsi="Times New Roman" w:eastAsia="宋体" w:cs="Times New Roman"/>
                <w:b/>
                <w:color w:val="auto"/>
                <w:sz w:val="28"/>
                <w:szCs w:val="28"/>
                <w:highlight w:val="none"/>
              </w:rPr>
              <w:t xml:space="preserve"> 建议</w:t>
            </w:r>
            <w:bookmarkEnd w:id="76"/>
            <w:bookmarkEnd w:id="77"/>
            <w:bookmarkEnd w:id="78"/>
            <w:bookmarkEnd w:id="79"/>
          </w:p>
          <w:p w14:paraId="762C80F0">
            <w:pPr>
              <w:pStyle w:val="13"/>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加强管理，保证生产设备正常运行，防止设备带故障使用，防止异常噪声的产生。</w:t>
            </w:r>
          </w:p>
          <w:p w14:paraId="6E0EBEC9">
            <w:pPr>
              <w:pStyle w:val="13"/>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2</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由厂内技术管理人员兼职环保工作负责环保设施的运行、检查、维护等工作。</w:t>
            </w:r>
          </w:p>
          <w:p w14:paraId="1C0D72CA">
            <w:pPr>
              <w:pStyle w:val="13"/>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3</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加强职工的环保、安全教育，提高环保意识和安全生产意识。</w:t>
            </w:r>
          </w:p>
          <w:p w14:paraId="6783FCE4">
            <w:pPr>
              <w:pStyle w:val="13"/>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4</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遵守国家关于环保治理措施管理的规定，定期提交设施运行及监测报告，接受环保管理部门的监督。</w:t>
            </w:r>
          </w:p>
          <w:p w14:paraId="2456EAC3">
            <w:pPr>
              <w:pStyle w:val="24"/>
              <w:ind w:firstLine="480" w:firstLineChars="200"/>
              <w:rPr>
                <w:rFonts w:ascii="Times New Roman" w:hAnsi="Times New Roman" w:eastAsia="宋体"/>
                <w:color w:val="auto"/>
                <w:sz w:val="24"/>
                <w:szCs w:val="24"/>
                <w:highlight w:val="none"/>
              </w:rPr>
            </w:pP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加强环保工作的管理，要认真落实环保“三同时”制度。</w:t>
            </w:r>
          </w:p>
          <w:p w14:paraId="11662109">
            <w:pPr>
              <w:pStyle w:val="24"/>
              <w:rPr>
                <w:rFonts w:ascii="Times New Roman" w:hAnsi="Times New Roman" w:eastAsia="宋体"/>
                <w:color w:val="auto"/>
                <w:sz w:val="24"/>
                <w:szCs w:val="24"/>
                <w:highlight w:val="none"/>
              </w:rPr>
            </w:pPr>
          </w:p>
          <w:p w14:paraId="0FD502EF">
            <w:pPr>
              <w:pStyle w:val="24"/>
              <w:rPr>
                <w:rFonts w:ascii="Times New Roman" w:hAnsi="Times New Roman" w:eastAsia="宋体"/>
                <w:color w:val="auto"/>
                <w:sz w:val="24"/>
                <w:szCs w:val="24"/>
                <w:highlight w:val="none"/>
              </w:rPr>
            </w:pPr>
          </w:p>
          <w:p w14:paraId="7D123E40">
            <w:pPr>
              <w:jc w:val="right"/>
              <w:rPr>
                <w:rFonts w:ascii="Times New Roman" w:hAnsi="Times New Roman" w:eastAsia="宋体"/>
                <w:b/>
                <w:bCs/>
                <w:color w:val="auto"/>
                <w:sz w:val="24"/>
                <w:highlight w:val="none"/>
              </w:rPr>
            </w:pPr>
            <w:r>
              <w:rPr>
                <w:rFonts w:hint="eastAsia" w:ascii="Times New Roman" w:hAnsi="Times New Roman" w:eastAsia="宋体"/>
                <w:b/>
                <w:bCs/>
                <w:color w:val="auto"/>
                <w:sz w:val="24"/>
                <w:highlight w:val="none"/>
              </w:rPr>
              <w:t>福州朴诚至信环保科技有限公</w:t>
            </w:r>
            <w:r>
              <w:rPr>
                <w:rFonts w:ascii="Times New Roman" w:hAnsi="Times New Roman" w:eastAsia="宋体"/>
                <w:b/>
                <w:bCs/>
                <w:color w:val="auto"/>
                <w:sz w:val="24"/>
                <w:highlight w:val="none"/>
              </w:rPr>
              <w:t>司</w:t>
            </w:r>
          </w:p>
          <w:p w14:paraId="160E5023">
            <w:pPr>
              <w:wordWrap w:val="0"/>
              <w:jc w:val="right"/>
              <w:rPr>
                <w:rFonts w:hint="default" w:ascii="Times New Roman" w:hAnsi="Times New Roman" w:eastAsia="宋体"/>
                <w:b/>
                <w:bCs/>
                <w:color w:val="auto"/>
                <w:sz w:val="24"/>
                <w:highlight w:val="none"/>
                <w:lang w:val="en-US" w:eastAsia="zh-CN"/>
              </w:rPr>
            </w:pPr>
            <w:r>
              <w:rPr>
                <w:rFonts w:ascii="Times New Roman" w:hAnsi="Times New Roman" w:eastAsia="宋体"/>
                <w:b/>
                <w:bCs/>
                <w:color w:val="auto"/>
                <w:sz w:val="24"/>
                <w:highlight w:val="none"/>
                <w:lang w:val="zh-CN"/>
              </w:rPr>
              <w:t>202</w:t>
            </w:r>
            <w:r>
              <w:rPr>
                <w:rFonts w:hint="eastAsia"/>
                <w:b/>
                <w:bCs/>
                <w:color w:val="auto"/>
                <w:sz w:val="24"/>
                <w:highlight w:val="none"/>
                <w:lang w:val="en-US" w:eastAsia="zh-CN"/>
              </w:rPr>
              <w:t>5</w:t>
            </w:r>
            <w:r>
              <w:rPr>
                <w:rFonts w:ascii="Times New Roman" w:hAnsi="Times New Roman" w:eastAsia="宋体"/>
                <w:b/>
                <w:bCs/>
                <w:color w:val="auto"/>
                <w:sz w:val="24"/>
                <w:highlight w:val="none"/>
                <w:lang w:val="zh-CN"/>
              </w:rPr>
              <w:t>年</w:t>
            </w:r>
            <w:r>
              <w:rPr>
                <w:rFonts w:hint="eastAsia"/>
                <w:b/>
                <w:bCs/>
                <w:color w:val="auto"/>
                <w:sz w:val="24"/>
                <w:highlight w:val="none"/>
                <w:lang w:val="en-US" w:eastAsia="zh-CN"/>
              </w:rPr>
              <w:t>7</w:t>
            </w:r>
            <w:r>
              <w:rPr>
                <w:rFonts w:ascii="Times New Roman" w:hAnsi="Times New Roman" w:eastAsia="宋体"/>
                <w:b/>
                <w:bCs/>
                <w:color w:val="auto"/>
                <w:sz w:val="24"/>
                <w:highlight w:val="none"/>
                <w:lang w:val="zh-CN"/>
              </w:rPr>
              <w:t>月</w:t>
            </w:r>
          </w:p>
          <w:p w14:paraId="72E3037D">
            <w:pPr>
              <w:spacing w:line="360" w:lineRule="auto"/>
              <w:rPr>
                <w:rFonts w:ascii="Times New Roman" w:hAnsi="Times New Roman" w:eastAsia="宋体" w:cs="宋体"/>
                <w:color w:val="auto"/>
                <w:sz w:val="24"/>
                <w:highlight w:val="none"/>
              </w:rPr>
            </w:pPr>
          </w:p>
        </w:tc>
      </w:tr>
    </w:tbl>
    <w:p w14:paraId="18B4CFBF">
      <w:pPr>
        <w:rPr>
          <w:rFonts w:hint="eastAsia" w:ascii="宋体" w:eastAsia="宋体"/>
          <w:color w:val="auto"/>
          <w:highlight w:val="none"/>
          <w:lang w:eastAsia="zh-CN"/>
        </w:rPr>
        <w:sectPr>
          <w:pgSz w:w="11905" w:h="16838"/>
          <w:pgMar w:top="1417" w:right="1417" w:bottom="1417" w:left="1417" w:header="851" w:footer="1077" w:gutter="0"/>
          <w:pgBorders>
            <w:top w:val="none" w:sz="0" w:space="0"/>
            <w:left w:val="none" w:sz="0" w:space="0"/>
            <w:bottom w:val="none" w:sz="0" w:space="0"/>
            <w:right w:val="none" w:sz="0" w:space="0"/>
          </w:pgBorders>
          <w:pgNumType w:fmt="decimal"/>
          <w:cols w:space="0" w:num="1"/>
          <w:docGrid w:linePitch="312" w:charSpace="0"/>
        </w:sectPr>
      </w:pPr>
    </w:p>
    <w:p w14:paraId="5914FB73">
      <w:pPr>
        <w:pStyle w:val="31"/>
        <w:adjustRightInd w:val="0"/>
        <w:snapToGrid w:val="0"/>
        <w:spacing w:before="0" w:beforeAutospacing="0" w:after="0" w:afterAutospacing="0"/>
        <w:outlineLvl w:val="0"/>
        <w:rPr>
          <w:rFonts w:ascii="黑体" w:hAnsi="黑体" w:eastAsia="黑体"/>
          <w:snapToGrid w:val="0"/>
          <w:color w:val="auto"/>
          <w:sz w:val="32"/>
          <w:szCs w:val="32"/>
          <w:highlight w:val="none"/>
        </w:rPr>
      </w:pPr>
      <w:bookmarkStart w:id="80" w:name="_Toc3022"/>
      <w:bookmarkStart w:id="81" w:name="_Toc846"/>
      <w:bookmarkStart w:id="82" w:name="_Toc15365"/>
      <w:bookmarkStart w:id="83" w:name="_Toc8552"/>
      <w:bookmarkStart w:id="84" w:name="_Toc22600"/>
      <w:r>
        <w:rPr>
          <w:rFonts w:hint="eastAsia" w:ascii="黑体" w:hAnsi="黑体" w:eastAsia="黑体"/>
          <w:snapToGrid w:val="0"/>
          <w:color w:val="auto"/>
          <w:sz w:val="32"/>
          <w:szCs w:val="32"/>
          <w:highlight w:val="none"/>
        </w:rPr>
        <w:t>附表</w:t>
      </w:r>
      <w:bookmarkEnd w:id="80"/>
      <w:bookmarkEnd w:id="81"/>
      <w:bookmarkEnd w:id="82"/>
      <w:bookmarkEnd w:id="83"/>
      <w:bookmarkEnd w:id="84"/>
    </w:p>
    <w:p w14:paraId="1B45D5CE">
      <w:pPr>
        <w:pStyle w:val="31"/>
        <w:adjustRightInd w:val="0"/>
        <w:snapToGrid w:val="0"/>
        <w:spacing w:before="0" w:beforeAutospacing="0" w:after="0" w:afterAutospacing="0"/>
        <w:jc w:val="center"/>
        <w:outlineLvl w:val="0"/>
        <w:rPr>
          <w:rFonts w:ascii="方正小标宋_GBK" w:hAnsi="黑体" w:eastAsia="方正小标宋_GBK"/>
          <w:snapToGrid w:val="0"/>
          <w:color w:val="auto"/>
          <w:sz w:val="32"/>
          <w:szCs w:val="32"/>
          <w:highlight w:val="none"/>
        </w:rPr>
      </w:pPr>
      <w:bookmarkStart w:id="85" w:name="_Toc27685"/>
      <w:bookmarkStart w:id="86" w:name="_Toc297"/>
      <w:bookmarkStart w:id="87" w:name="_Toc29555"/>
      <w:bookmarkStart w:id="88" w:name="_Toc3813"/>
      <w:bookmarkStart w:id="89" w:name="_Toc2648"/>
      <w:r>
        <w:rPr>
          <w:rFonts w:hint="eastAsia" w:ascii="方正小标宋_GBK" w:hAnsi="黑体" w:eastAsia="方正小标宋_GBK"/>
          <w:snapToGrid w:val="0"/>
          <w:color w:val="auto"/>
          <w:sz w:val="32"/>
          <w:szCs w:val="32"/>
          <w:highlight w:val="none"/>
        </w:rPr>
        <w:t>建设项目</w:t>
      </w:r>
      <w:r>
        <w:rPr>
          <w:rFonts w:hint="eastAsia" w:ascii="方正小标宋_GBK" w:hAnsi="黑体" w:eastAsia="方正小标宋_GBK"/>
          <w:b w:val="0"/>
          <w:bCs w:val="0"/>
          <w:snapToGrid w:val="0"/>
          <w:color w:val="auto"/>
          <w:sz w:val="32"/>
          <w:szCs w:val="32"/>
          <w:highlight w:val="none"/>
        </w:rPr>
        <w:t>污染物排放量汇总</w:t>
      </w:r>
      <w:r>
        <w:rPr>
          <w:rFonts w:hint="eastAsia" w:ascii="方正小标宋_GBK" w:hAnsi="黑体" w:eastAsia="方正小标宋_GBK"/>
          <w:snapToGrid w:val="0"/>
          <w:color w:val="auto"/>
          <w:sz w:val="32"/>
          <w:szCs w:val="32"/>
          <w:highlight w:val="none"/>
        </w:rPr>
        <w:t>表</w:t>
      </w:r>
      <w:bookmarkEnd w:id="85"/>
      <w:bookmarkEnd w:id="86"/>
      <w:bookmarkEnd w:id="87"/>
      <w:bookmarkEnd w:id="88"/>
      <w:bookmarkEnd w:id="89"/>
    </w:p>
    <w:tbl>
      <w:tblPr>
        <w:tblStyle w:val="3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12"/>
        <w:gridCol w:w="2850"/>
        <w:gridCol w:w="1554"/>
        <w:gridCol w:w="1255"/>
        <w:gridCol w:w="1486"/>
        <w:gridCol w:w="1514"/>
        <w:gridCol w:w="1418"/>
        <w:gridCol w:w="1562"/>
        <w:gridCol w:w="1337"/>
      </w:tblGrid>
      <w:tr w14:paraId="464BAB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12" w:type="dxa"/>
            <w:tcBorders>
              <w:tl2br w:val="single" w:color="auto" w:sz="4" w:space="0"/>
            </w:tcBorders>
            <w:tcMar>
              <w:left w:w="28" w:type="dxa"/>
              <w:right w:w="28" w:type="dxa"/>
            </w:tcMar>
            <w:vAlign w:val="center"/>
          </w:tcPr>
          <w:p w14:paraId="6989F25D">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项目</w:t>
            </w:r>
          </w:p>
          <w:p w14:paraId="2540665A">
            <w:pPr>
              <w:pStyle w:val="49"/>
              <w:keepNext w:val="0"/>
              <w:keepLines w:val="0"/>
              <w:pageBreakBefore w:val="0"/>
              <w:kinsoku/>
              <w:wordWrap/>
              <w:overflowPunct/>
              <w:topLinePunct w:val="0"/>
              <w:autoSpaceDE/>
              <w:autoSpaceDN/>
              <w:bidi w:val="0"/>
              <w:spacing w:beforeLines="0" w:afterLines="0" w:line="240" w:lineRule="auto"/>
              <w:ind w:left="0"/>
              <w:jc w:val="both"/>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分类</w:t>
            </w:r>
          </w:p>
        </w:tc>
        <w:tc>
          <w:tcPr>
            <w:tcW w:w="2850" w:type="dxa"/>
            <w:tcMar>
              <w:left w:w="28" w:type="dxa"/>
              <w:right w:w="28" w:type="dxa"/>
            </w:tcMar>
            <w:vAlign w:val="center"/>
          </w:tcPr>
          <w:p w14:paraId="0F30CA69">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污染物名称</w:t>
            </w:r>
          </w:p>
        </w:tc>
        <w:tc>
          <w:tcPr>
            <w:tcW w:w="1554" w:type="dxa"/>
            <w:tcMar>
              <w:left w:w="28" w:type="dxa"/>
              <w:right w:w="28" w:type="dxa"/>
            </w:tcMar>
            <w:vAlign w:val="center"/>
          </w:tcPr>
          <w:p w14:paraId="34623CFF">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现有工程</w:t>
            </w:r>
          </w:p>
          <w:p w14:paraId="5E3EA7CF">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排放量（固体废物产生量）</w:t>
            </w:r>
            <w:r>
              <w:rPr>
                <w:rFonts w:ascii="Times New Roman" w:hAnsi="Times New Roman" w:eastAsia="宋体"/>
                <w:snapToGrid w:val="0"/>
                <w:color w:val="auto"/>
                <w:spacing w:val="-6"/>
                <w:kern w:val="21"/>
                <w:sz w:val="21"/>
                <w:szCs w:val="21"/>
                <w:highlight w:val="none"/>
              </w:rPr>
              <w:fldChar w:fldCharType="begin"/>
            </w:r>
            <w:r>
              <w:rPr>
                <w:rFonts w:ascii="Times New Roman" w:hAnsi="Times New Roman" w:eastAsia="宋体"/>
                <w:snapToGrid w:val="0"/>
                <w:color w:val="auto"/>
                <w:spacing w:val="-6"/>
                <w:kern w:val="21"/>
                <w:sz w:val="21"/>
                <w:szCs w:val="21"/>
                <w:highlight w:val="none"/>
              </w:rPr>
              <w:instrText xml:space="preserve">=1\*GB3\*MERGEFORMAT</w:instrText>
            </w:r>
            <w:r>
              <w:rPr>
                <w:rFonts w:ascii="Times New Roman" w:hAnsi="Times New Roman" w:eastAsia="宋体"/>
                <w:snapToGrid w:val="0"/>
                <w:color w:val="auto"/>
                <w:spacing w:val="-6"/>
                <w:kern w:val="21"/>
                <w:sz w:val="21"/>
                <w:szCs w:val="21"/>
                <w:highlight w:val="none"/>
              </w:rPr>
              <w:fldChar w:fldCharType="separate"/>
            </w:r>
            <w:r>
              <w:rPr>
                <w:rFonts w:ascii="Times New Roman" w:hAnsi="Times New Roman" w:eastAsia="宋体"/>
                <w:color w:val="auto"/>
                <w:kern w:val="2"/>
                <w:sz w:val="21"/>
                <w:szCs w:val="21"/>
                <w:highlight w:val="none"/>
              </w:rPr>
              <w:t>①</w:t>
            </w:r>
            <w:r>
              <w:rPr>
                <w:rFonts w:ascii="Times New Roman" w:hAnsi="Times New Roman" w:eastAsia="宋体"/>
                <w:snapToGrid w:val="0"/>
                <w:color w:val="auto"/>
                <w:spacing w:val="-6"/>
                <w:kern w:val="21"/>
                <w:sz w:val="21"/>
                <w:szCs w:val="21"/>
                <w:highlight w:val="none"/>
              </w:rPr>
              <w:fldChar w:fldCharType="end"/>
            </w:r>
          </w:p>
        </w:tc>
        <w:tc>
          <w:tcPr>
            <w:tcW w:w="1255" w:type="dxa"/>
            <w:tcMar>
              <w:left w:w="28" w:type="dxa"/>
              <w:right w:w="28" w:type="dxa"/>
            </w:tcMar>
            <w:vAlign w:val="center"/>
          </w:tcPr>
          <w:p w14:paraId="3754196E">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现有工程</w:t>
            </w:r>
          </w:p>
          <w:p w14:paraId="15FAE306">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许可排放量</w:t>
            </w:r>
          </w:p>
          <w:p w14:paraId="7149ECB7">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fldChar w:fldCharType="begin"/>
            </w:r>
            <w:r>
              <w:rPr>
                <w:rFonts w:ascii="Times New Roman" w:hAnsi="Times New Roman" w:eastAsia="宋体"/>
                <w:snapToGrid w:val="0"/>
                <w:color w:val="auto"/>
                <w:spacing w:val="-6"/>
                <w:kern w:val="21"/>
                <w:sz w:val="21"/>
                <w:szCs w:val="21"/>
                <w:highlight w:val="none"/>
              </w:rPr>
              <w:instrText xml:space="preserve">=2\*GB3\*MERGEFORMAT</w:instrText>
            </w:r>
            <w:r>
              <w:rPr>
                <w:rFonts w:ascii="Times New Roman" w:hAnsi="Times New Roman" w:eastAsia="宋体"/>
                <w:snapToGrid w:val="0"/>
                <w:color w:val="auto"/>
                <w:spacing w:val="-6"/>
                <w:kern w:val="21"/>
                <w:sz w:val="21"/>
                <w:szCs w:val="21"/>
                <w:highlight w:val="none"/>
              </w:rPr>
              <w:fldChar w:fldCharType="separate"/>
            </w:r>
            <w:r>
              <w:rPr>
                <w:rFonts w:ascii="Times New Roman" w:hAnsi="Times New Roman" w:eastAsia="宋体"/>
                <w:snapToGrid w:val="0"/>
                <w:color w:val="auto"/>
                <w:spacing w:val="-6"/>
                <w:kern w:val="21"/>
                <w:sz w:val="21"/>
                <w:szCs w:val="21"/>
                <w:highlight w:val="none"/>
              </w:rPr>
              <w:t>②</w:t>
            </w:r>
            <w:r>
              <w:rPr>
                <w:rFonts w:ascii="Times New Roman" w:hAnsi="Times New Roman" w:eastAsia="宋体"/>
                <w:snapToGrid w:val="0"/>
                <w:color w:val="auto"/>
                <w:spacing w:val="-6"/>
                <w:kern w:val="21"/>
                <w:sz w:val="21"/>
                <w:szCs w:val="21"/>
                <w:highlight w:val="none"/>
              </w:rPr>
              <w:fldChar w:fldCharType="end"/>
            </w:r>
          </w:p>
        </w:tc>
        <w:tc>
          <w:tcPr>
            <w:tcW w:w="1486" w:type="dxa"/>
            <w:tcMar>
              <w:left w:w="28" w:type="dxa"/>
              <w:right w:w="28" w:type="dxa"/>
            </w:tcMar>
            <w:vAlign w:val="center"/>
          </w:tcPr>
          <w:p w14:paraId="1A83E5D4">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在建工程</w:t>
            </w:r>
          </w:p>
          <w:p w14:paraId="42E6218B">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排放量（固体废物产生量）</w:t>
            </w:r>
            <w:r>
              <w:rPr>
                <w:rFonts w:ascii="Times New Roman" w:hAnsi="Times New Roman" w:eastAsia="宋体"/>
                <w:snapToGrid w:val="0"/>
                <w:color w:val="auto"/>
                <w:spacing w:val="-6"/>
                <w:kern w:val="21"/>
                <w:sz w:val="21"/>
                <w:szCs w:val="21"/>
                <w:highlight w:val="none"/>
              </w:rPr>
              <w:fldChar w:fldCharType="begin"/>
            </w:r>
            <w:r>
              <w:rPr>
                <w:rFonts w:ascii="Times New Roman" w:hAnsi="Times New Roman" w:eastAsia="宋体"/>
                <w:snapToGrid w:val="0"/>
                <w:color w:val="auto"/>
                <w:spacing w:val="-6"/>
                <w:kern w:val="21"/>
                <w:sz w:val="21"/>
                <w:szCs w:val="21"/>
                <w:highlight w:val="none"/>
              </w:rPr>
              <w:instrText xml:space="preserve">=3\*GB3\*MERGEFORMAT</w:instrText>
            </w:r>
            <w:r>
              <w:rPr>
                <w:rFonts w:ascii="Times New Roman" w:hAnsi="Times New Roman" w:eastAsia="宋体"/>
                <w:snapToGrid w:val="0"/>
                <w:color w:val="auto"/>
                <w:spacing w:val="-6"/>
                <w:kern w:val="21"/>
                <w:sz w:val="21"/>
                <w:szCs w:val="21"/>
                <w:highlight w:val="none"/>
              </w:rPr>
              <w:fldChar w:fldCharType="separate"/>
            </w:r>
            <w:r>
              <w:rPr>
                <w:rFonts w:ascii="Times New Roman" w:hAnsi="Times New Roman" w:eastAsia="宋体"/>
                <w:color w:val="auto"/>
                <w:kern w:val="2"/>
                <w:sz w:val="21"/>
                <w:szCs w:val="21"/>
                <w:highlight w:val="none"/>
              </w:rPr>
              <w:t>③</w:t>
            </w:r>
            <w:r>
              <w:rPr>
                <w:rFonts w:ascii="Times New Roman" w:hAnsi="Times New Roman" w:eastAsia="宋体"/>
                <w:snapToGrid w:val="0"/>
                <w:color w:val="auto"/>
                <w:spacing w:val="-6"/>
                <w:kern w:val="21"/>
                <w:sz w:val="21"/>
                <w:szCs w:val="21"/>
                <w:highlight w:val="none"/>
              </w:rPr>
              <w:fldChar w:fldCharType="end"/>
            </w:r>
          </w:p>
        </w:tc>
        <w:tc>
          <w:tcPr>
            <w:tcW w:w="1514" w:type="dxa"/>
            <w:tcMar>
              <w:left w:w="28" w:type="dxa"/>
              <w:right w:w="28" w:type="dxa"/>
            </w:tcMar>
            <w:vAlign w:val="center"/>
          </w:tcPr>
          <w:p w14:paraId="14BBC8F1">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本项目</w:t>
            </w:r>
          </w:p>
          <w:p w14:paraId="46CC56C6">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排放量（固体废物产生量）</w:t>
            </w:r>
            <w:r>
              <w:rPr>
                <w:rFonts w:ascii="Times New Roman" w:hAnsi="Times New Roman" w:eastAsia="宋体"/>
                <w:snapToGrid w:val="0"/>
                <w:color w:val="auto"/>
                <w:spacing w:val="-6"/>
                <w:kern w:val="21"/>
                <w:sz w:val="21"/>
                <w:szCs w:val="21"/>
                <w:highlight w:val="none"/>
              </w:rPr>
              <w:fldChar w:fldCharType="begin"/>
            </w:r>
            <w:r>
              <w:rPr>
                <w:rFonts w:ascii="Times New Roman" w:hAnsi="Times New Roman" w:eastAsia="宋体"/>
                <w:snapToGrid w:val="0"/>
                <w:color w:val="auto"/>
                <w:spacing w:val="-6"/>
                <w:kern w:val="21"/>
                <w:sz w:val="21"/>
                <w:szCs w:val="21"/>
                <w:highlight w:val="none"/>
              </w:rPr>
              <w:instrText xml:space="preserve">=4\*GB3\*MERGEFORMAT</w:instrText>
            </w:r>
            <w:r>
              <w:rPr>
                <w:rFonts w:ascii="Times New Roman" w:hAnsi="Times New Roman" w:eastAsia="宋体"/>
                <w:snapToGrid w:val="0"/>
                <w:color w:val="auto"/>
                <w:spacing w:val="-6"/>
                <w:kern w:val="21"/>
                <w:sz w:val="21"/>
                <w:szCs w:val="21"/>
                <w:highlight w:val="none"/>
              </w:rPr>
              <w:fldChar w:fldCharType="separate"/>
            </w:r>
            <w:r>
              <w:rPr>
                <w:rFonts w:ascii="Times New Roman" w:hAnsi="Times New Roman" w:eastAsia="宋体"/>
                <w:color w:val="auto"/>
                <w:kern w:val="2"/>
                <w:sz w:val="21"/>
                <w:szCs w:val="21"/>
                <w:highlight w:val="none"/>
              </w:rPr>
              <w:t>④</w:t>
            </w:r>
            <w:r>
              <w:rPr>
                <w:rFonts w:ascii="Times New Roman" w:hAnsi="Times New Roman" w:eastAsia="宋体"/>
                <w:snapToGrid w:val="0"/>
                <w:color w:val="auto"/>
                <w:spacing w:val="-6"/>
                <w:kern w:val="21"/>
                <w:sz w:val="21"/>
                <w:szCs w:val="21"/>
                <w:highlight w:val="none"/>
              </w:rPr>
              <w:fldChar w:fldCharType="end"/>
            </w:r>
          </w:p>
        </w:tc>
        <w:tc>
          <w:tcPr>
            <w:tcW w:w="1418" w:type="dxa"/>
            <w:tcMar>
              <w:left w:w="28" w:type="dxa"/>
              <w:right w:w="28" w:type="dxa"/>
            </w:tcMar>
            <w:vAlign w:val="center"/>
          </w:tcPr>
          <w:p w14:paraId="382F8C2A">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16"/>
                <w:kern w:val="21"/>
                <w:sz w:val="21"/>
                <w:szCs w:val="21"/>
                <w:highlight w:val="none"/>
              </w:rPr>
            </w:pPr>
            <w:r>
              <w:rPr>
                <w:rFonts w:ascii="Times New Roman" w:hAnsi="Times New Roman" w:eastAsia="宋体"/>
                <w:snapToGrid w:val="0"/>
                <w:color w:val="auto"/>
                <w:spacing w:val="-16"/>
                <w:kern w:val="21"/>
                <w:sz w:val="21"/>
                <w:szCs w:val="21"/>
                <w:highlight w:val="none"/>
              </w:rPr>
              <w:t>以新带老削减量</w:t>
            </w:r>
          </w:p>
          <w:p w14:paraId="38350B2C">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16"/>
                <w:kern w:val="21"/>
                <w:sz w:val="21"/>
                <w:szCs w:val="21"/>
                <w:highlight w:val="none"/>
              </w:rPr>
            </w:pPr>
            <w:r>
              <w:rPr>
                <w:rFonts w:ascii="Times New Roman" w:hAnsi="Times New Roman" w:eastAsia="宋体"/>
                <w:snapToGrid w:val="0"/>
                <w:color w:val="auto"/>
                <w:spacing w:val="-16"/>
                <w:kern w:val="21"/>
                <w:sz w:val="21"/>
                <w:szCs w:val="21"/>
                <w:highlight w:val="none"/>
              </w:rPr>
              <w:t>（新建项目不填）</w:t>
            </w:r>
            <w:r>
              <w:rPr>
                <w:rFonts w:ascii="Times New Roman" w:hAnsi="Times New Roman" w:eastAsia="宋体"/>
                <w:snapToGrid w:val="0"/>
                <w:color w:val="auto"/>
                <w:spacing w:val="-16"/>
                <w:kern w:val="21"/>
                <w:sz w:val="21"/>
                <w:szCs w:val="21"/>
                <w:highlight w:val="none"/>
              </w:rPr>
              <w:fldChar w:fldCharType="begin"/>
            </w:r>
            <w:r>
              <w:rPr>
                <w:rFonts w:ascii="Times New Roman" w:hAnsi="Times New Roman" w:eastAsia="宋体"/>
                <w:snapToGrid w:val="0"/>
                <w:color w:val="auto"/>
                <w:spacing w:val="-16"/>
                <w:kern w:val="21"/>
                <w:sz w:val="21"/>
                <w:szCs w:val="21"/>
                <w:highlight w:val="none"/>
              </w:rPr>
              <w:instrText xml:space="preserve">=5\*GB3\*MERGEFORMAT</w:instrText>
            </w:r>
            <w:r>
              <w:rPr>
                <w:rFonts w:ascii="Times New Roman" w:hAnsi="Times New Roman" w:eastAsia="宋体"/>
                <w:snapToGrid w:val="0"/>
                <w:color w:val="auto"/>
                <w:spacing w:val="-16"/>
                <w:kern w:val="21"/>
                <w:sz w:val="21"/>
                <w:szCs w:val="21"/>
                <w:highlight w:val="none"/>
              </w:rPr>
              <w:fldChar w:fldCharType="separate"/>
            </w:r>
            <w:r>
              <w:rPr>
                <w:rFonts w:ascii="Times New Roman" w:hAnsi="Times New Roman" w:eastAsia="宋体"/>
                <w:color w:val="auto"/>
                <w:kern w:val="2"/>
                <w:sz w:val="21"/>
                <w:szCs w:val="21"/>
                <w:highlight w:val="none"/>
              </w:rPr>
              <w:t>⑤</w:t>
            </w:r>
            <w:r>
              <w:rPr>
                <w:rFonts w:ascii="Times New Roman" w:hAnsi="Times New Roman" w:eastAsia="宋体"/>
                <w:snapToGrid w:val="0"/>
                <w:color w:val="auto"/>
                <w:spacing w:val="-16"/>
                <w:kern w:val="21"/>
                <w:sz w:val="21"/>
                <w:szCs w:val="21"/>
                <w:highlight w:val="none"/>
              </w:rPr>
              <w:fldChar w:fldCharType="end"/>
            </w:r>
          </w:p>
        </w:tc>
        <w:tc>
          <w:tcPr>
            <w:tcW w:w="1562" w:type="dxa"/>
            <w:tcMar>
              <w:left w:w="28" w:type="dxa"/>
              <w:right w:w="28" w:type="dxa"/>
            </w:tcMar>
            <w:vAlign w:val="center"/>
          </w:tcPr>
          <w:p w14:paraId="72ED44C0">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16"/>
                <w:kern w:val="21"/>
                <w:sz w:val="21"/>
                <w:szCs w:val="21"/>
                <w:highlight w:val="none"/>
              </w:rPr>
            </w:pPr>
            <w:r>
              <w:rPr>
                <w:rFonts w:ascii="Times New Roman" w:hAnsi="Times New Roman" w:eastAsia="宋体"/>
                <w:snapToGrid w:val="0"/>
                <w:color w:val="auto"/>
                <w:spacing w:val="-16"/>
                <w:kern w:val="21"/>
                <w:sz w:val="21"/>
                <w:szCs w:val="21"/>
                <w:highlight w:val="none"/>
              </w:rPr>
              <w:t>本项目建成后</w:t>
            </w:r>
          </w:p>
          <w:p w14:paraId="151E8FDC">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16"/>
                <w:kern w:val="21"/>
                <w:sz w:val="21"/>
                <w:szCs w:val="21"/>
                <w:highlight w:val="none"/>
              </w:rPr>
            </w:pPr>
            <w:r>
              <w:rPr>
                <w:rFonts w:ascii="Times New Roman" w:hAnsi="Times New Roman" w:eastAsia="宋体"/>
                <w:snapToGrid w:val="0"/>
                <w:color w:val="auto"/>
                <w:spacing w:val="-16"/>
                <w:kern w:val="21"/>
                <w:sz w:val="21"/>
                <w:szCs w:val="21"/>
                <w:highlight w:val="none"/>
              </w:rPr>
              <w:t>全厂排放量（固体废物产生量）</w:t>
            </w:r>
            <w:r>
              <w:rPr>
                <w:rFonts w:ascii="Times New Roman" w:hAnsi="Times New Roman" w:eastAsia="宋体"/>
                <w:snapToGrid w:val="0"/>
                <w:color w:val="auto"/>
                <w:spacing w:val="-16"/>
                <w:kern w:val="21"/>
                <w:sz w:val="21"/>
                <w:szCs w:val="21"/>
                <w:highlight w:val="none"/>
              </w:rPr>
              <w:fldChar w:fldCharType="begin"/>
            </w:r>
            <w:r>
              <w:rPr>
                <w:rFonts w:ascii="Times New Roman" w:hAnsi="Times New Roman" w:eastAsia="宋体"/>
                <w:snapToGrid w:val="0"/>
                <w:color w:val="auto"/>
                <w:spacing w:val="-16"/>
                <w:kern w:val="21"/>
                <w:sz w:val="21"/>
                <w:szCs w:val="21"/>
                <w:highlight w:val="none"/>
              </w:rPr>
              <w:instrText xml:space="preserve">=6\*GB3\*MERGEFORMAT</w:instrText>
            </w:r>
            <w:r>
              <w:rPr>
                <w:rFonts w:ascii="Times New Roman" w:hAnsi="Times New Roman" w:eastAsia="宋体"/>
                <w:snapToGrid w:val="0"/>
                <w:color w:val="auto"/>
                <w:spacing w:val="-16"/>
                <w:kern w:val="21"/>
                <w:sz w:val="21"/>
                <w:szCs w:val="21"/>
                <w:highlight w:val="none"/>
              </w:rPr>
              <w:fldChar w:fldCharType="separate"/>
            </w:r>
            <w:r>
              <w:rPr>
                <w:rFonts w:ascii="Times New Roman" w:hAnsi="Times New Roman" w:eastAsia="宋体"/>
                <w:color w:val="auto"/>
                <w:kern w:val="2"/>
                <w:sz w:val="21"/>
                <w:szCs w:val="21"/>
                <w:highlight w:val="none"/>
              </w:rPr>
              <w:t>⑥</w:t>
            </w:r>
            <w:r>
              <w:rPr>
                <w:rFonts w:ascii="Times New Roman" w:hAnsi="Times New Roman" w:eastAsia="宋体"/>
                <w:snapToGrid w:val="0"/>
                <w:color w:val="auto"/>
                <w:spacing w:val="-16"/>
                <w:kern w:val="21"/>
                <w:sz w:val="21"/>
                <w:szCs w:val="21"/>
                <w:highlight w:val="none"/>
              </w:rPr>
              <w:fldChar w:fldCharType="end"/>
            </w:r>
          </w:p>
        </w:tc>
        <w:tc>
          <w:tcPr>
            <w:tcW w:w="1337" w:type="dxa"/>
            <w:tcMar>
              <w:left w:w="28" w:type="dxa"/>
              <w:right w:w="28" w:type="dxa"/>
            </w:tcMar>
            <w:vAlign w:val="center"/>
          </w:tcPr>
          <w:p w14:paraId="473EE1F6">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t>变化量</w:t>
            </w:r>
          </w:p>
          <w:p w14:paraId="4A4573AD">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spacing w:val="-6"/>
                <w:kern w:val="21"/>
                <w:sz w:val="21"/>
                <w:szCs w:val="21"/>
                <w:highlight w:val="none"/>
              </w:rPr>
            </w:pPr>
            <w:r>
              <w:rPr>
                <w:rFonts w:ascii="Times New Roman" w:hAnsi="Times New Roman" w:eastAsia="宋体"/>
                <w:snapToGrid w:val="0"/>
                <w:color w:val="auto"/>
                <w:spacing w:val="-6"/>
                <w:kern w:val="21"/>
                <w:sz w:val="21"/>
                <w:szCs w:val="21"/>
                <w:highlight w:val="none"/>
              </w:rPr>
              <w:fldChar w:fldCharType="begin"/>
            </w:r>
            <w:r>
              <w:rPr>
                <w:rFonts w:ascii="Times New Roman" w:hAnsi="Times New Roman" w:eastAsia="宋体"/>
                <w:snapToGrid w:val="0"/>
                <w:color w:val="auto"/>
                <w:spacing w:val="-6"/>
                <w:kern w:val="21"/>
                <w:sz w:val="21"/>
                <w:szCs w:val="21"/>
                <w:highlight w:val="none"/>
              </w:rPr>
              <w:instrText xml:space="preserve">=7\*GB3\*MERGEFORMAT</w:instrText>
            </w:r>
            <w:r>
              <w:rPr>
                <w:rFonts w:ascii="Times New Roman" w:hAnsi="Times New Roman" w:eastAsia="宋体"/>
                <w:snapToGrid w:val="0"/>
                <w:color w:val="auto"/>
                <w:spacing w:val="-6"/>
                <w:kern w:val="21"/>
                <w:sz w:val="21"/>
                <w:szCs w:val="21"/>
                <w:highlight w:val="none"/>
              </w:rPr>
              <w:fldChar w:fldCharType="separate"/>
            </w:r>
            <w:r>
              <w:rPr>
                <w:rFonts w:ascii="Times New Roman" w:hAnsi="Times New Roman" w:eastAsia="宋体"/>
                <w:color w:val="auto"/>
                <w:kern w:val="2"/>
                <w:sz w:val="21"/>
                <w:szCs w:val="21"/>
                <w:highlight w:val="none"/>
              </w:rPr>
              <w:t>⑦</w:t>
            </w:r>
            <w:r>
              <w:rPr>
                <w:rFonts w:ascii="Times New Roman" w:hAnsi="Times New Roman" w:eastAsia="宋体"/>
                <w:snapToGrid w:val="0"/>
                <w:color w:val="auto"/>
                <w:spacing w:val="-6"/>
                <w:kern w:val="21"/>
                <w:sz w:val="21"/>
                <w:szCs w:val="21"/>
                <w:highlight w:val="none"/>
              </w:rPr>
              <w:fldChar w:fldCharType="end"/>
            </w:r>
          </w:p>
        </w:tc>
      </w:tr>
      <w:tr w14:paraId="08C980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 w:hRule="exact"/>
        </w:trPr>
        <w:tc>
          <w:tcPr>
            <w:tcW w:w="812" w:type="dxa"/>
            <w:vMerge w:val="restart"/>
            <w:shd w:val="clear" w:color="auto" w:fill="auto"/>
            <w:vAlign w:val="center"/>
          </w:tcPr>
          <w:p w14:paraId="030C0C8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r>
              <w:rPr>
                <w:rFonts w:ascii="Times New Roman" w:hAnsi="Times New Roman" w:eastAsia="宋体" w:cs="宋体"/>
                <w:color w:val="auto"/>
                <w:spacing w:val="7"/>
                <w:sz w:val="21"/>
              </w:rPr>
              <w:t>废气</w:t>
            </w:r>
          </w:p>
        </w:tc>
        <w:tc>
          <w:tcPr>
            <w:tcW w:w="2850" w:type="dxa"/>
            <w:shd w:val="clear" w:color="auto" w:fill="auto"/>
            <w:vAlign w:val="center"/>
          </w:tcPr>
          <w:p w14:paraId="427A6F3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VOCs</w:t>
            </w:r>
          </w:p>
        </w:tc>
        <w:tc>
          <w:tcPr>
            <w:tcW w:w="1554" w:type="dxa"/>
            <w:vAlign w:val="center"/>
          </w:tcPr>
          <w:p w14:paraId="2360E784">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snapToGrid w:val="0"/>
                <w:color w:val="auto"/>
                <w:kern w:val="21"/>
                <w:sz w:val="21"/>
                <w:szCs w:val="21"/>
                <w:highlight w:val="none"/>
              </w:rPr>
            </w:pPr>
            <w:r>
              <w:rPr>
                <w:rFonts w:hint="eastAsia" w:ascii="Times New Roman" w:hAnsi="Times New Roman" w:eastAsia="宋体"/>
                <w:color w:val="auto"/>
                <w:kern w:val="0"/>
                <w:sz w:val="21"/>
                <w:szCs w:val="21"/>
                <w:highlight w:val="none"/>
                <w:lang w:val="en-US" w:eastAsia="zh-CN" w:bidi="ar"/>
              </w:rPr>
              <w:t>/</w:t>
            </w:r>
          </w:p>
        </w:tc>
        <w:tc>
          <w:tcPr>
            <w:tcW w:w="1255" w:type="dxa"/>
            <w:vAlign w:val="center"/>
          </w:tcPr>
          <w:p w14:paraId="22CDB41E">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snapToGrid w:val="0"/>
                <w:color w:val="auto"/>
                <w:kern w:val="21"/>
                <w:sz w:val="21"/>
                <w:szCs w:val="21"/>
                <w:highlight w:val="none"/>
                <w:lang w:val="en-US" w:eastAsia="zh-CN"/>
              </w:rPr>
            </w:pPr>
            <w:r>
              <w:rPr>
                <w:rFonts w:hint="eastAsia" w:ascii="Times New Roman" w:hAnsi="Times New Roman" w:eastAsia="宋体"/>
                <w:color w:val="auto"/>
                <w:kern w:val="0"/>
                <w:sz w:val="21"/>
                <w:szCs w:val="21"/>
                <w:highlight w:val="none"/>
                <w:lang w:val="en-US" w:eastAsia="zh-CN" w:bidi="ar"/>
              </w:rPr>
              <w:t>/</w:t>
            </w:r>
          </w:p>
        </w:tc>
        <w:tc>
          <w:tcPr>
            <w:tcW w:w="1486" w:type="dxa"/>
            <w:vAlign w:val="center"/>
          </w:tcPr>
          <w:p w14:paraId="74A9D307">
            <w:pPr>
              <w:keepNext w:val="0"/>
              <w:keepLines w:val="0"/>
              <w:pageBreakBefore w:val="0"/>
              <w:widowControl/>
              <w:kinsoku/>
              <w:wordWrap/>
              <w:overflowPunct/>
              <w:topLinePunct w:val="0"/>
              <w:autoSpaceDE/>
              <w:autoSpaceDN/>
              <w:bidi w:val="0"/>
              <w:spacing w:line="240" w:lineRule="auto"/>
              <w:ind w:left="0"/>
              <w:jc w:val="center"/>
              <w:textAlignment w:val="bottom"/>
              <w:rPr>
                <w:rFonts w:hint="eastAsia" w:ascii="Times New Roman" w:hAnsi="Times New Roman" w:eastAsia="宋体"/>
                <w:snapToGrid w:val="0"/>
                <w:color w:val="auto"/>
                <w:kern w:val="21"/>
                <w:sz w:val="21"/>
                <w:szCs w:val="21"/>
                <w:highlight w:val="none"/>
                <w:lang w:eastAsia="zh-CN"/>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63F57DF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0.1788</w:t>
            </w:r>
          </w:p>
        </w:tc>
        <w:tc>
          <w:tcPr>
            <w:tcW w:w="1418" w:type="dxa"/>
            <w:vAlign w:val="center"/>
          </w:tcPr>
          <w:p w14:paraId="0492DEAF">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snapToGrid w:val="0"/>
                <w:color w:val="auto"/>
                <w:kern w:val="21"/>
                <w:sz w:val="21"/>
                <w:szCs w:val="21"/>
                <w:highlight w:val="none"/>
              </w:rPr>
            </w:pPr>
            <w:r>
              <w:rPr>
                <w:rFonts w:hint="eastAsia" w:ascii="Times New Roman" w:hAnsi="Times New Roman" w:eastAsia="宋体"/>
                <w:color w:val="auto"/>
                <w:kern w:val="0"/>
                <w:sz w:val="21"/>
                <w:szCs w:val="21"/>
                <w:highlight w:val="none"/>
                <w:lang w:val="en-US" w:eastAsia="zh-CN" w:bidi="ar"/>
              </w:rPr>
              <w:t>/</w:t>
            </w:r>
          </w:p>
        </w:tc>
        <w:tc>
          <w:tcPr>
            <w:tcW w:w="1562" w:type="dxa"/>
            <w:shd w:val="clear" w:color="auto" w:fill="auto"/>
            <w:vAlign w:val="center"/>
          </w:tcPr>
          <w:p w14:paraId="3FD46A2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cs="宋体"/>
                <w:color w:val="auto"/>
                <w:spacing w:val="7"/>
                <w:sz w:val="21"/>
                <w:lang w:val="en-US" w:eastAsia="zh-CN"/>
              </w:rPr>
              <w:t>0.1788</w:t>
            </w:r>
          </w:p>
        </w:tc>
        <w:tc>
          <w:tcPr>
            <w:tcW w:w="1337" w:type="dxa"/>
            <w:shd w:val="clear" w:color="auto" w:fill="auto"/>
            <w:vAlign w:val="center"/>
          </w:tcPr>
          <w:p w14:paraId="4B5A7992">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w:t>
            </w:r>
            <w:r>
              <w:rPr>
                <w:rFonts w:hint="eastAsia" w:ascii="Times New Roman" w:hAnsi="Times New Roman" w:cs="宋体"/>
                <w:color w:val="auto"/>
                <w:spacing w:val="7"/>
                <w:sz w:val="21"/>
                <w:lang w:val="en-US" w:eastAsia="zh-CN"/>
              </w:rPr>
              <w:t>1788</w:t>
            </w:r>
          </w:p>
        </w:tc>
      </w:tr>
      <w:tr w14:paraId="2A0949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3" w:hRule="exact"/>
        </w:trPr>
        <w:tc>
          <w:tcPr>
            <w:tcW w:w="812" w:type="dxa"/>
            <w:vMerge w:val="continue"/>
            <w:vAlign w:val="center"/>
          </w:tcPr>
          <w:p w14:paraId="784096C2">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6656359C">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颗粒物</w:t>
            </w:r>
          </w:p>
        </w:tc>
        <w:tc>
          <w:tcPr>
            <w:tcW w:w="1554" w:type="dxa"/>
            <w:vAlign w:val="center"/>
          </w:tcPr>
          <w:p w14:paraId="6CD9573A">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snapToGrid w:val="0"/>
                <w:color w:val="auto"/>
                <w:kern w:val="21"/>
                <w:sz w:val="21"/>
                <w:szCs w:val="21"/>
                <w:highlight w:val="none"/>
              </w:rPr>
            </w:pPr>
            <w:r>
              <w:rPr>
                <w:rFonts w:ascii="Times New Roman" w:hAnsi="Times New Roman" w:eastAsia="宋体"/>
                <w:color w:val="auto"/>
                <w:kern w:val="0"/>
                <w:sz w:val="21"/>
                <w:szCs w:val="21"/>
                <w:highlight w:val="none"/>
                <w:lang w:bidi="ar"/>
              </w:rPr>
              <w:t>/</w:t>
            </w:r>
          </w:p>
        </w:tc>
        <w:tc>
          <w:tcPr>
            <w:tcW w:w="1255" w:type="dxa"/>
            <w:vAlign w:val="center"/>
          </w:tcPr>
          <w:p w14:paraId="0DC9CA61">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snapToGrid w:val="0"/>
                <w:color w:val="auto"/>
                <w:kern w:val="21"/>
                <w:sz w:val="21"/>
                <w:szCs w:val="21"/>
                <w:highlight w:val="none"/>
              </w:rPr>
            </w:pPr>
            <w:r>
              <w:rPr>
                <w:rFonts w:ascii="Times New Roman" w:hAnsi="Times New Roman" w:eastAsia="宋体"/>
                <w:color w:val="auto"/>
                <w:kern w:val="0"/>
                <w:sz w:val="21"/>
                <w:szCs w:val="21"/>
                <w:highlight w:val="none"/>
                <w:lang w:bidi="ar"/>
              </w:rPr>
              <w:t>/</w:t>
            </w:r>
          </w:p>
        </w:tc>
        <w:tc>
          <w:tcPr>
            <w:tcW w:w="1486" w:type="dxa"/>
            <w:vAlign w:val="center"/>
          </w:tcPr>
          <w:p w14:paraId="2C3D32AE">
            <w:pPr>
              <w:keepNext w:val="0"/>
              <w:keepLines w:val="0"/>
              <w:pageBreakBefore w:val="0"/>
              <w:widowControl/>
              <w:kinsoku/>
              <w:wordWrap/>
              <w:overflowPunct/>
              <w:topLinePunct w:val="0"/>
              <w:autoSpaceDE/>
              <w:autoSpaceDN/>
              <w:bidi w:val="0"/>
              <w:spacing w:line="240" w:lineRule="auto"/>
              <w:ind w:left="0"/>
              <w:jc w:val="center"/>
              <w:textAlignment w:val="bottom"/>
              <w:rPr>
                <w:rFonts w:hint="eastAsia" w:ascii="Times New Roman" w:hAnsi="Times New Roman" w:eastAsia="宋体"/>
                <w:snapToGrid w:val="0"/>
                <w:color w:val="auto"/>
                <w:kern w:val="21"/>
                <w:sz w:val="21"/>
                <w:szCs w:val="21"/>
                <w:highlight w:val="none"/>
                <w:lang w:eastAsia="zh-CN"/>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239C435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0.062</w:t>
            </w:r>
            <w:r>
              <w:rPr>
                <w:rFonts w:hint="eastAsia" w:ascii="Times New Roman" w:hAnsi="Times New Roman" w:cs="宋体"/>
                <w:color w:val="auto"/>
                <w:spacing w:val="7"/>
                <w:sz w:val="21"/>
                <w:lang w:val="en-US" w:eastAsia="zh-CN"/>
              </w:rPr>
              <w:t>4</w:t>
            </w:r>
          </w:p>
        </w:tc>
        <w:tc>
          <w:tcPr>
            <w:tcW w:w="1418" w:type="dxa"/>
            <w:vAlign w:val="center"/>
          </w:tcPr>
          <w:p w14:paraId="1E966248">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snapToGrid w:val="0"/>
                <w:color w:val="auto"/>
                <w:kern w:val="21"/>
                <w:sz w:val="21"/>
                <w:szCs w:val="21"/>
                <w:highlight w:val="none"/>
              </w:rPr>
            </w:pPr>
            <w:r>
              <w:rPr>
                <w:rFonts w:ascii="Times New Roman" w:hAnsi="Times New Roman" w:eastAsia="宋体"/>
                <w:color w:val="auto"/>
                <w:kern w:val="0"/>
                <w:sz w:val="21"/>
                <w:szCs w:val="21"/>
                <w:highlight w:val="none"/>
                <w:lang w:bidi="ar"/>
              </w:rPr>
              <w:t>/</w:t>
            </w:r>
          </w:p>
        </w:tc>
        <w:tc>
          <w:tcPr>
            <w:tcW w:w="1562" w:type="dxa"/>
            <w:shd w:val="clear" w:color="auto" w:fill="auto"/>
            <w:vAlign w:val="center"/>
          </w:tcPr>
          <w:p w14:paraId="1ACBBCC3">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0.062</w:t>
            </w:r>
            <w:r>
              <w:rPr>
                <w:rFonts w:hint="eastAsia" w:ascii="Times New Roman" w:hAnsi="Times New Roman" w:cs="宋体"/>
                <w:color w:val="auto"/>
                <w:spacing w:val="7"/>
                <w:sz w:val="21"/>
                <w:lang w:val="en-US" w:eastAsia="zh-CN"/>
              </w:rPr>
              <w:t>4</w:t>
            </w:r>
          </w:p>
        </w:tc>
        <w:tc>
          <w:tcPr>
            <w:tcW w:w="1337" w:type="dxa"/>
            <w:shd w:val="clear" w:color="auto" w:fill="auto"/>
            <w:vAlign w:val="center"/>
          </w:tcPr>
          <w:p w14:paraId="359E06E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0.062</w:t>
            </w:r>
            <w:r>
              <w:rPr>
                <w:rFonts w:hint="eastAsia" w:ascii="Times New Roman" w:hAnsi="Times New Roman" w:cs="宋体"/>
                <w:color w:val="auto"/>
                <w:spacing w:val="7"/>
                <w:sz w:val="21"/>
                <w:lang w:val="en-US" w:eastAsia="zh-CN"/>
              </w:rPr>
              <w:t>4</w:t>
            </w:r>
          </w:p>
        </w:tc>
      </w:tr>
      <w:tr w14:paraId="72E5BF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6779472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3904993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二氧化硫</w:t>
            </w:r>
          </w:p>
        </w:tc>
        <w:tc>
          <w:tcPr>
            <w:tcW w:w="1554" w:type="dxa"/>
            <w:shd w:val="clear" w:color="auto" w:fill="auto"/>
            <w:vAlign w:val="center"/>
          </w:tcPr>
          <w:p w14:paraId="376F2FBE">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255" w:type="dxa"/>
            <w:shd w:val="clear" w:color="auto" w:fill="auto"/>
            <w:vAlign w:val="center"/>
          </w:tcPr>
          <w:p w14:paraId="5A8A727A">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486" w:type="dxa"/>
            <w:shd w:val="clear" w:color="auto" w:fill="auto"/>
            <w:vAlign w:val="center"/>
          </w:tcPr>
          <w:p w14:paraId="6829D678">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43798B1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0.002</w:t>
            </w:r>
          </w:p>
        </w:tc>
        <w:tc>
          <w:tcPr>
            <w:tcW w:w="1418" w:type="dxa"/>
            <w:shd w:val="clear" w:color="auto" w:fill="auto"/>
            <w:vAlign w:val="center"/>
          </w:tcPr>
          <w:p w14:paraId="1E93A135">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62" w:type="dxa"/>
            <w:shd w:val="clear" w:color="auto" w:fill="auto"/>
            <w:vAlign w:val="center"/>
          </w:tcPr>
          <w:p w14:paraId="318531C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0.002</w:t>
            </w:r>
          </w:p>
        </w:tc>
        <w:tc>
          <w:tcPr>
            <w:tcW w:w="1337" w:type="dxa"/>
            <w:shd w:val="clear" w:color="auto" w:fill="auto"/>
            <w:vAlign w:val="center"/>
          </w:tcPr>
          <w:p w14:paraId="0DE0543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0.002</w:t>
            </w:r>
          </w:p>
        </w:tc>
      </w:tr>
      <w:tr w14:paraId="2EED17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69A1E5B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1E0BEFB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氮氧化物</w:t>
            </w:r>
          </w:p>
        </w:tc>
        <w:tc>
          <w:tcPr>
            <w:tcW w:w="1554" w:type="dxa"/>
            <w:shd w:val="clear" w:color="auto" w:fill="auto"/>
            <w:vAlign w:val="center"/>
          </w:tcPr>
          <w:p w14:paraId="5AD889F7">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255" w:type="dxa"/>
            <w:shd w:val="clear" w:color="auto" w:fill="auto"/>
            <w:vAlign w:val="center"/>
          </w:tcPr>
          <w:p w14:paraId="04D41E84">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486" w:type="dxa"/>
            <w:shd w:val="clear" w:color="auto" w:fill="auto"/>
            <w:vAlign w:val="center"/>
          </w:tcPr>
          <w:p w14:paraId="67FE43FD">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514" w:type="dxa"/>
            <w:shd w:val="clear" w:color="auto" w:fill="auto"/>
            <w:vAlign w:val="center"/>
          </w:tcPr>
          <w:p w14:paraId="61DCC5B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0.0</w:t>
            </w:r>
            <w:r>
              <w:rPr>
                <w:rFonts w:hint="eastAsia" w:ascii="Times New Roman" w:hAnsi="Times New Roman" w:cs="宋体"/>
                <w:color w:val="auto"/>
                <w:spacing w:val="7"/>
                <w:sz w:val="21"/>
                <w:lang w:val="en-US" w:eastAsia="zh-CN"/>
              </w:rPr>
              <w:t>143</w:t>
            </w:r>
          </w:p>
        </w:tc>
        <w:tc>
          <w:tcPr>
            <w:tcW w:w="1418" w:type="dxa"/>
            <w:shd w:val="clear" w:color="auto" w:fill="auto"/>
            <w:vAlign w:val="center"/>
          </w:tcPr>
          <w:p w14:paraId="688CEFB1">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562" w:type="dxa"/>
            <w:shd w:val="clear" w:color="auto" w:fill="auto"/>
            <w:vAlign w:val="center"/>
          </w:tcPr>
          <w:p w14:paraId="167FA51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cs="宋体"/>
                <w:color w:val="auto"/>
                <w:spacing w:val="7"/>
                <w:sz w:val="21"/>
                <w:lang w:val="en-US" w:eastAsia="zh-CN"/>
              </w:rPr>
              <w:t>0.0143</w:t>
            </w:r>
          </w:p>
        </w:tc>
        <w:tc>
          <w:tcPr>
            <w:tcW w:w="1337" w:type="dxa"/>
            <w:shd w:val="clear" w:color="auto" w:fill="auto"/>
            <w:vAlign w:val="center"/>
          </w:tcPr>
          <w:p w14:paraId="575EB40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0.0</w:t>
            </w:r>
            <w:r>
              <w:rPr>
                <w:rFonts w:hint="eastAsia" w:ascii="Times New Roman" w:hAnsi="Times New Roman" w:cs="宋体"/>
                <w:color w:val="auto"/>
                <w:spacing w:val="7"/>
                <w:sz w:val="21"/>
                <w:lang w:val="en-US" w:eastAsia="zh-CN"/>
              </w:rPr>
              <w:t>143</w:t>
            </w:r>
          </w:p>
        </w:tc>
      </w:tr>
      <w:tr w14:paraId="5FCACD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 w:hRule="exact"/>
        </w:trPr>
        <w:tc>
          <w:tcPr>
            <w:tcW w:w="812" w:type="dxa"/>
            <w:vMerge w:val="continue"/>
            <w:vAlign w:val="center"/>
          </w:tcPr>
          <w:p w14:paraId="439A0CD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6F407DF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氨</w:t>
            </w:r>
          </w:p>
        </w:tc>
        <w:tc>
          <w:tcPr>
            <w:tcW w:w="1554" w:type="dxa"/>
            <w:vAlign w:val="center"/>
          </w:tcPr>
          <w:p w14:paraId="47F77AA5">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color w:val="auto"/>
                <w:sz w:val="21"/>
                <w:szCs w:val="21"/>
                <w:highlight w:val="none"/>
              </w:rPr>
            </w:pPr>
            <w:r>
              <w:rPr>
                <w:rFonts w:ascii="Times New Roman" w:hAnsi="Times New Roman" w:eastAsia="宋体"/>
                <w:snapToGrid w:val="0"/>
                <w:color w:val="auto"/>
                <w:kern w:val="21"/>
                <w:sz w:val="21"/>
                <w:szCs w:val="21"/>
                <w:highlight w:val="none"/>
              </w:rPr>
              <w:t>/</w:t>
            </w:r>
          </w:p>
        </w:tc>
        <w:tc>
          <w:tcPr>
            <w:tcW w:w="1255" w:type="dxa"/>
            <w:vAlign w:val="center"/>
          </w:tcPr>
          <w:p w14:paraId="26BE24BD">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kern w:val="21"/>
                <w:sz w:val="21"/>
                <w:szCs w:val="21"/>
                <w:highlight w:val="none"/>
              </w:rPr>
            </w:pPr>
            <w:r>
              <w:rPr>
                <w:rFonts w:ascii="Times New Roman" w:hAnsi="Times New Roman" w:eastAsia="宋体"/>
                <w:snapToGrid w:val="0"/>
                <w:color w:val="auto"/>
                <w:kern w:val="21"/>
                <w:sz w:val="21"/>
                <w:szCs w:val="21"/>
                <w:highlight w:val="none"/>
              </w:rPr>
              <w:t>/</w:t>
            </w:r>
          </w:p>
        </w:tc>
        <w:tc>
          <w:tcPr>
            <w:tcW w:w="1486" w:type="dxa"/>
            <w:vAlign w:val="center"/>
          </w:tcPr>
          <w:p w14:paraId="4E908C76">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snapToGrid w:val="0"/>
                <w:color w:val="auto"/>
                <w:kern w:val="21"/>
                <w:sz w:val="21"/>
                <w:szCs w:val="21"/>
                <w:highlight w:val="none"/>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6DDF830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0.06</w:t>
            </w:r>
          </w:p>
        </w:tc>
        <w:tc>
          <w:tcPr>
            <w:tcW w:w="1418" w:type="dxa"/>
            <w:vAlign w:val="center"/>
          </w:tcPr>
          <w:p w14:paraId="51DB2337">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kern w:val="21"/>
                <w:sz w:val="21"/>
                <w:szCs w:val="21"/>
                <w:highlight w:val="none"/>
              </w:rPr>
            </w:pPr>
            <w:r>
              <w:rPr>
                <w:rFonts w:ascii="Times New Roman" w:hAnsi="Times New Roman" w:eastAsia="宋体"/>
                <w:snapToGrid w:val="0"/>
                <w:color w:val="auto"/>
                <w:kern w:val="21"/>
                <w:sz w:val="21"/>
                <w:szCs w:val="21"/>
                <w:highlight w:val="none"/>
              </w:rPr>
              <w:t>/</w:t>
            </w:r>
          </w:p>
        </w:tc>
        <w:tc>
          <w:tcPr>
            <w:tcW w:w="1562" w:type="dxa"/>
            <w:shd w:val="clear" w:color="auto" w:fill="auto"/>
            <w:vAlign w:val="center"/>
          </w:tcPr>
          <w:p w14:paraId="018A89E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0.06</w:t>
            </w:r>
          </w:p>
        </w:tc>
        <w:tc>
          <w:tcPr>
            <w:tcW w:w="1337" w:type="dxa"/>
            <w:shd w:val="clear" w:color="auto" w:fill="auto"/>
            <w:vAlign w:val="center"/>
          </w:tcPr>
          <w:p w14:paraId="0C8D8D6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0.06</w:t>
            </w:r>
          </w:p>
        </w:tc>
      </w:tr>
      <w:tr w14:paraId="0253C9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 w:hRule="exact"/>
        </w:trPr>
        <w:tc>
          <w:tcPr>
            <w:tcW w:w="812" w:type="dxa"/>
            <w:vMerge w:val="continue"/>
            <w:vAlign w:val="center"/>
          </w:tcPr>
          <w:p w14:paraId="165DC36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6FD194A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硫化氢</w:t>
            </w:r>
          </w:p>
        </w:tc>
        <w:tc>
          <w:tcPr>
            <w:tcW w:w="1554" w:type="dxa"/>
            <w:vAlign w:val="center"/>
          </w:tcPr>
          <w:p w14:paraId="0DB13966">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color w:val="auto"/>
                <w:sz w:val="21"/>
                <w:szCs w:val="21"/>
                <w:highlight w:val="none"/>
              </w:rPr>
            </w:pPr>
            <w:r>
              <w:rPr>
                <w:rFonts w:ascii="Times New Roman" w:hAnsi="Times New Roman" w:eastAsia="宋体"/>
                <w:snapToGrid w:val="0"/>
                <w:color w:val="auto"/>
                <w:kern w:val="21"/>
                <w:sz w:val="21"/>
                <w:szCs w:val="21"/>
                <w:highlight w:val="none"/>
              </w:rPr>
              <w:t>/</w:t>
            </w:r>
          </w:p>
        </w:tc>
        <w:tc>
          <w:tcPr>
            <w:tcW w:w="1255" w:type="dxa"/>
            <w:vAlign w:val="center"/>
          </w:tcPr>
          <w:p w14:paraId="1D30A01D">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kern w:val="21"/>
                <w:sz w:val="21"/>
                <w:szCs w:val="21"/>
                <w:highlight w:val="none"/>
              </w:rPr>
            </w:pPr>
            <w:r>
              <w:rPr>
                <w:rFonts w:ascii="Times New Roman" w:hAnsi="Times New Roman" w:eastAsia="宋体"/>
                <w:snapToGrid w:val="0"/>
                <w:color w:val="auto"/>
                <w:kern w:val="21"/>
                <w:sz w:val="21"/>
                <w:szCs w:val="21"/>
                <w:highlight w:val="none"/>
              </w:rPr>
              <w:t>/</w:t>
            </w:r>
          </w:p>
        </w:tc>
        <w:tc>
          <w:tcPr>
            <w:tcW w:w="1486" w:type="dxa"/>
            <w:vAlign w:val="center"/>
          </w:tcPr>
          <w:p w14:paraId="2CC9C524">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snapToGrid w:val="0"/>
                <w:color w:val="auto"/>
                <w:kern w:val="21"/>
                <w:sz w:val="21"/>
                <w:szCs w:val="21"/>
                <w:highlight w:val="none"/>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4A54A91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0.12</w:t>
            </w:r>
          </w:p>
        </w:tc>
        <w:tc>
          <w:tcPr>
            <w:tcW w:w="1418" w:type="dxa"/>
            <w:vAlign w:val="center"/>
          </w:tcPr>
          <w:p w14:paraId="13BBAAC5">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kern w:val="21"/>
                <w:sz w:val="21"/>
                <w:szCs w:val="21"/>
                <w:highlight w:val="none"/>
              </w:rPr>
            </w:pPr>
            <w:r>
              <w:rPr>
                <w:rFonts w:ascii="Times New Roman" w:hAnsi="Times New Roman" w:eastAsia="宋体"/>
                <w:snapToGrid w:val="0"/>
                <w:color w:val="auto"/>
                <w:kern w:val="21"/>
                <w:sz w:val="21"/>
                <w:szCs w:val="21"/>
                <w:highlight w:val="none"/>
              </w:rPr>
              <w:t>/</w:t>
            </w:r>
          </w:p>
        </w:tc>
        <w:tc>
          <w:tcPr>
            <w:tcW w:w="1562" w:type="dxa"/>
            <w:shd w:val="clear" w:color="auto" w:fill="auto"/>
            <w:vAlign w:val="center"/>
          </w:tcPr>
          <w:p w14:paraId="3FAFA6D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0.12</w:t>
            </w:r>
          </w:p>
        </w:tc>
        <w:tc>
          <w:tcPr>
            <w:tcW w:w="1337" w:type="dxa"/>
            <w:shd w:val="clear" w:color="auto" w:fill="auto"/>
            <w:vAlign w:val="center"/>
          </w:tcPr>
          <w:p w14:paraId="74FA3D7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0.12</w:t>
            </w:r>
          </w:p>
        </w:tc>
      </w:tr>
      <w:tr w14:paraId="358A8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restart"/>
            <w:shd w:val="clear" w:color="auto" w:fill="auto"/>
            <w:vAlign w:val="center"/>
          </w:tcPr>
          <w:p w14:paraId="35C7B90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en-US"/>
              </w:rPr>
            </w:pPr>
            <w:r>
              <w:rPr>
                <w:rFonts w:ascii="Times New Roman" w:hAnsi="Times New Roman" w:eastAsia="宋体" w:cs="宋体"/>
                <w:color w:val="auto"/>
                <w:spacing w:val="7"/>
                <w:sz w:val="21"/>
              </w:rPr>
              <w:t>废水</w:t>
            </w:r>
          </w:p>
        </w:tc>
        <w:tc>
          <w:tcPr>
            <w:tcW w:w="2850" w:type="dxa"/>
            <w:shd w:val="clear" w:color="auto" w:fill="auto"/>
            <w:vAlign w:val="center"/>
          </w:tcPr>
          <w:p w14:paraId="730E7F1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COD</w:t>
            </w:r>
          </w:p>
        </w:tc>
        <w:tc>
          <w:tcPr>
            <w:tcW w:w="1554" w:type="dxa"/>
            <w:vAlign w:val="center"/>
          </w:tcPr>
          <w:p w14:paraId="25B86C9A">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color w:val="auto"/>
                <w:sz w:val="21"/>
                <w:szCs w:val="21"/>
                <w:highlight w:val="none"/>
              </w:rPr>
            </w:pPr>
            <w:r>
              <w:rPr>
                <w:rFonts w:ascii="Times New Roman" w:hAnsi="Times New Roman" w:eastAsia="宋体"/>
                <w:snapToGrid w:val="0"/>
                <w:color w:val="auto"/>
                <w:kern w:val="21"/>
                <w:sz w:val="21"/>
                <w:szCs w:val="21"/>
                <w:highlight w:val="none"/>
              </w:rPr>
              <w:t>/</w:t>
            </w:r>
          </w:p>
        </w:tc>
        <w:tc>
          <w:tcPr>
            <w:tcW w:w="1255" w:type="dxa"/>
            <w:vAlign w:val="center"/>
          </w:tcPr>
          <w:p w14:paraId="5E88599D">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kern w:val="21"/>
                <w:sz w:val="21"/>
                <w:szCs w:val="21"/>
                <w:highlight w:val="none"/>
              </w:rPr>
            </w:pPr>
            <w:r>
              <w:rPr>
                <w:rFonts w:ascii="Times New Roman" w:hAnsi="Times New Roman" w:eastAsia="宋体"/>
                <w:snapToGrid w:val="0"/>
                <w:color w:val="auto"/>
                <w:kern w:val="21"/>
                <w:sz w:val="21"/>
                <w:szCs w:val="21"/>
                <w:highlight w:val="none"/>
              </w:rPr>
              <w:t>/</w:t>
            </w:r>
          </w:p>
        </w:tc>
        <w:tc>
          <w:tcPr>
            <w:tcW w:w="1486" w:type="dxa"/>
            <w:vAlign w:val="center"/>
          </w:tcPr>
          <w:p w14:paraId="0B2B563D">
            <w:pPr>
              <w:keepNext w:val="0"/>
              <w:keepLines w:val="0"/>
              <w:pageBreakBefore w:val="0"/>
              <w:widowControl/>
              <w:kinsoku/>
              <w:wordWrap/>
              <w:overflowPunct/>
              <w:topLinePunct w:val="0"/>
              <w:autoSpaceDE/>
              <w:autoSpaceDN/>
              <w:bidi w:val="0"/>
              <w:spacing w:line="240" w:lineRule="auto"/>
              <w:ind w:left="0"/>
              <w:jc w:val="center"/>
              <w:textAlignment w:val="bottom"/>
              <w:rPr>
                <w:rFonts w:ascii="Times New Roman" w:hAnsi="Times New Roman" w:eastAsia="宋体"/>
                <w:snapToGrid w:val="0"/>
                <w:color w:val="auto"/>
                <w:kern w:val="21"/>
                <w:sz w:val="21"/>
                <w:szCs w:val="21"/>
                <w:highlight w:val="none"/>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73E7820C">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0.2539</w:t>
            </w:r>
          </w:p>
        </w:tc>
        <w:tc>
          <w:tcPr>
            <w:tcW w:w="1418" w:type="dxa"/>
            <w:vAlign w:val="center"/>
          </w:tcPr>
          <w:p w14:paraId="7C6A0FF8">
            <w:pPr>
              <w:pStyle w:val="49"/>
              <w:keepNext w:val="0"/>
              <w:keepLines w:val="0"/>
              <w:pageBreakBefore w:val="0"/>
              <w:kinsoku/>
              <w:wordWrap/>
              <w:overflowPunct/>
              <w:topLinePunct w:val="0"/>
              <w:autoSpaceDE/>
              <w:autoSpaceDN/>
              <w:bidi w:val="0"/>
              <w:spacing w:beforeLines="0" w:afterLines="0" w:line="240" w:lineRule="auto"/>
              <w:ind w:left="0"/>
              <w:rPr>
                <w:rFonts w:ascii="Times New Roman" w:hAnsi="Times New Roman" w:eastAsia="宋体"/>
                <w:snapToGrid w:val="0"/>
                <w:color w:val="auto"/>
                <w:kern w:val="21"/>
                <w:sz w:val="21"/>
                <w:szCs w:val="21"/>
                <w:highlight w:val="none"/>
              </w:rPr>
            </w:pPr>
            <w:r>
              <w:rPr>
                <w:rFonts w:ascii="Times New Roman" w:hAnsi="Times New Roman" w:eastAsia="宋体"/>
                <w:snapToGrid w:val="0"/>
                <w:color w:val="auto"/>
                <w:kern w:val="21"/>
                <w:sz w:val="21"/>
                <w:szCs w:val="21"/>
                <w:highlight w:val="none"/>
              </w:rPr>
              <w:t>/</w:t>
            </w:r>
          </w:p>
        </w:tc>
        <w:tc>
          <w:tcPr>
            <w:tcW w:w="1562" w:type="dxa"/>
            <w:shd w:val="clear" w:color="auto" w:fill="auto"/>
            <w:vAlign w:val="center"/>
          </w:tcPr>
          <w:p w14:paraId="33B4FB4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cs="宋体"/>
                <w:color w:val="auto"/>
                <w:spacing w:val="7"/>
                <w:sz w:val="21"/>
                <w:lang w:val="en-US" w:eastAsia="zh-CN"/>
              </w:rPr>
              <w:t>0.2539</w:t>
            </w:r>
          </w:p>
        </w:tc>
        <w:tc>
          <w:tcPr>
            <w:tcW w:w="1337" w:type="dxa"/>
            <w:shd w:val="clear" w:color="auto" w:fill="auto"/>
            <w:vAlign w:val="center"/>
          </w:tcPr>
          <w:p w14:paraId="51D177A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hint="eastAsia" w:ascii="Times New Roman" w:hAnsi="Times New Roman" w:cs="宋体"/>
                <w:color w:val="auto"/>
                <w:spacing w:val="7"/>
                <w:sz w:val="21"/>
                <w:lang w:val="en-US" w:eastAsia="zh-CN"/>
              </w:rPr>
              <w:t>0.2539</w:t>
            </w:r>
          </w:p>
        </w:tc>
      </w:tr>
      <w:tr w14:paraId="0F9A99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580F1B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6A3DEC6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BOD5</w:t>
            </w:r>
          </w:p>
        </w:tc>
        <w:tc>
          <w:tcPr>
            <w:tcW w:w="1554" w:type="dxa"/>
            <w:shd w:val="clear" w:color="auto" w:fill="auto"/>
            <w:vAlign w:val="center"/>
          </w:tcPr>
          <w:p w14:paraId="6BE0B86A">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55" w:type="dxa"/>
            <w:shd w:val="clear" w:color="auto" w:fill="auto"/>
            <w:vAlign w:val="center"/>
          </w:tcPr>
          <w:p w14:paraId="5C524409">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86" w:type="dxa"/>
            <w:shd w:val="clear" w:color="auto" w:fill="auto"/>
            <w:vAlign w:val="center"/>
          </w:tcPr>
          <w:p w14:paraId="6068635B">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14" w:type="dxa"/>
            <w:shd w:val="clear" w:color="auto" w:fill="auto"/>
            <w:vAlign w:val="center"/>
          </w:tcPr>
          <w:p w14:paraId="03DA76B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0.5634</w:t>
            </w:r>
          </w:p>
        </w:tc>
        <w:tc>
          <w:tcPr>
            <w:tcW w:w="1418" w:type="dxa"/>
            <w:shd w:val="clear" w:color="auto" w:fill="auto"/>
            <w:vAlign w:val="center"/>
          </w:tcPr>
          <w:p w14:paraId="30F955D3">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62" w:type="dxa"/>
            <w:shd w:val="clear" w:color="auto" w:fill="auto"/>
            <w:vAlign w:val="center"/>
          </w:tcPr>
          <w:p w14:paraId="3252420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cs="宋体"/>
                <w:color w:val="auto"/>
                <w:spacing w:val="7"/>
                <w:sz w:val="21"/>
                <w:lang w:val="en-US" w:eastAsia="zh-CN"/>
              </w:rPr>
              <w:t>0.5634</w:t>
            </w:r>
          </w:p>
        </w:tc>
        <w:tc>
          <w:tcPr>
            <w:tcW w:w="1337" w:type="dxa"/>
            <w:shd w:val="clear" w:color="auto" w:fill="auto"/>
            <w:vAlign w:val="center"/>
          </w:tcPr>
          <w:p w14:paraId="45EA3163">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hint="eastAsia" w:ascii="Times New Roman" w:hAnsi="Times New Roman" w:cs="宋体"/>
                <w:color w:val="auto"/>
                <w:spacing w:val="7"/>
                <w:sz w:val="21"/>
                <w:lang w:val="en-US" w:eastAsia="zh-CN"/>
              </w:rPr>
              <w:t>0.5634</w:t>
            </w:r>
          </w:p>
        </w:tc>
      </w:tr>
      <w:tr w14:paraId="364950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B7FD38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1E6797A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SS</w:t>
            </w:r>
          </w:p>
        </w:tc>
        <w:tc>
          <w:tcPr>
            <w:tcW w:w="1554" w:type="dxa"/>
            <w:vAlign w:val="center"/>
          </w:tcPr>
          <w:p w14:paraId="1E81386F">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55" w:type="dxa"/>
            <w:vAlign w:val="center"/>
          </w:tcPr>
          <w:p w14:paraId="600CA280">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eastAsia"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86" w:type="dxa"/>
            <w:vAlign w:val="center"/>
          </w:tcPr>
          <w:p w14:paraId="43FE01F2">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eastAsia"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14" w:type="dxa"/>
            <w:shd w:val="clear" w:color="auto" w:fill="auto"/>
            <w:vAlign w:val="center"/>
          </w:tcPr>
          <w:p w14:paraId="5F8A51A3">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0.1579</w:t>
            </w:r>
          </w:p>
        </w:tc>
        <w:tc>
          <w:tcPr>
            <w:tcW w:w="1418" w:type="dxa"/>
            <w:vAlign w:val="center"/>
          </w:tcPr>
          <w:p w14:paraId="26A357B3">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62" w:type="dxa"/>
            <w:shd w:val="clear" w:color="auto" w:fill="auto"/>
            <w:vAlign w:val="center"/>
          </w:tcPr>
          <w:p w14:paraId="0F6C39D2">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cs="宋体"/>
                <w:color w:val="auto"/>
                <w:spacing w:val="7"/>
                <w:sz w:val="21"/>
                <w:lang w:val="en-US" w:eastAsia="zh-CN"/>
              </w:rPr>
              <w:t>0.1579</w:t>
            </w:r>
          </w:p>
        </w:tc>
        <w:tc>
          <w:tcPr>
            <w:tcW w:w="1337" w:type="dxa"/>
            <w:shd w:val="clear" w:color="auto" w:fill="auto"/>
            <w:vAlign w:val="center"/>
          </w:tcPr>
          <w:p w14:paraId="0AAD93E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hint="eastAsia" w:ascii="Times New Roman" w:hAnsi="Times New Roman" w:cs="宋体"/>
                <w:color w:val="auto"/>
                <w:spacing w:val="7"/>
                <w:sz w:val="21"/>
                <w:lang w:val="en-US" w:eastAsia="zh-CN"/>
              </w:rPr>
              <w:t>0.1579</w:t>
            </w:r>
          </w:p>
        </w:tc>
      </w:tr>
      <w:tr w14:paraId="62FB7F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4F40ED34">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6518726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石油类</w:t>
            </w:r>
          </w:p>
        </w:tc>
        <w:tc>
          <w:tcPr>
            <w:tcW w:w="1554" w:type="dxa"/>
            <w:vAlign w:val="center"/>
          </w:tcPr>
          <w:p w14:paraId="651596E9">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55" w:type="dxa"/>
            <w:vAlign w:val="center"/>
          </w:tcPr>
          <w:p w14:paraId="188D01CE">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eastAsia"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86" w:type="dxa"/>
            <w:vAlign w:val="center"/>
          </w:tcPr>
          <w:p w14:paraId="736A3CEA">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eastAsia"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14" w:type="dxa"/>
            <w:shd w:val="clear" w:color="auto" w:fill="auto"/>
            <w:vAlign w:val="center"/>
          </w:tcPr>
          <w:p w14:paraId="2A45B85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0.0089</w:t>
            </w:r>
          </w:p>
        </w:tc>
        <w:tc>
          <w:tcPr>
            <w:tcW w:w="1418" w:type="dxa"/>
            <w:vAlign w:val="center"/>
          </w:tcPr>
          <w:p w14:paraId="7A28D21A">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62" w:type="dxa"/>
            <w:shd w:val="clear" w:color="auto" w:fill="auto"/>
            <w:vAlign w:val="center"/>
          </w:tcPr>
          <w:p w14:paraId="2A81812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0.0089</w:t>
            </w:r>
          </w:p>
        </w:tc>
        <w:tc>
          <w:tcPr>
            <w:tcW w:w="1337" w:type="dxa"/>
            <w:shd w:val="clear" w:color="auto" w:fill="auto"/>
            <w:vAlign w:val="center"/>
          </w:tcPr>
          <w:p w14:paraId="4F27894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0.0089</w:t>
            </w:r>
          </w:p>
        </w:tc>
      </w:tr>
      <w:tr w14:paraId="1875DF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4DA6A13">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p>
        </w:tc>
        <w:tc>
          <w:tcPr>
            <w:tcW w:w="2850" w:type="dxa"/>
            <w:shd w:val="clear" w:color="auto" w:fill="auto"/>
            <w:vAlign w:val="center"/>
          </w:tcPr>
          <w:p w14:paraId="48D8A74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LAS</w:t>
            </w:r>
          </w:p>
        </w:tc>
        <w:tc>
          <w:tcPr>
            <w:tcW w:w="1554" w:type="dxa"/>
            <w:vAlign w:val="center"/>
          </w:tcPr>
          <w:p w14:paraId="26E37F1D">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55" w:type="dxa"/>
            <w:vAlign w:val="center"/>
          </w:tcPr>
          <w:p w14:paraId="2E8406E5">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86" w:type="dxa"/>
            <w:vAlign w:val="center"/>
          </w:tcPr>
          <w:p w14:paraId="3C75943C">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14" w:type="dxa"/>
            <w:shd w:val="clear" w:color="auto" w:fill="auto"/>
            <w:vAlign w:val="center"/>
          </w:tcPr>
          <w:p w14:paraId="3C9807B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0.0012</w:t>
            </w:r>
          </w:p>
        </w:tc>
        <w:tc>
          <w:tcPr>
            <w:tcW w:w="1418" w:type="dxa"/>
            <w:vAlign w:val="center"/>
          </w:tcPr>
          <w:p w14:paraId="4344FEA2">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yellow"/>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62" w:type="dxa"/>
            <w:shd w:val="clear" w:color="auto" w:fill="auto"/>
            <w:vAlign w:val="center"/>
          </w:tcPr>
          <w:p w14:paraId="6D8387D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0.0012</w:t>
            </w:r>
          </w:p>
        </w:tc>
        <w:tc>
          <w:tcPr>
            <w:tcW w:w="1337" w:type="dxa"/>
            <w:shd w:val="clear" w:color="auto" w:fill="auto"/>
            <w:vAlign w:val="center"/>
          </w:tcPr>
          <w:p w14:paraId="0A8643C3">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0.0012</w:t>
            </w:r>
          </w:p>
        </w:tc>
      </w:tr>
      <w:tr w14:paraId="0BB197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B3CF0E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4AEC9D4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氨氮</w:t>
            </w:r>
          </w:p>
        </w:tc>
        <w:tc>
          <w:tcPr>
            <w:tcW w:w="1554" w:type="dxa"/>
            <w:vAlign w:val="center"/>
          </w:tcPr>
          <w:p w14:paraId="19F520A2">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55" w:type="dxa"/>
            <w:vAlign w:val="center"/>
          </w:tcPr>
          <w:p w14:paraId="076AD8E6">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86" w:type="dxa"/>
            <w:vAlign w:val="center"/>
          </w:tcPr>
          <w:p w14:paraId="6673990C">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14" w:type="dxa"/>
            <w:shd w:val="clear" w:color="auto" w:fill="auto"/>
            <w:vAlign w:val="center"/>
          </w:tcPr>
          <w:p w14:paraId="46535A7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highlight w:val="none"/>
                <w:lang w:val="en-US" w:eastAsia="zh-CN"/>
              </w:rPr>
              <w:t>0.01174</w:t>
            </w:r>
          </w:p>
        </w:tc>
        <w:tc>
          <w:tcPr>
            <w:tcW w:w="1418" w:type="dxa"/>
            <w:vAlign w:val="center"/>
          </w:tcPr>
          <w:p w14:paraId="2919916D">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62" w:type="dxa"/>
            <w:shd w:val="clear" w:color="auto" w:fill="auto"/>
            <w:vAlign w:val="center"/>
          </w:tcPr>
          <w:p w14:paraId="1756F01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cs="宋体"/>
                <w:color w:val="auto"/>
                <w:spacing w:val="7"/>
                <w:sz w:val="21"/>
                <w:highlight w:val="none"/>
                <w:lang w:val="en-US" w:eastAsia="zh-CN"/>
              </w:rPr>
              <w:t>0.01174</w:t>
            </w:r>
          </w:p>
        </w:tc>
        <w:tc>
          <w:tcPr>
            <w:tcW w:w="1337" w:type="dxa"/>
            <w:shd w:val="clear" w:color="auto" w:fill="auto"/>
            <w:vAlign w:val="center"/>
          </w:tcPr>
          <w:p w14:paraId="2B401B4C">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hint="eastAsia" w:ascii="Times New Roman" w:hAnsi="Times New Roman" w:cs="宋体"/>
                <w:color w:val="auto"/>
                <w:spacing w:val="7"/>
                <w:sz w:val="21"/>
                <w:highlight w:val="none"/>
                <w:lang w:val="en-US" w:eastAsia="zh-CN"/>
              </w:rPr>
              <w:t>0.01174</w:t>
            </w:r>
          </w:p>
        </w:tc>
      </w:tr>
      <w:tr w14:paraId="7A4881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1DDDBC49">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7DE55734">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TN</w:t>
            </w:r>
          </w:p>
        </w:tc>
        <w:tc>
          <w:tcPr>
            <w:tcW w:w="1554" w:type="dxa"/>
            <w:vAlign w:val="center"/>
          </w:tcPr>
          <w:p w14:paraId="6ACF0E70">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255" w:type="dxa"/>
            <w:vAlign w:val="center"/>
          </w:tcPr>
          <w:p w14:paraId="1E8FFC8F">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486" w:type="dxa"/>
            <w:vAlign w:val="center"/>
          </w:tcPr>
          <w:p w14:paraId="66ABF083">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14" w:type="dxa"/>
            <w:shd w:val="clear" w:color="auto" w:fill="auto"/>
            <w:vAlign w:val="center"/>
          </w:tcPr>
          <w:p w14:paraId="4106BF7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0.0177</w:t>
            </w:r>
          </w:p>
        </w:tc>
        <w:tc>
          <w:tcPr>
            <w:tcW w:w="1418" w:type="dxa"/>
            <w:vAlign w:val="center"/>
          </w:tcPr>
          <w:p w14:paraId="0E26424A">
            <w:pPr>
              <w:keepNext w:val="0"/>
              <w:keepLines w:val="0"/>
              <w:pageBreakBefore w:val="0"/>
              <w:widowControl/>
              <w:suppressLineNumbers w:val="0"/>
              <w:kinsoku/>
              <w:wordWrap/>
              <w:overflowPunct/>
              <w:topLinePunct w:val="0"/>
              <w:autoSpaceDE/>
              <w:autoSpaceDN/>
              <w:bidi w:val="0"/>
              <w:spacing w:line="240" w:lineRule="auto"/>
              <w:ind w:left="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1562" w:type="dxa"/>
            <w:shd w:val="clear" w:color="auto" w:fill="auto"/>
            <w:vAlign w:val="center"/>
          </w:tcPr>
          <w:p w14:paraId="20354E0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cs="宋体"/>
                <w:color w:val="auto"/>
                <w:spacing w:val="7"/>
                <w:sz w:val="21"/>
                <w:lang w:val="en-US" w:eastAsia="zh-CN"/>
              </w:rPr>
              <w:t>0.0177</w:t>
            </w:r>
          </w:p>
        </w:tc>
        <w:tc>
          <w:tcPr>
            <w:tcW w:w="1337" w:type="dxa"/>
            <w:shd w:val="clear" w:color="auto" w:fill="auto"/>
            <w:vAlign w:val="center"/>
          </w:tcPr>
          <w:p w14:paraId="19605CC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hint="eastAsia" w:ascii="Times New Roman" w:hAnsi="Times New Roman" w:cs="宋体"/>
                <w:color w:val="auto"/>
                <w:spacing w:val="7"/>
                <w:sz w:val="21"/>
                <w:lang w:val="en-US" w:eastAsia="zh-CN"/>
              </w:rPr>
              <w:t>0.0177</w:t>
            </w:r>
          </w:p>
        </w:tc>
      </w:tr>
      <w:tr w14:paraId="5ED01A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restart"/>
            <w:shd w:val="clear" w:color="auto" w:fill="auto"/>
            <w:vAlign w:val="center"/>
          </w:tcPr>
          <w:p w14:paraId="5D8199C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r>
              <w:rPr>
                <w:rFonts w:ascii="Times New Roman" w:hAnsi="Times New Roman" w:eastAsia="宋体" w:cs="宋体"/>
                <w:color w:val="auto"/>
                <w:spacing w:val="7"/>
                <w:sz w:val="21"/>
              </w:rPr>
              <w:t>一般工业</w:t>
            </w:r>
          </w:p>
          <w:p w14:paraId="60A7206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r>
              <w:rPr>
                <w:rFonts w:ascii="Times New Roman" w:hAnsi="Times New Roman" w:eastAsia="宋体" w:cs="宋体"/>
                <w:color w:val="auto"/>
                <w:spacing w:val="7"/>
                <w:sz w:val="21"/>
              </w:rPr>
              <w:t>固体废物</w:t>
            </w:r>
          </w:p>
        </w:tc>
        <w:tc>
          <w:tcPr>
            <w:tcW w:w="2850" w:type="dxa"/>
            <w:shd w:val="clear" w:color="auto" w:fill="auto"/>
            <w:vAlign w:val="center"/>
          </w:tcPr>
          <w:p w14:paraId="0BFF6B3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废一般包装材料</w:t>
            </w:r>
          </w:p>
        </w:tc>
        <w:tc>
          <w:tcPr>
            <w:tcW w:w="1554" w:type="dxa"/>
            <w:shd w:val="clear" w:color="auto" w:fill="auto"/>
            <w:vAlign w:val="center"/>
          </w:tcPr>
          <w:p w14:paraId="58072F0C">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olor w:val="auto"/>
                <w:kern w:val="0"/>
                <w:sz w:val="21"/>
                <w:szCs w:val="21"/>
                <w:highlight w:val="none"/>
                <w:lang w:val="en-US" w:eastAsia="zh-CN" w:bidi="ar"/>
              </w:rPr>
              <w:t>/</w:t>
            </w:r>
          </w:p>
        </w:tc>
        <w:tc>
          <w:tcPr>
            <w:tcW w:w="1255" w:type="dxa"/>
            <w:shd w:val="clear" w:color="auto" w:fill="auto"/>
            <w:vAlign w:val="center"/>
          </w:tcPr>
          <w:p w14:paraId="096F0425">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olor w:val="auto"/>
                <w:kern w:val="0"/>
                <w:sz w:val="21"/>
                <w:szCs w:val="21"/>
                <w:highlight w:val="none"/>
                <w:lang w:val="en-US" w:eastAsia="zh-CN" w:bidi="ar"/>
              </w:rPr>
              <w:t>/</w:t>
            </w:r>
          </w:p>
        </w:tc>
        <w:tc>
          <w:tcPr>
            <w:tcW w:w="1486" w:type="dxa"/>
            <w:shd w:val="clear" w:color="auto" w:fill="auto"/>
            <w:vAlign w:val="center"/>
          </w:tcPr>
          <w:p w14:paraId="40115338">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olor w:val="auto"/>
                <w:kern w:val="0"/>
                <w:sz w:val="21"/>
                <w:szCs w:val="21"/>
                <w:highlight w:val="none"/>
                <w:lang w:val="en-US" w:eastAsia="zh-CN" w:bidi="ar"/>
              </w:rPr>
              <w:t>/</w:t>
            </w:r>
          </w:p>
        </w:tc>
        <w:tc>
          <w:tcPr>
            <w:tcW w:w="1514" w:type="dxa"/>
            <w:shd w:val="clear" w:color="auto" w:fill="auto"/>
            <w:vAlign w:val="center"/>
          </w:tcPr>
          <w:p w14:paraId="4BC953B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0.9</w:t>
            </w:r>
          </w:p>
        </w:tc>
        <w:tc>
          <w:tcPr>
            <w:tcW w:w="1418" w:type="dxa"/>
            <w:shd w:val="clear" w:color="auto" w:fill="auto"/>
            <w:vAlign w:val="center"/>
          </w:tcPr>
          <w:p w14:paraId="40EF716B">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olor w:val="auto"/>
                <w:kern w:val="0"/>
                <w:sz w:val="21"/>
                <w:szCs w:val="21"/>
                <w:highlight w:val="none"/>
                <w:lang w:val="en-US" w:eastAsia="zh-CN" w:bidi="ar"/>
              </w:rPr>
              <w:t>/</w:t>
            </w:r>
          </w:p>
        </w:tc>
        <w:tc>
          <w:tcPr>
            <w:tcW w:w="1562" w:type="dxa"/>
            <w:shd w:val="clear" w:color="auto" w:fill="auto"/>
            <w:vAlign w:val="center"/>
          </w:tcPr>
          <w:p w14:paraId="49D0D6F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0.9</w:t>
            </w:r>
          </w:p>
        </w:tc>
        <w:tc>
          <w:tcPr>
            <w:tcW w:w="1337" w:type="dxa"/>
            <w:shd w:val="clear" w:color="auto" w:fill="auto"/>
            <w:vAlign w:val="center"/>
          </w:tcPr>
          <w:p w14:paraId="460EF6D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0.9</w:t>
            </w:r>
          </w:p>
        </w:tc>
      </w:tr>
      <w:tr w14:paraId="4762DC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0B93CC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11B68E99">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废金属料</w:t>
            </w:r>
          </w:p>
        </w:tc>
        <w:tc>
          <w:tcPr>
            <w:tcW w:w="1554" w:type="dxa"/>
            <w:shd w:val="clear" w:color="auto" w:fill="auto"/>
            <w:vAlign w:val="center"/>
          </w:tcPr>
          <w:p w14:paraId="64277045">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255" w:type="dxa"/>
            <w:shd w:val="clear" w:color="auto" w:fill="auto"/>
            <w:vAlign w:val="center"/>
          </w:tcPr>
          <w:p w14:paraId="03085C66">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486" w:type="dxa"/>
            <w:shd w:val="clear" w:color="auto" w:fill="auto"/>
            <w:vAlign w:val="center"/>
          </w:tcPr>
          <w:p w14:paraId="64A94EBA">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6F61D73C">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10</w:t>
            </w:r>
          </w:p>
        </w:tc>
        <w:tc>
          <w:tcPr>
            <w:tcW w:w="1418" w:type="dxa"/>
            <w:shd w:val="clear" w:color="auto" w:fill="auto"/>
            <w:vAlign w:val="center"/>
          </w:tcPr>
          <w:p w14:paraId="32208163">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62" w:type="dxa"/>
            <w:shd w:val="clear" w:color="auto" w:fill="auto"/>
            <w:vAlign w:val="center"/>
          </w:tcPr>
          <w:p w14:paraId="39AE921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10</w:t>
            </w:r>
          </w:p>
        </w:tc>
        <w:tc>
          <w:tcPr>
            <w:tcW w:w="1337" w:type="dxa"/>
            <w:shd w:val="clear" w:color="auto" w:fill="auto"/>
            <w:vAlign w:val="center"/>
          </w:tcPr>
          <w:p w14:paraId="392672C2">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10</w:t>
            </w:r>
          </w:p>
        </w:tc>
      </w:tr>
      <w:tr w14:paraId="39F526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3179E2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279C9F9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焊渣</w:t>
            </w:r>
          </w:p>
        </w:tc>
        <w:tc>
          <w:tcPr>
            <w:tcW w:w="1554" w:type="dxa"/>
            <w:shd w:val="clear" w:color="auto" w:fill="auto"/>
            <w:vAlign w:val="center"/>
          </w:tcPr>
          <w:p w14:paraId="6C4A83BB">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255" w:type="dxa"/>
            <w:shd w:val="clear" w:color="auto" w:fill="auto"/>
            <w:vAlign w:val="center"/>
          </w:tcPr>
          <w:p w14:paraId="62069BC2">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486" w:type="dxa"/>
            <w:shd w:val="clear" w:color="auto" w:fill="auto"/>
            <w:vAlign w:val="center"/>
          </w:tcPr>
          <w:p w14:paraId="3CC25C5E">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514" w:type="dxa"/>
            <w:shd w:val="clear" w:color="auto" w:fill="auto"/>
            <w:vAlign w:val="center"/>
          </w:tcPr>
          <w:p w14:paraId="3ED700C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4</w:t>
            </w:r>
          </w:p>
        </w:tc>
        <w:tc>
          <w:tcPr>
            <w:tcW w:w="1418" w:type="dxa"/>
            <w:shd w:val="clear" w:color="auto" w:fill="auto"/>
            <w:vAlign w:val="center"/>
          </w:tcPr>
          <w:p w14:paraId="7C522861">
            <w:pPr>
              <w:keepNext w:val="0"/>
              <w:keepLines w:val="0"/>
              <w:pageBreakBefore w:val="0"/>
              <w:widowControl/>
              <w:kinsoku/>
              <w:wordWrap/>
              <w:overflowPunct/>
              <w:topLinePunct w:val="0"/>
              <w:autoSpaceDE/>
              <w:autoSpaceDN/>
              <w:bidi w:val="0"/>
              <w:spacing w:line="240" w:lineRule="auto"/>
              <w:ind w:left="0"/>
              <w:jc w:val="center"/>
              <w:textAlignment w:val="bottom"/>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562" w:type="dxa"/>
            <w:shd w:val="clear" w:color="auto" w:fill="auto"/>
            <w:vAlign w:val="center"/>
          </w:tcPr>
          <w:p w14:paraId="0604DE6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4</w:t>
            </w:r>
          </w:p>
        </w:tc>
        <w:tc>
          <w:tcPr>
            <w:tcW w:w="1337" w:type="dxa"/>
            <w:shd w:val="clear" w:color="auto" w:fill="auto"/>
            <w:vAlign w:val="center"/>
          </w:tcPr>
          <w:p w14:paraId="6647DAE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4</w:t>
            </w:r>
          </w:p>
        </w:tc>
      </w:tr>
      <w:tr w14:paraId="51E399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42EB32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271947D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废金属灰</w:t>
            </w:r>
          </w:p>
        </w:tc>
        <w:tc>
          <w:tcPr>
            <w:tcW w:w="1554" w:type="dxa"/>
            <w:shd w:val="clear" w:color="auto" w:fill="auto"/>
            <w:vAlign w:val="center"/>
          </w:tcPr>
          <w:p w14:paraId="52DA7AA3">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olor w:val="auto"/>
                <w:kern w:val="0"/>
                <w:sz w:val="21"/>
                <w:szCs w:val="21"/>
                <w:highlight w:val="none"/>
                <w:lang w:val="en-US" w:eastAsia="zh-CN" w:bidi="ar"/>
              </w:rPr>
              <w:t>/</w:t>
            </w:r>
          </w:p>
        </w:tc>
        <w:tc>
          <w:tcPr>
            <w:tcW w:w="1255" w:type="dxa"/>
            <w:shd w:val="clear" w:color="auto" w:fill="auto"/>
            <w:vAlign w:val="center"/>
          </w:tcPr>
          <w:p w14:paraId="31E16D55">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olor w:val="auto"/>
                <w:kern w:val="0"/>
                <w:sz w:val="21"/>
                <w:szCs w:val="21"/>
                <w:highlight w:val="none"/>
                <w:lang w:val="en-US" w:eastAsia="zh-CN" w:bidi="ar"/>
              </w:rPr>
              <w:t>/</w:t>
            </w:r>
          </w:p>
        </w:tc>
        <w:tc>
          <w:tcPr>
            <w:tcW w:w="1486" w:type="dxa"/>
            <w:shd w:val="clear" w:color="auto" w:fill="auto"/>
            <w:vAlign w:val="center"/>
          </w:tcPr>
          <w:p w14:paraId="4F5F903A">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1027E74C">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0.35</w:t>
            </w:r>
          </w:p>
        </w:tc>
        <w:tc>
          <w:tcPr>
            <w:tcW w:w="1418" w:type="dxa"/>
            <w:shd w:val="clear" w:color="auto" w:fill="auto"/>
            <w:vAlign w:val="center"/>
          </w:tcPr>
          <w:p w14:paraId="1880D7CB">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62" w:type="dxa"/>
            <w:shd w:val="clear" w:color="auto" w:fill="auto"/>
            <w:vAlign w:val="center"/>
          </w:tcPr>
          <w:p w14:paraId="74F69B84">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0.35</w:t>
            </w:r>
          </w:p>
        </w:tc>
        <w:tc>
          <w:tcPr>
            <w:tcW w:w="1337" w:type="dxa"/>
            <w:shd w:val="clear" w:color="auto" w:fill="auto"/>
            <w:vAlign w:val="center"/>
          </w:tcPr>
          <w:p w14:paraId="1C55F3C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0.35</w:t>
            </w:r>
          </w:p>
        </w:tc>
      </w:tr>
      <w:tr w14:paraId="242021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restart"/>
            <w:vAlign w:val="center"/>
          </w:tcPr>
          <w:p w14:paraId="5BE0755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r>
              <w:rPr>
                <w:rFonts w:ascii="Times New Roman" w:hAnsi="Times New Roman" w:eastAsia="宋体" w:cs="宋体"/>
                <w:color w:val="auto"/>
                <w:spacing w:val="7"/>
                <w:sz w:val="21"/>
              </w:rPr>
              <w:t>危险废物</w:t>
            </w:r>
          </w:p>
        </w:tc>
        <w:tc>
          <w:tcPr>
            <w:tcW w:w="2850" w:type="dxa"/>
            <w:shd w:val="clear" w:color="auto" w:fill="auto"/>
            <w:vAlign w:val="center"/>
          </w:tcPr>
          <w:p w14:paraId="5001D63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废涂料桶</w:t>
            </w:r>
          </w:p>
        </w:tc>
        <w:tc>
          <w:tcPr>
            <w:tcW w:w="1554" w:type="dxa"/>
            <w:shd w:val="clear" w:color="auto" w:fill="auto"/>
            <w:vAlign w:val="center"/>
          </w:tcPr>
          <w:p w14:paraId="11A7A96D">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255" w:type="dxa"/>
            <w:shd w:val="clear" w:color="auto" w:fill="auto"/>
            <w:vAlign w:val="center"/>
          </w:tcPr>
          <w:p w14:paraId="23C39BD6">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486" w:type="dxa"/>
            <w:shd w:val="clear" w:color="auto" w:fill="auto"/>
            <w:vAlign w:val="center"/>
          </w:tcPr>
          <w:p w14:paraId="4839FB2F">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37FF3C6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0.4</w:t>
            </w:r>
          </w:p>
        </w:tc>
        <w:tc>
          <w:tcPr>
            <w:tcW w:w="1418" w:type="dxa"/>
            <w:shd w:val="clear" w:color="auto" w:fill="auto"/>
            <w:vAlign w:val="center"/>
          </w:tcPr>
          <w:p w14:paraId="51B67295">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62" w:type="dxa"/>
            <w:shd w:val="clear" w:color="auto" w:fill="auto"/>
            <w:vAlign w:val="center"/>
          </w:tcPr>
          <w:p w14:paraId="62BB61A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0.4</w:t>
            </w:r>
          </w:p>
        </w:tc>
        <w:tc>
          <w:tcPr>
            <w:tcW w:w="1337" w:type="dxa"/>
            <w:shd w:val="clear" w:color="auto" w:fill="auto"/>
            <w:vAlign w:val="center"/>
          </w:tcPr>
          <w:p w14:paraId="4CFB8A7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0.4</w:t>
            </w:r>
          </w:p>
        </w:tc>
      </w:tr>
      <w:tr w14:paraId="724DC3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shd w:val="clear" w:color="auto" w:fill="auto"/>
            <w:vAlign w:val="center"/>
          </w:tcPr>
          <w:p w14:paraId="10F5EE0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en-US"/>
              </w:rPr>
            </w:pPr>
          </w:p>
        </w:tc>
        <w:tc>
          <w:tcPr>
            <w:tcW w:w="2850" w:type="dxa"/>
            <w:shd w:val="clear" w:color="auto" w:fill="auto"/>
            <w:vAlign w:val="center"/>
          </w:tcPr>
          <w:p w14:paraId="058CF31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废化学品包装</w:t>
            </w:r>
          </w:p>
        </w:tc>
        <w:tc>
          <w:tcPr>
            <w:tcW w:w="1554" w:type="dxa"/>
            <w:shd w:val="clear" w:color="auto" w:fill="auto"/>
            <w:vAlign w:val="center"/>
          </w:tcPr>
          <w:p w14:paraId="1DB4901C">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255" w:type="dxa"/>
            <w:shd w:val="clear" w:color="auto" w:fill="auto"/>
            <w:vAlign w:val="center"/>
          </w:tcPr>
          <w:p w14:paraId="79CF610E">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486" w:type="dxa"/>
            <w:shd w:val="clear" w:color="auto" w:fill="auto"/>
            <w:vAlign w:val="center"/>
          </w:tcPr>
          <w:p w14:paraId="57C879A9">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14" w:type="dxa"/>
            <w:shd w:val="clear" w:color="auto" w:fill="auto"/>
            <w:vAlign w:val="center"/>
          </w:tcPr>
          <w:p w14:paraId="77C89FEC">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0.2</w:t>
            </w:r>
          </w:p>
        </w:tc>
        <w:tc>
          <w:tcPr>
            <w:tcW w:w="1418" w:type="dxa"/>
            <w:shd w:val="clear" w:color="auto" w:fill="auto"/>
            <w:vAlign w:val="center"/>
          </w:tcPr>
          <w:p w14:paraId="5586F334">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1562" w:type="dxa"/>
            <w:shd w:val="clear" w:color="auto" w:fill="auto"/>
            <w:vAlign w:val="center"/>
          </w:tcPr>
          <w:p w14:paraId="271A02A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0.2</w:t>
            </w:r>
          </w:p>
        </w:tc>
        <w:tc>
          <w:tcPr>
            <w:tcW w:w="1337" w:type="dxa"/>
            <w:shd w:val="clear" w:color="auto" w:fill="auto"/>
            <w:vAlign w:val="center"/>
          </w:tcPr>
          <w:p w14:paraId="1F0869A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0.2</w:t>
            </w:r>
          </w:p>
        </w:tc>
      </w:tr>
      <w:tr w14:paraId="411DE0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355A099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2850" w:type="dxa"/>
            <w:shd w:val="clear" w:color="auto" w:fill="auto"/>
            <w:vAlign w:val="center"/>
          </w:tcPr>
          <w:p w14:paraId="524A2074">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废过滤物</w:t>
            </w:r>
          </w:p>
        </w:tc>
        <w:tc>
          <w:tcPr>
            <w:tcW w:w="1554" w:type="dxa"/>
            <w:shd w:val="clear" w:color="auto" w:fill="auto"/>
            <w:vAlign w:val="center"/>
          </w:tcPr>
          <w:p w14:paraId="69452FB9">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255" w:type="dxa"/>
            <w:shd w:val="clear" w:color="auto" w:fill="auto"/>
            <w:vAlign w:val="center"/>
          </w:tcPr>
          <w:p w14:paraId="226F1F5E">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486" w:type="dxa"/>
            <w:shd w:val="clear" w:color="auto" w:fill="auto"/>
            <w:vAlign w:val="center"/>
          </w:tcPr>
          <w:p w14:paraId="573C85D1">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514" w:type="dxa"/>
            <w:shd w:val="clear" w:color="auto" w:fill="auto"/>
            <w:vAlign w:val="center"/>
          </w:tcPr>
          <w:p w14:paraId="417A88BC">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0.8</w:t>
            </w:r>
          </w:p>
        </w:tc>
        <w:tc>
          <w:tcPr>
            <w:tcW w:w="1418" w:type="dxa"/>
            <w:shd w:val="clear" w:color="auto" w:fill="auto"/>
            <w:vAlign w:val="center"/>
          </w:tcPr>
          <w:p w14:paraId="21423B8A">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snapToGrid w:val="0"/>
                <w:color w:val="auto"/>
                <w:kern w:val="21"/>
                <w:sz w:val="21"/>
                <w:szCs w:val="21"/>
                <w:highlight w:val="none"/>
                <w:lang w:val="en-US" w:eastAsia="zh-CN"/>
              </w:rPr>
              <w:t>/</w:t>
            </w:r>
          </w:p>
        </w:tc>
        <w:tc>
          <w:tcPr>
            <w:tcW w:w="1562" w:type="dxa"/>
            <w:shd w:val="clear" w:color="auto" w:fill="auto"/>
            <w:vAlign w:val="center"/>
          </w:tcPr>
          <w:p w14:paraId="69AB234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0.8</w:t>
            </w:r>
          </w:p>
        </w:tc>
        <w:tc>
          <w:tcPr>
            <w:tcW w:w="1337" w:type="dxa"/>
            <w:shd w:val="clear" w:color="auto" w:fill="auto"/>
            <w:vAlign w:val="center"/>
          </w:tcPr>
          <w:p w14:paraId="6F8E291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0.8</w:t>
            </w:r>
          </w:p>
        </w:tc>
      </w:tr>
      <w:tr w14:paraId="247FC2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6B369C0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0" w:type="auto"/>
            <w:shd w:val="clear" w:color="auto" w:fill="auto"/>
            <w:vAlign w:val="center"/>
          </w:tcPr>
          <w:p w14:paraId="656F3EE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废水处理污泥</w:t>
            </w:r>
          </w:p>
        </w:tc>
        <w:tc>
          <w:tcPr>
            <w:tcW w:w="0" w:type="auto"/>
            <w:shd w:val="clear" w:color="auto" w:fill="auto"/>
            <w:vAlign w:val="center"/>
          </w:tcPr>
          <w:p w14:paraId="0010B448">
            <w:pPr>
              <w:pStyle w:val="49"/>
              <w:keepNext w:val="0"/>
              <w:keepLines w:val="0"/>
              <w:pageBreakBefore w:val="0"/>
              <w:kinsoku/>
              <w:wordWrap/>
              <w:overflowPunct/>
              <w:topLinePunct w:val="0"/>
              <w:autoSpaceDE/>
              <w:autoSpaceDN/>
              <w:bidi w:val="0"/>
              <w:spacing w:beforeLines="0" w:afterLines="0" w:line="240" w:lineRule="auto"/>
              <w:ind w:left="0" w:leftChars="0"/>
              <w:rPr>
                <w:rFonts w:hint="eastAsia" w:ascii="Times New Roman" w:hAnsi="Times New Roman" w:eastAsia="宋体" w:cs="Times New Roman"/>
                <w:color w:val="auto"/>
                <w:kern w:val="0"/>
                <w:sz w:val="21"/>
                <w:szCs w:val="21"/>
                <w:highlight w:val="none"/>
                <w:lang w:val="en-US" w:eastAsia="zh-CN" w:bidi="ar-SA"/>
              </w:rPr>
            </w:pPr>
            <w:r>
              <w:rPr>
                <w:rFonts w:ascii="Times New Roman" w:hAnsi="Times New Roman" w:eastAsia="宋体"/>
                <w:snapToGrid w:val="0"/>
                <w:color w:val="auto"/>
                <w:kern w:val="21"/>
                <w:sz w:val="21"/>
                <w:szCs w:val="21"/>
                <w:highlight w:val="none"/>
              </w:rPr>
              <w:t>/</w:t>
            </w:r>
          </w:p>
        </w:tc>
        <w:tc>
          <w:tcPr>
            <w:tcW w:w="0" w:type="auto"/>
            <w:shd w:val="clear" w:color="auto" w:fill="auto"/>
            <w:vAlign w:val="center"/>
          </w:tcPr>
          <w:p w14:paraId="13E840B1">
            <w:pPr>
              <w:pStyle w:val="49"/>
              <w:keepNext w:val="0"/>
              <w:keepLines w:val="0"/>
              <w:pageBreakBefore w:val="0"/>
              <w:kinsoku/>
              <w:wordWrap/>
              <w:overflowPunct/>
              <w:topLinePunct w:val="0"/>
              <w:autoSpaceDE/>
              <w:autoSpaceDN/>
              <w:bidi w:val="0"/>
              <w:spacing w:beforeLines="0" w:afterLines="0" w:line="240" w:lineRule="auto"/>
              <w:ind w:left="0" w:leftChars="0"/>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snapToGrid w:val="0"/>
                <w:color w:val="auto"/>
                <w:kern w:val="21"/>
                <w:sz w:val="21"/>
                <w:szCs w:val="21"/>
                <w:highlight w:val="none"/>
              </w:rPr>
              <w:t>/</w:t>
            </w:r>
          </w:p>
        </w:tc>
        <w:tc>
          <w:tcPr>
            <w:tcW w:w="0" w:type="auto"/>
            <w:shd w:val="clear" w:color="auto" w:fill="auto"/>
            <w:vAlign w:val="center"/>
          </w:tcPr>
          <w:p w14:paraId="6C127FD1">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0" w:type="auto"/>
            <w:shd w:val="clear" w:color="auto" w:fill="auto"/>
            <w:vAlign w:val="center"/>
          </w:tcPr>
          <w:p w14:paraId="5D89C7B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0.95</w:t>
            </w:r>
          </w:p>
        </w:tc>
        <w:tc>
          <w:tcPr>
            <w:tcW w:w="0" w:type="auto"/>
            <w:shd w:val="clear" w:color="auto" w:fill="auto"/>
            <w:vAlign w:val="center"/>
          </w:tcPr>
          <w:p w14:paraId="39C430F7">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0" w:type="auto"/>
            <w:shd w:val="clear" w:color="auto" w:fill="auto"/>
            <w:vAlign w:val="center"/>
          </w:tcPr>
          <w:p w14:paraId="62FEB0E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0.95</w:t>
            </w:r>
          </w:p>
        </w:tc>
        <w:tc>
          <w:tcPr>
            <w:tcW w:w="0" w:type="auto"/>
            <w:shd w:val="clear" w:color="auto" w:fill="auto"/>
            <w:vAlign w:val="center"/>
          </w:tcPr>
          <w:p w14:paraId="166FCD9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0.95</w:t>
            </w:r>
          </w:p>
        </w:tc>
      </w:tr>
      <w:tr w14:paraId="7CFF79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0FBB7179">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0" w:type="auto"/>
            <w:shd w:val="clear" w:color="auto" w:fill="auto"/>
            <w:vAlign w:val="center"/>
          </w:tcPr>
          <w:p w14:paraId="6DB7D7D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废活性炭</w:t>
            </w:r>
          </w:p>
        </w:tc>
        <w:tc>
          <w:tcPr>
            <w:tcW w:w="0" w:type="auto"/>
            <w:shd w:val="clear" w:color="auto" w:fill="auto"/>
            <w:vAlign w:val="center"/>
          </w:tcPr>
          <w:p w14:paraId="23703178">
            <w:pPr>
              <w:pStyle w:val="49"/>
              <w:keepNext w:val="0"/>
              <w:keepLines w:val="0"/>
              <w:pageBreakBefore w:val="0"/>
              <w:kinsoku/>
              <w:wordWrap/>
              <w:overflowPunct/>
              <w:topLinePunct w:val="0"/>
              <w:autoSpaceDE/>
              <w:autoSpaceDN/>
              <w:bidi w:val="0"/>
              <w:spacing w:beforeLines="0" w:afterLines="0" w:line="240" w:lineRule="auto"/>
              <w:ind w:left="0" w:leftChars="0"/>
              <w:rPr>
                <w:rFonts w:hint="eastAsia" w:ascii="Times New Roman" w:hAnsi="Times New Roman" w:eastAsia="宋体" w:cs="Times New Roman"/>
                <w:color w:val="auto"/>
                <w:kern w:val="0"/>
                <w:sz w:val="21"/>
                <w:szCs w:val="21"/>
                <w:highlight w:val="none"/>
                <w:lang w:val="en-US" w:eastAsia="zh-CN" w:bidi="ar-SA"/>
              </w:rPr>
            </w:pPr>
            <w:r>
              <w:rPr>
                <w:rFonts w:ascii="Times New Roman" w:hAnsi="Times New Roman" w:eastAsia="宋体"/>
                <w:snapToGrid w:val="0"/>
                <w:color w:val="auto"/>
                <w:kern w:val="21"/>
                <w:sz w:val="21"/>
                <w:szCs w:val="21"/>
                <w:highlight w:val="none"/>
              </w:rPr>
              <w:t>/</w:t>
            </w:r>
          </w:p>
        </w:tc>
        <w:tc>
          <w:tcPr>
            <w:tcW w:w="0" w:type="auto"/>
            <w:shd w:val="clear" w:color="auto" w:fill="auto"/>
            <w:vAlign w:val="center"/>
          </w:tcPr>
          <w:p w14:paraId="17304D27">
            <w:pPr>
              <w:pStyle w:val="49"/>
              <w:keepNext w:val="0"/>
              <w:keepLines w:val="0"/>
              <w:pageBreakBefore w:val="0"/>
              <w:kinsoku/>
              <w:wordWrap/>
              <w:overflowPunct/>
              <w:topLinePunct w:val="0"/>
              <w:autoSpaceDE/>
              <w:autoSpaceDN/>
              <w:bidi w:val="0"/>
              <w:spacing w:beforeLines="0" w:afterLines="0" w:line="240" w:lineRule="auto"/>
              <w:ind w:left="0" w:leftChars="0"/>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snapToGrid w:val="0"/>
                <w:color w:val="auto"/>
                <w:kern w:val="21"/>
                <w:sz w:val="21"/>
                <w:szCs w:val="21"/>
                <w:highlight w:val="none"/>
              </w:rPr>
              <w:t>/</w:t>
            </w:r>
          </w:p>
        </w:tc>
        <w:tc>
          <w:tcPr>
            <w:tcW w:w="0" w:type="auto"/>
            <w:shd w:val="clear" w:color="auto" w:fill="auto"/>
            <w:vAlign w:val="center"/>
          </w:tcPr>
          <w:p w14:paraId="2187B8A1">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0" w:type="auto"/>
            <w:shd w:val="clear" w:color="auto" w:fill="auto"/>
            <w:vAlign w:val="center"/>
          </w:tcPr>
          <w:p w14:paraId="2F1A7103">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hint="eastAsia" w:ascii="Times New Roman" w:hAnsi="Times New Roman" w:cs="宋体"/>
                <w:color w:val="auto"/>
                <w:spacing w:val="7"/>
                <w:sz w:val="21"/>
                <w:lang w:val="en-US" w:eastAsia="zh-CN"/>
              </w:rPr>
              <w:t>3.6355</w:t>
            </w:r>
          </w:p>
        </w:tc>
        <w:tc>
          <w:tcPr>
            <w:tcW w:w="0" w:type="auto"/>
            <w:shd w:val="clear" w:color="auto" w:fill="auto"/>
            <w:vAlign w:val="center"/>
          </w:tcPr>
          <w:p w14:paraId="2FC05C64">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0" w:type="auto"/>
            <w:shd w:val="clear" w:color="auto" w:fill="auto"/>
            <w:vAlign w:val="center"/>
          </w:tcPr>
          <w:p w14:paraId="55BEDBC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cs="宋体"/>
                <w:color w:val="auto"/>
                <w:spacing w:val="7"/>
                <w:sz w:val="21"/>
                <w:lang w:val="en-US" w:eastAsia="zh-CN"/>
              </w:rPr>
              <w:t>3.6355</w:t>
            </w:r>
          </w:p>
        </w:tc>
        <w:tc>
          <w:tcPr>
            <w:tcW w:w="0" w:type="auto"/>
            <w:shd w:val="clear" w:color="auto" w:fill="auto"/>
            <w:vAlign w:val="center"/>
          </w:tcPr>
          <w:p w14:paraId="7ADC03F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hint="eastAsia" w:ascii="Times New Roman" w:hAnsi="Times New Roman" w:cs="宋体"/>
                <w:color w:val="auto"/>
                <w:spacing w:val="7"/>
                <w:sz w:val="21"/>
                <w:lang w:val="en-US" w:eastAsia="zh-CN"/>
              </w:rPr>
              <w:t>3.6355</w:t>
            </w:r>
          </w:p>
        </w:tc>
      </w:tr>
      <w:tr w14:paraId="129B3E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E85B14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0" w:type="auto"/>
            <w:shd w:val="clear" w:color="auto" w:fill="auto"/>
            <w:vAlign w:val="center"/>
          </w:tcPr>
          <w:p w14:paraId="35044EA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废机油</w:t>
            </w:r>
          </w:p>
        </w:tc>
        <w:tc>
          <w:tcPr>
            <w:tcW w:w="0" w:type="auto"/>
            <w:shd w:val="clear" w:color="auto" w:fill="auto"/>
            <w:vAlign w:val="center"/>
          </w:tcPr>
          <w:p w14:paraId="5B7BADF5">
            <w:pPr>
              <w:pStyle w:val="49"/>
              <w:keepNext w:val="0"/>
              <w:keepLines w:val="0"/>
              <w:pageBreakBefore w:val="0"/>
              <w:kinsoku/>
              <w:wordWrap/>
              <w:overflowPunct/>
              <w:topLinePunct w:val="0"/>
              <w:autoSpaceDE/>
              <w:autoSpaceDN/>
              <w:bidi w:val="0"/>
              <w:spacing w:beforeLines="0" w:afterLines="0" w:line="240" w:lineRule="auto"/>
              <w:ind w:left="0" w:leftChars="0"/>
              <w:rPr>
                <w:rFonts w:hint="eastAsia" w:ascii="Times New Roman" w:hAnsi="Times New Roman" w:eastAsia="宋体" w:cs="Times New Roman"/>
                <w:color w:val="auto"/>
                <w:kern w:val="0"/>
                <w:sz w:val="21"/>
                <w:szCs w:val="21"/>
                <w:highlight w:val="none"/>
                <w:lang w:val="en-US" w:eastAsia="zh-CN" w:bidi="ar-SA"/>
              </w:rPr>
            </w:pPr>
            <w:r>
              <w:rPr>
                <w:rFonts w:ascii="Times New Roman" w:hAnsi="Times New Roman" w:eastAsia="宋体"/>
                <w:snapToGrid w:val="0"/>
                <w:color w:val="auto"/>
                <w:kern w:val="21"/>
                <w:sz w:val="21"/>
                <w:szCs w:val="21"/>
                <w:highlight w:val="none"/>
              </w:rPr>
              <w:t>/</w:t>
            </w:r>
          </w:p>
        </w:tc>
        <w:tc>
          <w:tcPr>
            <w:tcW w:w="0" w:type="auto"/>
            <w:shd w:val="clear" w:color="auto" w:fill="auto"/>
            <w:vAlign w:val="center"/>
          </w:tcPr>
          <w:p w14:paraId="61D15C96">
            <w:pPr>
              <w:pStyle w:val="49"/>
              <w:keepNext w:val="0"/>
              <w:keepLines w:val="0"/>
              <w:pageBreakBefore w:val="0"/>
              <w:kinsoku/>
              <w:wordWrap/>
              <w:overflowPunct/>
              <w:topLinePunct w:val="0"/>
              <w:autoSpaceDE/>
              <w:autoSpaceDN/>
              <w:bidi w:val="0"/>
              <w:spacing w:beforeLines="0" w:afterLines="0" w:line="240" w:lineRule="auto"/>
              <w:ind w:left="0" w:leftChars="0"/>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snapToGrid w:val="0"/>
                <w:color w:val="auto"/>
                <w:kern w:val="21"/>
                <w:sz w:val="21"/>
                <w:szCs w:val="21"/>
                <w:highlight w:val="none"/>
              </w:rPr>
              <w:t>/</w:t>
            </w:r>
          </w:p>
        </w:tc>
        <w:tc>
          <w:tcPr>
            <w:tcW w:w="0" w:type="auto"/>
            <w:shd w:val="clear" w:color="auto" w:fill="auto"/>
            <w:vAlign w:val="center"/>
          </w:tcPr>
          <w:p w14:paraId="222933E3">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0" w:type="auto"/>
            <w:shd w:val="clear" w:color="auto" w:fill="auto"/>
            <w:vAlign w:val="center"/>
          </w:tcPr>
          <w:p w14:paraId="3EEE7C1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0.2</w:t>
            </w:r>
          </w:p>
        </w:tc>
        <w:tc>
          <w:tcPr>
            <w:tcW w:w="0" w:type="auto"/>
            <w:shd w:val="clear" w:color="auto" w:fill="auto"/>
            <w:vAlign w:val="center"/>
          </w:tcPr>
          <w:p w14:paraId="63028BE5">
            <w:pPr>
              <w:keepNext w:val="0"/>
              <w:keepLines w:val="0"/>
              <w:pageBreakBefore w:val="0"/>
              <w:widowControl/>
              <w:kinsoku/>
              <w:wordWrap/>
              <w:overflowPunct/>
              <w:topLinePunct w:val="0"/>
              <w:autoSpaceDE/>
              <w:autoSpaceDN/>
              <w:bidi w:val="0"/>
              <w:spacing w:line="240" w:lineRule="auto"/>
              <w:ind w:left="0" w:leftChars="0"/>
              <w:jc w:val="center"/>
              <w:textAlignment w:val="bottom"/>
              <w:rPr>
                <w:rFonts w:hint="eastAsia" w:ascii="Times New Roman" w:hAnsi="Times New Roman" w:eastAsia="宋体" w:cs="Times New Roman"/>
                <w:snapToGrid w:val="0"/>
                <w:color w:val="auto"/>
                <w:kern w:val="21"/>
                <w:sz w:val="21"/>
                <w:szCs w:val="21"/>
                <w:highlight w:val="none"/>
                <w:lang w:val="en-US" w:eastAsia="zh-CN" w:bidi="ar-SA"/>
              </w:rPr>
            </w:pPr>
            <w:r>
              <w:rPr>
                <w:rFonts w:ascii="Times New Roman" w:hAnsi="Times New Roman" w:eastAsia="宋体"/>
                <w:color w:val="auto"/>
                <w:kern w:val="0"/>
                <w:sz w:val="21"/>
                <w:szCs w:val="21"/>
                <w:highlight w:val="none"/>
                <w:lang w:bidi="ar"/>
              </w:rPr>
              <w:t>/</w:t>
            </w:r>
          </w:p>
        </w:tc>
        <w:tc>
          <w:tcPr>
            <w:tcW w:w="0" w:type="auto"/>
            <w:shd w:val="clear" w:color="auto" w:fill="auto"/>
            <w:vAlign w:val="center"/>
          </w:tcPr>
          <w:p w14:paraId="43CC241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0.2</w:t>
            </w:r>
          </w:p>
        </w:tc>
        <w:tc>
          <w:tcPr>
            <w:tcW w:w="0" w:type="auto"/>
            <w:shd w:val="clear" w:color="auto" w:fill="auto"/>
            <w:vAlign w:val="center"/>
          </w:tcPr>
          <w:p w14:paraId="16C8149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0.2</w:t>
            </w:r>
          </w:p>
        </w:tc>
      </w:tr>
      <w:tr w14:paraId="7869C5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30DF607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0" w:type="auto"/>
            <w:shd w:val="clear" w:color="auto" w:fill="auto"/>
            <w:vAlign w:val="center"/>
          </w:tcPr>
          <w:p w14:paraId="42307840">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废油桶</w:t>
            </w:r>
          </w:p>
        </w:tc>
        <w:tc>
          <w:tcPr>
            <w:tcW w:w="0" w:type="auto"/>
            <w:shd w:val="clear" w:color="auto" w:fill="auto"/>
            <w:vAlign w:val="center"/>
          </w:tcPr>
          <w:p w14:paraId="35C2F03E">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1796A43F">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7DB0F4E4">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1679613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0.2</w:t>
            </w:r>
          </w:p>
        </w:tc>
        <w:tc>
          <w:tcPr>
            <w:tcW w:w="0" w:type="auto"/>
            <w:shd w:val="clear" w:color="auto" w:fill="auto"/>
            <w:vAlign w:val="center"/>
          </w:tcPr>
          <w:p w14:paraId="75639EBD">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6AAD966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0.2</w:t>
            </w:r>
          </w:p>
        </w:tc>
        <w:tc>
          <w:tcPr>
            <w:tcW w:w="0" w:type="auto"/>
            <w:shd w:val="clear" w:color="auto" w:fill="auto"/>
            <w:vAlign w:val="center"/>
          </w:tcPr>
          <w:p w14:paraId="7310711B">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0.2</w:t>
            </w:r>
          </w:p>
        </w:tc>
      </w:tr>
      <w:tr w14:paraId="750001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463F272">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0" w:type="auto"/>
            <w:shd w:val="clear" w:color="auto" w:fill="auto"/>
            <w:vAlign w:val="center"/>
          </w:tcPr>
          <w:p w14:paraId="01BFE00E">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废弃纯水制备耗材</w:t>
            </w:r>
          </w:p>
        </w:tc>
        <w:tc>
          <w:tcPr>
            <w:tcW w:w="0" w:type="auto"/>
            <w:shd w:val="clear" w:color="auto" w:fill="auto"/>
            <w:vAlign w:val="center"/>
          </w:tcPr>
          <w:p w14:paraId="669CF327">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72A1F12B">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3D152DCA">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4BD2155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0.1</w:t>
            </w:r>
          </w:p>
        </w:tc>
        <w:tc>
          <w:tcPr>
            <w:tcW w:w="0" w:type="auto"/>
            <w:shd w:val="clear" w:color="auto" w:fill="auto"/>
            <w:vAlign w:val="center"/>
          </w:tcPr>
          <w:p w14:paraId="7DAB984F">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39508B3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0.1</w:t>
            </w:r>
          </w:p>
        </w:tc>
        <w:tc>
          <w:tcPr>
            <w:tcW w:w="0" w:type="auto"/>
            <w:shd w:val="clear" w:color="auto" w:fill="auto"/>
            <w:vAlign w:val="center"/>
          </w:tcPr>
          <w:p w14:paraId="742172D2">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0.1</w:t>
            </w:r>
          </w:p>
        </w:tc>
      </w:tr>
      <w:tr w14:paraId="77A934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24FC4191">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rPr>
            </w:pPr>
          </w:p>
        </w:tc>
        <w:tc>
          <w:tcPr>
            <w:tcW w:w="0" w:type="auto"/>
            <w:shd w:val="clear" w:color="auto" w:fill="auto"/>
            <w:vAlign w:val="center"/>
          </w:tcPr>
          <w:p w14:paraId="1C908B3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en-US"/>
              </w:rPr>
            </w:pPr>
            <w:r>
              <w:rPr>
                <w:rFonts w:ascii="Times New Roman" w:hAnsi="Times New Roman" w:eastAsia="宋体" w:cs="宋体"/>
                <w:color w:val="auto"/>
                <w:spacing w:val="7"/>
                <w:sz w:val="21"/>
              </w:rPr>
              <w:t>废滤膜</w:t>
            </w:r>
          </w:p>
        </w:tc>
        <w:tc>
          <w:tcPr>
            <w:tcW w:w="0" w:type="auto"/>
            <w:shd w:val="clear" w:color="auto" w:fill="auto"/>
            <w:vAlign w:val="center"/>
          </w:tcPr>
          <w:p w14:paraId="6A639CE6">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1A886148">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577832EB">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03EAEE1D">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0.4</w:t>
            </w:r>
          </w:p>
        </w:tc>
        <w:tc>
          <w:tcPr>
            <w:tcW w:w="0" w:type="auto"/>
            <w:shd w:val="clear" w:color="auto" w:fill="auto"/>
            <w:vAlign w:val="center"/>
          </w:tcPr>
          <w:p w14:paraId="39920C0A">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5C717CEA">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0.4</w:t>
            </w:r>
          </w:p>
        </w:tc>
        <w:tc>
          <w:tcPr>
            <w:tcW w:w="0" w:type="auto"/>
            <w:shd w:val="clear" w:color="auto" w:fill="auto"/>
            <w:vAlign w:val="center"/>
          </w:tcPr>
          <w:p w14:paraId="5335A697">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0.4</w:t>
            </w:r>
          </w:p>
        </w:tc>
      </w:tr>
      <w:tr w14:paraId="75678C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812" w:type="dxa"/>
            <w:vMerge w:val="continue"/>
            <w:vAlign w:val="center"/>
          </w:tcPr>
          <w:p w14:paraId="7E9EE834">
            <w:pPr>
              <w:pStyle w:val="49"/>
              <w:keepNext w:val="0"/>
              <w:keepLines w:val="0"/>
              <w:pageBreakBefore w:val="0"/>
              <w:widowControl w:val="0"/>
              <w:kinsoku/>
              <w:wordWrap/>
              <w:overflowPunct/>
              <w:topLinePunct w:val="0"/>
              <w:autoSpaceDE/>
              <w:autoSpaceDN/>
              <w:bidi w:val="0"/>
              <w:adjustRightInd/>
              <w:snapToGrid/>
              <w:spacing w:beforeLines="0" w:afterLines="0" w:line="240" w:lineRule="auto"/>
              <w:ind w:left="0"/>
              <w:jc w:val="center"/>
              <w:textAlignment w:val="auto"/>
              <w:rPr>
                <w:rFonts w:ascii="Times New Roman" w:hAnsi="Times New Roman" w:eastAsia="宋体"/>
                <w:snapToGrid w:val="0"/>
                <w:color w:val="auto"/>
                <w:kern w:val="21"/>
                <w:sz w:val="21"/>
                <w:szCs w:val="21"/>
                <w:highlight w:val="none"/>
              </w:rPr>
            </w:pPr>
          </w:p>
        </w:tc>
        <w:tc>
          <w:tcPr>
            <w:tcW w:w="0" w:type="auto"/>
            <w:shd w:val="clear" w:color="auto" w:fill="auto"/>
            <w:vAlign w:val="center"/>
          </w:tcPr>
          <w:p w14:paraId="56DA0DB5">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ascii="Times New Roman" w:hAnsi="Times New Roman" w:eastAsia="宋体" w:cs="宋体"/>
                <w:color w:val="auto"/>
                <w:spacing w:val="7"/>
                <w:sz w:val="21"/>
                <w:lang w:val="en-US" w:eastAsia="en-US"/>
              </w:rPr>
            </w:pPr>
            <w:r>
              <w:rPr>
                <w:rFonts w:ascii="Times New Roman" w:hAnsi="Times New Roman" w:eastAsia="宋体" w:cs="宋体"/>
                <w:color w:val="auto"/>
                <w:spacing w:val="7"/>
                <w:sz w:val="21"/>
              </w:rPr>
              <w:t>废含油抹布手套</w:t>
            </w:r>
          </w:p>
        </w:tc>
        <w:tc>
          <w:tcPr>
            <w:tcW w:w="0" w:type="auto"/>
            <w:shd w:val="clear" w:color="auto" w:fill="auto"/>
            <w:vAlign w:val="center"/>
          </w:tcPr>
          <w:p w14:paraId="613D93FD">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137724D8">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070310E1">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4CE07136">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宋体"/>
                <w:color w:val="auto"/>
                <w:spacing w:val="7"/>
                <w:sz w:val="21"/>
                <w:lang w:val="en-US" w:eastAsia="zh-CN"/>
              </w:rPr>
            </w:pPr>
            <w:r>
              <w:rPr>
                <w:rFonts w:ascii="Times New Roman" w:hAnsi="Times New Roman" w:eastAsia="宋体" w:cs="宋体"/>
                <w:color w:val="auto"/>
                <w:spacing w:val="7"/>
                <w:sz w:val="21"/>
              </w:rPr>
              <w:t>0.4</w:t>
            </w:r>
          </w:p>
        </w:tc>
        <w:tc>
          <w:tcPr>
            <w:tcW w:w="0" w:type="auto"/>
            <w:shd w:val="clear" w:color="auto" w:fill="auto"/>
            <w:vAlign w:val="center"/>
          </w:tcPr>
          <w:p w14:paraId="19843104">
            <w:pPr>
              <w:keepNext w:val="0"/>
              <w:keepLines w:val="0"/>
              <w:pageBreakBefore w:val="0"/>
              <w:widowControl/>
              <w:suppressLineNumbers w:val="0"/>
              <w:kinsoku/>
              <w:wordWrap/>
              <w:overflowPunct/>
              <w:topLinePunct w:val="0"/>
              <w:autoSpaceDE/>
              <w:autoSpaceDN/>
              <w:bidi w:val="0"/>
              <w:spacing w:line="240" w:lineRule="auto"/>
              <w:ind w:left="0" w:leftChars="0"/>
              <w:jc w:val="center"/>
              <w:textAlignment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0" w:type="auto"/>
            <w:shd w:val="clear" w:color="auto" w:fill="auto"/>
            <w:vAlign w:val="center"/>
          </w:tcPr>
          <w:p w14:paraId="50E2B7FF">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ascii="Times New Roman" w:hAnsi="Times New Roman" w:eastAsia="宋体" w:cs="宋体"/>
                <w:color w:val="auto"/>
                <w:spacing w:val="7"/>
                <w:sz w:val="21"/>
              </w:rPr>
              <w:t>0.4</w:t>
            </w:r>
          </w:p>
        </w:tc>
        <w:tc>
          <w:tcPr>
            <w:tcW w:w="0" w:type="auto"/>
            <w:shd w:val="clear" w:color="auto" w:fill="auto"/>
            <w:vAlign w:val="center"/>
          </w:tcPr>
          <w:p w14:paraId="7AEDA4B8">
            <w:pPr>
              <w:pStyle w:val="113"/>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宋体"/>
                <w:color w:val="auto"/>
                <w:spacing w:val="7"/>
                <w:kern w:val="2"/>
                <w:sz w:val="21"/>
                <w:szCs w:val="24"/>
                <w:lang w:val="en-US" w:eastAsia="zh-CN" w:bidi="ar-SA"/>
              </w:rPr>
            </w:pPr>
            <w:r>
              <w:rPr>
                <w:rFonts w:hint="eastAsia" w:ascii="Times New Roman" w:hAnsi="Times New Roman" w:eastAsia="宋体" w:cs="宋体"/>
                <w:color w:val="auto"/>
                <w:spacing w:val="7"/>
                <w:sz w:val="21"/>
                <w:lang w:val="en-US" w:eastAsia="zh-CN"/>
              </w:rPr>
              <w:t>+</w:t>
            </w:r>
            <w:r>
              <w:rPr>
                <w:rFonts w:ascii="Times New Roman" w:hAnsi="Times New Roman" w:eastAsia="宋体" w:cs="宋体"/>
                <w:color w:val="auto"/>
                <w:spacing w:val="7"/>
                <w:sz w:val="21"/>
              </w:rPr>
              <w:t>0.4</w:t>
            </w:r>
          </w:p>
        </w:tc>
      </w:tr>
    </w:tbl>
    <w:p w14:paraId="7359C743">
      <w:pPr>
        <w:pStyle w:val="49"/>
        <w:keepNext w:val="0"/>
        <w:keepLines w:val="0"/>
        <w:pageBreakBefore w:val="0"/>
        <w:widowControl w:val="0"/>
        <w:kinsoku/>
        <w:wordWrap/>
        <w:overflowPunct/>
        <w:topLinePunct w:val="0"/>
        <w:autoSpaceDE/>
        <w:autoSpaceDN/>
        <w:bidi w:val="0"/>
        <w:spacing w:before="192" w:beforeLines="80" w:after="24" w:line="240" w:lineRule="auto"/>
        <w:jc w:val="left"/>
        <w:textAlignment w:val="auto"/>
        <w:rPr>
          <w:color w:val="auto"/>
          <w:highlight w:val="magenta"/>
        </w:rPr>
      </w:pPr>
      <w:r>
        <w:rPr>
          <w:rFonts w:hAnsi="宋体"/>
          <w:snapToGrid w:val="0"/>
          <w:color w:val="auto"/>
          <w:kern w:val="21"/>
          <w:szCs w:val="21"/>
          <w:highlight w:val="none"/>
        </w:rPr>
        <w:t>注：</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3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③</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4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④</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5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⑤</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7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⑦</w:t>
      </w:r>
      <w:r>
        <w:rPr>
          <w:rFonts w:hAnsi="宋体"/>
          <w:snapToGrid w:val="0"/>
          <w:color w:val="auto"/>
          <w:spacing w:val="-6"/>
          <w:kern w:val="21"/>
          <w:szCs w:val="21"/>
          <w:highlight w:val="none"/>
        </w:rPr>
        <w:fldChar w:fldCharType="end"/>
      </w:r>
      <w:r>
        <w:rPr>
          <w:rFonts w:hAnsi="宋体"/>
          <w:snapToGrid w:val="0"/>
          <w:color w:val="auto"/>
          <w:spacing w:val="-6"/>
          <w:kern w:val="21"/>
          <w:szCs w:val="21"/>
          <w:highlight w:val="none"/>
        </w:rPr>
        <w:t>=</w:t>
      </w:r>
      <w:r>
        <w:rPr>
          <w:rFonts w:hAnsi="宋体"/>
          <w:snapToGrid w:val="0"/>
          <w:color w:val="auto"/>
          <w:spacing w:val="-16"/>
          <w:kern w:val="21"/>
          <w:szCs w:val="21"/>
          <w:highlight w:val="none"/>
        </w:rPr>
        <w:fldChar w:fldCharType="begin"/>
      </w:r>
      <w:r>
        <w:rPr>
          <w:rFonts w:hAnsi="宋体"/>
          <w:snapToGrid w:val="0"/>
          <w:color w:val="auto"/>
          <w:spacing w:val="-16"/>
          <w:kern w:val="21"/>
          <w:szCs w:val="21"/>
          <w:highlight w:val="none"/>
        </w:rPr>
        <w:instrText xml:space="preserve"> = 6 \* GB3 \* MERGEFORMAT </w:instrText>
      </w:r>
      <w:r>
        <w:rPr>
          <w:rFonts w:hAnsi="宋体"/>
          <w:snapToGrid w:val="0"/>
          <w:color w:val="auto"/>
          <w:spacing w:val="-16"/>
          <w:kern w:val="21"/>
          <w:szCs w:val="21"/>
          <w:highlight w:val="none"/>
        </w:rPr>
        <w:fldChar w:fldCharType="separate"/>
      </w:r>
      <w:r>
        <w:rPr>
          <w:rFonts w:hint="eastAsia" w:hAnsi="宋体"/>
          <w:color w:val="auto"/>
          <w:szCs w:val="21"/>
          <w:highlight w:val="none"/>
        </w:rPr>
        <w:t>⑥</w:t>
      </w:r>
      <w:r>
        <w:rPr>
          <w:rFonts w:hAnsi="宋体"/>
          <w:snapToGrid w:val="0"/>
          <w:color w:val="auto"/>
          <w:spacing w:val="-16"/>
          <w:kern w:val="21"/>
          <w:szCs w:val="21"/>
          <w:highlight w:val="none"/>
        </w:rPr>
        <w:fldChar w:fldCharType="end"/>
      </w:r>
      <w:r>
        <w:rPr>
          <w:rFonts w:hAnsi="宋体"/>
          <w:snapToGrid w:val="0"/>
          <w:color w:val="auto"/>
          <w:spacing w:val="-16"/>
          <w:kern w:val="21"/>
          <w:szCs w:val="21"/>
          <w:highlight w:val="none"/>
        </w:rPr>
        <w:t>-</w:t>
      </w:r>
      <w:r>
        <w:rPr>
          <w:rFonts w:hAnsi="宋体"/>
          <w:snapToGrid w:val="0"/>
          <w:color w:val="auto"/>
          <w:spacing w:val="-6"/>
          <w:kern w:val="21"/>
          <w:szCs w:val="21"/>
          <w:highlight w:val="none"/>
        </w:rPr>
        <w:fldChar w:fldCharType="begin"/>
      </w:r>
      <w:r>
        <w:rPr>
          <w:rFonts w:hAnsi="宋体"/>
          <w:snapToGrid w:val="0"/>
          <w:color w:val="auto"/>
          <w:spacing w:val="-6"/>
          <w:kern w:val="21"/>
          <w:szCs w:val="21"/>
          <w:highlight w:val="none"/>
        </w:rPr>
        <w:instrText xml:space="preserve"> = 1 \* GB3 \* MERGEFORMAT </w:instrText>
      </w:r>
      <w:r>
        <w:rPr>
          <w:rFonts w:hAnsi="宋体"/>
          <w:snapToGrid w:val="0"/>
          <w:color w:val="auto"/>
          <w:spacing w:val="-6"/>
          <w:kern w:val="21"/>
          <w:szCs w:val="21"/>
          <w:highlight w:val="none"/>
        </w:rPr>
        <w:fldChar w:fldCharType="separate"/>
      </w:r>
      <w:r>
        <w:rPr>
          <w:rFonts w:hint="eastAsia" w:hAnsi="宋体"/>
          <w:color w:val="auto"/>
          <w:szCs w:val="21"/>
          <w:highlight w:val="none"/>
        </w:rPr>
        <w:t>①</w:t>
      </w:r>
      <w:r>
        <w:rPr>
          <w:rFonts w:hAnsi="宋体"/>
          <w:snapToGrid w:val="0"/>
          <w:color w:val="auto"/>
          <w:spacing w:val="-6"/>
          <w:kern w:val="21"/>
          <w:szCs w:val="21"/>
          <w:highlight w:val="none"/>
        </w:rPr>
        <w:fldChar w:fldCharType="end"/>
      </w:r>
    </w:p>
    <w:p w14:paraId="35A87EF4">
      <w:pPr>
        <w:keepNext w:val="0"/>
        <w:keepLines w:val="0"/>
        <w:pageBreakBefore w:val="0"/>
        <w:widowControl w:val="0"/>
        <w:kinsoku/>
        <w:wordWrap/>
        <w:overflowPunct/>
        <w:topLinePunct w:val="0"/>
        <w:autoSpaceDE/>
        <w:autoSpaceDN/>
        <w:bidi w:val="0"/>
        <w:spacing w:line="240" w:lineRule="exact"/>
        <w:textAlignment w:val="auto"/>
        <w:rPr>
          <w:color w:val="auto"/>
          <w:highlight w:val="none"/>
        </w:rPr>
        <w:sectPr>
          <w:footerReference r:id="rId7" w:type="default"/>
          <w:pgSz w:w="16838" w:h="11905" w:orient="landscape"/>
          <w:pgMar w:top="1247" w:right="1417" w:bottom="1247" w:left="1417" w:header="851" w:footer="1077" w:gutter="0"/>
          <w:pgBorders>
            <w:top w:val="none" w:sz="0" w:space="0"/>
            <w:left w:val="none" w:sz="0" w:space="0"/>
            <w:bottom w:val="none" w:sz="0" w:space="0"/>
            <w:right w:val="none" w:sz="0" w:space="0"/>
          </w:pgBorders>
          <w:pgNumType w:fmt="decimal"/>
          <w:cols w:space="0" w:num="1"/>
          <w:docGrid w:linePitch="312" w:charSpace="0"/>
        </w:sectPr>
      </w:pPr>
    </w:p>
    <w:p w14:paraId="54766F07">
      <w:pPr>
        <w:rPr>
          <w:rFonts w:hint="default"/>
          <w:lang w:val="en-US" w:eastAsia="zh-CN"/>
        </w:rPr>
      </w:pPr>
      <w:bookmarkStart w:id="90" w:name="_Toc20339"/>
      <w:bookmarkStart w:id="91" w:name="_Toc6336"/>
      <w:bookmarkStart w:id="92" w:name="_Toc17166"/>
    </w:p>
    <w:p w14:paraId="4CB82259">
      <w:pPr>
        <w:rPr>
          <w:rFonts w:hint="default"/>
          <w:color w:val="000000" w:themeColor="text1"/>
          <w:sz w:val="24"/>
          <w:szCs w:val="24"/>
          <w:lang w:val="en-US" w:eastAsia="zh-CN"/>
          <w14:textFill>
            <w14:solidFill>
              <w14:schemeClr w14:val="tx1"/>
            </w14:solidFill>
          </w14:textFill>
        </w:rPr>
      </w:pPr>
      <w:bookmarkStart w:id="93" w:name="_Toc14808"/>
      <w:r>
        <w:rPr>
          <w:rFonts w:hint="eastAsia"/>
          <w:color w:val="000000" w:themeColor="text1"/>
          <w:sz w:val="24"/>
          <w:szCs w:val="24"/>
          <w:lang w:val="en-US" w:eastAsia="zh-CN"/>
          <w14:textFill>
            <w14:solidFill>
              <w14:schemeClr w14:val="tx1"/>
            </w14:solidFill>
          </w14:textFill>
        </w:rPr>
        <w:t>关于环评文件公开文本删除的涉及国家秘密、商业秘密等内容的删除依据和理由说明</w:t>
      </w:r>
      <w:bookmarkEnd w:id="93"/>
    </w:p>
    <w:p w14:paraId="2FC9F7D0">
      <w:pPr>
        <w:rPr>
          <w:rFonts w:hint="default"/>
          <w:lang w:val="en-US" w:eastAsia="zh-CN"/>
        </w:rPr>
      </w:pPr>
      <w:r>
        <w:rPr>
          <w:rFonts w:hint="default"/>
          <w:lang w:val="en-US" w:eastAsia="zh-CN"/>
        </w:rPr>
        <w:drawing>
          <wp:inline distT="0" distB="0" distL="114300" distR="114300">
            <wp:extent cx="5615305" cy="7546340"/>
            <wp:effectExtent l="0" t="0" r="4445" b="16510"/>
            <wp:docPr id="205" name="图片 205" descr="授权委托书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授权委托书_06"/>
                    <pic:cNvPicPr>
                      <a:picLocks noChangeAspect="1"/>
                    </pic:cNvPicPr>
                  </pic:nvPicPr>
                  <pic:blipFill>
                    <a:blip r:embed="rId46"/>
                    <a:stretch>
                      <a:fillRect/>
                    </a:stretch>
                  </pic:blipFill>
                  <pic:spPr>
                    <a:xfrm>
                      <a:off x="0" y="0"/>
                      <a:ext cx="5615305" cy="7546340"/>
                    </a:xfrm>
                    <a:prstGeom prst="rect">
                      <a:avLst/>
                    </a:prstGeom>
                  </pic:spPr>
                </pic:pic>
              </a:graphicData>
            </a:graphic>
          </wp:inline>
        </w:drawing>
      </w:r>
    </w:p>
    <w:p w14:paraId="50315A0B">
      <w:pPr>
        <w:rPr>
          <w:rFonts w:hint="default"/>
          <w:lang w:val="en-US" w:eastAsia="zh-CN"/>
        </w:rPr>
      </w:pPr>
    </w:p>
    <w:p w14:paraId="3E4CCF44">
      <w:pPr>
        <w:rPr>
          <w:rFonts w:hint="default"/>
          <w:lang w:val="en-US" w:eastAsia="zh-CN"/>
        </w:rPr>
      </w:pPr>
    </w:p>
    <w:p w14:paraId="59C3F877">
      <w:pPr>
        <w:rPr>
          <w:color w:val="000000" w:themeColor="text1"/>
          <w:sz w:val="24"/>
          <w:szCs w:val="24"/>
          <w14:textFill>
            <w14:solidFill>
              <w14:schemeClr w14:val="tx1"/>
            </w14:solidFill>
          </w14:textFill>
        </w:rPr>
      </w:pPr>
    </w:p>
    <w:bookmarkEnd w:id="90"/>
    <w:bookmarkEnd w:id="91"/>
    <w:bookmarkEnd w:id="92"/>
    <w:p w14:paraId="2B67416F">
      <w:pPr>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drawing>
          <wp:inline distT="0" distB="0" distL="114300" distR="114300">
            <wp:extent cx="5615305" cy="7945755"/>
            <wp:effectExtent l="0" t="0" r="4445" b="17145"/>
            <wp:docPr id="206" name="图片 206" descr="授权委托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授权委托书_05"/>
                    <pic:cNvPicPr>
                      <a:picLocks noChangeAspect="1"/>
                    </pic:cNvPicPr>
                  </pic:nvPicPr>
                  <pic:blipFill>
                    <a:blip r:embed="rId47"/>
                    <a:stretch>
                      <a:fillRect/>
                    </a:stretch>
                  </pic:blipFill>
                  <pic:spPr>
                    <a:xfrm>
                      <a:off x="0" y="0"/>
                      <a:ext cx="5615305" cy="7945755"/>
                    </a:xfrm>
                    <a:prstGeom prst="rect">
                      <a:avLst/>
                    </a:prstGeom>
                  </pic:spPr>
                </pic:pic>
              </a:graphicData>
            </a:graphic>
          </wp:inline>
        </w:drawing>
      </w:r>
    </w:p>
    <w:p w14:paraId="5FB1FDED">
      <w:pPr>
        <w:rPr>
          <w:rFonts w:hint="default"/>
          <w:b/>
          <w:bCs/>
          <w:color w:val="000000" w:themeColor="text1"/>
          <w:lang w:val="en-US" w:eastAsia="zh-CN"/>
          <w14:textFill>
            <w14:solidFill>
              <w14:schemeClr w14:val="tx1"/>
            </w14:solidFill>
          </w14:textFill>
        </w:rPr>
      </w:pPr>
    </w:p>
    <w:p w14:paraId="4E0F82B4">
      <w:pPr>
        <w:rPr>
          <w:rFonts w:hint="default"/>
          <w:lang w:val="en-US" w:eastAsia="zh-CN"/>
        </w:rPr>
      </w:pPr>
    </w:p>
    <w:sectPr>
      <w:headerReference r:id="rId8" w:type="default"/>
      <w:footerReference r:id="rId9" w:type="default"/>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631">
      <wne:acd wne:acdName="acd0"/>
    </wne:keymap>
    <wne:keymap wne:kcmPrimary="0642">
      <wne:acd wne:acdName="acd1"/>
    </wne:keymap>
  </wne:keymaps>
  <wne:acds>
    <wne:acd wne:argValue="AQAAAAEA" wne:acdName="acd0" wne:fciIndexBasedOn="0065"/>
    <wne:acd wne:argValue="AgBoiDxoB2iYmA==" wne:acdName="acd1"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EFF" w:usb1="C000785B" w:usb2="00000009" w:usb3="00000000" w:csb0="400001FF" w:csb1="FFFF0000"/>
  </w:font>
  <w:font w:name="宋体">
    <w:panose1 w:val="02010600030101010101"/>
    <w:charset w:val="0D"/>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新宋体-18030">
    <w:altName w:val="宋体"/>
    <w:panose1 w:val="00000000000000000000"/>
    <w:charset w:val="00"/>
    <w:family w:val="auto"/>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楷体简体">
    <w:altName w:val="宋体"/>
    <w:panose1 w:val="00000000000000000000"/>
    <w:charset w:val="86"/>
    <w:family w:val="auto"/>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PMingLiU">
    <w:altName w:val="PMingLiU-ExtB"/>
    <w:panose1 w:val="02020500000000000000"/>
    <w:charset w:val="88"/>
    <w:family w:val="roman"/>
    <w:pitch w:val="default"/>
    <w:sig w:usb0="00000000" w:usb1="00000000" w:usb2="00000016" w:usb3="00000000" w:csb0="00100001" w:csb1="00000000"/>
  </w:font>
  <w:font w:name="仿宋_GB2312">
    <w:altName w:val="仿宋"/>
    <w:panose1 w:val="02010609030101010101"/>
    <w:charset w:val="86"/>
    <w:family w:val="modern"/>
    <w:pitch w:val="default"/>
    <w:sig w:usb0="00000000" w:usb1="0000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p&gt;:#">
    <w:altName w:val="Calibri"/>
    <w:panose1 w:val="020B0604020202020204"/>
    <w:charset w:val="4D"/>
    <w:family w:val="auto"/>
    <w:pitch w:val="default"/>
    <w:sig w:usb0="00000000" w:usb1="00000000" w:usb2="00000000" w:usb3="00000000" w:csb0="00000001" w:csb1="00000000"/>
  </w:font>
  <w:font w:name="方正小标宋_GBK">
    <w:altName w:val="微软雅黑"/>
    <w:panose1 w:val="02000000000000000000"/>
    <w:charset w:val="86"/>
    <w:family w:val="script"/>
    <w:pitch w:val="default"/>
    <w:sig w:usb0="00000000" w:usb1="00000000" w:usb2="00082016" w:usb3="00000000" w:csb0="00040001" w:csb1="00000000"/>
  </w:font>
  <w:font w:name="PMingLiU-ExtB">
    <w:panose1 w:val="02020500000000000000"/>
    <w:charset w:val="88"/>
    <w:family w:val="auto"/>
    <w:pitch w:val="default"/>
    <w:sig w:usb0="8000002F" w:usb1="02000008" w:usb2="00000000" w:usb3="00000000" w:csb0="0010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012A7E">
    <w:pPr>
      <w:pStyle w:val="2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B72FFD">
    <w:pPr>
      <w:pStyle w:val="25"/>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48C71A">
    <w:pPr>
      <w:pStyle w:val="25"/>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B8BBBE">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uUaUI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25RpQjICAABlBAAADgAAAAAAAAABACAAAAAfAQAAZHJzL2Uyb0RvYy54bWxQSwUG&#10;AAAAAAYABgBZAQAAwwUAAAAA&#10;">
              <v:fill on="f" focussize="0,0"/>
              <v:stroke on="f" weight="0.5pt"/>
              <v:imagedata o:title=""/>
              <o:lock v:ext="edit" aspectratio="f"/>
              <v:textbox inset="0mm,0mm,0mm,0mm" style="mso-fit-shape-to-text:t;">
                <w:txbxContent>
                  <w:p w14:paraId="3BB8BBBE">
                    <w:pPr>
                      <w:pStyle w:val="2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D7015">
    <w:pPr>
      <w:pStyle w:val="25"/>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42B274">
                          <w:pPr>
                            <w:pStyle w:val="25"/>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sCj33jICAABlBAAADgAAAAAAAAABACAAAAAfAQAAZHJzL2Uyb0RvYy54bWxQSwUG&#10;AAAAAAYABgBZAQAAwwUAAAAA&#10;">
              <v:fill on="f" focussize="0,0"/>
              <v:stroke on="f" weight="0.5pt"/>
              <v:imagedata o:title=""/>
              <o:lock v:ext="edit" aspectratio="f"/>
              <v:textbox inset="0mm,0mm,0mm,0mm" style="mso-fit-shape-to-text:t;">
                <w:txbxContent>
                  <w:p w14:paraId="3E42B274">
                    <w:pPr>
                      <w:pStyle w:val="25"/>
                    </w:pPr>
                    <w:r>
                      <w:fldChar w:fldCharType="begin"/>
                    </w:r>
                    <w:r>
                      <w:instrText xml:space="preserve"> PAGE  \* MERGEFORMAT </w:instrText>
                    </w:r>
                    <w:r>
                      <w:fldChar w:fldCharType="separate"/>
                    </w:r>
                    <w:r>
                      <w:t>79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52E0A1">
    <w:pPr>
      <w:tabs>
        <w:tab w:val="center" w:pos="4153"/>
        <w:tab w:val="right" w:pos="8306"/>
      </w:tabs>
      <w:ind w:firstLine="480"/>
    </w:pPr>
    <w:r>
      <w:rPr>
        <w:sz w:val="21"/>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0" name="文本框 2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33097A">
                          <w:pPr>
                            <w:pStyle w:val="25"/>
                          </w:pPr>
                          <w:r>
                            <w:fldChar w:fldCharType="begin"/>
                          </w:r>
                          <w:r>
                            <w:instrText xml:space="preserve"> PAGE  \* MERGEFORMAT </w:instrText>
                          </w:r>
                          <w:r>
                            <w:fldChar w:fldCharType="separate"/>
                          </w:r>
                          <w:r>
                            <w:t>115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eylZgz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eylZgzAgAAZQQAAA4AAAAAAAAAAQAgAAAAHwEAAGRycy9lMm9Eb2MueG1sUEsF&#10;BgAAAAAGAAYAWQEAAMQFAAAAAA==&#10;">
              <v:fill on="f" focussize="0,0"/>
              <v:stroke on="f" weight="0.5pt"/>
              <v:imagedata o:title=""/>
              <o:lock v:ext="edit" aspectratio="f"/>
              <v:textbox inset="0mm,0mm,0mm,0mm" style="mso-fit-shape-to-text:t;">
                <w:txbxContent>
                  <w:p w14:paraId="4733097A">
                    <w:pPr>
                      <w:pStyle w:val="25"/>
                    </w:pPr>
                    <w:r>
                      <w:fldChar w:fldCharType="begin"/>
                    </w:r>
                    <w:r>
                      <w:instrText xml:space="preserve"> PAGE  \* MERGEFORMAT </w:instrText>
                    </w:r>
                    <w:r>
                      <w:fldChar w:fldCharType="separate"/>
                    </w:r>
                    <w:r>
                      <w:t>115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5E585C">
    <w:pPr>
      <w:pStyle w:val="2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F29D34">
    <w:pPr>
      <w:ind w:left="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3EFAD0"/>
    <w:multiLevelType w:val="multilevel"/>
    <w:tmpl w:val="883EFAD0"/>
    <w:lvl w:ilvl="0" w:tentative="0">
      <w:start w:val="1"/>
      <w:numFmt w:val="chineseCounting"/>
      <w:suff w:val="nothing"/>
      <w:lvlText w:val="%1、"/>
      <w:lvlJc w:val="left"/>
      <w:pPr>
        <w:tabs>
          <w:tab w:val="left" w:pos="420"/>
        </w:tabs>
        <w:ind w:left="358" w:firstLine="0"/>
      </w:pPr>
      <w:rPr>
        <w:rFonts w:hint="eastAsia" w:ascii="宋体" w:hAnsi="宋体" w:eastAsia="宋体" w:cs="宋体"/>
      </w:rPr>
    </w:lvl>
    <w:lvl w:ilvl="1" w:tentative="0">
      <w:start w:val="1"/>
      <w:numFmt w:val="decimal"/>
      <w:isLgl/>
      <w:suff w:val="space"/>
      <w:lvlText w:val="%1.%2"/>
      <w:lvlJc w:val="left"/>
      <w:pPr>
        <w:tabs>
          <w:tab w:val="left" w:pos="420"/>
        </w:tabs>
        <w:ind w:left="358" w:firstLine="0"/>
      </w:pPr>
      <w:rPr>
        <w:rFonts w:hint="default" w:ascii="Times New Roman" w:hAnsi="Times New Roman" w:eastAsia="宋体" w:cs="Times New Roman"/>
      </w:rPr>
    </w:lvl>
    <w:lvl w:ilvl="2" w:tentative="0">
      <w:start w:val="1"/>
      <w:numFmt w:val="decimal"/>
      <w:isLgl/>
      <w:suff w:val="space"/>
      <w:lvlText w:val="%1.%2.%3"/>
      <w:lvlJc w:val="left"/>
      <w:pPr>
        <w:tabs>
          <w:tab w:val="left" w:pos="420"/>
        </w:tabs>
        <w:ind w:left="358" w:firstLine="0"/>
      </w:pPr>
      <w:rPr>
        <w:rFonts w:hint="default" w:ascii="Times New Roman" w:hAnsi="Times New Roman" w:eastAsia="宋体" w:cs="Times New Roman"/>
        <w:sz w:val="24"/>
        <w:szCs w:val="24"/>
      </w:rPr>
    </w:lvl>
    <w:lvl w:ilvl="3" w:tentative="0">
      <w:start w:val="1"/>
      <w:numFmt w:val="decimal"/>
      <w:isLgl/>
      <w:suff w:val="space"/>
      <w:lvlText w:val="%1.%2.%3.%4"/>
      <w:lvlJc w:val="left"/>
      <w:pPr>
        <w:tabs>
          <w:tab w:val="left" w:pos="420"/>
        </w:tabs>
        <w:ind w:left="358" w:firstLine="0"/>
      </w:pPr>
      <w:rPr>
        <w:rFonts w:hint="eastAsia" w:ascii="Times New Roman" w:hAnsi="Times New Roman" w:eastAsia="宋体" w:cs="宋体"/>
        <w:sz w:val="24"/>
      </w:rPr>
    </w:lvl>
    <w:lvl w:ilvl="4" w:tentative="0">
      <w:start w:val="1"/>
      <w:numFmt w:val="decimal"/>
      <w:lvlText w:val="%1.%2.%3.%4.%5."/>
      <w:lvlJc w:val="left"/>
      <w:pPr>
        <w:ind w:left="1366" w:hanging="1008"/>
      </w:pPr>
      <w:rPr>
        <w:rFonts w:hint="eastAsia"/>
      </w:rPr>
    </w:lvl>
    <w:lvl w:ilvl="5" w:tentative="0">
      <w:start w:val="1"/>
      <w:numFmt w:val="decimal"/>
      <w:lvlText w:val="%1.%2.%3.%4.%5.%6."/>
      <w:lvlJc w:val="left"/>
      <w:pPr>
        <w:ind w:left="1509" w:hanging="1151"/>
      </w:pPr>
      <w:rPr>
        <w:rFonts w:hint="eastAsia"/>
      </w:rPr>
    </w:lvl>
    <w:lvl w:ilvl="6" w:tentative="0">
      <w:start w:val="1"/>
      <w:numFmt w:val="decimal"/>
      <w:lvlText w:val="%1.%2.%3.%4.%5.%6.%7."/>
      <w:lvlJc w:val="left"/>
      <w:pPr>
        <w:ind w:left="1654" w:hanging="1296"/>
      </w:pPr>
      <w:rPr>
        <w:rFonts w:hint="eastAsia"/>
      </w:rPr>
    </w:lvl>
    <w:lvl w:ilvl="7" w:tentative="0">
      <w:start w:val="1"/>
      <w:numFmt w:val="decimal"/>
      <w:pStyle w:val="9"/>
      <w:lvlText w:val="%1.%2.%3.%4.%5.%6.%7.%8."/>
      <w:lvlJc w:val="left"/>
      <w:pPr>
        <w:ind w:left="1798" w:hanging="1440"/>
      </w:pPr>
      <w:rPr>
        <w:rFonts w:hint="eastAsia"/>
      </w:rPr>
    </w:lvl>
    <w:lvl w:ilvl="8" w:tentative="0">
      <w:start w:val="1"/>
      <w:numFmt w:val="decimal"/>
      <w:lvlText w:val="%1.%2.%3.%4.%5.%6.%7.%8.%9."/>
      <w:lvlJc w:val="left"/>
      <w:pPr>
        <w:ind w:left="1941" w:hanging="1583"/>
      </w:pPr>
      <w:rPr>
        <w:rFonts w:hint="eastAsia"/>
      </w:rPr>
    </w:lvl>
  </w:abstractNum>
  <w:abstractNum w:abstractNumId="1">
    <w:nsid w:val="BBEE175C"/>
    <w:multiLevelType w:val="multilevel"/>
    <w:tmpl w:val="BBEE175C"/>
    <w:lvl w:ilvl="0" w:tentative="0">
      <w:start w:val="1"/>
      <w:numFmt w:val="decimal"/>
      <w:suff w:val="space"/>
      <w:lvlText w:val="第%1章 "/>
      <w:lvlJc w:val="left"/>
      <w:pPr>
        <w:tabs>
          <w:tab w:val="left" w:pos="0"/>
        </w:tabs>
        <w:ind w:left="0" w:firstLine="0"/>
      </w:pPr>
      <w:rPr>
        <w:rFonts w:hint="default" w:ascii="Times New Roman" w:hAnsi="Times New Roman" w:eastAsia="宋体" w:cs="宋体"/>
      </w:rPr>
    </w:lvl>
    <w:lvl w:ilvl="1" w:tentative="0">
      <w:start w:val="1"/>
      <w:numFmt w:val="decimal"/>
      <w:suff w:val="space"/>
      <w:lvlText w:val="%1.%2"/>
      <w:lvlJc w:val="left"/>
      <w:pPr>
        <w:tabs>
          <w:tab w:val="left" w:pos="420"/>
        </w:tabs>
        <w:ind w:left="0" w:firstLine="0"/>
      </w:pPr>
      <w:rPr>
        <w:rFonts w:hint="default" w:ascii="Times New Roman" w:hAnsi="Times New Roman" w:eastAsia="宋体" w:cs="宋体"/>
      </w:rPr>
    </w:lvl>
    <w:lvl w:ilvl="2" w:tentative="0">
      <w:start w:val="1"/>
      <w:numFmt w:val="decimal"/>
      <w:suff w:val="space"/>
      <w:lvlText w:val="%1.%2.%3"/>
      <w:lvlJc w:val="left"/>
      <w:pPr>
        <w:tabs>
          <w:tab w:val="left" w:pos="420"/>
        </w:tabs>
        <w:ind w:left="0" w:firstLine="0"/>
      </w:pPr>
      <w:rPr>
        <w:rFonts w:hint="default" w:ascii="Times New Roman" w:hAnsi="Times New Roman" w:eastAsia="宋体" w:cs="宋体"/>
      </w:rPr>
    </w:lvl>
    <w:lvl w:ilvl="3" w:tentative="0">
      <w:start w:val="1"/>
      <w:numFmt w:val="decimal"/>
      <w:suff w:val="space"/>
      <w:lvlText w:val="%1.%2.%3.%4"/>
      <w:lvlJc w:val="left"/>
      <w:pPr>
        <w:tabs>
          <w:tab w:val="left" w:pos="420"/>
        </w:tabs>
        <w:ind w:left="0" w:firstLine="0"/>
      </w:pPr>
      <w:rPr>
        <w:rFonts w:hint="default" w:ascii="Times New Roman" w:hAnsi="Times New Roman" w:eastAsia="宋体" w:cs="宋体"/>
      </w:rPr>
    </w:lvl>
    <w:lvl w:ilvl="4" w:tentative="0">
      <w:start w:val="1"/>
      <w:numFmt w:val="decimal"/>
      <w:lvlRestart w:val="2"/>
      <w:pStyle w:val="74"/>
      <w:suff w:val="space"/>
      <w:lvlText w:val="表%1.%2-%5 "/>
      <w:lvlJc w:val="left"/>
      <w:pPr>
        <w:tabs>
          <w:tab w:val="left" w:pos="420"/>
        </w:tabs>
        <w:ind w:left="0" w:firstLine="0"/>
      </w:pPr>
      <w:rPr>
        <w:rFonts w:hint="default" w:ascii="Times New Roman" w:hAnsi="Times New Roman" w:eastAsia="宋体" w:cs="宋体"/>
      </w:rPr>
    </w:lvl>
    <w:lvl w:ilvl="5" w:tentative="0">
      <w:start w:val="1"/>
      <w:numFmt w:val="decimal"/>
      <w:lvlRestart w:val="2"/>
      <w:suff w:val="space"/>
      <w:lvlText w:val="图%1.%2-%6 "/>
      <w:lvlJc w:val="left"/>
      <w:pPr>
        <w:tabs>
          <w:tab w:val="left" w:pos="420"/>
        </w:tabs>
        <w:ind w:left="0" w:firstLine="0"/>
      </w:pPr>
      <w:rPr>
        <w:rFonts w:hint="default" w:ascii="Times New Roman" w:hAnsi="Times New Roman" w:eastAsia="宋体" w:cs="宋体"/>
      </w:rPr>
    </w:lvl>
    <w:lvl w:ilvl="6" w:tentative="0">
      <w:start w:val="1"/>
      <w:numFmt w:val="none"/>
      <w:suff w:val="nothing"/>
      <w:lvlText w:val=""/>
      <w:lvlJc w:val="left"/>
      <w:pPr>
        <w:tabs>
          <w:tab w:val="left" w:pos="0"/>
        </w:tabs>
        <w:ind w:left="0" w:firstLine="402"/>
      </w:pPr>
      <w:rPr>
        <w:rFonts w:hint="default" w:ascii="宋体" w:hAnsi="宋体" w:eastAsia="宋体" w:cs="宋体"/>
      </w:rPr>
    </w:lvl>
    <w:lvl w:ilvl="7" w:tentative="0">
      <w:start w:val="1"/>
      <w:numFmt w:val="none"/>
      <w:suff w:val="nothing"/>
      <w:lvlText w:val=""/>
      <w:lvlJc w:val="left"/>
      <w:pPr>
        <w:ind w:left="0" w:firstLine="402"/>
      </w:pPr>
      <w:rPr>
        <w:rFonts w:hint="default" w:ascii="宋体" w:hAnsi="宋体" w:eastAsia="宋体" w:cs="宋体"/>
      </w:rPr>
    </w:lvl>
    <w:lvl w:ilvl="8" w:tentative="0">
      <w:start w:val="1"/>
      <w:numFmt w:val="none"/>
      <w:suff w:val="nothing"/>
      <w:lvlText w:val=""/>
      <w:lvlJc w:val="left"/>
      <w:pPr>
        <w:ind w:left="0" w:firstLine="402"/>
      </w:pPr>
      <w:rPr>
        <w:rFonts w:hint="default" w:ascii="宋体" w:hAnsi="宋体" w:eastAsia="宋体" w:cs="宋体"/>
      </w:rPr>
    </w:lvl>
  </w:abstractNum>
  <w:abstractNum w:abstractNumId="2">
    <w:nsid w:val="E17324D8"/>
    <w:multiLevelType w:val="singleLevel"/>
    <w:tmpl w:val="E17324D8"/>
    <w:lvl w:ilvl="0" w:tentative="0">
      <w:start w:val="1"/>
      <w:numFmt w:val="decimal"/>
      <w:lvlText w:val="(%1)"/>
      <w:lvlJc w:val="left"/>
      <w:pPr>
        <w:ind w:left="425" w:hanging="425"/>
      </w:pPr>
      <w:rPr>
        <w:rFonts w:hint="default"/>
      </w:rPr>
    </w:lvl>
  </w:abstractNum>
  <w:abstractNum w:abstractNumId="3">
    <w:nsid w:val="0C388FF6"/>
    <w:multiLevelType w:val="multilevel"/>
    <w:tmpl w:val="0C388FF6"/>
    <w:lvl w:ilvl="0" w:tentative="0">
      <w:start w:val="1"/>
      <w:numFmt w:val="chineseCounting"/>
      <w:suff w:val="nothing"/>
      <w:lvlText w:val="%1、"/>
      <w:lvlJc w:val="left"/>
      <w:pPr>
        <w:tabs>
          <w:tab w:val="left" w:pos="0"/>
        </w:tabs>
        <w:ind w:left="0" w:firstLine="0"/>
      </w:pPr>
      <w:rPr>
        <w:rFonts w:hint="eastAsia" w:ascii="黑体" w:hAnsi="黑体" w:eastAsia="黑体" w:cs="宋体"/>
      </w:rPr>
    </w:lvl>
    <w:lvl w:ilvl="1" w:tentative="0">
      <w:start w:val="1"/>
      <w:numFmt w:val="decimal"/>
      <w:isLgl/>
      <w:suff w:val="space"/>
      <w:lvlText w:val="%1.%2"/>
      <w:lvlJc w:val="left"/>
      <w:pPr>
        <w:tabs>
          <w:tab w:val="left" w:pos="420"/>
        </w:tabs>
        <w:ind w:left="0" w:firstLine="0"/>
      </w:pPr>
      <w:rPr>
        <w:rFonts w:hint="eastAsia" w:ascii="Times New Roman" w:hAnsi="Times New Roman" w:eastAsia="宋体" w:cs="宋体"/>
      </w:rPr>
    </w:lvl>
    <w:lvl w:ilvl="2" w:tentative="0">
      <w:start w:val="1"/>
      <w:numFmt w:val="decimal"/>
      <w:isLgl/>
      <w:suff w:val="space"/>
      <w:lvlText w:val="%1.%2.%3"/>
      <w:lvlJc w:val="left"/>
      <w:pPr>
        <w:tabs>
          <w:tab w:val="left" w:pos="0"/>
        </w:tabs>
        <w:ind w:left="0" w:firstLine="0"/>
      </w:pPr>
      <w:rPr>
        <w:rFonts w:hint="eastAsia" w:ascii="Times New Roman" w:hAnsi="Times New Roman" w:eastAsia="宋体" w:cs="宋体"/>
      </w:rPr>
    </w:lvl>
    <w:lvl w:ilvl="3" w:tentative="0">
      <w:start w:val="1"/>
      <w:numFmt w:val="decimal"/>
      <w:isLgl/>
      <w:suff w:val="space"/>
      <w:lvlText w:val="%1.%2.%3.%4"/>
      <w:lvlJc w:val="left"/>
      <w:pPr>
        <w:tabs>
          <w:tab w:val="left" w:pos="420"/>
        </w:tabs>
        <w:ind w:left="0" w:firstLine="0"/>
      </w:pPr>
      <w:rPr>
        <w:rFonts w:hint="eastAsia" w:ascii="Times New Roman" w:hAnsi="Times New Roman" w:eastAsia="宋体" w:cs="宋体"/>
      </w:rPr>
    </w:lvl>
    <w:lvl w:ilvl="4" w:tentative="0">
      <w:start w:val="1"/>
      <w:numFmt w:val="decimal"/>
      <w:lvlRestart w:val="2"/>
      <w:pStyle w:val="129"/>
      <w:isLgl/>
      <w:suff w:val="space"/>
      <w:lvlText w:val="表%1.%2-%5 "/>
      <w:lvlJc w:val="left"/>
      <w:pPr>
        <w:tabs>
          <w:tab w:val="left" w:pos="0"/>
        </w:tabs>
        <w:ind w:left="0" w:firstLine="0"/>
      </w:pPr>
      <w:rPr>
        <w:rFonts w:hint="eastAsia" w:ascii="Times New Roman" w:hAnsi="Times New Roman" w:eastAsia="宋体" w:cs="宋体"/>
      </w:rPr>
    </w:lvl>
    <w:lvl w:ilvl="5" w:tentative="0">
      <w:start w:val="1"/>
      <w:numFmt w:val="decimal"/>
      <w:lvlRestart w:val="2"/>
      <w:isLgl/>
      <w:suff w:val="space"/>
      <w:lvlText w:val="图%1.%2-%6 "/>
      <w:lvlJc w:val="left"/>
      <w:pPr>
        <w:tabs>
          <w:tab w:val="left" w:pos="0"/>
        </w:tabs>
        <w:ind w:left="0" w:firstLine="0"/>
      </w:pPr>
      <w:rPr>
        <w:rFonts w:hint="eastAsia" w:ascii="Times New Roman" w:hAnsi="Times New Roman" w:eastAsia="宋体" w:cs="宋体"/>
      </w:rPr>
    </w:lvl>
    <w:lvl w:ilvl="6" w:tentative="0">
      <w:start w:val="1"/>
      <w:numFmt w:val="decimal"/>
      <w:lvlText w:val="%1.%2.%3.%4.%5.%6.%7."/>
      <w:lvlJc w:val="left"/>
      <w:pPr>
        <w:tabs>
          <w:tab w:val="left" w:pos="420"/>
        </w:tabs>
        <w:ind w:left="1296" w:hanging="1296"/>
      </w:pPr>
      <w:rPr>
        <w:rFonts w:hint="eastAsia" w:ascii="宋体" w:hAnsi="宋体" w:eastAsia="宋体" w:cs="宋体"/>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3" w:hanging="1583"/>
      </w:pPr>
      <w:rPr>
        <w:rFonts w:hint="eastAsia"/>
      </w:rPr>
    </w:lvl>
  </w:abstractNum>
  <w:abstractNum w:abstractNumId="4">
    <w:nsid w:val="26F55DDD"/>
    <w:multiLevelType w:val="multilevel"/>
    <w:tmpl w:val="26F55DDD"/>
    <w:lvl w:ilvl="0" w:tentative="0">
      <w:start w:val="1"/>
      <w:numFmt w:val="chineseCounting"/>
      <w:suff w:val="nothing"/>
      <w:lvlText w:val="%1、"/>
      <w:lvlJc w:val="left"/>
      <w:pPr>
        <w:tabs>
          <w:tab w:val="left" w:pos="420"/>
        </w:tabs>
        <w:ind w:left="358" w:firstLine="0"/>
      </w:pPr>
      <w:rPr>
        <w:rFonts w:hint="eastAsia" w:ascii="宋体" w:hAnsi="宋体" w:eastAsia="宋体" w:cs="宋体"/>
      </w:rPr>
    </w:lvl>
    <w:lvl w:ilvl="1" w:tentative="0">
      <w:start w:val="1"/>
      <w:numFmt w:val="decimal"/>
      <w:isLgl/>
      <w:suff w:val="space"/>
      <w:lvlText w:val="%1.%2"/>
      <w:lvlJc w:val="left"/>
      <w:pPr>
        <w:tabs>
          <w:tab w:val="left" w:pos="0"/>
        </w:tabs>
        <w:ind w:left="358" w:firstLine="0"/>
      </w:pPr>
      <w:rPr>
        <w:rFonts w:hint="eastAsia" w:ascii="Times New Roman" w:hAnsi="Times New Roman" w:eastAsia="宋体" w:cs="Times New Roman"/>
      </w:rPr>
    </w:lvl>
    <w:lvl w:ilvl="2" w:tentative="0">
      <w:start w:val="1"/>
      <w:numFmt w:val="decimal"/>
      <w:isLgl/>
      <w:suff w:val="space"/>
      <w:lvlText w:val="%1.%2.%3"/>
      <w:lvlJc w:val="left"/>
      <w:pPr>
        <w:tabs>
          <w:tab w:val="left" w:pos="420"/>
        </w:tabs>
        <w:ind w:left="358" w:firstLine="0"/>
      </w:pPr>
      <w:rPr>
        <w:rFonts w:hint="eastAsia" w:ascii="Times New Roman" w:hAnsi="Times New Roman" w:eastAsia="宋体" w:cs="Times New Roman"/>
        <w:sz w:val="24"/>
        <w:szCs w:val="24"/>
      </w:rPr>
    </w:lvl>
    <w:lvl w:ilvl="3" w:tentative="0">
      <w:start w:val="1"/>
      <w:numFmt w:val="decimal"/>
      <w:isLgl/>
      <w:suff w:val="space"/>
      <w:lvlText w:val="%1.%2.%3.%4"/>
      <w:lvlJc w:val="left"/>
      <w:pPr>
        <w:tabs>
          <w:tab w:val="left" w:pos="420"/>
        </w:tabs>
        <w:ind w:left="358" w:firstLine="0"/>
      </w:pPr>
      <w:rPr>
        <w:rFonts w:hint="eastAsia" w:ascii="Times New Roman" w:hAnsi="Times New Roman" w:eastAsia="宋体" w:cs="宋体"/>
        <w:sz w:val="24"/>
      </w:rPr>
    </w:lvl>
    <w:lvl w:ilvl="4" w:tentative="0">
      <w:start w:val="1"/>
      <w:numFmt w:val="decimal"/>
      <w:lvlText w:val="%1.%2.%3.%4.%5."/>
      <w:lvlJc w:val="left"/>
      <w:pPr>
        <w:ind w:left="1366" w:hanging="1008"/>
      </w:pPr>
      <w:rPr>
        <w:rFonts w:hint="eastAsia"/>
      </w:rPr>
    </w:lvl>
    <w:lvl w:ilvl="5" w:tentative="0">
      <w:start w:val="1"/>
      <w:numFmt w:val="decimal"/>
      <w:lvlText w:val="%1.%2.%3.%4.%5.%6."/>
      <w:lvlJc w:val="left"/>
      <w:pPr>
        <w:ind w:left="1509" w:hanging="1151"/>
      </w:pPr>
      <w:rPr>
        <w:rFonts w:hint="eastAsia"/>
      </w:rPr>
    </w:lvl>
    <w:lvl w:ilvl="6" w:tentative="0">
      <w:start w:val="1"/>
      <w:numFmt w:val="decimal"/>
      <w:lvlText w:val="%1.%2.%3.%4.%5.%6.%7."/>
      <w:lvlJc w:val="left"/>
      <w:pPr>
        <w:ind w:left="1654" w:hanging="1296"/>
      </w:pPr>
      <w:rPr>
        <w:rFonts w:hint="eastAsia"/>
      </w:rPr>
    </w:lvl>
    <w:lvl w:ilvl="7" w:tentative="0">
      <w:start w:val="1"/>
      <w:numFmt w:val="decimal"/>
      <w:suff w:val="space"/>
      <w:lvlText w:val="表 %1.%2-%8."/>
      <w:lvlJc w:val="left"/>
      <w:pPr>
        <w:tabs>
          <w:tab w:val="left" w:pos="420"/>
        </w:tabs>
        <w:ind w:left="1798" w:hanging="1440"/>
      </w:pPr>
      <w:rPr>
        <w:rFonts w:hint="eastAsia" w:ascii="宋体" w:hAnsi="宋体" w:eastAsia="宋体" w:cs="宋体"/>
      </w:rPr>
    </w:lvl>
    <w:lvl w:ilvl="8" w:tentative="0">
      <w:start w:val="1"/>
      <w:numFmt w:val="decimal"/>
      <w:pStyle w:val="10"/>
      <w:lvlText w:val="%1.%2.%3.%4.%5.%6.%7.%8.%9."/>
      <w:lvlJc w:val="left"/>
      <w:pPr>
        <w:ind w:left="1941" w:hanging="1583"/>
      </w:pPr>
      <w:rPr>
        <w:rFonts w:hint="eastAsia"/>
      </w:rPr>
    </w:lvl>
  </w:abstractNum>
  <w:abstractNum w:abstractNumId="5">
    <w:nsid w:val="2AA33BED"/>
    <w:multiLevelType w:val="multilevel"/>
    <w:tmpl w:val="2AA33BED"/>
    <w:lvl w:ilvl="0" w:tentative="0">
      <w:start w:val="1"/>
      <w:numFmt w:val="chineseCounting"/>
      <w:suff w:val="nothing"/>
      <w:lvlText w:val="%1、"/>
      <w:lvlJc w:val="left"/>
      <w:pPr>
        <w:tabs>
          <w:tab w:val="left" w:pos="420"/>
        </w:tabs>
        <w:ind w:left="2730" w:leftChars="0" w:firstLine="0" w:firstLineChars="0"/>
      </w:pPr>
      <w:rPr>
        <w:rFonts w:hint="eastAsia" w:ascii="宋体" w:hAnsi="宋体" w:eastAsia="宋体" w:cs="宋体"/>
      </w:rPr>
    </w:lvl>
    <w:lvl w:ilvl="1" w:tentative="0">
      <w:start w:val="1"/>
      <w:numFmt w:val="decimal"/>
      <w:isLgl/>
      <w:suff w:val="space"/>
      <w:lvlText w:val="%1.%2"/>
      <w:lvlJc w:val="left"/>
      <w:pPr>
        <w:tabs>
          <w:tab w:val="left" w:pos="420"/>
        </w:tabs>
        <w:ind w:left="0" w:leftChars="0" w:firstLine="0" w:firstLineChars="0"/>
      </w:pPr>
      <w:rPr>
        <w:rFonts w:hint="eastAsia" w:ascii="Times New Roman" w:hAnsi="Times New Roman" w:eastAsia="宋体" w:cs="Times New Roman"/>
      </w:rPr>
    </w:lvl>
    <w:lvl w:ilvl="2" w:tentative="0">
      <w:start w:val="1"/>
      <w:numFmt w:val="decimal"/>
      <w:isLgl/>
      <w:suff w:val="space"/>
      <w:lvlText w:val="%1.%2.%3"/>
      <w:lvlJc w:val="left"/>
      <w:pPr>
        <w:tabs>
          <w:tab w:val="left" w:pos="420"/>
        </w:tabs>
        <w:ind w:left="0" w:leftChars="0" w:firstLine="0" w:firstLineChars="0"/>
      </w:pPr>
      <w:rPr>
        <w:rFonts w:hint="eastAsia" w:ascii="Times New Roman" w:hAnsi="Times New Roman" w:eastAsia="宋体" w:cs="Times New Roman"/>
        <w:sz w:val="24"/>
        <w:szCs w:val="24"/>
      </w:rPr>
    </w:lvl>
    <w:lvl w:ilvl="3" w:tentative="0">
      <w:start w:val="1"/>
      <w:numFmt w:val="decimal"/>
      <w:isLgl/>
      <w:suff w:val="space"/>
      <w:lvlText w:val="%1.%2.%3.%4"/>
      <w:lvlJc w:val="left"/>
      <w:pPr>
        <w:tabs>
          <w:tab w:val="left" w:pos="420"/>
        </w:tabs>
        <w:ind w:left="0" w:leftChars="0" w:firstLine="0" w:firstLineChars="0"/>
      </w:pPr>
      <w:rPr>
        <w:rFonts w:hint="eastAsia" w:ascii="宋体" w:hAnsi="宋体" w:eastAsia="宋体" w:cs="宋体"/>
        <w:sz w:val="24"/>
      </w:rPr>
    </w:lvl>
    <w:lvl w:ilvl="4" w:tentative="0">
      <w:start w:val="1"/>
      <w:numFmt w:val="decimal"/>
      <w:pStyle w:val="6"/>
      <w:lvlText w:val="%1.%2.%3.%4.%5."/>
      <w:lvlJc w:val="left"/>
      <w:pPr>
        <w:ind w:left="1366" w:hanging="1008"/>
      </w:pPr>
      <w:rPr>
        <w:rFonts w:hint="eastAsia" w:ascii="宋体" w:hAnsi="宋体" w:eastAsia="宋体" w:cs="宋体"/>
      </w:rPr>
    </w:lvl>
    <w:lvl w:ilvl="5" w:tentative="0">
      <w:start w:val="1"/>
      <w:numFmt w:val="decimal"/>
      <w:pStyle w:val="7"/>
      <w:lvlText w:val="%1.%2.%3.%4.%5.%6."/>
      <w:lvlJc w:val="left"/>
      <w:pPr>
        <w:ind w:left="1509" w:hanging="1151"/>
      </w:pPr>
      <w:rPr>
        <w:rFonts w:hint="eastAsia" w:ascii="宋体" w:hAnsi="宋体" w:eastAsia="宋体" w:cs="宋体"/>
      </w:rPr>
    </w:lvl>
    <w:lvl w:ilvl="6" w:tentative="0">
      <w:start w:val="1"/>
      <w:numFmt w:val="decimal"/>
      <w:pStyle w:val="8"/>
      <w:lvlText w:val="%1.%2.%3.%4.%5.%6.%7."/>
      <w:lvlJc w:val="left"/>
      <w:pPr>
        <w:tabs>
          <w:tab w:val="left" w:pos="420"/>
        </w:tabs>
        <w:ind w:left="1654" w:hanging="1296"/>
      </w:pPr>
      <w:rPr>
        <w:rFonts w:hint="eastAsia" w:ascii="宋体" w:hAnsi="宋体" w:eastAsia="宋体" w:cs="宋体"/>
      </w:rPr>
    </w:lvl>
    <w:lvl w:ilvl="7" w:tentative="0">
      <w:start w:val="1"/>
      <w:numFmt w:val="decimal"/>
      <w:isLgl/>
      <w:suff w:val="space"/>
      <w:lvlText w:val="表 %1.%2-%8"/>
      <w:lvlJc w:val="left"/>
      <w:pPr>
        <w:tabs>
          <w:tab w:val="left" w:pos="0"/>
        </w:tabs>
        <w:ind w:left="0" w:leftChars="0" w:firstLine="0" w:firstLineChars="0"/>
      </w:pPr>
      <w:rPr>
        <w:rFonts w:hint="default" w:ascii="Times New Roman" w:hAnsi="Times New Roman" w:eastAsia="宋体" w:cs="Times New Roman"/>
        <w:sz w:val="24"/>
        <w:szCs w:val="24"/>
      </w:rPr>
    </w:lvl>
    <w:lvl w:ilvl="8" w:tentative="0">
      <w:start w:val="1"/>
      <w:numFmt w:val="decimal"/>
      <w:isLgl/>
      <w:suff w:val="space"/>
      <w:lvlText w:val="图 %1.%2-%9"/>
      <w:lvlJc w:val="left"/>
      <w:pPr>
        <w:tabs>
          <w:tab w:val="left" w:pos="420"/>
        </w:tabs>
        <w:ind w:left="0" w:leftChars="0" w:firstLine="0" w:firstLineChars="0"/>
      </w:pPr>
      <w:rPr>
        <w:rFonts w:hint="default" w:ascii="Times New Roman" w:hAnsi="Times New Roman" w:eastAsia="宋体" w:cs="Times New Roman"/>
      </w:rPr>
    </w:lvl>
  </w:abstractNum>
  <w:abstractNum w:abstractNumId="6">
    <w:nsid w:val="335756DA"/>
    <w:multiLevelType w:val="singleLevel"/>
    <w:tmpl w:val="335756DA"/>
    <w:lvl w:ilvl="0" w:tentative="0">
      <w:start w:val="2"/>
      <w:numFmt w:val="decimal"/>
      <w:suff w:val="nothing"/>
      <w:lvlText w:val="（%1）"/>
      <w:lvlJc w:val="left"/>
    </w:lvl>
  </w:abstractNum>
  <w:abstractNum w:abstractNumId="7">
    <w:nsid w:val="64996C12"/>
    <w:multiLevelType w:val="multilevel"/>
    <w:tmpl w:val="64996C12"/>
    <w:lvl w:ilvl="0" w:tentative="0">
      <w:start w:val="7"/>
      <w:numFmt w:val="decimal"/>
      <w:lvlText w:val="%1"/>
      <w:lvlJc w:val="left"/>
      <w:pPr>
        <w:ind w:left="432" w:hanging="432"/>
      </w:pPr>
    </w:lvl>
    <w:lvl w:ilvl="1" w:tentative="0">
      <w:start w:val="1"/>
      <w:numFmt w:val="decimal"/>
      <w:lvlText w:val="%1.%2"/>
      <w:lvlJc w:val="left"/>
      <w:pPr>
        <w:ind w:left="576" w:hanging="576"/>
        <w:textAlignment w:val="baseline"/>
      </w:pPr>
      <w:rPr>
        <w:b/>
        <w:bCs w:val="0"/>
        <w:i w:val="0"/>
        <w:iCs w:val="0"/>
        <w:caps w:val="0"/>
        <w:strike w:val="0"/>
        <w:dstrike w:val="0"/>
        <w:vanish w:val="0"/>
        <w:color w:val="000000"/>
        <w:spacing w:val="0"/>
        <w:position w:val="0"/>
        <w:u w:val="none"/>
      </w:rPr>
    </w:lvl>
    <w:lvl w:ilvl="2" w:tentative="0">
      <w:start w:val="1"/>
      <w:numFmt w:val="decimal"/>
      <w:pStyle w:val="108"/>
      <w:lvlText w:val="%1.%2.%3"/>
      <w:lvlJc w:val="left"/>
      <w:pPr>
        <w:ind w:left="4832" w:hanging="720"/>
      </w:pPr>
    </w:lvl>
    <w:lvl w:ilvl="3" w:tentative="0">
      <w:start w:val="1"/>
      <w:numFmt w:val="decimal"/>
      <w:lvlText w:val="%1.%2.%3.%4"/>
      <w:lvlJc w:val="left"/>
      <w:pPr>
        <w:snapToGrid w:val="0"/>
        <w:ind w:left="864" w:hanging="864"/>
        <w:textAlignment w:val="baseline"/>
      </w:pPr>
      <w:rPr>
        <w:rFonts w:ascii="Times New Roman" w:hAnsi="Times New Roman" w:cs="Times New Roman"/>
        <w:b/>
        <w:bCs w:val="0"/>
        <w:i w:val="0"/>
        <w:iCs w:val="0"/>
        <w:caps w:val="0"/>
        <w:strike w:val="0"/>
        <w:dstrike w:val="0"/>
        <w:vanish w:val="0"/>
        <w:color w:val="000000"/>
        <w:spacing w:val="0"/>
        <w:w w:val="0"/>
        <w:kern w:val="0"/>
        <w:position w:val="0"/>
        <w:szCs w:val="0"/>
        <w:u w:val="none"/>
      </w:rPr>
    </w:lvl>
    <w:lvl w:ilvl="4" w:tentative="0">
      <w:start w:val="1"/>
      <w:numFmt w:val="decimal"/>
      <w:lvlText w:val="%1.%2.%3.%4.%5"/>
      <w:lvlJc w:val="left"/>
      <w:pPr>
        <w:ind w:left="1008" w:hanging="1008"/>
      </w:pPr>
    </w:lvl>
    <w:lvl w:ilvl="5" w:tentative="0">
      <w:start w:val="1"/>
      <w:numFmt w:val="decimal"/>
      <w:lvlText w:val="%1.%2.%3.%4.%5.%6"/>
      <w:lvlJc w:val="left"/>
      <w:pPr>
        <w:ind w:left="1152" w:hanging="1152"/>
      </w:pPr>
    </w:lvl>
    <w:lvl w:ilvl="6" w:tentative="0">
      <w:start w:val="1"/>
      <w:numFmt w:val="decimal"/>
      <w:lvlText w:val="%1.%2.%3.%4.%5.%6.%7"/>
      <w:lvlJc w:val="left"/>
      <w:pPr>
        <w:ind w:left="1296" w:hanging="1296"/>
      </w:p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8">
    <w:nsid w:val="6C142216"/>
    <w:multiLevelType w:val="singleLevel"/>
    <w:tmpl w:val="6C142216"/>
    <w:lvl w:ilvl="0" w:tentative="0">
      <w:start w:val="3"/>
      <w:numFmt w:val="decimal"/>
      <w:suff w:val="nothing"/>
      <w:lvlText w:val="（%1）"/>
      <w:lvlJc w:val="left"/>
    </w:lvl>
  </w:abstractNum>
  <w:abstractNum w:abstractNumId="9">
    <w:nsid w:val="6D196F0D"/>
    <w:multiLevelType w:val="multilevel"/>
    <w:tmpl w:val="6D196F0D"/>
    <w:lvl w:ilvl="0" w:tentative="0">
      <w:start w:val="1"/>
      <w:numFmt w:val="chineseCounting"/>
      <w:pStyle w:val="2"/>
      <w:suff w:val="nothing"/>
      <w:lvlText w:val="%1、"/>
      <w:lvlJc w:val="left"/>
      <w:pPr>
        <w:tabs>
          <w:tab w:val="left" w:pos="0"/>
        </w:tabs>
        <w:ind w:left="432" w:hanging="432"/>
      </w:pPr>
      <w:rPr>
        <w:rFonts w:hint="eastAsia" w:ascii="宋体" w:hAnsi="宋体" w:eastAsia="宋体" w:cs="宋体"/>
        <w:b/>
        <w:bCs/>
        <w:sz w:val="32"/>
        <w:szCs w:val="32"/>
      </w:rPr>
    </w:lvl>
    <w:lvl w:ilvl="1" w:tentative="0">
      <w:start w:val="1"/>
      <w:numFmt w:val="decimal"/>
      <w:pStyle w:val="3"/>
      <w:isLgl/>
      <w:suff w:val="space"/>
      <w:lvlText w:val="%1.%2"/>
      <w:lvlJc w:val="left"/>
      <w:pPr>
        <w:tabs>
          <w:tab w:val="left" w:pos="420"/>
        </w:tabs>
        <w:ind w:left="0" w:firstLine="0"/>
      </w:pPr>
      <w:rPr>
        <w:rFonts w:hint="default" w:ascii="Times New Roman" w:hAnsi="Times New Roman" w:eastAsia="宋体" w:cs="Times New Roman"/>
        <w:b/>
        <w:bCs/>
        <w:sz w:val="30"/>
        <w:szCs w:val="30"/>
      </w:rPr>
    </w:lvl>
    <w:lvl w:ilvl="2" w:tentative="0">
      <w:start w:val="1"/>
      <w:numFmt w:val="decimal"/>
      <w:pStyle w:val="4"/>
      <w:isLgl/>
      <w:suff w:val="space"/>
      <w:lvlText w:val="%1.%2.%3"/>
      <w:lvlJc w:val="left"/>
      <w:pPr>
        <w:tabs>
          <w:tab w:val="left" w:pos="0"/>
        </w:tabs>
        <w:ind w:left="720" w:hanging="720"/>
      </w:pPr>
      <w:rPr>
        <w:rFonts w:hint="default" w:ascii="Times New Roman" w:hAnsi="Times New Roman" w:eastAsia="宋体" w:cs="Times New Roman"/>
        <w:b/>
        <w:bCs/>
        <w:sz w:val="24"/>
        <w:szCs w:val="28"/>
      </w:rPr>
    </w:lvl>
    <w:lvl w:ilvl="3" w:tentative="0">
      <w:start w:val="1"/>
      <w:numFmt w:val="decimal"/>
      <w:pStyle w:val="5"/>
      <w:isLgl/>
      <w:suff w:val="space"/>
      <w:lvlText w:val="%1.%2.%3.%4"/>
      <w:lvlJc w:val="left"/>
      <w:pPr>
        <w:tabs>
          <w:tab w:val="left" w:pos="0"/>
        </w:tabs>
        <w:ind w:left="864" w:hanging="864"/>
      </w:pPr>
      <w:rPr>
        <w:rFonts w:hint="default" w:ascii="Times New Roman" w:hAnsi="Times New Roman" w:eastAsia="宋体" w:cs="Times New Roman"/>
        <w:sz w:val="24"/>
        <w:szCs w:val="24"/>
      </w:rPr>
    </w:lvl>
    <w:lvl w:ilvl="4" w:tentative="0">
      <w:start w:val="1"/>
      <w:numFmt w:val="decimal"/>
      <w:isLgl/>
      <w:suff w:val="nothing"/>
      <w:lvlText w:val="   （%5）"/>
      <w:lvlJc w:val="left"/>
      <w:pPr>
        <w:tabs>
          <w:tab w:val="left" w:pos="420"/>
        </w:tabs>
        <w:ind w:left="0" w:firstLine="0"/>
      </w:pPr>
      <w:rPr>
        <w:rFonts w:hint="eastAsia" w:ascii="宋体" w:hAnsi="宋体" w:eastAsia="宋体" w:cs="宋体"/>
        <w:sz w:val="24"/>
        <w:szCs w:val="24"/>
      </w:rPr>
    </w:lvl>
    <w:lvl w:ilvl="5" w:tentative="0">
      <w:start w:val="1"/>
      <w:numFmt w:val="decimalEnclosedCircleChinese"/>
      <w:suff w:val="nothing"/>
      <w:lvlText w:val="%6"/>
      <w:lvlJc w:val="left"/>
      <w:pPr>
        <w:tabs>
          <w:tab w:val="left" w:pos="420"/>
        </w:tabs>
        <w:ind w:left="1151" w:hanging="1151"/>
      </w:pPr>
      <w:rPr>
        <w:rFonts w:hint="eastAsia" w:ascii="宋体" w:hAnsi="宋体" w:eastAsia="宋体" w:cs="宋体"/>
      </w:rPr>
    </w:lvl>
    <w:lvl w:ilvl="6" w:tentative="0">
      <w:start w:val="1"/>
      <w:numFmt w:val="upperLetter"/>
      <w:lvlText w:val="%7."/>
      <w:lvlJc w:val="center"/>
      <w:pPr>
        <w:tabs>
          <w:tab w:val="left" w:pos="0"/>
        </w:tabs>
        <w:ind w:left="0" w:leftChars="0" w:firstLine="0" w:firstLineChars="0"/>
      </w:pPr>
      <w:rPr>
        <w:rFonts w:hint="eastAsia" w:ascii="宋体" w:hAnsi="宋体" w:eastAsia="宋体" w:cs="宋体"/>
      </w:rPr>
    </w:lvl>
    <w:lvl w:ilvl="7" w:tentative="0">
      <w:start w:val="1"/>
      <w:numFmt w:val="decimal"/>
      <w:lvlRestart w:val="2"/>
      <w:pStyle w:val="42"/>
      <w:isLgl/>
      <w:suff w:val="space"/>
      <w:lvlText w:val="表%1.%2-%8"/>
      <w:lvlJc w:val="center"/>
      <w:pPr>
        <w:tabs>
          <w:tab w:val="left" w:pos="0"/>
        </w:tabs>
        <w:ind w:left="630" w:leftChars="0" w:firstLine="0" w:firstLineChars="0"/>
      </w:pPr>
      <w:rPr>
        <w:rFonts w:hint="eastAsia" w:ascii="Times New Roman" w:hAnsi="Times New Roman" w:eastAsia="宋体" w:cs="宋体"/>
      </w:rPr>
    </w:lvl>
    <w:lvl w:ilvl="8" w:tentative="0">
      <w:start w:val="1"/>
      <w:numFmt w:val="decimal"/>
      <w:lvlRestart w:val="2"/>
      <w:pStyle w:val="47"/>
      <w:isLgl/>
      <w:suff w:val="space"/>
      <w:lvlText w:val="图%1.%2-%9"/>
      <w:lvlJc w:val="left"/>
      <w:pPr>
        <w:tabs>
          <w:tab w:val="left" w:pos="420"/>
        </w:tabs>
        <w:ind w:left="1583" w:hanging="1583"/>
      </w:pPr>
      <w:rPr>
        <w:rFonts w:hint="eastAsia" w:ascii="Times New Roman" w:hAnsi="Times New Roman" w:eastAsia="宋体" w:cs="宋体"/>
      </w:rPr>
    </w:lvl>
  </w:abstractNum>
  <w:num w:numId="1">
    <w:abstractNumId w:val="9"/>
  </w:num>
  <w:num w:numId="2">
    <w:abstractNumId w:val="5"/>
  </w:num>
  <w:num w:numId="3">
    <w:abstractNumId w:val="0"/>
  </w:num>
  <w:num w:numId="4">
    <w:abstractNumId w:val="4"/>
  </w:num>
  <w:num w:numId="5">
    <w:abstractNumId w:val="1"/>
  </w:num>
  <w:num w:numId="6">
    <w:abstractNumId w:val="7"/>
  </w:num>
  <w:num w:numId="7">
    <w:abstractNumId w:val="3"/>
  </w:num>
  <w:num w:numId="8">
    <w:abstractNumId w:val="8"/>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dlODgxMGI5Yzg3MjZlOGMzZTU4NTc1ZGRiMWEwZmIifQ=="/>
  </w:docVars>
  <w:rsids>
    <w:rsidRoot w:val="00172A27"/>
    <w:rsid w:val="000044D7"/>
    <w:rsid w:val="000060B3"/>
    <w:rsid w:val="00010C32"/>
    <w:rsid w:val="00010D61"/>
    <w:rsid w:val="00013DB6"/>
    <w:rsid w:val="000150ED"/>
    <w:rsid w:val="00017225"/>
    <w:rsid w:val="000244E7"/>
    <w:rsid w:val="00027F64"/>
    <w:rsid w:val="00031A9B"/>
    <w:rsid w:val="00031EFE"/>
    <w:rsid w:val="00040EDE"/>
    <w:rsid w:val="00041B57"/>
    <w:rsid w:val="0004364B"/>
    <w:rsid w:val="000500AF"/>
    <w:rsid w:val="00051602"/>
    <w:rsid w:val="000566B6"/>
    <w:rsid w:val="0005675D"/>
    <w:rsid w:val="00057803"/>
    <w:rsid w:val="0006124E"/>
    <w:rsid w:val="00061B1F"/>
    <w:rsid w:val="00061C20"/>
    <w:rsid w:val="000629F7"/>
    <w:rsid w:val="000733C4"/>
    <w:rsid w:val="00074783"/>
    <w:rsid w:val="00077BD5"/>
    <w:rsid w:val="0008070B"/>
    <w:rsid w:val="000810AC"/>
    <w:rsid w:val="00081A02"/>
    <w:rsid w:val="00082231"/>
    <w:rsid w:val="000841D3"/>
    <w:rsid w:val="00085629"/>
    <w:rsid w:val="00092D38"/>
    <w:rsid w:val="00093075"/>
    <w:rsid w:val="0009377B"/>
    <w:rsid w:val="00094146"/>
    <w:rsid w:val="00094AEE"/>
    <w:rsid w:val="000A20C9"/>
    <w:rsid w:val="000A712D"/>
    <w:rsid w:val="000A76F9"/>
    <w:rsid w:val="000B0530"/>
    <w:rsid w:val="000B058F"/>
    <w:rsid w:val="000B369C"/>
    <w:rsid w:val="000B4467"/>
    <w:rsid w:val="000B4DB9"/>
    <w:rsid w:val="000C09AC"/>
    <w:rsid w:val="000C119D"/>
    <w:rsid w:val="000C1900"/>
    <w:rsid w:val="000C1EE7"/>
    <w:rsid w:val="000C2F92"/>
    <w:rsid w:val="000C3640"/>
    <w:rsid w:val="000C57F5"/>
    <w:rsid w:val="000C6D42"/>
    <w:rsid w:val="000C767F"/>
    <w:rsid w:val="000D03D3"/>
    <w:rsid w:val="000D0960"/>
    <w:rsid w:val="000D54D6"/>
    <w:rsid w:val="000D5A44"/>
    <w:rsid w:val="000E3ED2"/>
    <w:rsid w:val="000E4B00"/>
    <w:rsid w:val="001005DC"/>
    <w:rsid w:val="00100FD2"/>
    <w:rsid w:val="001014DC"/>
    <w:rsid w:val="00102E61"/>
    <w:rsid w:val="001062FE"/>
    <w:rsid w:val="001074DE"/>
    <w:rsid w:val="001075B4"/>
    <w:rsid w:val="00110E2B"/>
    <w:rsid w:val="001133B7"/>
    <w:rsid w:val="00114B58"/>
    <w:rsid w:val="00125D00"/>
    <w:rsid w:val="001260FF"/>
    <w:rsid w:val="0013091B"/>
    <w:rsid w:val="00131F42"/>
    <w:rsid w:val="001357F1"/>
    <w:rsid w:val="00140538"/>
    <w:rsid w:val="00140FA8"/>
    <w:rsid w:val="001418CB"/>
    <w:rsid w:val="00141D71"/>
    <w:rsid w:val="00142FEB"/>
    <w:rsid w:val="00143A2D"/>
    <w:rsid w:val="00145035"/>
    <w:rsid w:val="00145A41"/>
    <w:rsid w:val="00146B60"/>
    <w:rsid w:val="00151675"/>
    <w:rsid w:val="00154C1F"/>
    <w:rsid w:val="001573EA"/>
    <w:rsid w:val="00157435"/>
    <w:rsid w:val="00167BA7"/>
    <w:rsid w:val="00172A27"/>
    <w:rsid w:val="00173954"/>
    <w:rsid w:val="0017504D"/>
    <w:rsid w:val="00175895"/>
    <w:rsid w:val="001762F6"/>
    <w:rsid w:val="0017671A"/>
    <w:rsid w:val="00177422"/>
    <w:rsid w:val="00180EF4"/>
    <w:rsid w:val="00182E99"/>
    <w:rsid w:val="00182F24"/>
    <w:rsid w:val="00184590"/>
    <w:rsid w:val="001870D1"/>
    <w:rsid w:val="0018781E"/>
    <w:rsid w:val="0019262D"/>
    <w:rsid w:val="001968F8"/>
    <w:rsid w:val="001A0E98"/>
    <w:rsid w:val="001A1302"/>
    <w:rsid w:val="001A1944"/>
    <w:rsid w:val="001A1B35"/>
    <w:rsid w:val="001A48A2"/>
    <w:rsid w:val="001A6F61"/>
    <w:rsid w:val="001B3F5A"/>
    <w:rsid w:val="001B72B8"/>
    <w:rsid w:val="001B7EB8"/>
    <w:rsid w:val="001C2D59"/>
    <w:rsid w:val="001C3BF1"/>
    <w:rsid w:val="001C548D"/>
    <w:rsid w:val="001C69B3"/>
    <w:rsid w:val="001D4206"/>
    <w:rsid w:val="001D5595"/>
    <w:rsid w:val="001D59B0"/>
    <w:rsid w:val="001D7874"/>
    <w:rsid w:val="001D7F22"/>
    <w:rsid w:val="001E0F48"/>
    <w:rsid w:val="001E4C8D"/>
    <w:rsid w:val="001F0F17"/>
    <w:rsid w:val="001F1E07"/>
    <w:rsid w:val="001F3347"/>
    <w:rsid w:val="001F3702"/>
    <w:rsid w:val="001F49F6"/>
    <w:rsid w:val="001F69E4"/>
    <w:rsid w:val="001F7DE2"/>
    <w:rsid w:val="00201724"/>
    <w:rsid w:val="002042D4"/>
    <w:rsid w:val="002125B4"/>
    <w:rsid w:val="002155B8"/>
    <w:rsid w:val="00217661"/>
    <w:rsid w:val="00224839"/>
    <w:rsid w:val="002249B2"/>
    <w:rsid w:val="00225378"/>
    <w:rsid w:val="00226574"/>
    <w:rsid w:val="002278EC"/>
    <w:rsid w:val="0023280E"/>
    <w:rsid w:val="002377D1"/>
    <w:rsid w:val="002406E5"/>
    <w:rsid w:val="002452E1"/>
    <w:rsid w:val="00245A88"/>
    <w:rsid w:val="002506BC"/>
    <w:rsid w:val="00253756"/>
    <w:rsid w:val="00253F02"/>
    <w:rsid w:val="00254345"/>
    <w:rsid w:val="002545A7"/>
    <w:rsid w:val="002555A2"/>
    <w:rsid w:val="00256695"/>
    <w:rsid w:val="00264557"/>
    <w:rsid w:val="002701B7"/>
    <w:rsid w:val="0027359D"/>
    <w:rsid w:val="002805AB"/>
    <w:rsid w:val="002812C8"/>
    <w:rsid w:val="002814F1"/>
    <w:rsid w:val="00284204"/>
    <w:rsid w:val="00285085"/>
    <w:rsid w:val="00287861"/>
    <w:rsid w:val="00287A3B"/>
    <w:rsid w:val="00287BFF"/>
    <w:rsid w:val="00291773"/>
    <w:rsid w:val="00292C5F"/>
    <w:rsid w:val="002A168C"/>
    <w:rsid w:val="002A3DC7"/>
    <w:rsid w:val="002A4303"/>
    <w:rsid w:val="002A7B7D"/>
    <w:rsid w:val="002B14DB"/>
    <w:rsid w:val="002B2C5C"/>
    <w:rsid w:val="002B4159"/>
    <w:rsid w:val="002B49E2"/>
    <w:rsid w:val="002B7135"/>
    <w:rsid w:val="002B7B00"/>
    <w:rsid w:val="002B7C44"/>
    <w:rsid w:val="002C2B17"/>
    <w:rsid w:val="002C486B"/>
    <w:rsid w:val="002D1B33"/>
    <w:rsid w:val="002D24B4"/>
    <w:rsid w:val="002D36C8"/>
    <w:rsid w:val="002D3DD0"/>
    <w:rsid w:val="002E1F3A"/>
    <w:rsid w:val="002E298A"/>
    <w:rsid w:val="002F468E"/>
    <w:rsid w:val="002F677F"/>
    <w:rsid w:val="002F6A84"/>
    <w:rsid w:val="00301978"/>
    <w:rsid w:val="00301A3E"/>
    <w:rsid w:val="0030332C"/>
    <w:rsid w:val="003051C2"/>
    <w:rsid w:val="003105DA"/>
    <w:rsid w:val="00312296"/>
    <w:rsid w:val="00314F0E"/>
    <w:rsid w:val="003200F4"/>
    <w:rsid w:val="00320F8F"/>
    <w:rsid w:val="00321AC6"/>
    <w:rsid w:val="00321D8E"/>
    <w:rsid w:val="00325928"/>
    <w:rsid w:val="00332863"/>
    <w:rsid w:val="00332A3D"/>
    <w:rsid w:val="0033684D"/>
    <w:rsid w:val="00336FF9"/>
    <w:rsid w:val="00337B42"/>
    <w:rsid w:val="00340DA9"/>
    <w:rsid w:val="00341B42"/>
    <w:rsid w:val="0034348F"/>
    <w:rsid w:val="00351F64"/>
    <w:rsid w:val="00354BF1"/>
    <w:rsid w:val="00356653"/>
    <w:rsid w:val="003568FE"/>
    <w:rsid w:val="0035743F"/>
    <w:rsid w:val="00357647"/>
    <w:rsid w:val="00357BE2"/>
    <w:rsid w:val="00357C21"/>
    <w:rsid w:val="0036170C"/>
    <w:rsid w:val="003629A3"/>
    <w:rsid w:val="00366E0F"/>
    <w:rsid w:val="00371C4D"/>
    <w:rsid w:val="00375248"/>
    <w:rsid w:val="00376344"/>
    <w:rsid w:val="00376AEF"/>
    <w:rsid w:val="00377DA9"/>
    <w:rsid w:val="00381040"/>
    <w:rsid w:val="0038152B"/>
    <w:rsid w:val="00381A72"/>
    <w:rsid w:val="00383579"/>
    <w:rsid w:val="00384676"/>
    <w:rsid w:val="00386D64"/>
    <w:rsid w:val="00390857"/>
    <w:rsid w:val="003954FA"/>
    <w:rsid w:val="003971F9"/>
    <w:rsid w:val="00397C02"/>
    <w:rsid w:val="003A0C4E"/>
    <w:rsid w:val="003A4BF3"/>
    <w:rsid w:val="003A6D3A"/>
    <w:rsid w:val="003B1284"/>
    <w:rsid w:val="003B2260"/>
    <w:rsid w:val="003B420D"/>
    <w:rsid w:val="003B46BE"/>
    <w:rsid w:val="003C2F0A"/>
    <w:rsid w:val="003C335B"/>
    <w:rsid w:val="003C5606"/>
    <w:rsid w:val="003C6C16"/>
    <w:rsid w:val="003C6E78"/>
    <w:rsid w:val="003D27CC"/>
    <w:rsid w:val="003D476F"/>
    <w:rsid w:val="003D6C52"/>
    <w:rsid w:val="003D794D"/>
    <w:rsid w:val="003E3058"/>
    <w:rsid w:val="003E30EE"/>
    <w:rsid w:val="003E76A9"/>
    <w:rsid w:val="003F0809"/>
    <w:rsid w:val="003F24B7"/>
    <w:rsid w:val="003F6A8C"/>
    <w:rsid w:val="003F755C"/>
    <w:rsid w:val="003F75FD"/>
    <w:rsid w:val="004007F4"/>
    <w:rsid w:val="00403E9E"/>
    <w:rsid w:val="00406F01"/>
    <w:rsid w:val="0041430D"/>
    <w:rsid w:val="00415C4F"/>
    <w:rsid w:val="004163AF"/>
    <w:rsid w:val="004165E4"/>
    <w:rsid w:val="00416721"/>
    <w:rsid w:val="00416D50"/>
    <w:rsid w:val="00416FD5"/>
    <w:rsid w:val="00417772"/>
    <w:rsid w:val="00420E6A"/>
    <w:rsid w:val="004214B1"/>
    <w:rsid w:val="0042178A"/>
    <w:rsid w:val="00424290"/>
    <w:rsid w:val="00425697"/>
    <w:rsid w:val="00425A9E"/>
    <w:rsid w:val="00426D6B"/>
    <w:rsid w:val="00427601"/>
    <w:rsid w:val="00427737"/>
    <w:rsid w:val="00431E6C"/>
    <w:rsid w:val="00433CE7"/>
    <w:rsid w:val="00434CCC"/>
    <w:rsid w:val="00442F7A"/>
    <w:rsid w:val="0044384E"/>
    <w:rsid w:val="00452738"/>
    <w:rsid w:val="00452EB2"/>
    <w:rsid w:val="0045494B"/>
    <w:rsid w:val="00455C13"/>
    <w:rsid w:val="00456091"/>
    <w:rsid w:val="00460877"/>
    <w:rsid w:val="00464233"/>
    <w:rsid w:val="00465D27"/>
    <w:rsid w:val="00466321"/>
    <w:rsid w:val="00471427"/>
    <w:rsid w:val="00480B81"/>
    <w:rsid w:val="004826E8"/>
    <w:rsid w:val="00484B9B"/>
    <w:rsid w:val="004855F6"/>
    <w:rsid w:val="0048661E"/>
    <w:rsid w:val="004930FE"/>
    <w:rsid w:val="0049347D"/>
    <w:rsid w:val="00494670"/>
    <w:rsid w:val="004957F7"/>
    <w:rsid w:val="004977A7"/>
    <w:rsid w:val="004A22C0"/>
    <w:rsid w:val="004A3823"/>
    <w:rsid w:val="004B072F"/>
    <w:rsid w:val="004B4C3D"/>
    <w:rsid w:val="004C0992"/>
    <w:rsid w:val="004C24B9"/>
    <w:rsid w:val="004D03BC"/>
    <w:rsid w:val="004D1DEA"/>
    <w:rsid w:val="004D53C0"/>
    <w:rsid w:val="004D7269"/>
    <w:rsid w:val="004E6946"/>
    <w:rsid w:val="004F1301"/>
    <w:rsid w:val="004F1AB3"/>
    <w:rsid w:val="004F1AD8"/>
    <w:rsid w:val="004F7EF0"/>
    <w:rsid w:val="00501CB7"/>
    <w:rsid w:val="005039CB"/>
    <w:rsid w:val="0050558F"/>
    <w:rsid w:val="00506286"/>
    <w:rsid w:val="00510813"/>
    <w:rsid w:val="00511990"/>
    <w:rsid w:val="00511DE0"/>
    <w:rsid w:val="00514090"/>
    <w:rsid w:val="00514870"/>
    <w:rsid w:val="00514B9B"/>
    <w:rsid w:val="005155CE"/>
    <w:rsid w:val="005166DA"/>
    <w:rsid w:val="0051690D"/>
    <w:rsid w:val="00517F02"/>
    <w:rsid w:val="0052098F"/>
    <w:rsid w:val="00523E89"/>
    <w:rsid w:val="00524283"/>
    <w:rsid w:val="00524303"/>
    <w:rsid w:val="005252E8"/>
    <w:rsid w:val="005258A2"/>
    <w:rsid w:val="00530161"/>
    <w:rsid w:val="005332E5"/>
    <w:rsid w:val="005401AE"/>
    <w:rsid w:val="00540D9F"/>
    <w:rsid w:val="00541FBC"/>
    <w:rsid w:val="00542A31"/>
    <w:rsid w:val="00542E07"/>
    <w:rsid w:val="005441EE"/>
    <w:rsid w:val="00544E42"/>
    <w:rsid w:val="00545424"/>
    <w:rsid w:val="005502E5"/>
    <w:rsid w:val="0055192A"/>
    <w:rsid w:val="005524AB"/>
    <w:rsid w:val="005539A0"/>
    <w:rsid w:val="00554A7B"/>
    <w:rsid w:val="00554A98"/>
    <w:rsid w:val="0055572C"/>
    <w:rsid w:val="0056081F"/>
    <w:rsid w:val="0056106A"/>
    <w:rsid w:val="00562308"/>
    <w:rsid w:val="00562804"/>
    <w:rsid w:val="005630B8"/>
    <w:rsid w:val="00564EAF"/>
    <w:rsid w:val="00566256"/>
    <w:rsid w:val="00571A06"/>
    <w:rsid w:val="005720AE"/>
    <w:rsid w:val="00574266"/>
    <w:rsid w:val="00577718"/>
    <w:rsid w:val="00577855"/>
    <w:rsid w:val="00580EB8"/>
    <w:rsid w:val="00583880"/>
    <w:rsid w:val="00593870"/>
    <w:rsid w:val="00593C6F"/>
    <w:rsid w:val="00594D77"/>
    <w:rsid w:val="005969E4"/>
    <w:rsid w:val="00596E55"/>
    <w:rsid w:val="005A06B7"/>
    <w:rsid w:val="005A1759"/>
    <w:rsid w:val="005A23BB"/>
    <w:rsid w:val="005A611C"/>
    <w:rsid w:val="005A68A7"/>
    <w:rsid w:val="005B7084"/>
    <w:rsid w:val="005B7E0B"/>
    <w:rsid w:val="005C4544"/>
    <w:rsid w:val="005C5557"/>
    <w:rsid w:val="005C6079"/>
    <w:rsid w:val="005C6B61"/>
    <w:rsid w:val="005C6E58"/>
    <w:rsid w:val="005C6F05"/>
    <w:rsid w:val="005D143F"/>
    <w:rsid w:val="005D2AD3"/>
    <w:rsid w:val="005D36AB"/>
    <w:rsid w:val="005D42D4"/>
    <w:rsid w:val="005D6A8F"/>
    <w:rsid w:val="005E0E91"/>
    <w:rsid w:val="005E45AA"/>
    <w:rsid w:val="005E5417"/>
    <w:rsid w:val="005E6D12"/>
    <w:rsid w:val="005F32A7"/>
    <w:rsid w:val="005F65CD"/>
    <w:rsid w:val="005F678A"/>
    <w:rsid w:val="005F7DA6"/>
    <w:rsid w:val="00612E39"/>
    <w:rsid w:val="00614091"/>
    <w:rsid w:val="00617CC3"/>
    <w:rsid w:val="00620B0A"/>
    <w:rsid w:val="00621FB3"/>
    <w:rsid w:val="0062376A"/>
    <w:rsid w:val="006241B4"/>
    <w:rsid w:val="00626B64"/>
    <w:rsid w:val="006272DC"/>
    <w:rsid w:val="006309E7"/>
    <w:rsid w:val="00630EAA"/>
    <w:rsid w:val="00632DD4"/>
    <w:rsid w:val="00635A2C"/>
    <w:rsid w:val="006377A6"/>
    <w:rsid w:val="00637A3D"/>
    <w:rsid w:val="006411EF"/>
    <w:rsid w:val="00641E35"/>
    <w:rsid w:val="00650286"/>
    <w:rsid w:val="00656DE9"/>
    <w:rsid w:val="006572DD"/>
    <w:rsid w:val="00657F1A"/>
    <w:rsid w:val="00661F6F"/>
    <w:rsid w:val="006622C5"/>
    <w:rsid w:val="006672D3"/>
    <w:rsid w:val="00673BEF"/>
    <w:rsid w:val="006748B8"/>
    <w:rsid w:val="006775C3"/>
    <w:rsid w:val="006803E7"/>
    <w:rsid w:val="006821CB"/>
    <w:rsid w:val="00685593"/>
    <w:rsid w:val="006861A9"/>
    <w:rsid w:val="0069290A"/>
    <w:rsid w:val="00692B71"/>
    <w:rsid w:val="00694CDA"/>
    <w:rsid w:val="0069529F"/>
    <w:rsid w:val="0069775A"/>
    <w:rsid w:val="00697813"/>
    <w:rsid w:val="006A05C5"/>
    <w:rsid w:val="006A2F9F"/>
    <w:rsid w:val="006A3EE8"/>
    <w:rsid w:val="006A4002"/>
    <w:rsid w:val="006A6A7D"/>
    <w:rsid w:val="006A6A99"/>
    <w:rsid w:val="006A6F1A"/>
    <w:rsid w:val="006A72BF"/>
    <w:rsid w:val="006B03F2"/>
    <w:rsid w:val="006B1885"/>
    <w:rsid w:val="006B197D"/>
    <w:rsid w:val="006B37DC"/>
    <w:rsid w:val="006B4F68"/>
    <w:rsid w:val="006B5689"/>
    <w:rsid w:val="006C0592"/>
    <w:rsid w:val="006C272E"/>
    <w:rsid w:val="006C2DF8"/>
    <w:rsid w:val="006C3D18"/>
    <w:rsid w:val="006C52BF"/>
    <w:rsid w:val="006C5479"/>
    <w:rsid w:val="006C7F54"/>
    <w:rsid w:val="006D13B5"/>
    <w:rsid w:val="006D1B7A"/>
    <w:rsid w:val="006E12FF"/>
    <w:rsid w:val="006E1E7B"/>
    <w:rsid w:val="006E1FE5"/>
    <w:rsid w:val="006E2B7C"/>
    <w:rsid w:val="006E3839"/>
    <w:rsid w:val="006E4E7D"/>
    <w:rsid w:val="006E607E"/>
    <w:rsid w:val="006E6121"/>
    <w:rsid w:val="006E6229"/>
    <w:rsid w:val="006E68E5"/>
    <w:rsid w:val="006F4235"/>
    <w:rsid w:val="006F4B3C"/>
    <w:rsid w:val="006F67EF"/>
    <w:rsid w:val="00700434"/>
    <w:rsid w:val="007013BB"/>
    <w:rsid w:val="00706C5D"/>
    <w:rsid w:val="00711ABB"/>
    <w:rsid w:val="00712365"/>
    <w:rsid w:val="00712379"/>
    <w:rsid w:val="00713A0F"/>
    <w:rsid w:val="0071464A"/>
    <w:rsid w:val="007155D2"/>
    <w:rsid w:val="00715E44"/>
    <w:rsid w:val="007206CA"/>
    <w:rsid w:val="0072149F"/>
    <w:rsid w:val="0072691E"/>
    <w:rsid w:val="007270A1"/>
    <w:rsid w:val="00732922"/>
    <w:rsid w:val="0073444E"/>
    <w:rsid w:val="00744027"/>
    <w:rsid w:val="0074513C"/>
    <w:rsid w:val="00750323"/>
    <w:rsid w:val="0075162E"/>
    <w:rsid w:val="00754034"/>
    <w:rsid w:val="00756556"/>
    <w:rsid w:val="007570A8"/>
    <w:rsid w:val="0076052D"/>
    <w:rsid w:val="00761479"/>
    <w:rsid w:val="007618C4"/>
    <w:rsid w:val="007630CE"/>
    <w:rsid w:val="0076455E"/>
    <w:rsid w:val="007662BD"/>
    <w:rsid w:val="00767980"/>
    <w:rsid w:val="00770B19"/>
    <w:rsid w:val="007712CE"/>
    <w:rsid w:val="0077463F"/>
    <w:rsid w:val="00775B08"/>
    <w:rsid w:val="00780C6F"/>
    <w:rsid w:val="00781478"/>
    <w:rsid w:val="007836EA"/>
    <w:rsid w:val="00784CDA"/>
    <w:rsid w:val="007906C4"/>
    <w:rsid w:val="007940EA"/>
    <w:rsid w:val="00796411"/>
    <w:rsid w:val="007967E8"/>
    <w:rsid w:val="00796F67"/>
    <w:rsid w:val="007A2170"/>
    <w:rsid w:val="007A22BF"/>
    <w:rsid w:val="007A3323"/>
    <w:rsid w:val="007A6B91"/>
    <w:rsid w:val="007B3760"/>
    <w:rsid w:val="007B4B49"/>
    <w:rsid w:val="007B506A"/>
    <w:rsid w:val="007B72B8"/>
    <w:rsid w:val="007B7A58"/>
    <w:rsid w:val="007C0F2D"/>
    <w:rsid w:val="007C1109"/>
    <w:rsid w:val="007C21B5"/>
    <w:rsid w:val="007C21CE"/>
    <w:rsid w:val="007C39C9"/>
    <w:rsid w:val="007C453B"/>
    <w:rsid w:val="007D28A2"/>
    <w:rsid w:val="007E05AA"/>
    <w:rsid w:val="007E0EFD"/>
    <w:rsid w:val="007E11D2"/>
    <w:rsid w:val="007E49E5"/>
    <w:rsid w:val="007E4BD2"/>
    <w:rsid w:val="007E58F5"/>
    <w:rsid w:val="007E5A7E"/>
    <w:rsid w:val="007F0743"/>
    <w:rsid w:val="007F1787"/>
    <w:rsid w:val="007F1A14"/>
    <w:rsid w:val="007F5D15"/>
    <w:rsid w:val="00801393"/>
    <w:rsid w:val="00802F88"/>
    <w:rsid w:val="0080332F"/>
    <w:rsid w:val="008056A7"/>
    <w:rsid w:val="008109AB"/>
    <w:rsid w:val="0081293E"/>
    <w:rsid w:val="00812A66"/>
    <w:rsid w:val="00815465"/>
    <w:rsid w:val="00816122"/>
    <w:rsid w:val="00817E9A"/>
    <w:rsid w:val="00820597"/>
    <w:rsid w:val="00820F8F"/>
    <w:rsid w:val="008306BD"/>
    <w:rsid w:val="00831A80"/>
    <w:rsid w:val="00833743"/>
    <w:rsid w:val="00833CC0"/>
    <w:rsid w:val="008340A4"/>
    <w:rsid w:val="008342B6"/>
    <w:rsid w:val="008347C4"/>
    <w:rsid w:val="00834D1D"/>
    <w:rsid w:val="00837E78"/>
    <w:rsid w:val="00844986"/>
    <w:rsid w:val="0084520B"/>
    <w:rsid w:val="00846175"/>
    <w:rsid w:val="00856472"/>
    <w:rsid w:val="00860591"/>
    <w:rsid w:val="0086140A"/>
    <w:rsid w:val="008646BA"/>
    <w:rsid w:val="00866C83"/>
    <w:rsid w:val="0087131C"/>
    <w:rsid w:val="0087135F"/>
    <w:rsid w:val="00872D94"/>
    <w:rsid w:val="008741C4"/>
    <w:rsid w:val="00877FCF"/>
    <w:rsid w:val="00880364"/>
    <w:rsid w:val="008815CB"/>
    <w:rsid w:val="00883579"/>
    <w:rsid w:val="00885337"/>
    <w:rsid w:val="00885689"/>
    <w:rsid w:val="00886DC7"/>
    <w:rsid w:val="00891592"/>
    <w:rsid w:val="00891E9E"/>
    <w:rsid w:val="00893553"/>
    <w:rsid w:val="00893D06"/>
    <w:rsid w:val="00895C9A"/>
    <w:rsid w:val="008A2F68"/>
    <w:rsid w:val="008A3083"/>
    <w:rsid w:val="008A63FF"/>
    <w:rsid w:val="008B17A5"/>
    <w:rsid w:val="008B4FA6"/>
    <w:rsid w:val="008B5282"/>
    <w:rsid w:val="008B5446"/>
    <w:rsid w:val="008B6924"/>
    <w:rsid w:val="008B7C17"/>
    <w:rsid w:val="008C1E6E"/>
    <w:rsid w:val="008C2D01"/>
    <w:rsid w:val="008C40E6"/>
    <w:rsid w:val="008C689E"/>
    <w:rsid w:val="008D0F7A"/>
    <w:rsid w:val="008D1EB4"/>
    <w:rsid w:val="008D68E4"/>
    <w:rsid w:val="008E0506"/>
    <w:rsid w:val="008E0CFF"/>
    <w:rsid w:val="008E169E"/>
    <w:rsid w:val="008E28BC"/>
    <w:rsid w:val="008E34A0"/>
    <w:rsid w:val="008E5D6B"/>
    <w:rsid w:val="008E76F0"/>
    <w:rsid w:val="008F158B"/>
    <w:rsid w:val="008F15FE"/>
    <w:rsid w:val="008F2D29"/>
    <w:rsid w:val="008F3EFD"/>
    <w:rsid w:val="008F5187"/>
    <w:rsid w:val="008F60D8"/>
    <w:rsid w:val="008F6E35"/>
    <w:rsid w:val="008F6EB2"/>
    <w:rsid w:val="00902727"/>
    <w:rsid w:val="00902C2A"/>
    <w:rsid w:val="0090312B"/>
    <w:rsid w:val="009034FB"/>
    <w:rsid w:val="00903F6B"/>
    <w:rsid w:val="00905DCF"/>
    <w:rsid w:val="00906786"/>
    <w:rsid w:val="009110C4"/>
    <w:rsid w:val="0091186E"/>
    <w:rsid w:val="00912D18"/>
    <w:rsid w:val="0091736D"/>
    <w:rsid w:val="009268D1"/>
    <w:rsid w:val="00927ACB"/>
    <w:rsid w:val="0093037A"/>
    <w:rsid w:val="00930AD3"/>
    <w:rsid w:val="00931EEF"/>
    <w:rsid w:val="00934F08"/>
    <w:rsid w:val="0094154D"/>
    <w:rsid w:val="0094579C"/>
    <w:rsid w:val="00946ED7"/>
    <w:rsid w:val="00950F53"/>
    <w:rsid w:val="009513D1"/>
    <w:rsid w:val="00951439"/>
    <w:rsid w:val="0095155F"/>
    <w:rsid w:val="00954429"/>
    <w:rsid w:val="009563CE"/>
    <w:rsid w:val="00962D9D"/>
    <w:rsid w:val="00963589"/>
    <w:rsid w:val="00973F93"/>
    <w:rsid w:val="00973FCE"/>
    <w:rsid w:val="009760F1"/>
    <w:rsid w:val="00976328"/>
    <w:rsid w:val="0097680D"/>
    <w:rsid w:val="00977EAC"/>
    <w:rsid w:val="00980ACF"/>
    <w:rsid w:val="00982438"/>
    <w:rsid w:val="0098256A"/>
    <w:rsid w:val="009837A2"/>
    <w:rsid w:val="0098404C"/>
    <w:rsid w:val="00984EFB"/>
    <w:rsid w:val="00985283"/>
    <w:rsid w:val="00993133"/>
    <w:rsid w:val="00993585"/>
    <w:rsid w:val="00993935"/>
    <w:rsid w:val="00995992"/>
    <w:rsid w:val="0099731D"/>
    <w:rsid w:val="009A0241"/>
    <w:rsid w:val="009A03E5"/>
    <w:rsid w:val="009A0F3B"/>
    <w:rsid w:val="009A1BB4"/>
    <w:rsid w:val="009A1F39"/>
    <w:rsid w:val="009A2628"/>
    <w:rsid w:val="009A3200"/>
    <w:rsid w:val="009A3379"/>
    <w:rsid w:val="009A45BE"/>
    <w:rsid w:val="009A7CFB"/>
    <w:rsid w:val="009B0897"/>
    <w:rsid w:val="009B4AD9"/>
    <w:rsid w:val="009B5609"/>
    <w:rsid w:val="009B7BD9"/>
    <w:rsid w:val="009C7DD5"/>
    <w:rsid w:val="009D0FEE"/>
    <w:rsid w:val="009D1A93"/>
    <w:rsid w:val="009D2748"/>
    <w:rsid w:val="009D4E2B"/>
    <w:rsid w:val="009D77B2"/>
    <w:rsid w:val="009D79D6"/>
    <w:rsid w:val="009E18E4"/>
    <w:rsid w:val="009E227D"/>
    <w:rsid w:val="009E5019"/>
    <w:rsid w:val="009E5253"/>
    <w:rsid w:val="009E623D"/>
    <w:rsid w:val="009F2204"/>
    <w:rsid w:val="009F58F9"/>
    <w:rsid w:val="00A01AC5"/>
    <w:rsid w:val="00A04E90"/>
    <w:rsid w:val="00A04F1B"/>
    <w:rsid w:val="00A0501B"/>
    <w:rsid w:val="00A069FC"/>
    <w:rsid w:val="00A1108E"/>
    <w:rsid w:val="00A14947"/>
    <w:rsid w:val="00A16D19"/>
    <w:rsid w:val="00A20D6F"/>
    <w:rsid w:val="00A216F9"/>
    <w:rsid w:val="00A22342"/>
    <w:rsid w:val="00A2703B"/>
    <w:rsid w:val="00A27D49"/>
    <w:rsid w:val="00A322B4"/>
    <w:rsid w:val="00A32A83"/>
    <w:rsid w:val="00A3572D"/>
    <w:rsid w:val="00A368DB"/>
    <w:rsid w:val="00A41EB4"/>
    <w:rsid w:val="00A42273"/>
    <w:rsid w:val="00A423AA"/>
    <w:rsid w:val="00A444A9"/>
    <w:rsid w:val="00A44F0A"/>
    <w:rsid w:val="00A53220"/>
    <w:rsid w:val="00A53A1C"/>
    <w:rsid w:val="00A53EC6"/>
    <w:rsid w:val="00A54E5B"/>
    <w:rsid w:val="00A5520C"/>
    <w:rsid w:val="00A55C0F"/>
    <w:rsid w:val="00A5655A"/>
    <w:rsid w:val="00A56967"/>
    <w:rsid w:val="00A576C9"/>
    <w:rsid w:val="00A6159F"/>
    <w:rsid w:val="00A61FB3"/>
    <w:rsid w:val="00A703E5"/>
    <w:rsid w:val="00A72FBE"/>
    <w:rsid w:val="00A740FC"/>
    <w:rsid w:val="00A76CFF"/>
    <w:rsid w:val="00A80215"/>
    <w:rsid w:val="00A8386F"/>
    <w:rsid w:val="00A843C5"/>
    <w:rsid w:val="00A85B5B"/>
    <w:rsid w:val="00A8713F"/>
    <w:rsid w:val="00A87252"/>
    <w:rsid w:val="00A90BA1"/>
    <w:rsid w:val="00A90DCD"/>
    <w:rsid w:val="00A97846"/>
    <w:rsid w:val="00A97A9A"/>
    <w:rsid w:val="00A97F0F"/>
    <w:rsid w:val="00AA0417"/>
    <w:rsid w:val="00AA0671"/>
    <w:rsid w:val="00AA21DA"/>
    <w:rsid w:val="00AA2531"/>
    <w:rsid w:val="00AA3A21"/>
    <w:rsid w:val="00AA751B"/>
    <w:rsid w:val="00AB1E09"/>
    <w:rsid w:val="00AB2627"/>
    <w:rsid w:val="00AB5330"/>
    <w:rsid w:val="00AB7747"/>
    <w:rsid w:val="00AB7874"/>
    <w:rsid w:val="00AC017F"/>
    <w:rsid w:val="00AC14CE"/>
    <w:rsid w:val="00AC2A56"/>
    <w:rsid w:val="00AC49F5"/>
    <w:rsid w:val="00AC4D7A"/>
    <w:rsid w:val="00AD055E"/>
    <w:rsid w:val="00AD198C"/>
    <w:rsid w:val="00AD2054"/>
    <w:rsid w:val="00AD43D6"/>
    <w:rsid w:val="00AD47A7"/>
    <w:rsid w:val="00AD575B"/>
    <w:rsid w:val="00AD7338"/>
    <w:rsid w:val="00AE291D"/>
    <w:rsid w:val="00AE2BAC"/>
    <w:rsid w:val="00AE4E5E"/>
    <w:rsid w:val="00AE4FE1"/>
    <w:rsid w:val="00AE6A4E"/>
    <w:rsid w:val="00AF003F"/>
    <w:rsid w:val="00AF0CBF"/>
    <w:rsid w:val="00AF2082"/>
    <w:rsid w:val="00AF257F"/>
    <w:rsid w:val="00AF33CF"/>
    <w:rsid w:val="00AF4D50"/>
    <w:rsid w:val="00AF56FB"/>
    <w:rsid w:val="00AF6179"/>
    <w:rsid w:val="00AF754F"/>
    <w:rsid w:val="00B00D28"/>
    <w:rsid w:val="00B017EA"/>
    <w:rsid w:val="00B0330C"/>
    <w:rsid w:val="00B04662"/>
    <w:rsid w:val="00B07B3D"/>
    <w:rsid w:val="00B12080"/>
    <w:rsid w:val="00B128DD"/>
    <w:rsid w:val="00B1295A"/>
    <w:rsid w:val="00B12E88"/>
    <w:rsid w:val="00B16519"/>
    <w:rsid w:val="00B17FB0"/>
    <w:rsid w:val="00B2009E"/>
    <w:rsid w:val="00B20A45"/>
    <w:rsid w:val="00B22BFD"/>
    <w:rsid w:val="00B22C5C"/>
    <w:rsid w:val="00B24F30"/>
    <w:rsid w:val="00B253F3"/>
    <w:rsid w:val="00B30462"/>
    <w:rsid w:val="00B31ABF"/>
    <w:rsid w:val="00B3380D"/>
    <w:rsid w:val="00B33BE3"/>
    <w:rsid w:val="00B40BF0"/>
    <w:rsid w:val="00B43428"/>
    <w:rsid w:val="00B44183"/>
    <w:rsid w:val="00B4648B"/>
    <w:rsid w:val="00B47BC1"/>
    <w:rsid w:val="00B52557"/>
    <w:rsid w:val="00B531FE"/>
    <w:rsid w:val="00B535D5"/>
    <w:rsid w:val="00B53B5D"/>
    <w:rsid w:val="00B57FDE"/>
    <w:rsid w:val="00B6055E"/>
    <w:rsid w:val="00B60DDB"/>
    <w:rsid w:val="00B62049"/>
    <w:rsid w:val="00B6317D"/>
    <w:rsid w:val="00B63B6F"/>
    <w:rsid w:val="00B659A7"/>
    <w:rsid w:val="00B70EBE"/>
    <w:rsid w:val="00B71018"/>
    <w:rsid w:val="00B7144D"/>
    <w:rsid w:val="00B7723F"/>
    <w:rsid w:val="00B775C1"/>
    <w:rsid w:val="00B801AF"/>
    <w:rsid w:val="00B80534"/>
    <w:rsid w:val="00B8180B"/>
    <w:rsid w:val="00B8377A"/>
    <w:rsid w:val="00B8390D"/>
    <w:rsid w:val="00B839FB"/>
    <w:rsid w:val="00B8433C"/>
    <w:rsid w:val="00B87491"/>
    <w:rsid w:val="00B91147"/>
    <w:rsid w:val="00B95AAA"/>
    <w:rsid w:val="00B96EB4"/>
    <w:rsid w:val="00B9774A"/>
    <w:rsid w:val="00BA1F3E"/>
    <w:rsid w:val="00BA29E9"/>
    <w:rsid w:val="00BA7142"/>
    <w:rsid w:val="00BB1443"/>
    <w:rsid w:val="00BB237C"/>
    <w:rsid w:val="00BB2492"/>
    <w:rsid w:val="00BB41A3"/>
    <w:rsid w:val="00BB4E23"/>
    <w:rsid w:val="00BB7890"/>
    <w:rsid w:val="00BC32DC"/>
    <w:rsid w:val="00BC35B6"/>
    <w:rsid w:val="00BC6C7A"/>
    <w:rsid w:val="00BC7D6F"/>
    <w:rsid w:val="00BD1B51"/>
    <w:rsid w:val="00BD4596"/>
    <w:rsid w:val="00BE1405"/>
    <w:rsid w:val="00BE312D"/>
    <w:rsid w:val="00BE32F3"/>
    <w:rsid w:val="00BE4601"/>
    <w:rsid w:val="00BE7E86"/>
    <w:rsid w:val="00BF1C20"/>
    <w:rsid w:val="00C04FC1"/>
    <w:rsid w:val="00C0619C"/>
    <w:rsid w:val="00C10578"/>
    <w:rsid w:val="00C12D62"/>
    <w:rsid w:val="00C135BC"/>
    <w:rsid w:val="00C15C95"/>
    <w:rsid w:val="00C20E6A"/>
    <w:rsid w:val="00C211BC"/>
    <w:rsid w:val="00C24F0D"/>
    <w:rsid w:val="00C2596A"/>
    <w:rsid w:val="00C27537"/>
    <w:rsid w:val="00C328FE"/>
    <w:rsid w:val="00C33507"/>
    <w:rsid w:val="00C336C7"/>
    <w:rsid w:val="00C37C6E"/>
    <w:rsid w:val="00C4409D"/>
    <w:rsid w:val="00C44E72"/>
    <w:rsid w:val="00C45A06"/>
    <w:rsid w:val="00C4762A"/>
    <w:rsid w:val="00C47E5B"/>
    <w:rsid w:val="00C52DD6"/>
    <w:rsid w:val="00C572CE"/>
    <w:rsid w:val="00C61DEB"/>
    <w:rsid w:val="00C61E4B"/>
    <w:rsid w:val="00C621A8"/>
    <w:rsid w:val="00C64BFF"/>
    <w:rsid w:val="00C652B5"/>
    <w:rsid w:val="00C65AD9"/>
    <w:rsid w:val="00C65D27"/>
    <w:rsid w:val="00C67C87"/>
    <w:rsid w:val="00C67F8B"/>
    <w:rsid w:val="00C704E9"/>
    <w:rsid w:val="00C72ACE"/>
    <w:rsid w:val="00C763C9"/>
    <w:rsid w:val="00C77D12"/>
    <w:rsid w:val="00C80057"/>
    <w:rsid w:val="00C806E5"/>
    <w:rsid w:val="00C81FE5"/>
    <w:rsid w:val="00C82232"/>
    <w:rsid w:val="00C82913"/>
    <w:rsid w:val="00C906D8"/>
    <w:rsid w:val="00C91E1A"/>
    <w:rsid w:val="00C94135"/>
    <w:rsid w:val="00C972B1"/>
    <w:rsid w:val="00C978A8"/>
    <w:rsid w:val="00CA23ED"/>
    <w:rsid w:val="00CA2CCE"/>
    <w:rsid w:val="00CA43FD"/>
    <w:rsid w:val="00CA7EF8"/>
    <w:rsid w:val="00CB09CE"/>
    <w:rsid w:val="00CB184A"/>
    <w:rsid w:val="00CB5002"/>
    <w:rsid w:val="00CC152F"/>
    <w:rsid w:val="00CC2C19"/>
    <w:rsid w:val="00CC489B"/>
    <w:rsid w:val="00CC5CDD"/>
    <w:rsid w:val="00CC7B59"/>
    <w:rsid w:val="00CC7C9E"/>
    <w:rsid w:val="00CD0E6D"/>
    <w:rsid w:val="00CD2A33"/>
    <w:rsid w:val="00CD2BCD"/>
    <w:rsid w:val="00CD3A4C"/>
    <w:rsid w:val="00CE10E9"/>
    <w:rsid w:val="00CE2910"/>
    <w:rsid w:val="00CE5393"/>
    <w:rsid w:val="00CE6CD5"/>
    <w:rsid w:val="00CE7177"/>
    <w:rsid w:val="00CF2259"/>
    <w:rsid w:val="00CF3194"/>
    <w:rsid w:val="00CF36BE"/>
    <w:rsid w:val="00CF50BA"/>
    <w:rsid w:val="00CF6000"/>
    <w:rsid w:val="00CF78AF"/>
    <w:rsid w:val="00CF7E73"/>
    <w:rsid w:val="00D003F3"/>
    <w:rsid w:val="00D008F3"/>
    <w:rsid w:val="00D01B9C"/>
    <w:rsid w:val="00D0364F"/>
    <w:rsid w:val="00D038CB"/>
    <w:rsid w:val="00D06834"/>
    <w:rsid w:val="00D14F57"/>
    <w:rsid w:val="00D15112"/>
    <w:rsid w:val="00D15E6A"/>
    <w:rsid w:val="00D21454"/>
    <w:rsid w:val="00D2416B"/>
    <w:rsid w:val="00D245A4"/>
    <w:rsid w:val="00D2732C"/>
    <w:rsid w:val="00D308ED"/>
    <w:rsid w:val="00D31571"/>
    <w:rsid w:val="00D326AC"/>
    <w:rsid w:val="00D36D86"/>
    <w:rsid w:val="00D428AA"/>
    <w:rsid w:val="00D42B17"/>
    <w:rsid w:val="00D451A1"/>
    <w:rsid w:val="00D45BBF"/>
    <w:rsid w:val="00D50A34"/>
    <w:rsid w:val="00D525B9"/>
    <w:rsid w:val="00D53EFA"/>
    <w:rsid w:val="00D621AE"/>
    <w:rsid w:val="00D743B5"/>
    <w:rsid w:val="00D84242"/>
    <w:rsid w:val="00D86FB1"/>
    <w:rsid w:val="00D877C8"/>
    <w:rsid w:val="00D94A7C"/>
    <w:rsid w:val="00D95896"/>
    <w:rsid w:val="00D96B3D"/>
    <w:rsid w:val="00D97760"/>
    <w:rsid w:val="00D979F1"/>
    <w:rsid w:val="00DA3073"/>
    <w:rsid w:val="00DA38D9"/>
    <w:rsid w:val="00DB032D"/>
    <w:rsid w:val="00DB145B"/>
    <w:rsid w:val="00DB18E6"/>
    <w:rsid w:val="00DB2983"/>
    <w:rsid w:val="00DB3425"/>
    <w:rsid w:val="00DC1257"/>
    <w:rsid w:val="00DC38A6"/>
    <w:rsid w:val="00DC3A55"/>
    <w:rsid w:val="00DC3DC0"/>
    <w:rsid w:val="00DC5B2B"/>
    <w:rsid w:val="00DC6AB1"/>
    <w:rsid w:val="00DD318D"/>
    <w:rsid w:val="00DD6B72"/>
    <w:rsid w:val="00DD7536"/>
    <w:rsid w:val="00DE19EB"/>
    <w:rsid w:val="00DE5CB4"/>
    <w:rsid w:val="00DF217B"/>
    <w:rsid w:val="00DF2E12"/>
    <w:rsid w:val="00DF3633"/>
    <w:rsid w:val="00DF43B0"/>
    <w:rsid w:val="00DF514A"/>
    <w:rsid w:val="00DF6690"/>
    <w:rsid w:val="00DF6804"/>
    <w:rsid w:val="00E01990"/>
    <w:rsid w:val="00E02630"/>
    <w:rsid w:val="00E02C89"/>
    <w:rsid w:val="00E0358D"/>
    <w:rsid w:val="00E04323"/>
    <w:rsid w:val="00E070A2"/>
    <w:rsid w:val="00E1323E"/>
    <w:rsid w:val="00E16FEF"/>
    <w:rsid w:val="00E17158"/>
    <w:rsid w:val="00E17FF8"/>
    <w:rsid w:val="00E21B57"/>
    <w:rsid w:val="00E23E53"/>
    <w:rsid w:val="00E25546"/>
    <w:rsid w:val="00E2656A"/>
    <w:rsid w:val="00E2752D"/>
    <w:rsid w:val="00E2758C"/>
    <w:rsid w:val="00E330DA"/>
    <w:rsid w:val="00E36010"/>
    <w:rsid w:val="00E37E55"/>
    <w:rsid w:val="00E412D0"/>
    <w:rsid w:val="00E51F01"/>
    <w:rsid w:val="00E56322"/>
    <w:rsid w:val="00E60982"/>
    <w:rsid w:val="00E61CFA"/>
    <w:rsid w:val="00E62C62"/>
    <w:rsid w:val="00E62C94"/>
    <w:rsid w:val="00E654C1"/>
    <w:rsid w:val="00E65D97"/>
    <w:rsid w:val="00E71EEB"/>
    <w:rsid w:val="00E727E4"/>
    <w:rsid w:val="00E72A5A"/>
    <w:rsid w:val="00E73141"/>
    <w:rsid w:val="00E73354"/>
    <w:rsid w:val="00E7523A"/>
    <w:rsid w:val="00E8018A"/>
    <w:rsid w:val="00E82E20"/>
    <w:rsid w:val="00E843F0"/>
    <w:rsid w:val="00E86578"/>
    <w:rsid w:val="00E865C2"/>
    <w:rsid w:val="00E9242D"/>
    <w:rsid w:val="00E96BDF"/>
    <w:rsid w:val="00EA1BCE"/>
    <w:rsid w:val="00EA3264"/>
    <w:rsid w:val="00EA7761"/>
    <w:rsid w:val="00EB5255"/>
    <w:rsid w:val="00EB5C47"/>
    <w:rsid w:val="00EC0730"/>
    <w:rsid w:val="00EC2429"/>
    <w:rsid w:val="00EC332E"/>
    <w:rsid w:val="00ED0639"/>
    <w:rsid w:val="00ED20AB"/>
    <w:rsid w:val="00ED2FA8"/>
    <w:rsid w:val="00ED64CA"/>
    <w:rsid w:val="00EE0251"/>
    <w:rsid w:val="00EF2649"/>
    <w:rsid w:val="00EF3297"/>
    <w:rsid w:val="00EF380F"/>
    <w:rsid w:val="00EF4755"/>
    <w:rsid w:val="00EF5BA2"/>
    <w:rsid w:val="00EF7135"/>
    <w:rsid w:val="00F01B06"/>
    <w:rsid w:val="00F027DB"/>
    <w:rsid w:val="00F06167"/>
    <w:rsid w:val="00F06E9A"/>
    <w:rsid w:val="00F10742"/>
    <w:rsid w:val="00F14A7A"/>
    <w:rsid w:val="00F15CEA"/>
    <w:rsid w:val="00F16279"/>
    <w:rsid w:val="00F22985"/>
    <w:rsid w:val="00F2389E"/>
    <w:rsid w:val="00F26AB1"/>
    <w:rsid w:val="00F271E2"/>
    <w:rsid w:val="00F32FF8"/>
    <w:rsid w:val="00F33347"/>
    <w:rsid w:val="00F3383E"/>
    <w:rsid w:val="00F37BE6"/>
    <w:rsid w:val="00F40357"/>
    <w:rsid w:val="00F4099A"/>
    <w:rsid w:val="00F44E64"/>
    <w:rsid w:val="00F465A7"/>
    <w:rsid w:val="00F4666D"/>
    <w:rsid w:val="00F46F8E"/>
    <w:rsid w:val="00F50B7C"/>
    <w:rsid w:val="00F51ED4"/>
    <w:rsid w:val="00F52A8D"/>
    <w:rsid w:val="00F53303"/>
    <w:rsid w:val="00F550E6"/>
    <w:rsid w:val="00F575A4"/>
    <w:rsid w:val="00F5782B"/>
    <w:rsid w:val="00F63C0C"/>
    <w:rsid w:val="00F6462F"/>
    <w:rsid w:val="00F66529"/>
    <w:rsid w:val="00F70C59"/>
    <w:rsid w:val="00F72660"/>
    <w:rsid w:val="00F74345"/>
    <w:rsid w:val="00F755E6"/>
    <w:rsid w:val="00F759F3"/>
    <w:rsid w:val="00F75B94"/>
    <w:rsid w:val="00F80A0A"/>
    <w:rsid w:val="00F82B19"/>
    <w:rsid w:val="00F84D59"/>
    <w:rsid w:val="00F878E7"/>
    <w:rsid w:val="00F9212D"/>
    <w:rsid w:val="00F965DA"/>
    <w:rsid w:val="00F96819"/>
    <w:rsid w:val="00FA2391"/>
    <w:rsid w:val="00FA406A"/>
    <w:rsid w:val="00FB503A"/>
    <w:rsid w:val="00FB516C"/>
    <w:rsid w:val="00FB5674"/>
    <w:rsid w:val="00FB5F7E"/>
    <w:rsid w:val="00FB76CA"/>
    <w:rsid w:val="00FC24AD"/>
    <w:rsid w:val="00FC3895"/>
    <w:rsid w:val="00FC6A10"/>
    <w:rsid w:val="00FC79CB"/>
    <w:rsid w:val="00FD0236"/>
    <w:rsid w:val="00FD18F4"/>
    <w:rsid w:val="00FD26EE"/>
    <w:rsid w:val="00FD54DB"/>
    <w:rsid w:val="00FD619F"/>
    <w:rsid w:val="00FE1B8B"/>
    <w:rsid w:val="00FE2C4F"/>
    <w:rsid w:val="00FE532C"/>
    <w:rsid w:val="00FE5D81"/>
    <w:rsid w:val="00FE754F"/>
    <w:rsid w:val="00FE764F"/>
    <w:rsid w:val="00FF0CC8"/>
    <w:rsid w:val="00FF5B8C"/>
    <w:rsid w:val="01031C21"/>
    <w:rsid w:val="010B03A2"/>
    <w:rsid w:val="011473B7"/>
    <w:rsid w:val="011C4005"/>
    <w:rsid w:val="011F3044"/>
    <w:rsid w:val="01221997"/>
    <w:rsid w:val="01284C10"/>
    <w:rsid w:val="01290F7E"/>
    <w:rsid w:val="01312193"/>
    <w:rsid w:val="013159A7"/>
    <w:rsid w:val="01351B14"/>
    <w:rsid w:val="013637D1"/>
    <w:rsid w:val="01366D4C"/>
    <w:rsid w:val="01381965"/>
    <w:rsid w:val="013E4434"/>
    <w:rsid w:val="013F7DD9"/>
    <w:rsid w:val="01431A4A"/>
    <w:rsid w:val="01435C42"/>
    <w:rsid w:val="014741DA"/>
    <w:rsid w:val="01503F3D"/>
    <w:rsid w:val="01514167"/>
    <w:rsid w:val="01533DD0"/>
    <w:rsid w:val="01534D67"/>
    <w:rsid w:val="01570B0A"/>
    <w:rsid w:val="015772A4"/>
    <w:rsid w:val="0159126E"/>
    <w:rsid w:val="015D1E09"/>
    <w:rsid w:val="015D36C0"/>
    <w:rsid w:val="01626374"/>
    <w:rsid w:val="01635C49"/>
    <w:rsid w:val="01663DA5"/>
    <w:rsid w:val="0169049A"/>
    <w:rsid w:val="016C257C"/>
    <w:rsid w:val="016D6AC7"/>
    <w:rsid w:val="017642C4"/>
    <w:rsid w:val="01795324"/>
    <w:rsid w:val="01822C60"/>
    <w:rsid w:val="018B4D7A"/>
    <w:rsid w:val="018E7169"/>
    <w:rsid w:val="019404F8"/>
    <w:rsid w:val="019649B3"/>
    <w:rsid w:val="01994A5B"/>
    <w:rsid w:val="019978BC"/>
    <w:rsid w:val="019B0C01"/>
    <w:rsid w:val="01A249C3"/>
    <w:rsid w:val="01AA7D1B"/>
    <w:rsid w:val="01B14C06"/>
    <w:rsid w:val="01B711E2"/>
    <w:rsid w:val="01BA61B0"/>
    <w:rsid w:val="01BD17FD"/>
    <w:rsid w:val="01BD4C9A"/>
    <w:rsid w:val="01BF0BDA"/>
    <w:rsid w:val="01C963F3"/>
    <w:rsid w:val="01CC3FA0"/>
    <w:rsid w:val="01CC7C92"/>
    <w:rsid w:val="01D32DCE"/>
    <w:rsid w:val="01D81E3B"/>
    <w:rsid w:val="01D83D26"/>
    <w:rsid w:val="01DE3E81"/>
    <w:rsid w:val="01DE6CE9"/>
    <w:rsid w:val="01E11BC6"/>
    <w:rsid w:val="01E30724"/>
    <w:rsid w:val="01E32192"/>
    <w:rsid w:val="01E7050A"/>
    <w:rsid w:val="01E90844"/>
    <w:rsid w:val="01F27B47"/>
    <w:rsid w:val="01F32EBA"/>
    <w:rsid w:val="01FB408B"/>
    <w:rsid w:val="01FD42EF"/>
    <w:rsid w:val="01FF44CB"/>
    <w:rsid w:val="02005A7B"/>
    <w:rsid w:val="02005B8D"/>
    <w:rsid w:val="020C62E0"/>
    <w:rsid w:val="020E7BCB"/>
    <w:rsid w:val="02160F0D"/>
    <w:rsid w:val="021876EC"/>
    <w:rsid w:val="021B4775"/>
    <w:rsid w:val="021D3D2C"/>
    <w:rsid w:val="02284DF1"/>
    <w:rsid w:val="02290C40"/>
    <w:rsid w:val="022D6017"/>
    <w:rsid w:val="022E6257"/>
    <w:rsid w:val="022F7E4F"/>
    <w:rsid w:val="02304CB8"/>
    <w:rsid w:val="02340733"/>
    <w:rsid w:val="02353375"/>
    <w:rsid w:val="02436CFA"/>
    <w:rsid w:val="02532161"/>
    <w:rsid w:val="02532473"/>
    <w:rsid w:val="02570038"/>
    <w:rsid w:val="02570457"/>
    <w:rsid w:val="025A6E7A"/>
    <w:rsid w:val="025B3F76"/>
    <w:rsid w:val="026115F0"/>
    <w:rsid w:val="026659F0"/>
    <w:rsid w:val="02666686"/>
    <w:rsid w:val="02697903"/>
    <w:rsid w:val="026B1259"/>
    <w:rsid w:val="027A5940"/>
    <w:rsid w:val="027D47AD"/>
    <w:rsid w:val="02801D3F"/>
    <w:rsid w:val="028B583D"/>
    <w:rsid w:val="028E4DFF"/>
    <w:rsid w:val="029167E5"/>
    <w:rsid w:val="0293255D"/>
    <w:rsid w:val="029562D6"/>
    <w:rsid w:val="029E1F6C"/>
    <w:rsid w:val="029F53A6"/>
    <w:rsid w:val="02AE4C2A"/>
    <w:rsid w:val="02B0310F"/>
    <w:rsid w:val="02B153BE"/>
    <w:rsid w:val="02B55F34"/>
    <w:rsid w:val="02BB1EF3"/>
    <w:rsid w:val="02BF1304"/>
    <w:rsid w:val="02C26B15"/>
    <w:rsid w:val="02C82F21"/>
    <w:rsid w:val="02C8425D"/>
    <w:rsid w:val="02CD28BB"/>
    <w:rsid w:val="02D069A1"/>
    <w:rsid w:val="02D2318C"/>
    <w:rsid w:val="02D52B76"/>
    <w:rsid w:val="02D54924"/>
    <w:rsid w:val="02DB3646"/>
    <w:rsid w:val="02E81F09"/>
    <w:rsid w:val="02EC75E1"/>
    <w:rsid w:val="02ED10F0"/>
    <w:rsid w:val="02ED12BC"/>
    <w:rsid w:val="02F0175E"/>
    <w:rsid w:val="02F23728"/>
    <w:rsid w:val="02F54220"/>
    <w:rsid w:val="02F73C38"/>
    <w:rsid w:val="02F84D75"/>
    <w:rsid w:val="02F96569"/>
    <w:rsid w:val="02FF5E45"/>
    <w:rsid w:val="02FF7C6D"/>
    <w:rsid w:val="03035935"/>
    <w:rsid w:val="030560C6"/>
    <w:rsid w:val="030627CB"/>
    <w:rsid w:val="03065425"/>
    <w:rsid w:val="03074C27"/>
    <w:rsid w:val="03082EFC"/>
    <w:rsid w:val="031418F0"/>
    <w:rsid w:val="0317318F"/>
    <w:rsid w:val="031C2553"/>
    <w:rsid w:val="031C644F"/>
    <w:rsid w:val="03237D85"/>
    <w:rsid w:val="03265180"/>
    <w:rsid w:val="032A4C70"/>
    <w:rsid w:val="033112EF"/>
    <w:rsid w:val="03343D40"/>
    <w:rsid w:val="03345AEF"/>
    <w:rsid w:val="0337738D"/>
    <w:rsid w:val="03411FB9"/>
    <w:rsid w:val="03457CFC"/>
    <w:rsid w:val="03465822"/>
    <w:rsid w:val="034B38FA"/>
    <w:rsid w:val="03504809"/>
    <w:rsid w:val="03575C81"/>
    <w:rsid w:val="035D6367"/>
    <w:rsid w:val="035F4F1E"/>
    <w:rsid w:val="036D1E15"/>
    <w:rsid w:val="036F2B61"/>
    <w:rsid w:val="036F61FC"/>
    <w:rsid w:val="0371289F"/>
    <w:rsid w:val="037B371D"/>
    <w:rsid w:val="037F58E9"/>
    <w:rsid w:val="0382266C"/>
    <w:rsid w:val="0385748B"/>
    <w:rsid w:val="038756BD"/>
    <w:rsid w:val="038B270C"/>
    <w:rsid w:val="03925E4A"/>
    <w:rsid w:val="03926793"/>
    <w:rsid w:val="03991DF6"/>
    <w:rsid w:val="03993BA4"/>
    <w:rsid w:val="039A70F6"/>
    <w:rsid w:val="039D18E6"/>
    <w:rsid w:val="03A54299"/>
    <w:rsid w:val="03A74512"/>
    <w:rsid w:val="03A762C0"/>
    <w:rsid w:val="03A826E5"/>
    <w:rsid w:val="03B0291E"/>
    <w:rsid w:val="03B078E4"/>
    <w:rsid w:val="03B3086D"/>
    <w:rsid w:val="03B94246"/>
    <w:rsid w:val="03BB4C97"/>
    <w:rsid w:val="03C54999"/>
    <w:rsid w:val="03CF3A69"/>
    <w:rsid w:val="03D96696"/>
    <w:rsid w:val="03DC2C52"/>
    <w:rsid w:val="03DD6566"/>
    <w:rsid w:val="03E11877"/>
    <w:rsid w:val="03E71595"/>
    <w:rsid w:val="03E9062E"/>
    <w:rsid w:val="03E95DBD"/>
    <w:rsid w:val="03EA7B21"/>
    <w:rsid w:val="03EE34DF"/>
    <w:rsid w:val="03EE3EEF"/>
    <w:rsid w:val="03F31C32"/>
    <w:rsid w:val="03F90F5B"/>
    <w:rsid w:val="03F91619"/>
    <w:rsid w:val="03FA7FA9"/>
    <w:rsid w:val="03FF6831"/>
    <w:rsid w:val="0402799B"/>
    <w:rsid w:val="04042F63"/>
    <w:rsid w:val="04060002"/>
    <w:rsid w:val="04086A8E"/>
    <w:rsid w:val="040A58BD"/>
    <w:rsid w:val="040C0819"/>
    <w:rsid w:val="04115E30"/>
    <w:rsid w:val="041312FA"/>
    <w:rsid w:val="041548EB"/>
    <w:rsid w:val="04163DA0"/>
    <w:rsid w:val="041A2F36"/>
    <w:rsid w:val="042079B1"/>
    <w:rsid w:val="04253689"/>
    <w:rsid w:val="0426181E"/>
    <w:rsid w:val="042A2A20"/>
    <w:rsid w:val="04322347"/>
    <w:rsid w:val="04390EE3"/>
    <w:rsid w:val="043F474B"/>
    <w:rsid w:val="044624FA"/>
    <w:rsid w:val="04463D2B"/>
    <w:rsid w:val="044B1342"/>
    <w:rsid w:val="04541040"/>
    <w:rsid w:val="04541A21"/>
    <w:rsid w:val="045803CB"/>
    <w:rsid w:val="04581CB1"/>
    <w:rsid w:val="045A531B"/>
    <w:rsid w:val="045D1075"/>
    <w:rsid w:val="04674EF8"/>
    <w:rsid w:val="0467675D"/>
    <w:rsid w:val="046C3066"/>
    <w:rsid w:val="047069DC"/>
    <w:rsid w:val="047405BC"/>
    <w:rsid w:val="0478072F"/>
    <w:rsid w:val="0483664D"/>
    <w:rsid w:val="04893C18"/>
    <w:rsid w:val="048E317B"/>
    <w:rsid w:val="049525BD"/>
    <w:rsid w:val="0495629B"/>
    <w:rsid w:val="04992B5B"/>
    <w:rsid w:val="049C7160"/>
    <w:rsid w:val="049E533B"/>
    <w:rsid w:val="04A0376C"/>
    <w:rsid w:val="04A24703"/>
    <w:rsid w:val="04A24E62"/>
    <w:rsid w:val="04A37004"/>
    <w:rsid w:val="04A86794"/>
    <w:rsid w:val="04B3747D"/>
    <w:rsid w:val="04B844FD"/>
    <w:rsid w:val="04BA0275"/>
    <w:rsid w:val="04BC5CE3"/>
    <w:rsid w:val="04BD1B14"/>
    <w:rsid w:val="04C2712A"/>
    <w:rsid w:val="04C6380B"/>
    <w:rsid w:val="04CB5FDF"/>
    <w:rsid w:val="04D23E5A"/>
    <w:rsid w:val="04D806FC"/>
    <w:rsid w:val="04DB187B"/>
    <w:rsid w:val="04DD1649"/>
    <w:rsid w:val="04E2452E"/>
    <w:rsid w:val="04EE6171"/>
    <w:rsid w:val="04F574FF"/>
    <w:rsid w:val="04F95358"/>
    <w:rsid w:val="04F96FF0"/>
    <w:rsid w:val="04FC263C"/>
    <w:rsid w:val="05065269"/>
    <w:rsid w:val="050E236F"/>
    <w:rsid w:val="050F6813"/>
    <w:rsid w:val="051239A1"/>
    <w:rsid w:val="052E47BF"/>
    <w:rsid w:val="053E2C54"/>
    <w:rsid w:val="05483AD3"/>
    <w:rsid w:val="0548762F"/>
    <w:rsid w:val="054B711F"/>
    <w:rsid w:val="0550438A"/>
    <w:rsid w:val="0553688F"/>
    <w:rsid w:val="05551E3C"/>
    <w:rsid w:val="05592C3C"/>
    <w:rsid w:val="055E3FA0"/>
    <w:rsid w:val="05616943"/>
    <w:rsid w:val="056401E1"/>
    <w:rsid w:val="05654D72"/>
    <w:rsid w:val="05663F59"/>
    <w:rsid w:val="05685F23"/>
    <w:rsid w:val="056961A2"/>
    <w:rsid w:val="056A3A4A"/>
    <w:rsid w:val="056A57F8"/>
    <w:rsid w:val="056A6DF1"/>
    <w:rsid w:val="056D52E8"/>
    <w:rsid w:val="057C19CF"/>
    <w:rsid w:val="05816655"/>
    <w:rsid w:val="05835E44"/>
    <w:rsid w:val="058C785F"/>
    <w:rsid w:val="058F48A0"/>
    <w:rsid w:val="05900FAE"/>
    <w:rsid w:val="05973D2B"/>
    <w:rsid w:val="059A343D"/>
    <w:rsid w:val="059B00A7"/>
    <w:rsid w:val="059C5085"/>
    <w:rsid w:val="059C5BCD"/>
    <w:rsid w:val="059D2164"/>
    <w:rsid w:val="05A031FE"/>
    <w:rsid w:val="05AC3D16"/>
    <w:rsid w:val="05AF5900"/>
    <w:rsid w:val="05B22460"/>
    <w:rsid w:val="05B75BEB"/>
    <w:rsid w:val="05B9052D"/>
    <w:rsid w:val="05BC001D"/>
    <w:rsid w:val="05BD1DD8"/>
    <w:rsid w:val="05BD26FC"/>
    <w:rsid w:val="05BF5D55"/>
    <w:rsid w:val="05C173E2"/>
    <w:rsid w:val="05C82AA8"/>
    <w:rsid w:val="05D9472B"/>
    <w:rsid w:val="05DE1D42"/>
    <w:rsid w:val="05E55DA7"/>
    <w:rsid w:val="05EA4E20"/>
    <w:rsid w:val="05F20AC9"/>
    <w:rsid w:val="05F51EB9"/>
    <w:rsid w:val="05F577E4"/>
    <w:rsid w:val="05F61781"/>
    <w:rsid w:val="05F83EAE"/>
    <w:rsid w:val="05FB02F8"/>
    <w:rsid w:val="06043E9E"/>
    <w:rsid w:val="060A6FDB"/>
    <w:rsid w:val="0619625D"/>
    <w:rsid w:val="061E65E2"/>
    <w:rsid w:val="061F452A"/>
    <w:rsid w:val="0620235A"/>
    <w:rsid w:val="06233BF8"/>
    <w:rsid w:val="062E385C"/>
    <w:rsid w:val="062E734D"/>
    <w:rsid w:val="063577E2"/>
    <w:rsid w:val="063E7D85"/>
    <w:rsid w:val="064222D0"/>
    <w:rsid w:val="06426774"/>
    <w:rsid w:val="0644429B"/>
    <w:rsid w:val="06455DC2"/>
    <w:rsid w:val="06473D8B"/>
    <w:rsid w:val="06482387"/>
    <w:rsid w:val="06562815"/>
    <w:rsid w:val="0659586C"/>
    <w:rsid w:val="0662414E"/>
    <w:rsid w:val="06640499"/>
    <w:rsid w:val="066F0D8B"/>
    <w:rsid w:val="0673273B"/>
    <w:rsid w:val="06772656"/>
    <w:rsid w:val="06776FF6"/>
    <w:rsid w:val="06783F44"/>
    <w:rsid w:val="06787497"/>
    <w:rsid w:val="0680104B"/>
    <w:rsid w:val="06893E96"/>
    <w:rsid w:val="068A74B1"/>
    <w:rsid w:val="06950A28"/>
    <w:rsid w:val="06952D48"/>
    <w:rsid w:val="069550F6"/>
    <w:rsid w:val="0696086E"/>
    <w:rsid w:val="069A3EBB"/>
    <w:rsid w:val="069F7723"/>
    <w:rsid w:val="06A42F8B"/>
    <w:rsid w:val="06AC1E40"/>
    <w:rsid w:val="06B17456"/>
    <w:rsid w:val="06B66178"/>
    <w:rsid w:val="06B7530D"/>
    <w:rsid w:val="06B84C89"/>
    <w:rsid w:val="06C23411"/>
    <w:rsid w:val="06C471B8"/>
    <w:rsid w:val="06C9640A"/>
    <w:rsid w:val="06D53145"/>
    <w:rsid w:val="06D54CA5"/>
    <w:rsid w:val="06DF1E00"/>
    <w:rsid w:val="06E43569"/>
    <w:rsid w:val="06E710CA"/>
    <w:rsid w:val="06EE2458"/>
    <w:rsid w:val="06F04422"/>
    <w:rsid w:val="06F32E19"/>
    <w:rsid w:val="06F54C0E"/>
    <w:rsid w:val="06FC5AD8"/>
    <w:rsid w:val="06FD0C16"/>
    <w:rsid w:val="06FD4B00"/>
    <w:rsid w:val="07010901"/>
    <w:rsid w:val="07100621"/>
    <w:rsid w:val="07140111"/>
    <w:rsid w:val="071A6247"/>
    <w:rsid w:val="07265555"/>
    <w:rsid w:val="07267E44"/>
    <w:rsid w:val="07293586"/>
    <w:rsid w:val="07295285"/>
    <w:rsid w:val="072D35EB"/>
    <w:rsid w:val="073A744C"/>
    <w:rsid w:val="073B3F7A"/>
    <w:rsid w:val="073F54F1"/>
    <w:rsid w:val="07480E14"/>
    <w:rsid w:val="07550729"/>
    <w:rsid w:val="07571191"/>
    <w:rsid w:val="075C154C"/>
    <w:rsid w:val="07636392"/>
    <w:rsid w:val="076D7821"/>
    <w:rsid w:val="077000C1"/>
    <w:rsid w:val="077027BF"/>
    <w:rsid w:val="07740BAF"/>
    <w:rsid w:val="07770C56"/>
    <w:rsid w:val="077F1302"/>
    <w:rsid w:val="0781507A"/>
    <w:rsid w:val="07841615"/>
    <w:rsid w:val="07871073"/>
    <w:rsid w:val="078E5C48"/>
    <w:rsid w:val="07941252"/>
    <w:rsid w:val="07985E68"/>
    <w:rsid w:val="079E3E7E"/>
    <w:rsid w:val="07A322FF"/>
    <w:rsid w:val="07AB405C"/>
    <w:rsid w:val="07AC2B56"/>
    <w:rsid w:val="07AC4B4A"/>
    <w:rsid w:val="07AE4AEA"/>
    <w:rsid w:val="07B67872"/>
    <w:rsid w:val="07B90CB8"/>
    <w:rsid w:val="07BA3CB6"/>
    <w:rsid w:val="07BC60B3"/>
    <w:rsid w:val="07BD4AFA"/>
    <w:rsid w:val="07C531B9"/>
    <w:rsid w:val="07D04AFD"/>
    <w:rsid w:val="07D20941"/>
    <w:rsid w:val="07DF2BAA"/>
    <w:rsid w:val="07E42167"/>
    <w:rsid w:val="07E421F5"/>
    <w:rsid w:val="07E436C5"/>
    <w:rsid w:val="07EC5935"/>
    <w:rsid w:val="07FC35D5"/>
    <w:rsid w:val="07FE065A"/>
    <w:rsid w:val="07FE491D"/>
    <w:rsid w:val="07FE66CB"/>
    <w:rsid w:val="07FF70D4"/>
    <w:rsid w:val="08023599"/>
    <w:rsid w:val="08031F33"/>
    <w:rsid w:val="08057A5A"/>
    <w:rsid w:val="08177E0E"/>
    <w:rsid w:val="08224729"/>
    <w:rsid w:val="0822685D"/>
    <w:rsid w:val="082A3964"/>
    <w:rsid w:val="082D0D5E"/>
    <w:rsid w:val="0836736F"/>
    <w:rsid w:val="08393BA7"/>
    <w:rsid w:val="084367D4"/>
    <w:rsid w:val="08485B98"/>
    <w:rsid w:val="08491082"/>
    <w:rsid w:val="084A5733"/>
    <w:rsid w:val="084C7436"/>
    <w:rsid w:val="085F46B4"/>
    <w:rsid w:val="086C1887"/>
    <w:rsid w:val="086E23EC"/>
    <w:rsid w:val="086E3851"/>
    <w:rsid w:val="087A0447"/>
    <w:rsid w:val="08860018"/>
    <w:rsid w:val="0886648E"/>
    <w:rsid w:val="08872B64"/>
    <w:rsid w:val="088766C0"/>
    <w:rsid w:val="088E13EE"/>
    <w:rsid w:val="088F37C7"/>
    <w:rsid w:val="08924756"/>
    <w:rsid w:val="08927A28"/>
    <w:rsid w:val="08975A73"/>
    <w:rsid w:val="08976A82"/>
    <w:rsid w:val="089B216C"/>
    <w:rsid w:val="08AC25CB"/>
    <w:rsid w:val="08AE1E9F"/>
    <w:rsid w:val="08B17BE1"/>
    <w:rsid w:val="08B4633C"/>
    <w:rsid w:val="08B562F5"/>
    <w:rsid w:val="08B97F61"/>
    <w:rsid w:val="08BC2855"/>
    <w:rsid w:val="08BD6586"/>
    <w:rsid w:val="08C1646C"/>
    <w:rsid w:val="08C7739B"/>
    <w:rsid w:val="08D86F1C"/>
    <w:rsid w:val="08DE690B"/>
    <w:rsid w:val="08ED686D"/>
    <w:rsid w:val="08EE0192"/>
    <w:rsid w:val="08EE4992"/>
    <w:rsid w:val="08F33D56"/>
    <w:rsid w:val="08F55D20"/>
    <w:rsid w:val="09061CDB"/>
    <w:rsid w:val="09095327"/>
    <w:rsid w:val="0910671C"/>
    <w:rsid w:val="091270F8"/>
    <w:rsid w:val="091508CA"/>
    <w:rsid w:val="0917056E"/>
    <w:rsid w:val="091E602A"/>
    <w:rsid w:val="092217DD"/>
    <w:rsid w:val="09271EEA"/>
    <w:rsid w:val="09306D58"/>
    <w:rsid w:val="09336848"/>
    <w:rsid w:val="093A7294"/>
    <w:rsid w:val="093E197F"/>
    <w:rsid w:val="093F343F"/>
    <w:rsid w:val="0946032A"/>
    <w:rsid w:val="094E763E"/>
    <w:rsid w:val="09516776"/>
    <w:rsid w:val="0955056D"/>
    <w:rsid w:val="09650D30"/>
    <w:rsid w:val="0974300E"/>
    <w:rsid w:val="09784CC1"/>
    <w:rsid w:val="097B3C16"/>
    <w:rsid w:val="097D7547"/>
    <w:rsid w:val="097F55EA"/>
    <w:rsid w:val="0983157E"/>
    <w:rsid w:val="098350DA"/>
    <w:rsid w:val="0984499B"/>
    <w:rsid w:val="098451E2"/>
    <w:rsid w:val="09862E1C"/>
    <w:rsid w:val="098D18E2"/>
    <w:rsid w:val="09903C9B"/>
    <w:rsid w:val="09971C3C"/>
    <w:rsid w:val="09972933"/>
    <w:rsid w:val="09976F5B"/>
    <w:rsid w:val="099872E7"/>
    <w:rsid w:val="099A01B0"/>
    <w:rsid w:val="09A67019"/>
    <w:rsid w:val="09B4439A"/>
    <w:rsid w:val="09C2764F"/>
    <w:rsid w:val="09C33728"/>
    <w:rsid w:val="09C347D2"/>
    <w:rsid w:val="09C51AEE"/>
    <w:rsid w:val="09CD45A7"/>
    <w:rsid w:val="09DF0151"/>
    <w:rsid w:val="09DF6712"/>
    <w:rsid w:val="09E37206"/>
    <w:rsid w:val="09EC6316"/>
    <w:rsid w:val="09F00295"/>
    <w:rsid w:val="09F0752D"/>
    <w:rsid w:val="09F10707"/>
    <w:rsid w:val="09F14739"/>
    <w:rsid w:val="09F215F6"/>
    <w:rsid w:val="09F63AFE"/>
    <w:rsid w:val="09F7191B"/>
    <w:rsid w:val="09F73401"/>
    <w:rsid w:val="09F775B4"/>
    <w:rsid w:val="0A0023A1"/>
    <w:rsid w:val="0A0077B9"/>
    <w:rsid w:val="0A0148F0"/>
    <w:rsid w:val="0A032F38"/>
    <w:rsid w:val="0A090190"/>
    <w:rsid w:val="0A0D78C6"/>
    <w:rsid w:val="0A122902"/>
    <w:rsid w:val="0A1246B0"/>
    <w:rsid w:val="0A1B3564"/>
    <w:rsid w:val="0A1C0257"/>
    <w:rsid w:val="0A21224E"/>
    <w:rsid w:val="0A263993"/>
    <w:rsid w:val="0A2A37A7"/>
    <w:rsid w:val="0A2C39C3"/>
    <w:rsid w:val="0A2D3AC2"/>
    <w:rsid w:val="0A2E773B"/>
    <w:rsid w:val="0A301556"/>
    <w:rsid w:val="0A3C1312"/>
    <w:rsid w:val="0A407F4A"/>
    <w:rsid w:val="0A454492"/>
    <w:rsid w:val="0A481E7F"/>
    <w:rsid w:val="0A49242C"/>
    <w:rsid w:val="0A516F86"/>
    <w:rsid w:val="0A5258D9"/>
    <w:rsid w:val="0A6740A8"/>
    <w:rsid w:val="0A6767AA"/>
    <w:rsid w:val="0A7274CC"/>
    <w:rsid w:val="0A784193"/>
    <w:rsid w:val="0A8259B1"/>
    <w:rsid w:val="0A884A60"/>
    <w:rsid w:val="0A886720"/>
    <w:rsid w:val="0A907017"/>
    <w:rsid w:val="0A981335"/>
    <w:rsid w:val="0A9817DB"/>
    <w:rsid w:val="0A984BB5"/>
    <w:rsid w:val="0A9C4C1B"/>
    <w:rsid w:val="0AA33AA0"/>
    <w:rsid w:val="0AA55524"/>
    <w:rsid w:val="0AA755DF"/>
    <w:rsid w:val="0AA856C0"/>
    <w:rsid w:val="0ABB1630"/>
    <w:rsid w:val="0ACA6D38"/>
    <w:rsid w:val="0ACC485F"/>
    <w:rsid w:val="0AD169DA"/>
    <w:rsid w:val="0AD772DE"/>
    <w:rsid w:val="0AE24082"/>
    <w:rsid w:val="0AE4604C"/>
    <w:rsid w:val="0AE61DC4"/>
    <w:rsid w:val="0AEE2A27"/>
    <w:rsid w:val="0AF53DB5"/>
    <w:rsid w:val="0AF73FD1"/>
    <w:rsid w:val="0AFA5870"/>
    <w:rsid w:val="0B09160F"/>
    <w:rsid w:val="0B0C10FF"/>
    <w:rsid w:val="0B0E7932"/>
    <w:rsid w:val="0B120D44"/>
    <w:rsid w:val="0B1676E4"/>
    <w:rsid w:val="0B1D330C"/>
    <w:rsid w:val="0B260413"/>
    <w:rsid w:val="0B2E5519"/>
    <w:rsid w:val="0B30290D"/>
    <w:rsid w:val="0B347497"/>
    <w:rsid w:val="0B357B6B"/>
    <w:rsid w:val="0B376726"/>
    <w:rsid w:val="0B3820A2"/>
    <w:rsid w:val="0B3F3282"/>
    <w:rsid w:val="0B41524D"/>
    <w:rsid w:val="0B440899"/>
    <w:rsid w:val="0B444D3D"/>
    <w:rsid w:val="0B492353"/>
    <w:rsid w:val="0B497A74"/>
    <w:rsid w:val="0B4F3EE4"/>
    <w:rsid w:val="0B580CA0"/>
    <w:rsid w:val="0B5A00BC"/>
    <w:rsid w:val="0B5A402C"/>
    <w:rsid w:val="0B5D195B"/>
    <w:rsid w:val="0B5D5CE3"/>
    <w:rsid w:val="0B61144B"/>
    <w:rsid w:val="0B6B3E24"/>
    <w:rsid w:val="0B6C6BC1"/>
    <w:rsid w:val="0B6D4294"/>
    <w:rsid w:val="0B6E3B68"/>
    <w:rsid w:val="0B6F27AF"/>
    <w:rsid w:val="0B736D54"/>
    <w:rsid w:val="0B7F172C"/>
    <w:rsid w:val="0B854B0F"/>
    <w:rsid w:val="0B882E7B"/>
    <w:rsid w:val="0B887641"/>
    <w:rsid w:val="0B892750"/>
    <w:rsid w:val="0B8A42B3"/>
    <w:rsid w:val="0B901D30"/>
    <w:rsid w:val="0B9335CE"/>
    <w:rsid w:val="0B9428A2"/>
    <w:rsid w:val="0B9A2502"/>
    <w:rsid w:val="0BA6715E"/>
    <w:rsid w:val="0BA837F1"/>
    <w:rsid w:val="0BAB0918"/>
    <w:rsid w:val="0BB43C70"/>
    <w:rsid w:val="0BB71B42"/>
    <w:rsid w:val="0BBB4168"/>
    <w:rsid w:val="0BBF24FF"/>
    <w:rsid w:val="0BC65752"/>
    <w:rsid w:val="0BC67500"/>
    <w:rsid w:val="0BC7515D"/>
    <w:rsid w:val="0BC948B1"/>
    <w:rsid w:val="0BCA561A"/>
    <w:rsid w:val="0BD240F7"/>
    <w:rsid w:val="0BD27BF6"/>
    <w:rsid w:val="0BDD5322"/>
    <w:rsid w:val="0BE34248"/>
    <w:rsid w:val="0BE5207C"/>
    <w:rsid w:val="0BE539E8"/>
    <w:rsid w:val="0BF6421D"/>
    <w:rsid w:val="0BF95B27"/>
    <w:rsid w:val="0BFC73C5"/>
    <w:rsid w:val="0BFF537C"/>
    <w:rsid w:val="0C03314E"/>
    <w:rsid w:val="0C0A1AE2"/>
    <w:rsid w:val="0C175FAD"/>
    <w:rsid w:val="0C177116"/>
    <w:rsid w:val="0C1907D5"/>
    <w:rsid w:val="0C194C0B"/>
    <w:rsid w:val="0C1B5C6F"/>
    <w:rsid w:val="0C1E04B1"/>
    <w:rsid w:val="0C210BDA"/>
    <w:rsid w:val="0C24583E"/>
    <w:rsid w:val="0C2562F9"/>
    <w:rsid w:val="0C264F49"/>
    <w:rsid w:val="0C26538B"/>
    <w:rsid w:val="0C30706F"/>
    <w:rsid w:val="0C375EA8"/>
    <w:rsid w:val="0C3974BF"/>
    <w:rsid w:val="0C3B3C7D"/>
    <w:rsid w:val="0C3C492C"/>
    <w:rsid w:val="0C405504"/>
    <w:rsid w:val="0C47331D"/>
    <w:rsid w:val="0C475BCF"/>
    <w:rsid w:val="0C4D5B93"/>
    <w:rsid w:val="0C5A6B62"/>
    <w:rsid w:val="0C5D60B6"/>
    <w:rsid w:val="0C633433"/>
    <w:rsid w:val="0C6F07CA"/>
    <w:rsid w:val="0C707DF8"/>
    <w:rsid w:val="0C750F4B"/>
    <w:rsid w:val="0C752FB1"/>
    <w:rsid w:val="0C7927C4"/>
    <w:rsid w:val="0C796C68"/>
    <w:rsid w:val="0C7A1C57"/>
    <w:rsid w:val="0C7B1859"/>
    <w:rsid w:val="0C7B478E"/>
    <w:rsid w:val="0C7C270A"/>
    <w:rsid w:val="0C7E727A"/>
    <w:rsid w:val="0C807FF6"/>
    <w:rsid w:val="0C833643"/>
    <w:rsid w:val="0C85421C"/>
    <w:rsid w:val="0C871034"/>
    <w:rsid w:val="0C907472"/>
    <w:rsid w:val="0C965124"/>
    <w:rsid w:val="0C9F66CF"/>
    <w:rsid w:val="0CA10AFC"/>
    <w:rsid w:val="0CA32D23"/>
    <w:rsid w:val="0CAB2EAE"/>
    <w:rsid w:val="0CB5460A"/>
    <w:rsid w:val="0CB61638"/>
    <w:rsid w:val="0CB96281"/>
    <w:rsid w:val="0CBD6427"/>
    <w:rsid w:val="0CCB7DB3"/>
    <w:rsid w:val="0CCD7495"/>
    <w:rsid w:val="0CD46235"/>
    <w:rsid w:val="0CDB6FDB"/>
    <w:rsid w:val="0CDC06BB"/>
    <w:rsid w:val="0CDF2F6F"/>
    <w:rsid w:val="0CE328FF"/>
    <w:rsid w:val="0CED10CD"/>
    <w:rsid w:val="0CF26929"/>
    <w:rsid w:val="0CF93D55"/>
    <w:rsid w:val="0D004C93"/>
    <w:rsid w:val="0D0227BA"/>
    <w:rsid w:val="0D0A78C0"/>
    <w:rsid w:val="0D1129FD"/>
    <w:rsid w:val="0D1150F2"/>
    <w:rsid w:val="0D1424ED"/>
    <w:rsid w:val="0D145F83"/>
    <w:rsid w:val="0D1522B7"/>
    <w:rsid w:val="0D1653D3"/>
    <w:rsid w:val="0D1B16BD"/>
    <w:rsid w:val="0D1C0526"/>
    <w:rsid w:val="0D2210AE"/>
    <w:rsid w:val="0D2414F5"/>
    <w:rsid w:val="0D256754"/>
    <w:rsid w:val="0D297801"/>
    <w:rsid w:val="0D2C79FD"/>
    <w:rsid w:val="0D2F1884"/>
    <w:rsid w:val="0D33458A"/>
    <w:rsid w:val="0D3606B5"/>
    <w:rsid w:val="0D3B3F1D"/>
    <w:rsid w:val="0D3D37F2"/>
    <w:rsid w:val="0D431422"/>
    <w:rsid w:val="0D473A32"/>
    <w:rsid w:val="0D4B4161"/>
    <w:rsid w:val="0D51729D"/>
    <w:rsid w:val="0D5A25F6"/>
    <w:rsid w:val="0D5B011C"/>
    <w:rsid w:val="0D5E339D"/>
    <w:rsid w:val="0D613984"/>
    <w:rsid w:val="0D6214AA"/>
    <w:rsid w:val="0D621C7D"/>
    <w:rsid w:val="0D624BAF"/>
    <w:rsid w:val="0D6B3773"/>
    <w:rsid w:val="0D755FFE"/>
    <w:rsid w:val="0D7A3989"/>
    <w:rsid w:val="0D7A7EA4"/>
    <w:rsid w:val="0D7B1B27"/>
    <w:rsid w:val="0D7B39BE"/>
    <w:rsid w:val="0D8060B9"/>
    <w:rsid w:val="0D8A61D3"/>
    <w:rsid w:val="0D9172AB"/>
    <w:rsid w:val="0D961154"/>
    <w:rsid w:val="0DA0092E"/>
    <w:rsid w:val="0DA6583B"/>
    <w:rsid w:val="0DBA12E6"/>
    <w:rsid w:val="0DBA7538"/>
    <w:rsid w:val="0DC27315"/>
    <w:rsid w:val="0DC65EBE"/>
    <w:rsid w:val="0DC65EDD"/>
    <w:rsid w:val="0DCF4D92"/>
    <w:rsid w:val="0DD24882"/>
    <w:rsid w:val="0DD759F4"/>
    <w:rsid w:val="0DD8176C"/>
    <w:rsid w:val="0DDE6877"/>
    <w:rsid w:val="0DE2767D"/>
    <w:rsid w:val="0DED346A"/>
    <w:rsid w:val="0DF5231E"/>
    <w:rsid w:val="0DF5338E"/>
    <w:rsid w:val="0DFD4F28"/>
    <w:rsid w:val="0E0019BA"/>
    <w:rsid w:val="0E0367E9"/>
    <w:rsid w:val="0E0C69F8"/>
    <w:rsid w:val="0E0E371C"/>
    <w:rsid w:val="0E0F3672"/>
    <w:rsid w:val="0E115619"/>
    <w:rsid w:val="0E1327A4"/>
    <w:rsid w:val="0E1529C0"/>
    <w:rsid w:val="0E1B7FD7"/>
    <w:rsid w:val="0E26072A"/>
    <w:rsid w:val="0E303DCA"/>
    <w:rsid w:val="0E356BBF"/>
    <w:rsid w:val="0E3746E5"/>
    <w:rsid w:val="0E39295C"/>
    <w:rsid w:val="0E3F5557"/>
    <w:rsid w:val="0E4669CF"/>
    <w:rsid w:val="0E4A3AEE"/>
    <w:rsid w:val="0E4B34AC"/>
    <w:rsid w:val="0E4C2056"/>
    <w:rsid w:val="0E507888"/>
    <w:rsid w:val="0E5E6115"/>
    <w:rsid w:val="0E654F27"/>
    <w:rsid w:val="0E666D78"/>
    <w:rsid w:val="0E673D73"/>
    <w:rsid w:val="0E6D762C"/>
    <w:rsid w:val="0E73034D"/>
    <w:rsid w:val="0E7771D7"/>
    <w:rsid w:val="0E793B97"/>
    <w:rsid w:val="0E7C2DCE"/>
    <w:rsid w:val="0E83018A"/>
    <w:rsid w:val="0E96765D"/>
    <w:rsid w:val="0E99714E"/>
    <w:rsid w:val="0E9D2B11"/>
    <w:rsid w:val="0E9D6C3E"/>
    <w:rsid w:val="0EA0228A"/>
    <w:rsid w:val="0EA33EF7"/>
    <w:rsid w:val="0EA74990"/>
    <w:rsid w:val="0EAA05FC"/>
    <w:rsid w:val="0EAB6D84"/>
    <w:rsid w:val="0EB67D00"/>
    <w:rsid w:val="0EB77E38"/>
    <w:rsid w:val="0EC07097"/>
    <w:rsid w:val="0ECC2D59"/>
    <w:rsid w:val="0ED1069F"/>
    <w:rsid w:val="0ED10E76"/>
    <w:rsid w:val="0ED75FF3"/>
    <w:rsid w:val="0ED76E18"/>
    <w:rsid w:val="0ED92472"/>
    <w:rsid w:val="0EDB32C2"/>
    <w:rsid w:val="0EDD346A"/>
    <w:rsid w:val="0EDE591C"/>
    <w:rsid w:val="0EE228A3"/>
    <w:rsid w:val="0EE25041"/>
    <w:rsid w:val="0EE51585"/>
    <w:rsid w:val="0EE52393"/>
    <w:rsid w:val="0EE654DD"/>
    <w:rsid w:val="0EE71826"/>
    <w:rsid w:val="0EEA5BFB"/>
    <w:rsid w:val="0EF41053"/>
    <w:rsid w:val="0EF600FC"/>
    <w:rsid w:val="0EF80318"/>
    <w:rsid w:val="0EF86860"/>
    <w:rsid w:val="0EFE0513"/>
    <w:rsid w:val="0EFE6510"/>
    <w:rsid w:val="0F0547E3"/>
    <w:rsid w:val="0F0942D3"/>
    <w:rsid w:val="0F0A1DF9"/>
    <w:rsid w:val="0F0A4F36"/>
    <w:rsid w:val="0F0C3DC3"/>
    <w:rsid w:val="0F0E604F"/>
    <w:rsid w:val="0F13775A"/>
    <w:rsid w:val="0F1D21B0"/>
    <w:rsid w:val="0F1D38DB"/>
    <w:rsid w:val="0F2509E1"/>
    <w:rsid w:val="0F2E5AE8"/>
    <w:rsid w:val="0F3763CB"/>
    <w:rsid w:val="0F3A2647"/>
    <w:rsid w:val="0F3D21CF"/>
    <w:rsid w:val="0F4027BC"/>
    <w:rsid w:val="0F40581B"/>
    <w:rsid w:val="0F410892"/>
    <w:rsid w:val="0F4D4849"/>
    <w:rsid w:val="0F504D75"/>
    <w:rsid w:val="0F56503F"/>
    <w:rsid w:val="0F580DB7"/>
    <w:rsid w:val="0F5F45FE"/>
    <w:rsid w:val="0F5F7650"/>
    <w:rsid w:val="0F6045F2"/>
    <w:rsid w:val="0F6459AD"/>
    <w:rsid w:val="0F696B20"/>
    <w:rsid w:val="0F6B6D3C"/>
    <w:rsid w:val="0F6E05DA"/>
    <w:rsid w:val="0F706100"/>
    <w:rsid w:val="0F753EFF"/>
    <w:rsid w:val="0F786D63"/>
    <w:rsid w:val="0F803E6A"/>
    <w:rsid w:val="0F843812"/>
    <w:rsid w:val="0F87344A"/>
    <w:rsid w:val="0F8A3E81"/>
    <w:rsid w:val="0F917E25"/>
    <w:rsid w:val="0F924F7F"/>
    <w:rsid w:val="0F9470FA"/>
    <w:rsid w:val="0F9638D0"/>
    <w:rsid w:val="0F97684E"/>
    <w:rsid w:val="0F9A112B"/>
    <w:rsid w:val="0FAB538A"/>
    <w:rsid w:val="0FAF0CB0"/>
    <w:rsid w:val="0FB51D65"/>
    <w:rsid w:val="0FBE2C88"/>
    <w:rsid w:val="0FBF4992"/>
    <w:rsid w:val="0FC05FDF"/>
    <w:rsid w:val="0FC65D20"/>
    <w:rsid w:val="0FC91CB4"/>
    <w:rsid w:val="0FC93A62"/>
    <w:rsid w:val="0FCD3553"/>
    <w:rsid w:val="0FD07339"/>
    <w:rsid w:val="0FD146C5"/>
    <w:rsid w:val="0FDA5C70"/>
    <w:rsid w:val="0FDD51C2"/>
    <w:rsid w:val="0FEB39D9"/>
    <w:rsid w:val="0FF60BFB"/>
    <w:rsid w:val="0FF91F75"/>
    <w:rsid w:val="0FFC0386"/>
    <w:rsid w:val="0FFC1742"/>
    <w:rsid w:val="100625C1"/>
    <w:rsid w:val="1013011B"/>
    <w:rsid w:val="10214329"/>
    <w:rsid w:val="10234F21"/>
    <w:rsid w:val="102A03A0"/>
    <w:rsid w:val="102E2AE3"/>
    <w:rsid w:val="10421006"/>
    <w:rsid w:val="10432474"/>
    <w:rsid w:val="10477DE2"/>
    <w:rsid w:val="10484987"/>
    <w:rsid w:val="10525806"/>
    <w:rsid w:val="1057025C"/>
    <w:rsid w:val="10586CA8"/>
    <w:rsid w:val="106169ED"/>
    <w:rsid w:val="1066305F"/>
    <w:rsid w:val="106B4B1A"/>
    <w:rsid w:val="106D2F64"/>
    <w:rsid w:val="10702130"/>
    <w:rsid w:val="10725EEA"/>
    <w:rsid w:val="10727C56"/>
    <w:rsid w:val="107647A0"/>
    <w:rsid w:val="10835914"/>
    <w:rsid w:val="108C1CE2"/>
    <w:rsid w:val="108C615E"/>
    <w:rsid w:val="108F6F4D"/>
    <w:rsid w:val="10976D85"/>
    <w:rsid w:val="109B089C"/>
    <w:rsid w:val="10A36062"/>
    <w:rsid w:val="10AA73F0"/>
    <w:rsid w:val="10B224C7"/>
    <w:rsid w:val="10B36533"/>
    <w:rsid w:val="10B62239"/>
    <w:rsid w:val="10B62EE4"/>
    <w:rsid w:val="10B63710"/>
    <w:rsid w:val="10B63FE7"/>
    <w:rsid w:val="10B65D95"/>
    <w:rsid w:val="10C078BD"/>
    <w:rsid w:val="10C336E4"/>
    <w:rsid w:val="10C34956"/>
    <w:rsid w:val="10C85AC8"/>
    <w:rsid w:val="10CD7582"/>
    <w:rsid w:val="10D43D2C"/>
    <w:rsid w:val="10D62C4F"/>
    <w:rsid w:val="10D80401"/>
    <w:rsid w:val="10D872D0"/>
    <w:rsid w:val="10DB5880"/>
    <w:rsid w:val="10E10521"/>
    <w:rsid w:val="10E13D97"/>
    <w:rsid w:val="10F10820"/>
    <w:rsid w:val="10F13271"/>
    <w:rsid w:val="10F26EA5"/>
    <w:rsid w:val="10F90377"/>
    <w:rsid w:val="10F95750"/>
    <w:rsid w:val="10FC5772"/>
    <w:rsid w:val="10FD1F0A"/>
    <w:rsid w:val="11016E0F"/>
    <w:rsid w:val="110472BA"/>
    <w:rsid w:val="11065765"/>
    <w:rsid w:val="110F2985"/>
    <w:rsid w:val="110F6D61"/>
    <w:rsid w:val="111927C8"/>
    <w:rsid w:val="111C2F7A"/>
    <w:rsid w:val="112847B9"/>
    <w:rsid w:val="112C6B8F"/>
    <w:rsid w:val="112C7AF5"/>
    <w:rsid w:val="112C7CAB"/>
    <w:rsid w:val="1133021E"/>
    <w:rsid w:val="11337C03"/>
    <w:rsid w:val="11351DE6"/>
    <w:rsid w:val="1139527B"/>
    <w:rsid w:val="113C4CD1"/>
    <w:rsid w:val="113D2012"/>
    <w:rsid w:val="113D6807"/>
    <w:rsid w:val="113F5854"/>
    <w:rsid w:val="114026B7"/>
    <w:rsid w:val="11405448"/>
    <w:rsid w:val="11407FD1"/>
    <w:rsid w:val="11486486"/>
    <w:rsid w:val="11497CF6"/>
    <w:rsid w:val="114B3686"/>
    <w:rsid w:val="114C04A7"/>
    <w:rsid w:val="11506D23"/>
    <w:rsid w:val="115074B9"/>
    <w:rsid w:val="11551A52"/>
    <w:rsid w:val="115B693C"/>
    <w:rsid w:val="115E1DEE"/>
    <w:rsid w:val="116432A2"/>
    <w:rsid w:val="11643A43"/>
    <w:rsid w:val="11665CA1"/>
    <w:rsid w:val="116D479C"/>
    <w:rsid w:val="116E4122"/>
    <w:rsid w:val="1172671C"/>
    <w:rsid w:val="1176761B"/>
    <w:rsid w:val="11801A2F"/>
    <w:rsid w:val="118045F5"/>
    <w:rsid w:val="118C21B4"/>
    <w:rsid w:val="118E6D12"/>
    <w:rsid w:val="11912563"/>
    <w:rsid w:val="11940F05"/>
    <w:rsid w:val="11951E4E"/>
    <w:rsid w:val="119610D6"/>
    <w:rsid w:val="11973C1D"/>
    <w:rsid w:val="119F4A7B"/>
    <w:rsid w:val="11AB1672"/>
    <w:rsid w:val="11AD072E"/>
    <w:rsid w:val="11AE4CBE"/>
    <w:rsid w:val="11B524F0"/>
    <w:rsid w:val="11B9125B"/>
    <w:rsid w:val="11BA3663"/>
    <w:rsid w:val="11BD1AE3"/>
    <w:rsid w:val="11BF336F"/>
    <w:rsid w:val="11C1549D"/>
    <w:rsid w:val="11C27375"/>
    <w:rsid w:val="11C30D95"/>
    <w:rsid w:val="11C66D88"/>
    <w:rsid w:val="11CD727D"/>
    <w:rsid w:val="11D50FAE"/>
    <w:rsid w:val="11D81D3B"/>
    <w:rsid w:val="11D84431"/>
    <w:rsid w:val="11E06E41"/>
    <w:rsid w:val="11E32BE3"/>
    <w:rsid w:val="11E37E0A"/>
    <w:rsid w:val="11E7673F"/>
    <w:rsid w:val="11EC3A38"/>
    <w:rsid w:val="12025774"/>
    <w:rsid w:val="120312C4"/>
    <w:rsid w:val="12042B30"/>
    <w:rsid w:val="120B496E"/>
    <w:rsid w:val="120C4D1D"/>
    <w:rsid w:val="121277D8"/>
    <w:rsid w:val="12166C60"/>
    <w:rsid w:val="12173DEA"/>
    <w:rsid w:val="122371C4"/>
    <w:rsid w:val="12260B76"/>
    <w:rsid w:val="12367933"/>
    <w:rsid w:val="124037F5"/>
    <w:rsid w:val="12415B32"/>
    <w:rsid w:val="12423479"/>
    <w:rsid w:val="124B4C03"/>
    <w:rsid w:val="124F64A1"/>
    <w:rsid w:val="12502B3B"/>
    <w:rsid w:val="12584CB9"/>
    <w:rsid w:val="125D0492"/>
    <w:rsid w:val="125D2D63"/>
    <w:rsid w:val="126857B5"/>
    <w:rsid w:val="126B2BAF"/>
    <w:rsid w:val="127001C5"/>
    <w:rsid w:val="127203E1"/>
    <w:rsid w:val="12791770"/>
    <w:rsid w:val="12812F7B"/>
    <w:rsid w:val="1283614B"/>
    <w:rsid w:val="12847522"/>
    <w:rsid w:val="128B3915"/>
    <w:rsid w:val="128C1201"/>
    <w:rsid w:val="128E14A8"/>
    <w:rsid w:val="128E2FDB"/>
    <w:rsid w:val="12916AA6"/>
    <w:rsid w:val="129C545E"/>
    <w:rsid w:val="129E7212"/>
    <w:rsid w:val="12A8795F"/>
    <w:rsid w:val="12B37A9B"/>
    <w:rsid w:val="12B71B99"/>
    <w:rsid w:val="12C0286C"/>
    <w:rsid w:val="12C16C73"/>
    <w:rsid w:val="12C241E1"/>
    <w:rsid w:val="12D57132"/>
    <w:rsid w:val="12DC585B"/>
    <w:rsid w:val="12E04FE4"/>
    <w:rsid w:val="12F232D0"/>
    <w:rsid w:val="12F30695"/>
    <w:rsid w:val="12F4756B"/>
    <w:rsid w:val="12FB6FCB"/>
    <w:rsid w:val="12FC5EFD"/>
    <w:rsid w:val="130649E5"/>
    <w:rsid w:val="130725B8"/>
    <w:rsid w:val="13091A27"/>
    <w:rsid w:val="130A686C"/>
    <w:rsid w:val="130D57ED"/>
    <w:rsid w:val="131256EE"/>
    <w:rsid w:val="13147D53"/>
    <w:rsid w:val="1319085D"/>
    <w:rsid w:val="131B58EC"/>
    <w:rsid w:val="13250612"/>
    <w:rsid w:val="13252B32"/>
    <w:rsid w:val="13263708"/>
    <w:rsid w:val="132C233E"/>
    <w:rsid w:val="13337B71"/>
    <w:rsid w:val="133E106E"/>
    <w:rsid w:val="134168FD"/>
    <w:rsid w:val="134A4EBA"/>
    <w:rsid w:val="134B3EA6"/>
    <w:rsid w:val="134F24D1"/>
    <w:rsid w:val="13516249"/>
    <w:rsid w:val="13566748"/>
    <w:rsid w:val="13596E11"/>
    <w:rsid w:val="136476FE"/>
    <w:rsid w:val="136F4C00"/>
    <w:rsid w:val="13710699"/>
    <w:rsid w:val="137633A8"/>
    <w:rsid w:val="13841D40"/>
    <w:rsid w:val="13875453"/>
    <w:rsid w:val="13884F5B"/>
    <w:rsid w:val="138C102F"/>
    <w:rsid w:val="139300F1"/>
    <w:rsid w:val="13951726"/>
    <w:rsid w:val="139630E6"/>
    <w:rsid w:val="139B74C4"/>
    <w:rsid w:val="13A51DF8"/>
    <w:rsid w:val="13A66473"/>
    <w:rsid w:val="13A90FB1"/>
    <w:rsid w:val="13A97E33"/>
    <w:rsid w:val="13AA53E8"/>
    <w:rsid w:val="13AD2810"/>
    <w:rsid w:val="13B6042B"/>
    <w:rsid w:val="13B8757C"/>
    <w:rsid w:val="13BD7245"/>
    <w:rsid w:val="13C35E4E"/>
    <w:rsid w:val="13DA207F"/>
    <w:rsid w:val="13DA623E"/>
    <w:rsid w:val="13DA7FEC"/>
    <w:rsid w:val="13DE5507"/>
    <w:rsid w:val="13E1581F"/>
    <w:rsid w:val="13E16790"/>
    <w:rsid w:val="13E42C19"/>
    <w:rsid w:val="13E9022F"/>
    <w:rsid w:val="13ED1715"/>
    <w:rsid w:val="13EE5846"/>
    <w:rsid w:val="13EE708C"/>
    <w:rsid w:val="13F366E5"/>
    <w:rsid w:val="13F72D89"/>
    <w:rsid w:val="13F85EAD"/>
    <w:rsid w:val="13FA068E"/>
    <w:rsid w:val="13FA0EB0"/>
    <w:rsid w:val="13FD09D7"/>
    <w:rsid w:val="140831E2"/>
    <w:rsid w:val="140F69EF"/>
    <w:rsid w:val="141334FE"/>
    <w:rsid w:val="14137D1C"/>
    <w:rsid w:val="141E7449"/>
    <w:rsid w:val="141F4656"/>
    <w:rsid w:val="142474B9"/>
    <w:rsid w:val="14257900"/>
    <w:rsid w:val="142E37AA"/>
    <w:rsid w:val="14305E5E"/>
    <w:rsid w:val="14356565"/>
    <w:rsid w:val="14396509"/>
    <w:rsid w:val="143B6AC6"/>
    <w:rsid w:val="143C0390"/>
    <w:rsid w:val="1441006B"/>
    <w:rsid w:val="14496F20"/>
    <w:rsid w:val="144B3CAB"/>
    <w:rsid w:val="144E2788"/>
    <w:rsid w:val="145204CA"/>
    <w:rsid w:val="14531B4D"/>
    <w:rsid w:val="145C2705"/>
    <w:rsid w:val="14634486"/>
    <w:rsid w:val="14673E8A"/>
    <w:rsid w:val="1468329B"/>
    <w:rsid w:val="146F280C"/>
    <w:rsid w:val="147F2942"/>
    <w:rsid w:val="14814211"/>
    <w:rsid w:val="14904B4F"/>
    <w:rsid w:val="149363ED"/>
    <w:rsid w:val="14991C55"/>
    <w:rsid w:val="149E1A09"/>
    <w:rsid w:val="149E53A8"/>
    <w:rsid w:val="149E726C"/>
    <w:rsid w:val="14A779A2"/>
    <w:rsid w:val="14AB6958"/>
    <w:rsid w:val="14AC691B"/>
    <w:rsid w:val="14AE207C"/>
    <w:rsid w:val="14B60A59"/>
    <w:rsid w:val="14BA1BCC"/>
    <w:rsid w:val="14BB3567"/>
    <w:rsid w:val="14C276A9"/>
    <w:rsid w:val="14C50E0E"/>
    <w:rsid w:val="14C52A4A"/>
    <w:rsid w:val="14DD2C3C"/>
    <w:rsid w:val="14DF1632"/>
    <w:rsid w:val="14E60C13"/>
    <w:rsid w:val="14E86F37"/>
    <w:rsid w:val="14ED1FA1"/>
    <w:rsid w:val="14F96B98"/>
    <w:rsid w:val="14FE7D0A"/>
    <w:rsid w:val="150317C5"/>
    <w:rsid w:val="15062A62"/>
    <w:rsid w:val="150A5D36"/>
    <w:rsid w:val="150D1602"/>
    <w:rsid w:val="150F3CC6"/>
    <w:rsid w:val="15104ED0"/>
    <w:rsid w:val="1514752E"/>
    <w:rsid w:val="151632A6"/>
    <w:rsid w:val="151C1D06"/>
    <w:rsid w:val="152010FA"/>
    <w:rsid w:val="15211C2B"/>
    <w:rsid w:val="15225EAA"/>
    <w:rsid w:val="15273705"/>
    <w:rsid w:val="15273F9C"/>
    <w:rsid w:val="15280A08"/>
    <w:rsid w:val="152B494E"/>
    <w:rsid w:val="152C0D1B"/>
    <w:rsid w:val="152D21D3"/>
    <w:rsid w:val="1536685F"/>
    <w:rsid w:val="153800CF"/>
    <w:rsid w:val="1539337C"/>
    <w:rsid w:val="154047C7"/>
    <w:rsid w:val="1540687E"/>
    <w:rsid w:val="154F4A0A"/>
    <w:rsid w:val="15542020"/>
    <w:rsid w:val="155B515D"/>
    <w:rsid w:val="155D0ED5"/>
    <w:rsid w:val="155D7127"/>
    <w:rsid w:val="156009C5"/>
    <w:rsid w:val="15604521"/>
    <w:rsid w:val="15610299"/>
    <w:rsid w:val="1569600E"/>
    <w:rsid w:val="156B2D54"/>
    <w:rsid w:val="156C0FD0"/>
    <w:rsid w:val="1571358E"/>
    <w:rsid w:val="157C0F10"/>
    <w:rsid w:val="157F5AE9"/>
    <w:rsid w:val="158B1366"/>
    <w:rsid w:val="158C17BA"/>
    <w:rsid w:val="15933FC9"/>
    <w:rsid w:val="15945BD8"/>
    <w:rsid w:val="15A46B04"/>
    <w:rsid w:val="15A765F4"/>
    <w:rsid w:val="15AE34DE"/>
    <w:rsid w:val="15AE7982"/>
    <w:rsid w:val="15AF7257"/>
    <w:rsid w:val="15B27C83"/>
    <w:rsid w:val="15B4298A"/>
    <w:rsid w:val="15C076B6"/>
    <w:rsid w:val="15C2342E"/>
    <w:rsid w:val="15C86F27"/>
    <w:rsid w:val="15C90318"/>
    <w:rsid w:val="15C965B4"/>
    <w:rsid w:val="15D23CCD"/>
    <w:rsid w:val="15D47330"/>
    <w:rsid w:val="15D6261D"/>
    <w:rsid w:val="15E16159"/>
    <w:rsid w:val="15E44D75"/>
    <w:rsid w:val="15E52C78"/>
    <w:rsid w:val="15E55653"/>
    <w:rsid w:val="15EA5BD2"/>
    <w:rsid w:val="15ED4C0D"/>
    <w:rsid w:val="15F1161D"/>
    <w:rsid w:val="15F31284"/>
    <w:rsid w:val="15F8662E"/>
    <w:rsid w:val="15FD4107"/>
    <w:rsid w:val="15FE1933"/>
    <w:rsid w:val="1602382A"/>
    <w:rsid w:val="16087E1D"/>
    <w:rsid w:val="160F5030"/>
    <w:rsid w:val="16100520"/>
    <w:rsid w:val="16104199"/>
    <w:rsid w:val="161720CF"/>
    <w:rsid w:val="16193209"/>
    <w:rsid w:val="161A7D77"/>
    <w:rsid w:val="16221331"/>
    <w:rsid w:val="16226BBD"/>
    <w:rsid w:val="162639BD"/>
    <w:rsid w:val="162714E3"/>
    <w:rsid w:val="164215E6"/>
    <w:rsid w:val="164C0F14"/>
    <w:rsid w:val="16525639"/>
    <w:rsid w:val="16552777"/>
    <w:rsid w:val="165D6CB3"/>
    <w:rsid w:val="16671013"/>
    <w:rsid w:val="167214D2"/>
    <w:rsid w:val="167A2A3F"/>
    <w:rsid w:val="167A7865"/>
    <w:rsid w:val="167E337C"/>
    <w:rsid w:val="167F12F4"/>
    <w:rsid w:val="16824E45"/>
    <w:rsid w:val="16870995"/>
    <w:rsid w:val="168801D3"/>
    <w:rsid w:val="168C6CAB"/>
    <w:rsid w:val="169104A3"/>
    <w:rsid w:val="16930926"/>
    <w:rsid w:val="169E17A5"/>
    <w:rsid w:val="16A17133"/>
    <w:rsid w:val="16A239F0"/>
    <w:rsid w:val="16A65C05"/>
    <w:rsid w:val="16A947D3"/>
    <w:rsid w:val="16A95FB0"/>
    <w:rsid w:val="16A97EE1"/>
    <w:rsid w:val="16AA3D7D"/>
    <w:rsid w:val="16AA5385"/>
    <w:rsid w:val="16AB2114"/>
    <w:rsid w:val="16B0772A"/>
    <w:rsid w:val="16B311A4"/>
    <w:rsid w:val="16B8519F"/>
    <w:rsid w:val="16BC3FE0"/>
    <w:rsid w:val="16BE6656"/>
    <w:rsid w:val="16C7125F"/>
    <w:rsid w:val="16C848EF"/>
    <w:rsid w:val="16CA07EC"/>
    <w:rsid w:val="16CA259A"/>
    <w:rsid w:val="16CC200A"/>
    <w:rsid w:val="16D37283"/>
    <w:rsid w:val="16D52CED"/>
    <w:rsid w:val="16DF7733"/>
    <w:rsid w:val="16E01DBD"/>
    <w:rsid w:val="16E77551"/>
    <w:rsid w:val="16EA0415"/>
    <w:rsid w:val="17041A51"/>
    <w:rsid w:val="17050E64"/>
    <w:rsid w:val="1706559C"/>
    <w:rsid w:val="170961D4"/>
    <w:rsid w:val="170A508C"/>
    <w:rsid w:val="171001C9"/>
    <w:rsid w:val="17123F41"/>
    <w:rsid w:val="17141A67"/>
    <w:rsid w:val="171D6F79"/>
    <w:rsid w:val="172311CA"/>
    <w:rsid w:val="1728765F"/>
    <w:rsid w:val="172E1F8A"/>
    <w:rsid w:val="173079FD"/>
    <w:rsid w:val="173C10D1"/>
    <w:rsid w:val="173D7ECA"/>
    <w:rsid w:val="17430B04"/>
    <w:rsid w:val="174312CB"/>
    <w:rsid w:val="17444901"/>
    <w:rsid w:val="174E0C78"/>
    <w:rsid w:val="174F1B03"/>
    <w:rsid w:val="1753361B"/>
    <w:rsid w:val="17540E4C"/>
    <w:rsid w:val="17556BAC"/>
    <w:rsid w:val="176302F9"/>
    <w:rsid w:val="1767428D"/>
    <w:rsid w:val="176C34D8"/>
    <w:rsid w:val="17701D14"/>
    <w:rsid w:val="17735226"/>
    <w:rsid w:val="1773582D"/>
    <w:rsid w:val="17740758"/>
    <w:rsid w:val="17763DC2"/>
    <w:rsid w:val="1779567C"/>
    <w:rsid w:val="177B5642"/>
    <w:rsid w:val="178065ED"/>
    <w:rsid w:val="17813E0E"/>
    <w:rsid w:val="17817AC7"/>
    <w:rsid w:val="17860A7E"/>
    <w:rsid w:val="1787048B"/>
    <w:rsid w:val="178C784F"/>
    <w:rsid w:val="17914E66"/>
    <w:rsid w:val="179928AA"/>
    <w:rsid w:val="179E26DB"/>
    <w:rsid w:val="17A032FB"/>
    <w:rsid w:val="17A10E21"/>
    <w:rsid w:val="17A821AF"/>
    <w:rsid w:val="17AB51FB"/>
    <w:rsid w:val="17AE3CDD"/>
    <w:rsid w:val="17B1375A"/>
    <w:rsid w:val="17B7090E"/>
    <w:rsid w:val="17B76721"/>
    <w:rsid w:val="17BD027B"/>
    <w:rsid w:val="17C90AA4"/>
    <w:rsid w:val="17CB2112"/>
    <w:rsid w:val="17CC6F89"/>
    <w:rsid w:val="17CE4184"/>
    <w:rsid w:val="17D564E4"/>
    <w:rsid w:val="17D734C7"/>
    <w:rsid w:val="17D75D7F"/>
    <w:rsid w:val="17DB2585"/>
    <w:rsid w:val="17DD454F"/>
    <w:rsid w:val="17E30D6D"/>
    <w:rsid w:val="17E94CA2"/>
    <w:rsid w:val="17EB07C7"/>
    <w:rsid w:val="17EB6C6C"/>
    <w:rsid w:val="17ED7AA9"/>
    <w:rsid w:val="17EE78BD"/>
    <w:rsid w:val="17F1593F"/>
    <w:rsid w:val="17F17FFA"/>
    <w:rsid w:val="18027B12"/>
    <w:rsid w:val="18027D54"/>
    <w:rsid w:val="180D4CD7"/>
    <w:rsid w:val="180F222F"/>
    <w:rsid w:val="1812011E"/>
    <w:rsid w:val="18136C2D"/>
    <w:rsid w:val="18147845"/>
    <w:rsid w:val="18185587"/>
    <w:rsid w:val="181F0AA9"/>
    <w:rsid w:val="18216A70"/>
    <w:rsid w:val="18250A27"/>
    <w:rsid w:val="18306AB5"/>
    <w:rsid w:val="183F0D66"/>
    <w:rsid w:val="18421907"/>
    <w:rsid w:val="18422604"/>
    <w:rsid w:val="18455C50"/>
    <w:rsid w:val="18475E6C"/>
    <w:rsid w:val="184F7BDD"/>
    <w:rsid w:val="185D11EC"/>
    <w:rsid w:val="18624A54"/>
    <w:rsid w:val="186A0E96"/>
    <w:rsid w:val="18732EE3"/>
    <w:rsid w:val="187C3D68"/>
    <w:rsid w:val="18856728"/>
    <w:rsid w:val="188622FA"/>
    <w:rsid w:val="1887378A"/>
    <w:rsid w:val="188B7B07"/>
    <w:rsid w:val="188C3A80"/>
    <w:rsid w:val="188C7154"/>
    <w:rsid w:val="189440E7"/>
    <w:rsid w:val="189A30ED"/>
    <w:rsid w:val="189F624C"/>
    <w:rsid w:val="18AD3F21"/>
    <w:rsid w:val="18AD58E7"/>
    <w:rsid w:val="18B2778A"/>
    <w:rsid w:val="18B40068"/>
    <w:rsid w:val="18B43325"/>
    <w:rsid w:val="18BC1226"/>
    <w:rsid w:val="18C80D5B"/>
    <w:rsid w:val="18C96E4C"/>
    <w:rsid w:val="18CD45C3"/>
    <w:rsid w:val="18D07816"/>
    <w:rsid w:val="18D27471"/>
    <w:rsid w:val="18D45952"/>
    <w:rsid w:val="18D771F0"/>
    <w:rsid w:val="18E454B9"/>
    <w:rsid w:val="18E91412"/>
    <w:rsid w:val="18F356AC"/>
    <w:rsid w:val="18F470D3"/>
    <w:rsid w:val="18F720F3"/>
    <w:rsid w:val="18FA1BDE"/>
    <w:rsid w:val="18FE6837"/>
    <w:rsid w:val="18FF4051"/>
    <w:rsid w:val="190E2D74"/>
    <w:rsid w:val="190F158D"/>
    <w:rsid w:val="191061F1"/>
    <w:rsid w:val="19140BA8"/>
    <w:rsid w:val="19155A3E"/>
    <w:rsid w:val="19175E02"/>
    <w:rsid w:val="191E2F8B"/>
    <w:rsid w:val="19212BB3"/>
    <w:rsid w:val="192252A0"/>
    <w:rsid w:val="192F4E41"/>
    <w:rsid w:val="19306658"/>
    <w:rsid w:val="1932246C"/>
    <w:rsid w:val="19334B3D"/>
    <w:rsid w:val="1934019F"/>
    <w:rsid w:val="19352849"/>
    <w:rsid w:val="193622D8"/>
    <w:rsid w:val="193B39B3"/>
    <w:rsid w:val="193B6B04"/>
    <w:rsid w:val="193C1CDB"/>
    <w:rsid w:val="19432476"/>
    <w:rsid w:val="19457133"/>
    <w:rsid w:val="194B4C86"/>
    <w:rsid w:val="195070AB"/>
    <w:rsid w:val="19526C77"/>
    <w:rsid w:val="19545BF2"/>
    <w:rsid w:val="195645B9"/>
    <w:rsid w:val="19573E8D"/>
    <w:rsid w:val="195846A8"/>
    <w:rsid w:val="195A572B"/>
    <w:rsid w:val="19616685"/>
    <w:rsid w:val="19622F5E"/>
    <w:rsid w:val="19762565"/>
    <w:rsid w:val="1977008B"/>
    <w:rsid w:val="1977321F"/>
    <w:rsid w:val="197D38E3"/>
    <w:rsid w:val="19802744"/>
    <w:rsid w:val="19814DA7"/>
    <w:rsid w:val="198937BC"/>
    <w:rsid w:val="198B6D5B"/>
    <w:rsid w:val="198D3D53"/>
    <w:rsid w:val="198F49A9"/>
    <w:rsid w:val="199332F6"/>
    <w:rsid w:val="199926F8"/>
    <w:rsid w:val="19A90B8D"/>
    <w:rsid w:val="19A93778"/>
    <w:rsid w:val="19AC1C8E"/>
    <w:rsid w:val="19AC5F87"/>
    <w:rsid w:val="19AF7825"/>
    <w:rsid w:val="19B24CE4"/>
    <w:rsid w:val="19B46E78"/>
    <w:rsid w:val="19BE3F0C"/>
    <w:rsid w:val="19CB7118"/>
    <w:rsid w:val="19CF6119"/>
    <w:rsid w:val="19CF6B1C"/>
    <w:rsid w:val="19D12263"/>
    <w:rsid w:val="19D63004"/>
    <w:rsid w:val="19D76D7C"/>
    <w:rsid w:val="19DB686C"/>
    <w:rsid w:val="19DE3827"/>
    <w:rsid w:val="19DE56BA"/>
    <w:rsid w:val="19E21F67"/>
    <w:rsid w:val="19E60D5F"/>
    <w:rsid w:val="19EA1DF8"/>
    <w:rsid w:val="19EC0A79"/>
    <w:rsid w:val="19ED66F3"/>
    <w:rsid w:val="19EF5A99"/>
    <w:rsid w:val="19F77872"/>
    <w:rsid w:val="19FD1A2C"/>
    <w:rsid w:val="19FF1D60"/>
    <w:rsid w:val="1A004B69"/>
    <w:rsid w:val="1A044015"/>
    <w:rsid w:val="1A057015"/>
    <w:rsid w:val="1A0A53A3"/>
    <w:rsid w:val="1A0A5C1B"/>
    <w:rsid w:val="1A0C14D1"/>
    <w:rsid w:val="1A136006"/>
    <w:rsid w:val="1A1678A4"/>
    <w:rsid w:val="1A1A7675"/>
    <w:rsid w:val="1A1C66C0"/>
    <w:rsid w:val="1A253F8B"/>
    <w:rsid w:val="1A2C531A"/>
    <w:rsid w:val="1A2D7AAA"/>
    <w:rsid w:val="1A3E0932"/>
    <w:rsid w:val="1A3E4845"/>
    <w:rsid w:val="1A42393B"/>
    <w:rsid w:val="1A4239CB"/>
    <w:rsid w:val="1A4D6898"/>
    <w:rsid w:val="1A50725A"/>
    <w:rsid w:val="1A582E70"/>
    <w:rsid w:val="1A5A2DE1"/>
    <w:rsid w:val="1A5F6A15"/>
    <w:rsid w:val="1A6C1BBA"/>
    <w:rsid w:val="1A6E7F98"/>
    <w:rsid w:val="1A710E2A"/>
    <w:rsid w:val="1A714D3D"/>
    <w:rsid w:val="1A7A7E33"/>
    <w:rsid w:val="1A7B0F93"/>
    <w:rsid w:val="1A826D31"/>
    <w:rsid w:val="1A8962C8"/>
    <w:rsid w:val="1A8A3DEE"/>
    <w:rsid w:val="1A8B60F3"/>
    <w:rsid w:val="1A905843"/>
    <w:rsid w:val="1A96061B"/>
    <w:rsid w:val="1A995465"/>
    <w:rsid w:val="1A9A4026"/>
    <w:rsid w:val="1A9C647F"/>
    <w:rsid w:val="1A9F5AEC"/>
    <w:rsid w:val="1AA0767C"/>
    <w:rsid w:val="1AA1138B"/>
    <w:rsid w:val="1AAD45DE"/>
    <w:rsid w:val="1AB8095B"/>
    <w:rsid w:val="1ABA46D4"/>
    <w:rsid w:val="1ABC412F"/>
    <w:rsid w:val="1ABF7180"/>
    <w:rsid w:val="1ABF7F3C"/>
    <w:rsid w:val="1AC75042"/>
    <w:rsid w:val="1ACB4A8B"/>
    <w:rsid w:val="1ACB4B33"/>
    <w:rsid w:val="1ACF421E"/>
    <w:rsid w:val="1ACF4EEE"/>
    <w:rsid w:val="1AD75285"/>
    <w:rsid w:val="1AE532C2"/>
    <w:rsid w:val="1AE6371B"/>
    <w:rsid w:val="1AE75AAF"/>
    <w:rsid w:val="1AE87493"/>
    <w:rsid w:val="1AE92581"/>
    <w:rsid w:val="1AED4AA9"/>
    <w:rsid w:val="1AFA2B88"/>
    <w:rsid w:val="1AFA63AD"/>
    <w:rsid w:val="1AFC4CEC"/>
    <w:rsid w:val="1B046F80"/>
    <w:rsid w:val="1B0523FF"/>
    <w:rsid w:val="1B0B4F2F"/>
    <w:rsid w:val="1B0D6EF9"/>
    <w:rsid w:val="1B0E67CD"/>
    <w:rsid w:val="1B1436F0"/>
    <w:rsid w:val="1B234C9B"/>
    <w:rsid w:val="1B2840D9"/>
    <w:rsid w:val="1B2A7C8E"/>
    <w:rsid w:val="1B2B737F"/>
    <w:rsid w:val="1B3267B5"/>
    <w:rsid w:val="1B3A6F73"/>
    <w:rsid w:val="1B3E7FE4"/>
    <w:rsid w:val="1B40161D"/>
    <w:rsid w:val="1B410951"/>
    <w:rsid w:val="1B441859"/>
    <w:rsid w:val="1B45265B"/>
    <w:rsid w:val="1B4747B6"/>
    <w:rsid w:val="1B490E98"/>
    <w:rsid w:val="1B4D553A"/>
    <w:rsid w:val="1B4F12C0"/>
    <w:rsid w:val="1B522B5E"/>
    <w:rsid w:val="1B544B28"/>
    <w:rsid w:val="1B5508A0"/>
    <w:rsid w:val="1B5563F0"/>
    <w:rsid w:val="1B5565C8"/>
    <w:rsid w:val="1B5C1C2F"/>
    <w:rsid w:val="1B6606B1"/>
    <w:rsid w:val="1B682381"/>
    <w:rsid w:val="1B695789"/>
    <w:rsid w:val="1B732BA1"/>
    <w:rsid w:val="1B762CF0"/>
    <w:rsid w:val="1B7658E2"/>
    <w:rsid w:val="1B7D6BEA"/>
    <w:rsid w:val="1B8120B5"/>
    <w:rsid w:val="1B87021B"/>
    <w:rsid w:val="1B9F38C9"/>
    <w:rsid w:val="1BA20491"/>
    <w:rsid w:val="1BAA0AF2"/>
    <w:rsid w:val="1BAA0BEC"/>
    <w:rsid w:val="1BAC3E4E"/>
    <w:rsid w:val="1BAF1D5E"/>
    <w:rsid w:val="1BB14E59"/>
    <w:rsid w:val="1BBB416A"/>
    <w:rsid w:val="1BBD01E0"/>
    <w:rsid w:val="1BC83936"/>
    <w:rsid w:val="1BCB6AA7"/>
    <w:rsid w:val="1BCF4B8C"/>
    <w:rsid w:val="1BD14514"/>
    <w:rsid w:val="1BD417C5"/>
    <w:rsid w:val="1BD619E1"/>
    <w:rsid w:val="1BDC68CC"/>
    <w:rsid w:val="1BDE124D"/>
    <w:rsid w:val="1BE3033D"/>
    <w:rsid w:val="1BE7774A"/>
    <w:rsid w:val="1BEC092D"/>
    <w:rsid w:val="1BF30ADC"/>
    <w:rsid w:val="1BFB31F6"/>
    <w:rsid w:val="1BFC7309"/>
    <w:rsid w:val="1C0C4C1E"/>
    <w:rsid w:val="1C0C71B1"/>
    <w:rsid w:val="1C18299F"/>
    <w:rsid w:val="1C1E6EE4"/>
    <w:rsid w:val="1C250273"/>
    <w:rsid w:val="1C253471"/>
    <w:rsid w:val="1C38518D"/>
    <w:rsid w:val="1C3C426C"/>
    <w:rsid w:val="1C3E1334"/>
    <w:rsid w:val="1C4306F9"/>
    <w:rsid w:val="1C451E8D"/>
    <w:rsid w:val="1C4A101B"/>
    <w:rsid w:val="1C4E0858"/>
    <w:rsid w:val="1C4F52EF"/>
    <w:rsid w:val="1C592FF9"/>
    <w:rsid w:val="1C5D6CE6"/>
    <w:rsid w:val="1C5E7925"/>
    <w:rsid w:val="1C67332C"/>
    <w:rsid w:val="1C6D688A"/>
    <w:rsid w:val="1C6E7E6B"/>
    <w:rsid w:val="1C6F417C"/>
    <w:rsid w:val="1C71317B"/>
    <w:rsid w:val="1C751B4D"/>
    <w:rsid w:val="1C783E1E"/>
    <w:rsid w:val="1C796CC0"/>
    <w:rsid w:val="1C7D5C81"/>
    <w:rsid w:val="1C8165C7"/>
    <w:rsid w:val="1C827766"/>
    <w:rsid w:val="1C8925AF"/>
    <w:rsid w:val="1C8B186A"/>
    <w:rsid w:val="1C96041C"/>
    <w:rsid w:val="1C9E08E0"/>
    <w:rsid w:val="1CA34F4C"/>
    <w:rsid w:val="1CAA0778"/>
    <w:rsid w:val="1CAD4631"/>
    <w:rsid w:val="1CB17D58"/>
    <w:rsid w:val="1CB841CA"/>
    <w:rsid w:val="1CBD0BF0"/>
    <w:rsid w:val="1CC11027"/>
    <w:rsid w:val="1CC1746F"/>
    <w:rsid w:val="1CC31F3D"/>
    <w:rsid w:val="1CC45CDD"/>
    <w:rsid w:val="1CCA6B98"/>
    <w:rsid w:val="1CCE5D2E"/>
    <w:rsid w:val="1CCF6669"/>
    <w:rsid w:val="1CDA72AF"/>
    <w:rsid w:val="1CE04199"/>
    <w:rsid w:val="1CE161F5"/>
    <w:rsid w:val="1CE27781"/>
    <w:rsid w:val="1CE42735"/>
    <w:rsid w:val="1CE72814"/>
    <w:rsid w:val="1CE82086"/>
    <w:rsid w:val="1CEB326A"/>
    <w:rsid w:val="1CEB65DF"/>
    <w:rsid w:val="1CEC2B3E"/>
    <w:rsid w:val="1CF33784"/>
    <w:rsid w:val="1CF617BC"/>
    <w:rsid w:val="1CF917A7"/>
    <w:rsid w:val="1CFB15A0"/>
    <w:rsid w:val="1CFD070F"/>
    <w:rsid w:val="1D0600A4"/>
    <w:rsid w:val="1D076D5E"/>
    <w:rsid w:val="1D084214"/>
    <w:rsid w:val="1D0E0D07"/>
    <w:rsid w:val="1D126D38"/>
    <w:rsid w:val="1D152095"/>
    <w:rsid w:val="1D225A6E"/>
    <w:rsid w:val="1D270E9D"/>
    <w:rsid w:val="1D273A22"/>
    <w:rsid w:val="1D3342DB"/>
    <w:rsid w:val="1D36584D"/>
    <w:rsid w:val="1D4E4115"/>
    <w:rsid w:val="1D552DD9"/>
    <w:rsid w:val="1D571E02"/>
    <w:rsid w:val="1D5B4DC6"/>
    <w:rsid w:val="1D5F6196"/>
    <w:rsid w:val="1D6132A5"/>
    <w:rsid w:val="1D7165FD"/>
    <w:rsid w:val="1D794860"/>
    <w:rsid w:val="1D7B4A10"/>
    <w:rsid w:val="1D7B65A1"/>
    <w:rsid w:val="1D7C1643"/>
    <w:rsid w:val="1D7D4F81"/>
    <w:rsid w:val="1D7F16EB"/>
    <w:rsid w:val="1D814DB7"/>
    <w:rsid w:val="1D816DBF"/>
    <w:rsid w:val="1D862F93"/>
    <w:rsid w:val="1D8B05A9"/>
    <w:rsid w:val="1D8E56D5"/>
    <w:rsid w:val="1D8F38EF"/>
    <w:rsid w:val="1D90796E"/>
    <w:rsid w:val="1D917260"/>
    <w:rsid w:val="1D963C5A"/>
    <w:rsid w:val="1D9873A5"/>
    <w:rsid w:val="1D9A259A"/>
    <w:rsid w:val="1D9B34A2"/>
    <w:rsid w:val="1DA70300"/>
    <w:rsid w:val="1DAF315C"/>
    <w:rsid w:val="1DB25B36"/>
    <w:rsid w:val="1DB751AC"/>
    <w:rsid w:val="1DBC69B5"/>
    <w:rsid w:val="1DBD61A7"/>
    <w:rsid w:val="1DC31D56"/>
    <w:rsid w:val="1DC35F95"/>
    <w:rsid w:val="1DC37D43"/>
    <w:rsid w:val="1DC6338F"/>
    <w:rsid w:val="1DCB7E93"/>
    <w:rsid w:val="1DD12460"/>
    <w:rsid w:val="1DD31078"/>
    <w:rsid w:val="1DD91315"/>
    <w:rsid w:val="1DD957B9"/>
    <w:rsid w:val="1DD979BE"/>
    <w:rsid w:val="1DE047C6"/>
    <w:rsid w:val="1DE877AA"/>
    <w:rsid w:val="1DE93768"/>
    <w:rsid w:val="1DF75C3F"/>
    <w:rsid w:val="1DF84CBF"/>
    <w:rsid w:val="1DFB5164"/>
    <w:rsid w:val="1E036392"/>
    <w:rsid w:val="1E054CC9"/>
    <w:rsid w:val="1E067C30"/>
    <w:rsid w:val="1E0A3BC4"/>
    <w:rsid w:val="1E0C0B57"/>
    <w:rsid w:val="1E0C16EA"/>
    <w:rsid w:val="1E0D5462"/>
    <w:rsid w:val="1E115081"/>
    <w:rsid w:val="1E195BB5"/>
    <w:rsid w:val="1E1F222A"/>
    <w:rsid w:val="1E220F0E"/>
    <w:rsid w:val="1E2419AF"/>
    <w:rsid w:val="1E262080"/>
    <w:rsid w:val="1E2B113A"/>
    <w:rsid w:val="1E326C0D"/>
    <w:rsid w:val="1E342A1C"/>
    <w:rsid w:val="1E34479D"/>
    <w:rsid w:val="1E380731"/>
    <w:rsid w:val="1E392745"/>
    <w:rsid w:val="1E393859"/>
    <w:rsid w:val="1E3B1FCF"/>
    <w:rsid w:val="1E3D2E33"/>
    <w:rsid w:val="1E4221DE"/>
    <w:rsid w:val="1E52011B"/>
    <w:rsid w:val="1E526701"/>
    <w:rsid w:val="1E535688"/>
    <w:rsid w:val="1E537319"/>
    <w:rsid w:val="1E634270"/>
    <w:rsid w:val="1E6428E0"/>
    <w:rsid w:val="1E664002"/>
    <w:rsid w:val="1E674B72"/>
    <w:rsid w:val="1E727739"/>
    <w:rsid w:val="1E7A4110"/>
    <w:rsid w:val="1E7A43DA"/>
    <w:rsid w:val="1E7B6870"/>
    <w:rsid w:val="1E7E1EBC"/>
    <w:rsid w:val="1E7E3C6A"/>
    <w:rsid w:val="1E806D8A"/>
    <w:rsid w:val="1E831280"/>
    <w:rsid w:val="1E8759F3"/>
    <w:rsid w:val="1E8A260F"/>
    <w:rsid w:val="1E950C29"/>
    <w:rsid w:val="1E965B18"/>
    <w:rsid w:val="1E983954"/>
    <w:rsid w:val="1E9B246D"/>
    <w:rsid w:val="1E9C1F92"/>
    <w:rsid w:val="1E9C767B"/>
    <w:rsid w:val="1E9D139F"/>
    <w:rsid w:val="1EA27A4D"/>
    <w:rsid w:val="1EA41923"/>
    <w:rsid w:val="1EA825AB"/>
    <w:rsid w:val="1EAE2DD9"/>
    <w:rsid w:val="1EB57234"/>
    <w:rsid w:val="1EC43D73"/>
    <w:rsid w:val="1EC54878"/>
    <w:rsid w:val="1ECA1DD5"/>
    <w:rsid w:val="1ECA5FEF"/>
    <w:rsid w:val="1ECA6EAF"/>
    <w:rsid w:val="1ED0096A"/>
    <w:rsid w:val="1EDB2E6A"/>
    <w:rsid w:val="1EDD1822"/>
    <w:rsid w:val="1EDE67E5"/>
    <w:rsid w:val="1EE2069D"/>
    <w:rsid w:val="1EE30CEA"/>
    <w:rsid w:val="1EEF72D8"/>
    <w:rsid w:val="1EF1354B"/>
    <w:rsid w:val="1EF13911"/>
    <w:rsid w:val="1EF5217E"/>
    <w:rsid w:val="1EF740FB"/>
    <w:rsid w:val="1EFC175F"/>
    <w:rsid w:val="1EFF07F4"/>
    <w:rsid w:val="1F017D5D"/>
    <w:rsid w:val="1F081BD7"/>
    <w:rsid w:val="1F10520A"/>
    <w:rsid w:val="1F152820"/>
    <w:rsid w:val="1F196E7F"/>
    <w:rsid w:val="1F204D21"/>
    <w:rsid w:val="1F244811"/>
    <w:rsid w:val="1F2C5F1E"/>
    <w:rsid w:val="1F2D4DD8"/>
    <w:rsid w:val="1F30765A"/>
    <w:rsid w:val="1F310441"/>
    <w:rsid w:val="1F31742D"/>
    <w:rsid w:val="1F354072"/>
    <w:rsid w:val="1F3A5DE3"/>
    <w:rsid w:val="1F3F164B"/>
    <w:rsid w:val="1F4B6242"/>
    <w:rsid w:val="1F4E5D32"/>
    <w:rsid w:val="1F502710"/>
    <w:rsid w:val="1F511F82"/>
    <w:rsid w:val="1F51492C"/>
    <w:rsid w:val="1F63002C"/>
    <w:rsid w:val="1F64288F"/>
    <w:rsid w:val="1F7A63FD"/>
    <w:rsid w:val="1F7B1B7C"/>
    <w:rsid w:val="1F802E8E"/>
    <w:rsid w:val="1F817EB6"/>
    <w:rsid w:val="1F841754"/>
    <w:rsid w:val="1F8800CF"/>
    <w:rsid w:val="1F8A5DA8"/>
    <w:rsid w:val="1F8B1FA7"/>
    <w:rsid w:val="1F903C55"/>
    <w:rsid w:val="1F9C5E34"/>
    <w:rsid w:val="1F9D69FC"/>
    <w:rsid w:val="1F9E4E56"/>
    <w:rsid w:val="1FA47700"/>
    <w:rsid w:val="1FAF67D1"/>
    <w:rsid w:val="1FB2006F"/>
    <w:rsid w:val="1FB77434"/>
    <w:rsid w:val="1FB9734B"/>
    <w:rsid w:val="1FBB4BD6"/>
    <w:rsid w:val="1FC61FBB"/>
    <w:rsid w:val="1FCD4EA9"/>
    <w:rsid w:val="1FD10527"/>
    <w:rsid w:val="1FD47FE6"/>
    <w:rsid w:val="1FD9384E"/>
    <w:rsid w:val="1FDB3B0B"/>
    <w:rsid w:val="1FE548C7"/>
    <w:rsid w:val="1FE70AFA"/>
    <w:rsid w:val="1FE7539E"/>
    <w:rsid w:val="1FF97A4C"/>
    <w:rsid w:val="1FFB1A16"/>
    <w:rsid w:val="20052895"/>
    <w:rsid w:val="200B5F1D"/>
    <w:rsid w:val="201B3E66"/>
    <w:rsid w:val="201E3957"/>
    <w:rsid w:val="201F4F8C"/>
    <w:rsid w:val="20250841"/>
    <w:rsid w:val="202C4C92"/>
    <w:rsid w:val="20322F5E"/>
    <w:rsid w:val="20347C60"/>
    <w:rsid w:val="20365F39"/>
    <w:rsid w:val="2037160E"/>
    <w:rsid w:val="20450EE3"/>
    <w:rsid w:val="20466E53"/>
    <w:rsid w:val="204D5FEA"/>
    <w:rsid w:val="204E53F7"/>
    <w:rsid w:val="205245F4"/>
    <w:rsid w:val="20601879"/>
    <w:rsid w:val="20621A95"/>
    <w:rsid w:val="206524E5"/>
    <w:rsid w:val="20671BE0"/>
    <w:rsid w:val="20673EB8"/>
    <w:rsid w:val="206A26F8"/>
    <w:rsid w:val="206D3F96"/>
    <w:rsid w:val="206E6121"/>
    <w:rsid w:val="20775413"/>
    <w:rsid w:val="207B2B57"/>
    <w:rsid w:val="207B4905"/>
    <w:rsid w:val="208631DE"/>
    <w:rsid w:val="20947775"/>
    <w:rsid w:val="20963CB8"/>
    <w:rsid w:val="20A235B8"/>
    <w:rsid w:val="20A51982"/>
    <w:rsid w:val="20A65B06"/>
    <w:rsid w:val="20A7715D"/>
    <w:rsid w:val="20A81A1B"/>
    <w:rsid w:val="20AF683C"/>
    <w:rsid w:val="20B06D0A"/>
    <w:rsid w:val="20B07FB6"/>
    <w:rsid w:val="20B646FB"/>
    <w:rsid w:val="20B6593D"/>
    <w:rsid w:val="20B70619"/>
    <w:rsid w:val="20BD5F40"/>
    <w:rsid w:val="20C473D6"/>
    <w:rsid w:val="20C53DD2"/>
    <w:rsid w:val="20C61E70"/>
    <w:rsid w:val="20CB083F"/>
    <w:rsid w:val="20CF69FF"/>
    <w:rsid w:val="20D504B9"/>
    <w:rsid w:val="20D93FCC"/>
    <w:rsid w:val="20DB53A4"/>
    <w:rsid w:val="20DC7CCA"/>
    <w:rsid w:val="20DD736E"/>
    <w:rsid w:val="20E41F8D"/>
    <w:rsid w:val="20E83BDD"/>
    <w:rsid w:val="20EE157B"/>
    <w:rsid w:val="20EE50D7"/>
    <w:rsid w:val="20F11D81"/>
    <w:rsid w:val="20F14BC7"/>
    <w:rsid w:val="20F51A7A"/>
    <w:rsid w:val="20F6042F"/>
    <w:rsid w:val="20F956A3"/>
    <w:rsid w:val="20FD6F5D"/>
    <w:rsid w:val="210668C5"/>
    <w:rsid w:val="210C37AF"/>
    <w:rsid w:val="210C783E"/>
    <w:rsid w:val="210F504D"/>
    <w:rsid w:val="21107C54"/>
    <w:rsid w:val="21154D5A"/>
    <w:rsid w:val="21155E4F"/>
    <w:rsid w:val="21166A94"/>
    <w:rsid w:val="21167D9E"/>
    <w:rsid w:val="211846B7"/>
    <w:rsid w:val="21275C65"/>
    <w:rsid w:val="212C128C"/>
    <w:rsid w:val="212E5E1B"/>
    <w:rsid w:val="21303453"/>
    <w:rsid w:val="21303941"/>
    <w:rsid w:val="21331AEE"/>
    <w:rsid w:val="2136082C"/>
    <w:rsid w:val="213B74B1"/>
    <w:rsid w:val="213D54C1"/>
    <w:rsid w:val="213F5933"/>
    <w:rsid w:val="21435E4B"/>
    <w:rsid w:val="21442F49"/>
    <w:rsid w:val="21457588"/>
    <w:rsid w:val="214815A8"/>
    <w:rsid w:val="21486EDD"/>
    <w:rsid w:val="214B2529"/>
    <w:rsid w:val="215319AD"/>
    <w:rsid w:val="2153584A"/>
    <w:rsid w:val="21582E98"/>
    <w:rsid w:val="2159704D"/>
    <w:rsid w:val="215A2310"/>
    <w:rsid w:val="215C4736"/>
    <w:rsid w:val="215E639F"/>
    <w:rsid w:val="216B497A"/>
    <w:rsid w:val="216E7FC6"/>
    <w:rsid w:val="21702385"/>
    <w:rsid w:val="217575A6"/>
    <w:rsid w:val="21787096"/>
    <w:rsid w:val="217A775E"/>
    <w:rsid w:val="21837F15"/>
    <w:rsid w:val="21845A3B"/>
    <w:rsid w:val="21863561"/>
    <w:rsid w:val="21871088"/>
    <w:rsid w:val="218839EC"/>
    <w:rsid w:val="21921F06"/>
    <w:rsid w:val="21957C48"/>
    <w:rsid w:val="219A6A7B"/>
    <w:rsid w:val="219C2F65"/>
    <w:rsid w:val="219C6421"/>
    <w:rsid w:val="21A43E37"/>
    <w:rsid w:val="21A97250"/>
    <w:rsid w:val="21AA2DB3"/>
    <w:rsid w:val="21AD6D40"/>
    <w:rsid w:val="21B24356"/>
    <w:rsid w:val="21B70496"/>
    <w:rsid w:val="21BA76AF"/>
    <w:rsid w:val="21BC576A"/>
    <w:rsid w:val="21BF0821"/>
    <w:rsid w:val="21C010A5"/>
    <w:rsid w:val="21C91D49"/>
    <w:rsid w:val="21D01DDA"/>
    <w:rsid w:val="21D172DC"/>
    <w:rsid w:val="21D4251F"/>
    <w:rsid w:val="21D47F5E"/>
    <w:rsid w:val="21D534C8"/>
    <w:rsid w:val="21D9264D"/>
    <w:rsid w:val="21DE318A"/>
    <w:rsid w:val="21E14C3C"/>
    <w:rsid w:val="21E169EA"/>
    <w:rsid w:val="21E93AF0"/>
    <w:rsid w:val="21E95CE4"/>
    <w:rsid w:val="21EA27D2"/>
    <w:rsid w:val="21EC4122"/>
    <w:rsid w:val="21EF5B80"/>
    <w:rsid w:val="21F26B5D"/>
    <w:rsid w:val="21F73A2D"/>
    <w:rsid w:val="21F872EB"/>
    <w:rsid w:val="22023A3F"/>
    <w:rsid w:val="220A5F40"/>
    <w:rsid w:val="220C2FA2"/>
    <w:rsid w:val="22106C59"/>
    <w:rsid w:val="221072CF"/>
    <w:rsid w:val="22171248"/>
    <w:rsid w:val="2217240B"/>
    <w:rsid w:val="221F7512"/>
    <w:rsid w:val="222248DF"/>
    <w:rsid w:val="22230DB0"/>
    <w:rsid w:val="222D4B7C"/>
    <w:rsid w:val="22357465"/>
    <w:rsid w:val="223A511A"/>
    <w:rsid w:val="223B0D62"/>
    <w:rsid w:val="223B259E"/>
    <w:rsid w:val="224A27E1"/>
    <w:rsid w:val="224C6559"/>
    <w:rsid w:val="224D1A5F"/>
    <w:rsid w:val="224E784D"/>
    <w:rsid w:val="22525502"/>
    <w:rsid w:val="22525B39"/>
    <w:rsid w:val="22532A8E"/>
    <w:rsid w:val="2254426B"/>
    <w:rsid w:val="22576990"/>
    <w:rsid w:val="225777EA"/>
    <w:rsid w:val="225B679C"/>
    <w:rsid w:val="225C34E1"/>
    <w:rsid w:val="2265175A"/>
    <w:rsid w:val="226A4C31"/>
    <w:rsid w:val="226D64CF"/>
    <w:rsid w:val="226E1036"/>
    <w:rsid w:val="227D2BB6"/>
    <w:rsid w:val="227F4D69"/>
    <w:rsid w:val="228757AF"/>
    <w:rsid w:val="22885820"/>
    <w:rsid w:val="228D0920"/>
    <w:rsid w:val="228D0B2B"/>
    <w:rsid w:val="229E781B"/>
    <w:rsid w:val="22A0050B"/>
    <w:rsid w:val="22A13A6D"/>
    <w:rsid w:val="22A46395"/>
    <w:rsid w:val="22AB1C1C"/>
    <w:rsid w:val="22B365D8"/>
    <w:rsid w:val="22B9432E"/>
    <w:rsid w:val="22BB548D"/>
    <w:rsid w:val="22C205C9"/>
    <w:rsid w:val="22C32F28"/>
    <w:rsid w:val="22C34341"/>
    <w:rsid w:val="22CA56D0"/>
    <w:rsid w:val="22D121FB"/>
    <w:rsid w:val="22D12F89"/>
    <w:rsid w:val="22D9192F"/>
    <w:rsid w:val="22DA41CE"/>
    <w:rsid w:val="22DB78DD"/>
    <w:rsid w:val="22E83DA8"/>
    <w:rsid w:val="22E973C1"/>
    <w:rsid w:val="22EC5646"/>
    <w:rsid w:val="22ED71CD"/>
    <w:rsid w:val="22F0540B"/>
    <w:rsid w:val="22F46501"/>
    <w:rsid w:val="22F47480"/>
    <w:rsid w:val="22FC32BB"/>
    <w:rsid w:val="22FD4884"/>
    <w:rsid w:val="23010E45"/>
    <w:rsid w:val="2302130E"/>
    <w:rsid w:val="230339DB"/>
    <w:rsid w:val="23042C3F"/>
    <w:rsid w:val="23052BAC"/>
    <w:rsid w:val="230722D5"/>
    <w:rsid w:val="23093BF2"/>
    <w:rsid w:val="23151041"/>
    <w:rsid w:val="2318643B"/>
    <w:rsid w:val="23270F67"/>
    <w:rsid w:val="232B2612"/>
    <w:rsid w:val="23353491"/>
    <w:rsid w:val="23386ADD"/>
    <w:rsid w:val="23403BE4"/>
    <w:rsid w:val="23451001"/>
    <w:rsid w:val="234C2589"/>
    <w:rsid w:val="234D4382"/>
    <w:rsid w:val="234D5002"/>
    <w:rsid w:val="23502079"/>
    <w:rsid w:val="23580F2E"/>
    <w:rsid w:val="235C0A1E"/>
    <w:rsid w:val="235D4796"/>
    <w:rsid w:val="235E3DED"/>
    <w:rsid w:val="23624DB5"/>
    <w:rsid w:val="236E3309"/>
    <w:rsid w:val="237377C7"/>
    <w:rsid w:val="23753F06"/>
    <w:rsid w:val="237C2E6E"/>
    <w:rsid w:val="238345EB"/>
    <w:rsid w:val="23867849"/>
    <w:rsid w:val="2398654C"/>
    <w:rsid w:val="239B2269"/>
    <w:rsid w:val="239E6529"/>
    <w:rsid w:val="239F08A1"/>
    <w:rsid w:val="23A260EE"/>
    <w:rsid w:val="23A756FE"/>
    <w:rsid w:val="23A92B1C"/>
    <w:rsid w:val="23AD2A56"/>
    <w:rsid w:val="23AF3E8B"/>
    <w:rsid w:val="23AF726E"/>
    <w:rsid w:val="23B02B18"/>
    <w:rsid w:val="23B27A99"/>
    <w:rsid w:val="23B60FC1"/>
    <w:rsid w:val="23BC2D52"/>
    <w:rsid w:val="23C43527"/>
    <w:rsid w:val="23C74E66"/>
    <w:rsid w:val="23D06D16"/>
    <w:rsid w:val="23DA1B50"/>
    <w:rsid w:val="23DE1C48"/>
    <w:rsid w:val="23E05F11"/>
    <w:rsid w:val="23EC65F4"/>
    <w:rsid w:val="23ED3D6C"/>
    <w:rsid w:val="23FC3FAF"/>
    <w:rsid w:val="23FE6BEB"/>
    <w:rsid w:val="23FF584D"/>
    <w:rsid w:val="240074B3"/>
    <w:rsid w:val="240210CD"/>
    <w:rsid w:val="240A1454"/>
    <w:rsid w:val="240D0A6F"/>
    <w:rsid w:val="240E783E"/>
    <w:rsid w:val="2416517D"/>
    <w:rsid w:val="241C09BC"/>
    <w:rsid w:val="2426751B"/>
    <w:rsid w:val="24280900"/>
    <w:rsid w:val="242B1A8A"/>
    <w:rsid w:val="242F3360"/>
    <w:rsid w:val="24302E90"/>
    <w:rsid w:val="24305A06"/>
    <w:rsid w:val="24311EAA"/>
    <w:rsid w:val="24324FC7"/>
    <w:rsid w:val="24364169"/>
    <w:rsid w:val="24375129"/>
    <w:rsid w:val="243A62E1"/>
    <w:rsid w:val="24466FD8"/>
    <w:rsid w:val="244A2F6C"/>
    <w:rsid w:val="244D65B8"/>
    <w:rsid w:val="244D6BB4"/>
    <w:rsid w:val="24510B78"/>
    <w:rsid w:val="245636BF"/>
    <w:rsid w:val="24574D2F"/>
    <w:rsid w:val="24612064"/>
    <w:rsid w:val="24651B54"/>
    <w:rsid w:val="246B0A5C"/>
    <w:rsid w:val="246B2680"/>
    <w:rsid w:val="246F29D3"/>
    <w:rsid w:val="247213BB"/>
    <w:rsid w:val="247955FF"/>
    <w:rsid w:val="247A3BCF"/>
    <w:rsid w:val="247A4C9D"/>
    <w:rsid w:val="247D0F86"/>
    <w:rsid w:val="248C70E1"/>
    <w:rsid w:val="24901B57"/>
    <w:rsid w:val="24990604"/>
    <w:rsid w:val="249A18B6"/>
    <w:rsid w:val="249C4E4A"/>
    <w:rsid w:val="24A020FD"/>
    <w:rsid w:val="24A14A8B"/>
    <w:rsid w:val="24A55F24"/>
    <w:rsid w:val="24A972A7"/>
    <w:rsid w:val="24AA677E"/>
    <w:rsid w:val="24AC1531"/>
    <w:rsid w:val="24AF7273"/>
    <w:rsid w:val="24B01BD1"/>
    <w:rsid w:val="24B403E6"/>
    <w:rsid w:val="24BB0C9B"/>
    <w:rsid w:val="24BF09F7"/>
    <w:rsid w:val="24BF727F"/>
    <w:rsid w:val="24C26858"/>
    <w:rsid w:val="24C26FA6"/>
    <w:rsid w:val="24C51723"/>
    <w:rsid w:val="24C56B78"/>
    <w:rsid w:val="24C7636B"/>
    <w:rsid w:val="24CC1BD3"/>
    <w:rsid w:val="24D23759"/>
    <w:rsid w:val="24DE3A8A"/>
    <w:rsid w:val="24E16D01"/>
    <w:rsid w:val="24E4622E"/>
    <w:rsid w:val="24E83D02"/>
    <w:rsid w:val="24E842A0"/>
    <w:rsid w:val="24EF35A7"/>
    <w:rsid w:val="24F627AC"/>
    <w:rsid w:val="24F84776"/>
    <w:rsid w:val="24F86524"/>
    <w:rsid w:val="25012AC9"/>
    <w:rsid w:val="25023740"/>
    <w:rsid w:val="250E0B9D"/>
    <w:rsid w:val="25145328"/>
    <w:rsid w:val="25186BC6"/>
    <w:rsid w:val="251A0B90"/>
    <w:rsid w:val="251A395F"/>
    <w:rsid w:val="252206FC"/>
    <w:rsid w:val="252375A1"/>
    <w:rsid w:val="25266D60"/>
    <w:rsid w:val="25292B82"/>
    <w:rsid w:val="252D53FE"/>
    <w:rsid w:val="2530657B"/>
    <w:rsid w:val="25317C88"/>
    <w:rsid w:val="25322AEC"/>
    <w:rsid w:val="25355754"/>
    <w:rsid w:val="25384F68"/>
    <w:rsid w:val="25421E95"/>
    <w:rsid w:val="254701D7"/>
    <w:rsid w:val="254A0D4A"/>
    <w:rsid w:val="25506DE7"/>
    <w:rsid w:val="25595156"/>
    <w:rsid w:val="255B2F57"/>
    <w:rsid w:val="255F2A47"/>
    <w:rsid w:val="25642B1A"/>
    <w:rsid w:val="256718FC"/>
    <w:rsid w:val="256E2C8A"/>
    <w:rsid w:val="2575265A"/>
    <w:rsid w:val="2576226F"/>
    <w:rsid w:val="25777D91"/>
    <w:rsid w:val="2579618A"/>
    <w:rsid w:val="257D111F"/>
    <w:rsid w:val="257F27A2"/>
    <w:rsid w:val="2580476C"/>
    <w:rsid w:val="2581437A"/>
    <w:rsid w:val="25826736"/>
    <w:rsid w:val="25867FD4"/>
    <w:rsid w:val="25884E57"/>
    <w:rsid w:val="25896B32"/>
    <w:rsid w:val="258B383C"/>
    <w:rsid w:val="259049AF"/>
    <w:rsid w:val="2593449F"/>
    <w:rsid w:val="259A582D"/>
    <w:rsid w:val="25A93CC2"/>
    <w:rsid w:val="25AC432A"/>
    <w:rsid w:val="25AF7C37"/>
    <w:rsid w:val="25BC7FE5"/>
    <w:rsid w:val="25C74149"/>
    <w:rsid w:val="25CA6327"/>
    <w:rsid w:val="25D32AED"/>
    <w:rsid w:val="25D532F5"/>
    <w:rsid w:val="25D7082F"/>
    <w:rsid w:val="25D91447"/>
    <w:rsid w:val="25E14378"/>
    <w:rsid w:val="25EC2D81"/>
    <w:rsid w:val="25EC3BAF"/>
    <w:rsid w:val="25ED78CC"/>
    <w:rsid w:val="25EE406E"/>
    <w:rsid w:val="25EE5B79"/>
    <w:rsid w:val="25EF6C49"/>
    <w:rsid w:val="25F80363"/>
    <w:rsid w:val="25FA33D7"/>
    <w:rsid w:val="25FA451E"/>
    <w:rsid w:val="25FB7DFA"/>
    <w:rsid w:val="25FC570B"/>
    <w:rsid w:val="25FD157D"/>
    <w:rsid w:val="26061115"/>
    <w:rsid w:val="260C1366"/>
    <w:rsid w:val="260C3BF8"/>
    <w:rsid w:val="26105AEF"/>
    <w:rsid w:val="261A696E"/>
    <w:rsid w:val="261D5164"/>
    <w:rsid w:val="261D5C26"/>
    <w:rsid w:val="261F1582"/>
    <w:rsid w:val="262275D1"/>
    <w:rsid w:val="26233A75"/>
    <w:rsid w:val="26290526"/>
    <w:rsid w:val="262923F6"/>
    <w:rsid w:val="262A010B"/>
    <w:rsid w:val="26326399"/>
    <w:rsid w:val="26345C82"/>
    <w:rsid w:val="26355556"/>
    <w:rsid w:val="26461511"/>
    <w:rsid w:val="26490757"/>
    <w:rsid w:val="264B4D7A"/>
    <w:rsid w:val="264D0B0B"/>
    <w:rsid w:val="26527EB6"/>
    <w:rsid w:val="265500DB"/>
    <w:rsid w:val="26554BA2"/>
    <w:rsid w:val="26575089"/>
    <w:rsid w:val="265F23FB"/>
    <w:rsid w:val="26675339"/>
    <w:rsid w:val="266801EC"/>
    <w:rsid w:val="26707BFD"/>
    <w:rsid w:val="26730B70"/>
    <w:rsid w:val="267728FE"/>
    <w:rsid w:val="26773A40"/>
    <w:rsid w:val="26774667"/>
    <w:rsid w:val="26782D8B"/>
    <w:rsid w:val="267B4ABE"/>
    <w:rsid w:val="26802413"/>
    <w:rsid w:val="26881B2A"/>
    <w:rsid w:val="268868C6"/>
    <w:rsid w:val="268A3AF3"/>
    <w:rsid w:val="26937070"/>
    <w:rsid w:val="26993BB7"/>
    <w:rsid w:val="269A068B"/>
    <w:rsid w:val="26A01315"/>
    <w:rsid w:val="26A30712"/>
    <w:rsid w:val="26A7372A"/>
    <w:rsid w:val="26AD1F5C"/>
    <w:rsid w:val="26AF70B6"/>
    <w:rsid w:val="26B0669F"/>
    <w:rsid w:val="26B172D2"/>
    <w:rsid w:val="26B25CB6"/>
    <w:rsid w:val="26C02C7C"/>
    <w:rsid w:val="26C22739"/>
    <w:rsid w:val="26C2719B"/>
    <w:rsid w:val="26C32B62"/>
    <w:rsid w:val="26C95C8A"/>
    <w:rsid w:val="26CD7731"/>
    <w:rsid w:val="26D37A9A"/>
    <w:rsid w:val="26D42FC1"/>
    <w:rsid w:val="26D751C9"/>
    <w:rsid w:val="26DD4469"/>
    <w:rsid w:val="26DD68A6"/>
    <w:rsid w:val="26DE174A"/>
    <w:rsid w:val="26DE799C"/>
    <w:rsid w:val="26E1252E"/>
    <w:rsid w:val="26E52AD8"/>
    <w:rsid w:val="26E72CF4"/>
    <w:rsid w:val="26E8614E"/>
    <w:rsid w:val="26EF1BA9"/>
    <w:rsid w:val="26F36771"/>
    <w:rsid w:val="26F6667B"/>
    <w:rsid w:val="26F75FB5"/>
    <w:rsid w:val="2702368A"/>
    <w:rsid w:val="27026F7D"/>
    <w:rsid w:val="270365B6"/>
    <w:rsid w:val="270D4219"/>
    <w:rsid w:val="27107C76"/>
    <w:rsid w:val="27182E78"/>
    <w:rsid w:val="271B0BF0"/>
    <w:rsid w:val="27201D62"/>
    <w:rsid w:val="272950BB"/>
    <w:rsid w:val="272C2E7E"/>
    <w:rsid w:val="2736379E"/>
    <w:rsid w:val="27364CD2"/>
    <w:rsid w:val="2738300C"/>
    <w:rsid w:val="2753038A"/>
    <w:rsid w:val="275E5EB1"/>
    <w:rsid w:val="2762425F"/>
    <w:rsid w:val="27645958"/>
    <w:rsid w:val="276A6AC7"/>
    <w:rsid w:val="276E51C4"/>
    <w:rsid w:val="277057A2"/>
    <w:rsid w:val="27734588"/>
    <w:rsid w:val="277463FD"/>
    <w:rsid w:val="277C5005"/>
    <w:rsid w:val="277C6476"/>
    <w:rsid w:val="277D0F63"/>
    <w:rsid w:val="277F117F"/>
    <w:rsid w:val="27811702"/>
    <w:rsid w:val="27871429"/>
    <w:rsid w:val="27894A00"/>
    <w:rsid w:val="278F0C96"/>
    <w:rsid w:val="27906EE8"/>
    <w:rsid w:val="2797250D"/>
    <w:rsid w:val="279F537D"/>
    <w:rsid w:val="279F712B"/>
    <w:rsid w:val="27A02EA3"/>
    <w:rsid w:val="27A50616"/>
    <w:rsid w:val="27A961FC"/>
    <w:rsid w:val="27B01338"/>
    <w:rsid w:val="27B349B0"/>
    <w:rsid w:val="27BA4E27"/>
    <w:rsid w:val="27BB69CA"/>
    <w:rsid w:val="27BC5F2F"/>
    <w:rsid w:val="27C052F3"/>
    <w:rsid w:val="27C528E9"/>
    <w:rsid w:val="27C83FC7"/>
    <w:rsid w:val="27CA2E76"/>
    <w:rsid w:val="27CA411A"/>
    <w:rsid w:val="27CB0C61"/>
    <w:rsid w:val="27CB36FC"/>
    <w:rsid w:val="27CB6172"/>
    <w:rsid w:val="27CB7F20"/>
    <w:rsid w:val="27CE64E0"/>
    <w:rsid w:val="27CF0D33"/>
    <w:rsid w:val="27D165A2"/>
    <w:rsid w:val="27D61381"/>
    <w:rsid w:val="27DA0163"/>
    <w:rsid w:val="27DA4607"/>
    <w:rsid w:val="27E15995"/>
    <w:rsid w:val="27E170DE"/>
    <w:rsid w:val="27E63962"/>
    <w:rsid w:val="27EC0339"/>
    <w:rsid w:val="27EC60E8"/>
    <w:rsid w:val="27ED066B"/>
    <w:rsid w:val="27F6220F"/>
    <w:rsid w:val="27F67CAD"/>
    <w:rsid w:val="27F8683B"/>
    <w:rsid w:val="27FC473B"/>
    <w:rsid w:val="27FC54C9"/>
    <w:rsid w:val="27FF5E1C"/>
    <w:rsid w:val="280A69B3"/>
    <w:rsid w:val="2815563F"/>
    <w:rsid w:val="28173165"/>
    <w:rsid w:val="28230735"/>
    <w:rsid w:val="28245882"/>
    <w:rsid w:val="282569DC"/>
    <w:rsid w:val="282910EA"/>
    <w:rsid w:val="28305FD5"/>
    <w:rsid w:val="28333D17"/>
    <w:rsid w:val="28341F69"/>
    <w:rsid w:val="283F06D6"/>
    <w:rsid w:val="28480BDC"/>
    <w:rsid w:val="28485A15"/>
    <w:rsid w:val="285056E3"/>
    <w:rsid w:val="28625A0D"/>
    <w:rsid w:val="286D40BC"/>
    <w:rsid w:val="286D547B"/>
    <w:rsid w:val="286E4893"/>
    <w:rsid w:val="287064F9"/>
    <w:rsid w:val="28711B50"/>
    <w:rsid w:val="28714E9D"/>
    <w:rsid w:val="2876140E"/>
    <w:rsid w:val="28803712"/>
    <w:rsid w:val="28836A4D"/>
    <w:rsid w:val="28844573"/>
    <w:rsid w:val="288A00A4"/>
    <w:rsid w:val="288A1B89"/>
    <w:rsid w:val="288D3427"/>
    <w:rsid w:val="289901CD"/>
    <w:rsid w:val="289A5B44"/>
    <w:rsid w:val="289A6CA9"/>
    <w:rsid w:val="289E0BEF"/>
    <w:rsid w:val="28A013AD"/>
    <w:rsid w:val="28A864B3"/>
    <w:rsid w:val="28AF7842"/>
    <w:rsid w:val="28B05368"/>
    <w:rsid w:val="28B90367"/>
    <w:rsid w:val="28BB5181"/>
    <w:rsid w:val="28C0181B"/>
    <w:rsid w:val="28C055AB"/>
    <w:rsid w:val="28C114CB"/>
    <w:rsid w:val="28C12636"/>
    <w:rsid w:val="28C22AF5"/>
    <w:rsid w:val="28C6024F"/>
    <w:rsid w:val="28C82DA7"/>
    <w:rsid w:val="28CB3F50"/>
    <w:rsid w:val="28D41F8A"/>
    <w:rsid w:val="28D51396"/>
    <w:rsid w:val="28DB23E5"/>
    <w:rsid w:val="28E3573D"/>
    <w:rsid w:val="28E84B02"/>
    <w:rsid w:val="28E8751C"/>
    <w:rsid w:val="28EA6ACC"/>
    <w:rsid w:val="28EF40E2"/>
    <w:rsid w:val="290319E9"/>
    <w:rsid w:val="29037624"/>
    <w:rsid w:val="29051210"/>
    <w:rsid w:val="2912392D"/>
    <w:rsid w:val="291C47AB"/>
    <w:rsid w:val="291D29FD"/>
    <w:rsid w:val="291E49C7"/>
    <w:rsid w:val="29206EB8"/>
    <w:rsid w:val="292C0E92"/>
    <w:rsid w:val="2936586D"/>
    <w:rsid w:val="293A128F"/>
    <w:rsid w:val="293A2302"/>
    <w:rsid w:val="293F0FBC"/>
    <w:rsid w:val="29405A28"/>
    <w:rsid w:val="29407343"/>
    <w:rsid w:val="29422464"/>
    <w:rsid w:val="294A756A"/>
    <w:rsid w:val="294E705B"/>
    <w:rsid w:val="295313EB"/>
    <w:rsid w:val="29595666"/>
    <w:rsid w:val="295C2DFA"/>
    <w:rsid w:val="295D54F0"/>
    <w:rsid w:val="295E6B72"/>
    <w:rsid w:val="296543A4"/>
    <w:rsid w:val="29657F00"/>
    <w:rsid w:val="2967011C"/>
    <w:rsid w:val="29672844"/>
    <w:rsid w:val="296D0D14"/>
    <w:rsid w:val="296D5007"/>
    <w:rsid w:val="296D7A74"/>
    <w:rsid w:val="29714AD8"/>
    <w:rsid w:val="297621BD"/>
    <w:rsid w:val="29802F8C"/>
    <w:rsid w:val="298078CA"/>
    <w:rsid w:val="29844510"/>
    <w:rsid w:val="2984482A"/>
    <w:rsid w:val="29874881"/>
    <w:rsid w:val="298760C9"/>
    <w:rsid w:val="298E79EF"/>
    <w:rsid w:val="29944736"/>
    <w:rsid w:val="2995461C"/>
    <w:rsid w:val="29961F06"/>
    <w:rsid w:val="29985B65"/>
    <w:rsid w:val="299A404E"/>
    <w:rsid w:val="299F78B6"/>
    <w:rsid w:val="29A273A6"/>
    <w:rsid w:val="29A749BD"/>
    <w:rsid w:val="29B30428"/>
    <w:rsid w:val="29B36EBE"/>
    <w:rsid w:val="29B669AE"/>
    <w:rsid w:val="29B81A52"/>
    <w:rsid w:val="29B9024C"/>
    <w:rsid w:val="29BD3630"/>
    <w:rsid w:val="29C3473D"/>
    <w:rsid w:val="29C9116F"/>
    <w:rsid w:val="29CA2459"/>
    <w:rsid w:val="29CA4207"/>
    <w:rsid w:val="29CB7425"/>
    <w:rsid w:val="29D07A70"/>
    <w:rsid w:val="29D3130E"/>
    <w:rsid w:val="29D54687"/>
    <w:rsid w:val="29E03A2B"/>
    <w:rsid w:val="29E325E0"/>
    <w:rsid w:val="29E41AEB"/>
    <w:rsid w:val="29EA6657"/>
    <w:rsid w:val="29EC6874"/>
    <w:rsid w:val="29EC73FD"/>
    <w:rsid w:val="29F3375E"/>
    <w:rsid w:val="29F90863"/>
    <w:rsid w:val="29FD0655"/>
    <w:rsid w:val="2A006588"/>
    <w:rsid w:val="2A025360"/>
    <w:rsid w:val="2A027E45"/>
    <w:rsid w:val="2A0A2888"/>
    <w:rsid w:val="2A0C2A72"/>
    <w:rsid w:val="2A0C4820"/>
    <w:rsid w:val="2A0D0CC4"/>
    <w:rsid w:val="2A1173FF"/>
    <w:rsid w:val="2A17569E"/>
    <w:rsid w:val="2A181D54"/>
    <w:rsid w:val="2A187669"/>
    <w:rsid w:val="2A21197B"/>
    <w:rsid w:val="2A2360AA"/>
    <w:rsid w:val="2A247DBB"/>
    <w:rsid w:val="2A3066F0"/>
    <w:rsid w:val="2A3224D8"/>
    <w:rsid w:val="2A32274B"/>
    <w:rsid w:val="2A355B25"/>
    <w:rsid w:val="2A3F154A"/>
    <w:rsid w:val="2A3F58D2"/>
    <w:rsid w:val="2A412F18"/>
    <w:rsid w:val="2A426494"/>
    <w:rsid w:val="2A447531"/>
    <w:rsid w:val="2A452503"/>
    <w:rsid w:val="2A466501"/>
    <w:rsid w:val="2A4D2E68"/>
    <w:rsid w:val="2A506E02"/>
    <w:rsid w:val="2A515973"/>
    <w:rsid w:val="2A544870"/>
    <w:rsid w:val="2A5F0DF4"/>
    <w:rsid w:val="2A680DF1"/>
    <w:rsid w:val="2A6E1037"/>
    <w:rsid w:val="2A750617"/>
    <w:rsid w:val="2A7D3A62"/>
    <w:rsid w:val="2A7E3970"/>
    <w:rsid w:val="2A810D6A"/>
    <w:rsid w:val="2A834AE2"/>
    <w:rsid w:val="2A870664"/>
    <w:rsid w:val="2A915D79"/>
    <w:rsid w:val="2A924C61"/>
    <w:rsid w:val="2A932698"/>
    <w:rsid w:val="2A97058D"/>
    <w:rsid w:val="2A9D438D"/>
    <w:rsid w:val="2A9E4611"/>
    <w:rsid w:val="2A9F38FB"/>
    <w:rsid w:val="2A9F6557"/>
    <w:rsid w:val="2AA42CAA"/>
    <w:rsid w:val="2AA70541"/>
    <w:rsid w:val="2AA915E9"/>
    <w:rsid w:val="2AAB1450"/>
    <w:rsid w:val="2AAB37E8"/>
    <w:rsid w:val="2AAB7338"/>
    <w:rsid w:val="2AAE79DD"/>
    <w:rsid w:val="2AB0164F"/>
    <w:rsid w:val="2AB27175"/>
    <w:rsid w:val="2ABA24CE"/>
    <w:rsid w:val="2AD06880"/>
    <w:rsid w:val="2AD92954"/>
    <w:rsid w:val="2ADC2444"/>
    <w:rsid w:val="2AE86C56"/>
    <w:rsid w:val="2B005BEA"/>
    <w:rsid w:val="2B03039C"/>
    <w:rsid w:val="2B035C23"/>
    <w:rsid w:val="2B0F0198"/>
    <w:rsid w:val="2B116592"/>
    <w:rsid w:val="2B16676D"/>
    <w:rsid w:val="2B186F94"/>
    <w:rsid w:val="2B1A4D1A"/>
    <w:rsid w:val="2B1B28D9"/>
    <w:rsid w:val="2B1E642A"/>
    <w:rsid w:val="2B20129D"/>
    <w:rsid w:val="2B231E21"/>
    <w:rsid w:val="2B257DBC"/>
    <w:rsid w:val="2B320BC0"/>
    <w:rsid w:val="2B3C1ADC"/>
    <w:rsid w:val="2B3D7387"/>
    <w:rsid w:val="2B3E7185"/>
    <w:rsid w:val="2B4F2C16"/>
    <w:rsid w:val="2B512E32"/>
    <w:rsid w:val="2B5244B4"/>
    <w:rsid w:val="2B5869C9"/>
    <w:rsid w:val="2B594282"/>
    <w:rsid w:val="2B632B65"/>
    <w:rsid w:val="2B64300E"/>
    <w:rsid w:val="2B6D0F5F"/>
    <w:rsid w:val="2B715282"/>
    <w:rsid w:val="2B724877"/>
    <w:rsid w:val="2B746B21"/>
    <w:rsid w:val="2B8801B3"/>
    <w:rsid w:val="2B920D55"/>
    <w:rsid w:val="2B923DD2"/>
    <w:rsid w:val="2B942D1F"/>
    <w:rsid w:val="2B960845"/>
    <w:rsid w:val="2B9A2341"/>
    <w:rsid w:val="2BA32F62"/>
    <w:rsid w:val="2BA50A88"/>
    <w:rsid w:val="2BA74404"/>
    <w:rsid w:val="2BA936A8"/>
    <w:rsid w:val="2BAA42F0"/>
    <w:rsid w:val="2BB34EE4"/>
    <w:rsid w:val="2BB46CFE"/>
    <w:rsid w:val="2BB86CB1"/>
    <w:rsid w:val="2BBB64FD"/>
    <w:rsid w:val="2BC144F7"/>
    <w:rsid w:val="2BC2788C"/>
    <w:rsid w:val="2BC3635A"/>
    <w:rsid w:val="2BC41856"/>
    <w:rsid w:val="2BC43604"/>
    <w:rsid w:val="2BC71AAA"/>
    <w:rsid w:val="2BC74EA2"/>
    <w:rsid w:val="2BCC7096"/>
    <w:rsid w:val="2BD220D6"/>
    <w:rsid w:val="2BD355F5"/>
    <w:rsid w:val="2BD414DD"/>
    <w:rsid w:val="2BD4296D"/>
    <w:rsid w:val="2BD74818"/>
    <w:rsid w:val="2BDC76D9"/>
    <w:rsid w:val="2BE05F64"/>
    <w:rsid w:val="2BE11407"/>
    <w:rsid w:val="2BE23A8A"/>
    <w:rsid w:val="2BEB3615"/>
    <w:rsid w:val="2BEF0CB6"/>
    <w:rsid w:val="2BF10171"/>
    <w:rsid w:val="2BF523C4"/>
    <w:rsid w:val="2BFD08C4"/>
    <w:rsid w:val="2BFF01D4"/>
    <w:rsid w:val="2C167BD8"/>
    <w:rsid w:val="2C2220D9"/>
    <w:rsid w:val="2C315A5A"/>
    <w:rsid w:val="2C347F55"/>
    <w:rsid w:val="2C3818FC"/>
    <w:rsid w:val="2C3F06C9"/>
    <w:rsid w:val="2C3F2B42"/>
    <w:rsid w:val="2C406BF4"/>
    <w:rsid w:val="2C4B1C25"/>
    <w:rsid w:val="2C4B2DF0"/>
    <w:rsid w:val="2C551528"/>
    <w:rsid w:val="2C55425C"/>
    <w:rsid w:val="2C566690"/>
    <w:rsid w:val="2C5A3803"/>
    <w:rsid w:val="2C5D5807"/>
    <w:rsid w:val="2C6D3C9C"/>
    <w:rsid w:val="2C766A33"/>
    <w:rsid w:val="2C7A1F15"/>
    <w:rsid w:val="2C7A413A"/>
    <w:rsid w:val="2C8221EC"/>
    <w:rsid w:val="2C866B0B"/>
    <w:rsid w:val="2C882884"/>
    <w:rsid w:val="2C8D1C48"/>
    <w:rsid w:val="2C911FBC"/>
    <w:rsid w:val="2C952D0F"/>
    <w:rsid w:val="2C9A6113"/>
    <w:rsid w:val="2C9C3242"/>
    <w:rsid w:val="2CA06BAE"/>
    <w:rsid w:val="2CA2761E"/>
    <w:rsid w:val="2CB0615A"/>
    <w:rsid w:val="2CB35427"/>
    <w:rsid w:val="2CB45C2B"/>
    <w:rsid w:val="2CC358D7"/>
    <w:rsid w:val="2CCD473A"/>
    <w:rsid w:val="2CD11238"/>
    <w:rsid w:val="2CD2219E"/>
    <w:rsid w:val="2CD31625"/>
    <w:rsid w:val="2CD952E7"/>
    <w:rsid w:val="2CE94728"/>
    <w:rsid w:val="2CEF3AF8"/>
    <w:rsid w:val="2CF47F19"/>
    <w:rsid w:val="2CF55A3F"/>
    <w:rsid w:val="2CF74F46"/>
    <w:rsid w:val="2CF96EAE"/>
    <w:rsid w:val="2CFA0383"/>
    <w:rsid w:val="2D031F0A"/>
    <w:rsid w:val="2D084189"/>
    <w:rsid w:val="2D0A3299"/>
    <w:rsid w:val="2D0B0DBF"/>
    <w:rsid w:val="2D0B6C44"/>
    <w:rsid w:val="2D0C5682"/>
    <w:rsid w:val="2D0D4B37"/>
    <w:rsid w:val="2D146319"/>
    <w:rsid w:val="2D1668CF"/>
    <w:rsid w:val="2D197980"/>
    <w:rsid w:val="2D1C4D7A"/>
    <w:rsid w:val="2D241E80"/>
    <w:rsid w:val="2D26209C"/>
    <w:rsid w:val="2D27711B"/>
    <w:rsid w:val="2D2A587C"/>
    <w:rsid w:val="2D2F2CFF"/>
    <w:rsid w:val="2D355E3C"/>
    <w:rsid w:val="2D3F12B8"/>
    <w:rsid w:val="2D4553C3"/>
    <w:rsid w:val="2D480265"/>
    <w:rsid w:val="2D4D438B"/>
    <w:rsid w:val="2D60001B"/>
    <w:rsid w:val="2D636E43"/>
    <w:rsid w:val="2D675A40"/>
    <w:rsid w:val="2D683990"/>
    <w:rsid w:val="2D6937A6"/>
    <w:rsid w:val="2D6B0926"/>
    <w:rsid w:val="2D6B1EBC"/>
    <w:rsid w:val="2D6E12D0"/>
    <w:rsid w:val="2D6E4118"/>
    <w:rsid w:val="2D706302"/>
    <w:rsid w:val="2D742C4B"/>
    <w:rsid w:val="2D755EB1"/>
    <w:rsid w:val="2D79127C"/>
    <w:rsid w:val="2D7D1DF3"/>
    <w:rsid w:val="2D7E7E55"/>
    <w:rsid w:val="2D7F2A1C"/>
    <w:rsid w:val="2D805468"/>
    <w:rsid w:val="2D8355C6"/>
    <w:rsid w:val="2D842B55"/>
    <w:rsid w:val="2D8437AD"/>
    <w:rsid w:val="2D86579F"/>
    <w:rsid w:val="2D872B3B"/>
    <w:rsid w:val="2D88240F"/>
    <w:rsid w:val="2D8B7A0C"/>
    <w:rsid w:val="2D937732"/>
    <w:rsid w:val="2D9B32A8"/>
    <w:rsid w:val="2D9E56F5"/>
    <w:rsid w:val="2DA52FC1"/>
    <w:rsid w:val="2DAA4A7C"/>
    <w:rsid w:val="2DB30528"/>
    <w:rsid w:val="2DB96A6D"/>
    <w:rsid w:val="2DBB2F77"/>
    <w:rsid w:val="2DBD3EFB"/>
    <w:rsid w:val="2DBE19E0"/>
    <w:rsid w:val="2DC110B7"/>
    <w:rsid w:val="2DC378EB"/>
    <w:rsid w:val="2DCA2C53"/>
    <w:rsid w:val="2DCB7B61"/>
    <w:rsid w:val="2DCC49F2"/>
    <w:rsid w:val="2DD029B5"/>
    <w:rsid w:val="2DD478E8"/>
    <w:rsid w:val="2DDC2D6D"/>
    <w:rsid w:val="2DEC68DA"/>
    <w:rsid w:val="2DF02AE0"/>
    <w:rsid w:val="2DFB789B"/>
    <w:rsid w:val="2DFC2367"/>
    <w:rsid w:val="2E0425E4"/>
    <w:rsid w:val="2E0B376C"/>
    <w:rsid w:val="2E123228"/>
    <w:rsid w:val="2E133665"/>
    <w:rsid w:val="2E195B5E"/>
    <w:rsid w:val="2E2465DC"/>
    <w:rsid w:val="2E2A0C95"/>
    <w:rsid w:val="2E345F77"/>
    <w:rsid w:val="2E3D144C"/>
    <w:rsid w:val="2E3F6426"/>
    <w:rsid w:val="2E4232BB"/>
    <w:rsid w:val="2E4323D2"/>
    <w:rsid w:val="2E4E18AB"/>
    <w:rsid w:val="2E4F0A34"/>
    <w:rsid w:val="2E507B3E"/>
    <w:rsid w:val="2E513226"/>
    <w:rsid w:val="2E59753B"/>
    <w:rsid w:val="2E5A0250"/>
    <w:rsid w:val="2E6432DE"/>
    <w:rsid w:val="2E667F96"/>
    <w:rsid w:val="2E6C2FEE"/>
    <w:rsid w:val="2E70537D"/>
    <w:rsid w:val="2E71161D"/>
    <w:rsid w:val="2E717347"/>
    <w:rsid w:val="2E772BB0"/>
    <w:rsid w:val="2E794F93"/>
    <w:rsid w:val="2E7D05C6"/>
    <w:rsid w:val="2E804392"/>
    <w:rsid w:val="2E8226AB"/>
    <w:rsid w:val="2E8B4C27"/>
    <w:rsid w:val="2E975000"/>
    <w:rsid w:val="2E9F2106"/>
    <w:rsid w:val="2EA414CB"/>
    <w:rsid w:val="2EA6182F"/>
    <w:rsid w:val="2EA80FBB"/>
    <w:rsid w:val="2EA8720D"/>
    <w:rsid w:val="2EA93C02"/>
    <w:rsid w:val="2EB072CC"/>
    <w:rsid w:val="2EB12F93"/>
    <w:rsid w:val="2EB909D8"/>
    <w:rsid w:val="2EBC267F"/>
    <w:rsid w:val="2EBD0591"/>
    <w:rsid w:val="2EBF00B3"/>
    <w:rsid w:val="2EC456C9"/>
    <w:rsid w:val="2ECF0032"/>
    <w:rsid w:val="2ED4702A"/>
    <w:rsid w:val="2ED7364E"/>
    <w:rsid w:val="2ED74AE9"/>
    <w:rsid w:val="2EDC1467"/>
    <w:rsid w:val="2EDC1656"/>
    <w:rsid w:val="2EDF0755"/>
    <w:rsid w:val="2EE26B1C"/>
    <w:rsid w:val="2EE43FBD"/>
    <w:rsid w:val="2EE6240B"/>
    <w:rsid w:val="2EEB534C"/>
    <w:rsid w:val="2EF54A21"/>
    <w:rsid w:val="2EF73D2C"/>
    <w:rsid w:val="2EF83000"/>
    <w:rsid w:val="2EF97A69"/>
    <w:rsid w:val="2EFE1143"/>
    <w:rsid w:val="2EFF4953"/>
    <w:rsid w:val="2EFF7082"/>
    <w:rsid w:val="2EFF793F"/>
    <w:rsid w:val="2F01691D"/>
    <w:rsid w:val="2F032695"/>
    <w:rsid w:val="2F130889"/>
    <w:rsid w:val="2F1F0748"/>
    <w:rsid w:val="2F2368B5"/>
    <w:rsid w:val="2F255896"/>
    <w:rsid w:val="2F285C58"/>
    <w:rsid w:val="2F300FB0"/>
    <w:rsid w:val="2F303006"/>
    <w:rsid w:val="2F34284F"/>
    <w:rsid w:val="2F395085"/>
    <w:rsid w:val="2F3A210B"/>
    <w:rsid w:val="2F3F643D"/>
    <w:rsid w:val="2F40308E"/>
    <w:rsid w:val="2F432A92"/>
    <w:rsid w:val="2F4A02C4"/>
    <w:rsid w:val="2F522CD5"/>
    <w:rsid w:val="2F586008"/>
    <w:rsid w:val="2F6157A7"/>
    <w:rsid w:val="2F6724CF"/>
    <w:rsid w:val="2F697F69"/>
    <w:rsid w:val="2F6B39AD"/>
    <w:rsid w:val="2F6C50DB"/>
    <w:rsid w:val="2F6E213C"/>
    <w:rsid w:val="2F7013AD"/>
    <w:rsid w:val="2F7075FF"/>
    <w:rsid w:val="2F722BE0"/>
    <w:rsid w:val="2F786B8B"/>
    <w:rsid w:val="2F7B0FD4"/>
    <w:rsid w:val="2F7D6131"/>
    <w:rsid w:val="2F880BDC"/>
    <w:rsid w:val="2F8A5853"/>
    <w:rsid w:val="2F990904"/>
    <w:rsid w:val="2F9A00CC"/>
    <w:rsid w:val="2F9B467C"/>
    <w:rsid w:val="2F9C6646"/>
    <w:rsid w:val="2F9F40F0"/>
    <w:rsid w:val="2FA06136"/>
    <w:rsid w:val="2FA10D67"/>
    <w:rsid w:val="2FA31782"/>
    <w:rsid w:val="2FAA48BF"/>
    <w:rsid w:val="2FAC6889"/>
    <w:rsid w:val="2FBC3E88"/>
    <w:rsid w:val="2FC87C4C"/>
    <w:rsid w:val="2FCB590C"/>
    <w:rsid w:val="2FCC0CD9"/>
    <w:rsid w:val="2FCD0BDE"/>
    <w:rsid w:val="2FCE2CA3"/>
    <w:rsid w:val="2FD065E6"/>
    <w:rsid w:val="2FD63906"/>
    <w:rsid w:val="2FD96870"/>
    <w:rsid w:val="2FDE0A0C"/>
    <w:rsid w:val="2FE04785"/>
    <w:rsid w:val="2FE06533"/>
    <w:rsid w:val="2FE3113A"/>
    <w:rsid w:val="2FE95B0A"/>
    <w:rsid w:val="2FF124EE"/>
    <w:rsid w:val="2FF47991"/>
    <w:rsid w:val="2FF63B4F"/>
    <w:rsid w:val="2FFC6C13"/>
    <w:rsid w:val="2FFE2E5D"/>
    <w:rsid w:val="30041638"/>
    <w:rsid w:val="300512D8"/>
    <w:rsid w:val="300A35B0"/>
    <w:rsid w:val="302063B0"/>
    <w:rsid w:val="302D7FD6"/>
    <w:rsid w:val="302E54F0"/>
    <w:rsid w:val="3036619F"/>
    <w:rsid w:val="3039582C"/>
    <w:rsid w:val="303B7C0D"/>
    <w:rsid w:val="303D3985"/>
    <w:rsid w:val="303E14AB"/>
    <w:rsid w:val="303F76FD"/>
    <w:rsid w:val="30413030"/>
    <w:rsid w:val="304271ED"/>
    <w:rsid w:val="30580BC9"/>
    <w:rsid w:val="3059427B"/>
    <w:rsid w:val="305C2FC6"/>
    <w:rsid w:val="305D500C"/>
    <w:rsid w:val="305F2FFB"/>
    <w:rsid w:val="306058C5"/>
    <w:rsid w:val="30631515"/>
    <w:rsid w:val="306453B6"/>
    <w:rsid w:val="30695770"/>
    <w:rsid w:val="307355F9"/>
    <w:rsid w:val="30753E90"/>
    <w:rsid w:val="30766E97"/>
    <w:rsid w:val="307C242D"/>
    <w:rsid w:val="307F3F9D"/>
    <w:rsid w:val="30801A0C"/>
    <w:rsid w:val="30890978"/>
    <w:rsid w:val="308B46F0"/>
    <w:rsid w:val="308C66BA"/>
    <w:rsid w:val="309644F8"/>
    <w:rsid w:val="309D61D2"/>
    <w:rsid w:val="30A026E0"/>
    <w:rsid w:val="30A25EDE"/>
    <w:rsid w:val="30A9726C"/>
    <w:rsid w:val="30B22B0F"/>
    <w:rsid w:val="30B34DB1"/>
    <w:rsid w:val="30B718E5"/>
    <w:rsid w:val="30C012E1"/>
    <w:rsid w:val="30C20DE2"/>
    <w:rsid w:val="30C37755"/>
    <w:rsid w:val="30CB2D3F"/>
    <w:rsid w:val="30D02C0F"/>
    <w:rsid w:val="30DB0A51"/>
    <w:rsid w:val="30DF4A3C"/>
    <w:rsid w:val="30E17496"/>
    <w:rsid w:val="30E402A4"/>
    <w:rsid w:val="30E43E01"/>
    <w:rsid w:val="30E91417"/>
    <w:rsid w:val="30ED7159"/>
    <w:rsid w:val="30ED79BA"/>
    <w:rsid w:val="30F10FED"/>
    <w:rsid w:val="30F30104"/>
    <w:rsid w:val="30FF50DE"/>
    <w:rsid w:val="310049FD"/>
    <w:rsid w:val="31091AB9"/>
    <w:rsid w:val="31101099"/>
    <w:rsid w:val="31114307"/>
    <w:rsid w:val="311470F2"/>
    <w:rsid w:val="311E2ED7"/>
    <w:rsid w:val="31215055"/>
    <w:rsid w:val="31280191"/>
    <w:rsid w:val="312863E3"/>
    <w:rsid w:val="31294B7E"/>
    <w:rsid w:val="312B176A"/>
    <w:rsid w:val="312D57A8"/>
    <w:rsid w:val="31375A5B"/>
    <w:rsid w:val="313E07C1"/>
    <w:rsid w:val="31402DA4"/>
    <w:rsid w:val="31453C03"/>
    <w:rsid w:val="31482D42"/>
    <w:rsid w:val="314A45AB"/>
    <w:rsid w:val="314B20D2"/>
    <w:rsid w:val="315148F7"/>
    <w:rsid w:val="31532E23"/>
    <w:rsid w:val="315619EE"/>
    <w:rsid w:val="31574153"/>
    <w:rsid w:val="315C449C"/>
    <w:rsid w:val="31644D19"/>
    <w:rsid w:val="316466C6"/>
    <w:rsid w:val="31751578"/>
    <w:rsid w:val="3179279B"/>
    <w:rsid w:val="317D360B"/>
    <w:rsid w:val="318E3088"/>
    <w:rsid w:val="31901E9C"/>
    <w:rsid w:val="31940792"/>
    <w:rsid w:val="319B6F8D"/>
    <w:rsid w:val="31A33CBC"/>
    <w:rsid w:val="31A61DD6"/>
    <w:rsid w:val="31AA6DF8"/>
    <w:rsid w:val="31AB2B70"/>
    <w:rsid w:val="31AE1873"/>
    <w:rsid w:val="31B82709"/>
    <w:rsid w:val="31BB0BC0"/>
    <w:rsid w:val="31BE5FE3"/>
    <w:rsid w:val="31C02740"/>
    <w:rsid w:val="31C0661C"/>
    <w:rsid w:val="31C14142"/>
    <w:rsid w:val="31C83EB2"/>
    <w:rsid w:val="31C872F8"/>
    <w:rsid w:val="31CF685F"/>
    <w:rsid w:val="31D05482"/>
    <w:rsid w:val="31D1502B"/>
    <w:rsid w:val="31D30B9E"/>
    <w:rsid w:val="31D8756B"/>
    <w:rsid w:val="31D976DD"/>
    <w:rsid w:val="31DA3958"/>
    <w:rsid w:val="31DF0A58"/>
    <w:rsid w:val="31E42C33"/>
    <w:rsid w:val="31EE68A5"/>
    <w:rsid w:val="31EF6F01"/>
    <w:rsid w:val="31F664E1"/>
    <w:rsid w:val="31F77B64"/>
    <w:rsid w:val="31F80B82"/>
    <w:rsid w:val="32035321"/>
    <w:rsid w:val="32087FC3"/>
    <w:rsid w:val="320B289A"/>
    <w:rsid w:val="320B2910"/>
    <w:rsid w:val="320F62E8"/>
    <w:rsid w:val="32140715"/>
    <w:rsid w:val="32144BB9"/>
    <w:rsid w:val="321921D0"/>
    <w:rsid w:val="321B63FB"/>
    <w:rsid w:val="321F3EBE"/>
    <w:rsid w:val="32204A65"/>
    <w:rsid w:val="32220EC5"/>
    <w:rsid w:val="32244DFC"/>
    <w:rsid w:val="322C509C"/>
    <w:rsid w:val="32316F1C"/>
    <w:rsid w:val="323A4CC3"/>
    <w:rsid w:val="323C1BAF"/>
    <w:rsid w:val="323D4FEB"/>
    <w:rsid w:val="323E39E4"/>
    <w:rsid w:val="32400B34"/>
    <w:rsid w:val="3241643E"/>
    <w:rsid w:val="324A2389"/>
    <w:rsid w:val="324D2459"/>
    <w:rsid w:val="324F3ED3"/>
    <w:rsid w:val="32512471"/>
    <w:rsid w:val="325154C6"/>
    <w:rsid w:val="32535D24"/>
    <w:rsid w:val="3265795A"/>
    <w:rsid w:val="32664ABA"/>
    <w:rsid w:val="326D0505"/>
    <w:rsid w:val="3273564B"/>
    <w:rsid w:val="327F0285"/>
    <w:rsid w:val="327F6CA0"/>
    <w:rsid w:val="32857CE4"/>
    <w:rsid w:val="3286409A"/>
    <w:rsid w:val="32897AE4"/>
    <w:rsid w:val="328E04C8"/>
    <w:rsid w:val="329055FB"/>
    <w:rsid w:val="32905708"/>
    <w:rsid w:val="32917FB8"/>
    <w:rsid w:val="32956EC4"/>
    <w:rsid w:val="3296737C"/>
    <w:rsid w:val="329A50BF"/>
    <w:rsid w:val="329E6876"/>
    <w:rsid w:val="32A35AD3"/>
    <w:rsid w:val="32A67A2B"/>
    <w:rsid w:val="32AB107A"/>
    <w:rsid w:val="32B74679"/>
    <w:rsid w:val="32BC3287"/>
    <w:rsid w:val="32C86FE3"/>
    <w:rsid w:val="32CB62C2"/>
    <w:rsid w:val="32CD0439"/>
    <w:rsid w:val="32CF7DD0"/>
    <w:rsid w:val="32D3412D"/>
    <w:rsid w:val="32D75F52"/>
    <w:rsid w:val="32DD31FD"/>
    <w:rsid w:val="32E12CEE"/>
    <w:rsid w:val="32E807C0"/>
    <w:rsid w:val="32EE0F67"/>
    <w:rsid w:val="32F347CF"/>
    <w:rsid w:val="32F742BF"/>
    <w:rsid w:val="32FD1952"/>
    <w:rsid w:val="32FF1F75"/>
    <w:rsid w:val="32FF3876"/>
    <w:rsid w:val="33016F58"/>
    <w:rsid w:val="3309758F"/>
    <w:rsid w:val="330B3EFF"/>
    <w:rsid w:val="330C0FF8"/>
    <w:rsid w:val="330C350E"/>
    <w:rsid w:val="330C6C9B"/>
    <w:rsid w:val="3310161C"/>
    <w:rsid w:val="331A77C2"/>
    <w:rsid w:val="331D1E52"/>
    <w:rsid w:val="331D7A9E"/>
    <w:rsid w:val="33284891"/>
    <w:rsid w:val="332C6426"/>
    <w:rsid w:val="3330157F"/>
    <w:rsid w:val="333015F2"/>
    <w:rsid w:val="33333A89"/>
    <w:rsid w:val="333742B3"/>
    <w:rsid w:val="33380434"/>
    <w:rsid w:val="333E6D47"/>
    <w:rsid w:val="33414383"/>
    <w:rsid w:val="33423532"/>
    <w:rsid w:val="33435756"/>
    <w:rsid w:val="334B6320"/>
    <w:rsid w:val="334E7C57"/>
    <w:rsid w:val="33525999"/>
    <w:rsid w:val="33550FE6"/>
    <w:rsid w:val="33572FB0"/>
    <w:rsid w:val="3361798A"/>
    <w:rsid w:val="336442B8"/>
    <w:rsid w:val="336D0FFA"/>
    <w:rsid w:val="337771AE"/>
    <w:rsid w:val="33784CD4"/>
    <w:rsid w:val="33865058"/>
    <w:rsid w:val="338B4A07"/>
    <w:rsid w:val="338D4C23"/>
    <w:rsid w:val="338E62A6"/>
    <w:rsid w:val="33993129"/>
    <w:rsid w:val="33A0249C"/>
    <w:rsid w:val="33AF4B9A"/>
    <w:rsid w:val="33B51A84"/>
    <w:rsid w:val="33B57CD6"/>
    <w:rsid w:val="33C43F6C"/>
    <w:rsid w:val="33C7011B"/>
    <w:rsid w:val="33C76CDC"/>
    <w:rsid w:val="33CB74FA"/>
    <w:rsid w:val="33D16FF0"/>
    <w:rsid w:val="33D26ADA"/>
    <w:rsid w:val="33D6196F"/>
    <w:rsid w:val="33D934D4"/>
    <w:rsid w:val="33DC34B5"/>
    <w:rsid w:val="33DE0FDB"/>
    <w:rsid w:val="33DE56E7"/>
    <w:rsid w:val="33E660E2"/>
    <w:rsid w:val="33E77129"/>
    <w:rsid w:val="33FE2F6A"/>
    <w:rsid w:val="34017DC6"/>
    <w:rsid w:val="340E07E5"/>
    <w:rsid w:val="34120C85"/>
    <w:rsid w:val="34235BF7"/>
    <w:rsid w:val="342F02AC"/>
    <w:rsid w:val="342F5CDB"/>
    <w:rsid w:val="343261D9"/>
    <w:rsid w:val="34347D82"/>
    <w:rsid w:val="34352622"/>
    <w:rsid w:val="3437693D"/>
    <w:rsid w:val="34382F9E"/>
    <w:rsid w:val="34480B4A"/>
    <w:rsid w:val="344F012B"/>
    <w:rsid w:val="344F04C2"/>
    <w:rsid w:val="345179FF"/>
    <w:rsid w:val="34525525"/>
    <w:rsid w:val="34640C62"/>
    <w:rsid w:val="34645984"/>
    <w:rsid w:val="346911EC"/>
    <w:rsid w:val="346A0AC1"/>
    <w:rsid w:val="346C1981"/>
    <w:rsid w:val="347E456C"/>
    <w:rsid w:val="34854D79"/>
    <w:rsid w:val="348B1D21"/>
    <w:rsid w:val="34963664"/>
    <w:rsid w:val="349744F2"/>
    <w:rsid w:val="349A13A6"/>
    <w:rsid w:val="349D4D61"/>
    <w:rsid w:val="34A165BD"/>
    <w:rsid w:val="34A8146D"/>
    <w:rsid w:val="34A841CD"/>
    <w:rsid w:val="34A915E9"/>
    <w:rsid w:val="34A9783B"/>
    <w:rsid w:val="34AE3693"/>
    <w:rsid w:val="34B02F5C"/>
    <w:rsid w:val="34B359E3"/>
    <w:rsid w:val="34B73989"/>
    <w:rsid w:val="34B8182C"/>
    <w:rsid w:val="34BC2275"/>
    <w:rsid w:val="34C06933"/>
    <w:rsid w:val="34C127B3"/>
    <w:rsid w:val="34C47A32"/>
    <w:rsid w:val="34C67823"/>
    <w:rsid w:val="34CD158B"/>
    <w:rsid w:val="34D128EE"/>
    <w:rsid w:val="34DA1D12"/>
    <w:rsid w:val="34E152F0"/>
    <w:rsid w:val="34E50618"/>
    <w:rsid w:val="34E52D2A"/>
    <w:rsid w:val="34E83EDF"/>
    <w:rsid w:val="34EC50F6"/>
    <w:rsid w:val="34ED7EF4"/>
    <w:rsid w:val="34EE7003"/>
    <w:rsid w:val="34F17BD2"/>
    <w:rsid w:val="34F31C6D"/>
    <w:rsid w:val="34F32864"/>
    <w:rsid w:val="34F76C00"/>
    <w:rsid w:val="34F9181E"/>
    <w:rsid w:val="34FD1F97"/>
    <w:rsid w:val="34FD7B87"/>
    <w:rsid w:val="34FF745B"/>
    <w:rsid w:val="35006496"/>
    <w:rsid w:val="35011425"/>
    <w:rsid w:val="35061BEB"/>
    <w:rsid w:val="350835B7"/>
    <w:rsid w:val="350B5E00"/>
    <w:rsid w:val="3511718E"/>
    <w:rsid w:val="35162618"/>
    <w:rsid w:val="351A26AD"/>
    <w:rsid w:val="351A5B50"/>
    <w:rsid w:val="351A6687"/>
    <w:rsid w:val="351C625F"/>
    <w:rsid w:val="35280B04"/>
    <w:rsid w:val="35284ED7"/>
    <w:rsid w:val="352B64A2"/>
    <w:rsid w:val="35302879"/>
    <w:rsid w:val="353273FC"/>
    <w:rsid w:val="35336A8F"/>
    <w:rsid w:val="35352E7D"/>
    <w:rsid w:val="3536285A"/>
    <w:rsid w:val="35414E83"/>
    <w:rsid w:val="3547587F"/>
    <w:rsid w:val="35497529"/>
    <w:rsid w:val="354B26A0"/>
    <w:rsid w:val="3550415A"/>
    <w:rsid w:val="3555351F"/>
    <w:rsid w:val="355C48AD"/>
    <w:rsid w:val="355D3F38"/>
    <w:rsid w:val="355F439E"/>
    <w:rsid w:val="3562499E"/>
    <w:rsid w:val="35660394"/>
    <w:rsid w:val="356653D8"/>
    <w:rsid w:val="356B2D42"/>
    <w:rsid w:val="356C7BB0"/>
    <w:rsid w:val="357716E7"/>
    <w:rsid w:val="35775243"/>
    <w:rsid w:val="35777939"/>
    <w:rsid w:val="35797DA0"/>
    <w:rsid w:val="357A2F85"/>
    <w:rsid w:val="357A3318"/>
    <w:rsid w:val="357E0CC8"/>
    <w:rsid w:val="357F234A"/>
    <w:rsid w:val="3583008C"/>
    <w:rsid w:val="358362DE"/>
    <w:rsid w:val="35841462"/>
    <w:rsid w:val="358418FF"/>
    <w:rsid w:val="3586192A"/>
    <w:rsid w:val="358B5193"/>
    <w:rsid w:val="358C5FA8"/>
    <w:rsid w:val="359C73A0"/>
    <w:rsid w:val="359E4828"/>
    <w:rsid w:val="35A91D73"/>
    <w:rsid w:val="35AD5109"/>
    <w:rsid w:val="35B263A1"/>
    <w:rsid w:val="35B46497"/>
    <w:rsid w:val="35B6666C"/>
    <w:rsid w:val="35BC359E"/>
    <w:rsid w:val="35BE79BB"/>
    <w:rsid w:val="35C10BB4"/>
    <w:rsid w:val="35C15DF1"/>
    <w:rsid w:val="35C80195"/>
    <w:rsid w:val="35C975B9"/>
    <w:rsid w:val="35CA46A7"/>
    <w:rsid w:val="35CC0677"/>
    <w:rsid w:val="35CD1307"/>
    <w:rsid w:val="35CD57AB"/>
    <w:rsid w:val="35CE6E2D"/>
    <w:rsid w:val="35D46B3A"/>
    <w:rsid w:val="35D54660"/>
    <w:rsid w:val="35D5682F"/>
    <w:rsid w:val="35DA584C"/>
    <w:rsid w:val="35DC279E"/>
    <w:rsid w:val="35DE3514"/>
    <w:rsid w:val="35EA13B3"/>
    <w:rsid w:val="35EA1EB9"/>
    <w:rsid w:val="35ED7BFB"/>
    <w:rsid w:val="35EF5721"/>
    <w:rsid w:val="35F25212"/>
    <w:rsid w:val="35F57E0B"/>
    <w:rsid w:val="35F81A92"/>
    <w:rsid w:val="35FC1BEC"/>
    <w:rsid w:val="360311CD"/>
    <w:rsid w:val="36074A7F"/>
    <w:rsid w:val="36074B6F"/>
    <w:rsid w:val="36121410"/>
    <w:rsid w:val="36131B0B"/>
    <w:rsid w:val="3614411B"/>
    <w:rsid w:val="36154A5C"/>
    <w:rsid w:val="361A4A58"/>
    <w:rsid w:val="36280C33"/>
    <w:rsid w:val="362A5FE2"/>
    <w:rsid w:val="36356EAC"/>
    <w:rsid w:val="363650FE"/>
    <w:rsid w:val="363C023B"/>
    <w:rsid w:val="363D4742"/>
    <w:rsid w:val="36405F1E"/>
    <w:rsid w:val="36462E68"/>
    <w:rsid w:val="3647517A"/>
    <w:rsid w:val="36484E32"/>
    <w:rsid w:val="364A4237"/>
    <w:rsid w:val="364A6DFC"/>
    <w:rsid w:val="36520DD3"/>
    <w:rsid w:val="36523A27"/>
    <w:rsid w:val="36577C54"/>
    <w:rsid w:val="365B2DB7"/>
    <w:rsid w:val="366F0610"/>
    <w:rsid w:val="367529DA"/>
    <w:rsid w:val="367914A0"/>
    <w:rsid w:val="36794FEB"/>
    <w:rsid w:val="367C137F"/>
    <w:rsid w:val="368C4D1E"/>
    <w:rsid w:val="368D02E5"/>
    <w:rsid w:val="368E0642"/>
    <w:rsid w:val="36910587"/>
    <w:rsid w:val="36923549"/>
    <w:rsid w:val="36962041"/>
    <w:rsid w:val="36963DEF"/>
    <w:rsid w:val="36B57D03"/>
    <w:rsid w:val="36B75FBF"/>
    <w:rsid w:val="36BA433B"/>
    <w:rsid w:val="36BD0C45"/>
    <w:rsid w:val="36C22631"/>
    <w:rsid w:val="36C3068E"/>
    <w:rsid w:val="36CD0C7C"/>
    <w:rsid w:val="36D13079"/>
    <w:rsid w:val="36D26D1E"/>
    <w:rsid w:val="36D668E1"/>
    <w:rsid w:val="36E27034"/>
    <w:rsid w:val="36E83F1F"/>
    <w:rsid w:val="36F4364C"/>
    <w:rsid w:val="36F9749B"/>
    <w:rsid w:val="36FA4E0F"/>
    <w:rsid w:val="36FF7BE6"/>
    <w:rsid w:val="37031712"/>
    <w:rsid w:val="37040D59"/>
    <w:rsid w:val="370945C1"/>
    <w:rsid w:val="370D0427"/>
    <w:rsid w:val="370F16D6"/>
    <w:rsid w:val="37130057"/>
    <w:rsid w:val="3713451D"/>
    <w:rsid w:val="37162EF3"/>
    <w:rsid w:val="371B2546"/>
    <w:rsid w:val="371C7816"/>
    <w:rsid w:val="371F7D04"/>
    <w:rsid w:val="37210568"/>
    <w:rsid w:val="37242211"/>
    <w:rsid w:val="372431A9"/>
    <w:rsid w:val="37265173"/>
    <w:rsid w:val="372D7FF2"/>
    <w:rsid w:val="373D070E"/>
    <w:rsid w:val="373D3165"/>
    <w:rsid w:val="374750E9"/>
    <w:rsid w:val="374B2E2B"/>
    <w:rsid w:val="374D7016"/>
    <w:rsid w:val="375515B4"/>
    <w:rsid w:val="37596BE7"/>
    <w:rsid w:val="375B2943"/>
    <w:rsid w:val="37611701"/>
    <w:rsid w:val="376173AC"/>
    <w:rsid w:val="37620175"/>
    <w:rsid w:val="37634349"/>
    <w:rsid w:val="376D0D73"/>
    <w:rsid w:val="3774188A"/>
    <w:rsid w:val="37814BF8"/>
    <w:rsid w:val="378241E9"/>
    <w:rsid w:val="37863E63"/>
    <w:rsid w:val="378A6E0D"/>
    <w:rsid w:val="37910ACC"/>
    <w:rsid w:val="379272E6"/>
    <w:rsid w:val="37950385"/>
    <w:rsid w:val="37971BCD"/>
    <w:rsid w:val="37991DE9"/>
    <w:rsid w:val="379C0B45"/>
    <w:rsid w:val="37A02291"/>
    <w:rsid w:val="37A66995"/>
    <w:rsid w:val="37A8202C"/>
    <w:rsid w:val="37A94BA2"/>
    <w:rsid w:val="37AD1E60"/>
    <w:rsid w:val="37B6264F"/>
    <w:rsid w:val="37BB326A"/>
    <w:rsid w:val="37C4498C"/>
    <w:rsid w:val="37C7616F"/>
    <w:rsid w:val="37C869EA"/>
    <w:rsid w:val="37D13BC6"/>
    <w:rsid w:val="37D20015"/>
    <w:rsid w:val="37D344AD"/>
    <w:rsid w:val="37D70BC3"/>
    <w:rsid w:val="37D72911"/>
    <w:rsid w:val="37D83F93"/>
    <w:rsid w:val="37D96F9C"/>
    <w:rsid w:val="37DA5909"/>
    <w:rsid w:val="37DD32E2"/>
    <w:rsid w:val="37E00298"/>
    <w:rsid w:val="37E1109A"/>
    <w:rsid w:val="37E1553E"/>
    <w:rsid w:val="37E2174F"/>
    <w:rsid w:val="37E56DDC"/>
    <w:rsid w:val="37E80261"/>
    <w:rsid w:val="37EB3CC7"/>
    <w:rsid w:val="37EE37B7"/>
    <w:rsid w:val="37F20084"/>
    <w:rsid w:val="37F33DCA"/>
    <w:rsid w:val="38005022"/>
    <w:rsid w:val="38013777"/>
    <w:rsid w:val="38022469"/>
    <w:rsid w:val="380234E6"/>
    <w:rsid w:val="380413BF"/>
    <w:rsid w:val="38087231"/>
    <w:rsid w:val="380D0444"/>
    <w:rsid w:val="38187C25"/>
    <w:rsid w:val="382362EA"/>
    <w:rsid w:val="38273AE0"/>
    <w:rsid w:val="3828047D"/>
    <w:rsid w:val="382B2F5D"/>
    <w:rsid w:val="382D3204"/>
    <w:rsid w:val="382F26B3"/>
    <w:rsid w:val="383A5E3D"/>
    <w:rsid w:val="383E473E"/>
    <w:rsid w:val="38415FDC"/>
    <w:rsid w:val="38417D8A"/>
    <w:rsid w:val="38430930"/>
    <w:rsid w:val="38507965"/>
    <w:rsid w:val="3851621F"/>
    <w:rsid w:val="38561A88"/>
    <w:rsid w:val="38575800"/>
    <w:rsid w:val="386121DB"/>
    <w:rsid w:val="3863358F"/>
    <w:rsid w:val="3864073E"/>
    <w:rsid w:val="386B727B"/>
    <w:rsid w:val="386D0B7F"/>
    <w:rsid w:val="387328C9"/>
    <w:rsid w:val="387719FE"/>
    <w:rsid w:val="387800A4"/>
    <w:rsid w:val="38795776"/>
    <w:rsid w:val="387D27B9"/>
    <w:rsid w:val="38822931"/>
    <w:rsid w:val="388B64BB"/>
    <w:rsid w:val="388D2FD0"/>
    <w:rsid w:val="388F0AF6"/>
    <w:rsid w:val="389142C7"/>
    <w:rsid w:val="389205E6"/>
    <w:rsid w:val="38966296"/>
    <w:rsid w:val="389A1363"/>
    <w:rsid w:val="389B1F7E"/>
    <w:rsid w:val="389E09C9"/>
    <w:rsid w:val="38AC16A8"/>
    <w:rsid w:val="38B16CBE"/>
    <w:rsid w:val="38B302F9"/>
    <w:rsid w:val="38B36EDA"/>
    <w:rsid w:val="38B77CE5"/>
    <w:rsid w:val="38B95B73"/>
    <w:rsid w:val="38BC0459"/>
    <w:rsid w:val="38BD198E"/>
    <w:rsid w:val="38BE091C"/>
    <w:rsid w:val="38BE13DB"/>
    <w:rsid w:val="38C24E46"/>
    <w:rsid w:val="38C8225A"/>
    <w:rsid w:val="38C92167"/>
    <w:rsid w:val="38C9319D"/>
    <w:rsid w:val="38CA1425"/>
    <w:rsid w:val="38CA4224"/>
    <w:rsid w:val="38CF14E1"/>
    <w:rsid w:val="38CF183A"/>
    <w:rsid w:val="38D37892"/>
    <w:rsid w:val="38D91725"/>
    <w:rsid w:val="38E51487"/>
    <w:rsid w:val="38E65DD9"/>
    <w:rsid w:val="38EC7CF6"/>
    <w:rsid w:val="38F12CD3"/>
    <w:rsid w:val="38F142C0"/>
    <w:rsid w:val="38F17A02"/>
    <w:rsid w:val="38F244C5"/>
    <w:rsid w:val="38F31085"/>
    <w:rsid w:val="38F372D7"/>
    <w:rsid w:val="38F375F3"/>
    <w:rsid w:val="38F80D91"/>
    <w:rsid w:val="38F94775"/>
    <w:rsid w:val="38FC0F83"/>
    <w:rsid w:val="38FD1F03"/>
    <w:rsid w:val="39101DFC"/>
    <w:rsid w:val="39111E53"/>
    <w:rsid w:val="39162FC5"/>
    <w:rsid w:val="391B682D"/>
    <w:rsid w:val="391F7852"/>
    <w:rsid w:val="39203E44"/>
    <w:rsid w:val="392971ED"/>
    <w:rsid w:val="392A2FD2"/>
    <w:rsid w:val="392C29C6"/>
    <w:rsid w:val="392E47B3"/>
    <w:rsid w:val="3930052B"/>
    <w:rsid w:val="39325651"/>
    <w:rsid w:val="39333B77"/>
    <w:rsid w:val="39375D39"/>
    <w:rsid w:val="39395293"/>
    <w:rsid w:val="39396CB4"/>
    <w:rsid w:val="393D0552"/>
    <w:rsid w:val="39405540"/>
    <w:rsid w:val="39407539"/>
    <w:rsid w:val="39413A79"/>
    <w:rsid w:val="394C2E8B"/>
    <w:rsid w:val="39504729"/>
    <w:rsid w:val="3954364C"/>
    <w:rsid w:val="3956042C"/>
    <w:rsid w:val="3962620A"/>
    <w:rsid w:val="39676327"/>
    <w:rsid w:val="39680F50"/>
    <w:rsid w:val="396E3AC2"/>
    <w:rsid w:val="396E4BAF"/>
    <w:rsid w:val="39700E21"/>
    <w:rsid w:val="397612EC"/>
    <w:rsid w:val="397A79F8"/>
    <w:rsid w:val="397C551E"/>
    <w:rsid w:val="3986495F"/>
    <w:rsid w:val="398E34A3"/>
    <w:rsid w:val="39916D64"/>
    <w:rsid w:val="399D7242"/>
    <w:rsid w:val="39A405D1"/>
    <w:rsid w:val="39AD1BA6"/>
    <w:rsid w:val="39B36C56"/>
    <w:rsid w:val="39B3709D"/>
    <w:rsid w:val="39B60304"/>
    <w:rsid w:val="39BA6046"/>
    <w:rsid w:val="39BB7972"/>
    <w:rsid w:val="39CB2002"/>
    <w:rsid w:val="39CB3DB0"/>
    <w:rsid w:val="39D07618"/>
    <w:rsid w:val="39D61F9D"/>
    <w:rsid w:val="39D776C2"/>
    <w:rsid w:val="39D80764"/>
    <w:rsid w:val="39DB7B85"/>
    <w:rsid w:val="39DF133D"/>
    <w:rsid w:val="39DF3CFF"/>
    <w:rsid w:val="39E35864"/>
    <w:rsid w:val="39E85508"/>
    <w:rsid w:val="39EC2F80"/>
    <w:rsid w:val="39EE64DB"/>
    <w:rsid w:val="39F72DF7"/>
    <w:rsid w:val="39FE4185"/>
    <w:rsid w:val="39FF1CAB"/>
    <w:rsid w:val="39FF7EFD"/>
    <w:rsid w:val="3A096AFB"/>
    <w:rsid w:val="3A0A7CB4"/>
    <w:rsid w:val="3A123FB6"/>
    <w:rsid w:val="3A1A0893"/>
    <w:rsid w:val="3A2160C5"/>
    <w:rsid w:val="3A267DA8"/>
    <w:rsid w:val="3A2B0CF2"/>
    <w:rsid w:val="3A2F2590"/>
    <w:rsid w:val="3A2F518E"/>
    <w:rsid w:val="3A3C2EFF"/>
    <w:rsid w:val="3A3E2F27"/>
    <w:rsid w:val="3A43603C"/>
    <w:rsid w:val="3A464844"/>
    <w:rsid w:val="3A467FF1"/>
    <w:rsid w:val="3A4C15CA"/>
    <w:rsid w:val="3A4F1AB9"/>
    <w:rsid w:val="3A507036"/>
    <w:rsid w:val="3A524858"/>
    <w:rsid w:val="3A533F40"/>
    <w:rsid w:val="3A6F6E31"/>
    <w:rsid w:val="3A7C32FC"/>
    <w:rsid w:val="3A80292E"/>
    <w:rsid w:val="3A872856"/>
    <w:rsid w:val="3A8B353F"/>
    <w:rsid w:val="3A8D72B7"/>
    <w:rsid w:val="3A9458DE"/>
    <w:rsid w:val="3A96260F"/>
    <w:rsid w:val="3A975DF9"/>
    <w:rsid w:val="3A9E3272"/>
    <w:rsid w:val="3AA0503A"/>
    <w:rsid w:val="3AA20FB4"/>
    <w:rsid w:val="3AA24006"/>
    <w:rsid w:val="3AA33AB5"/>
    <w:rsid w:val="3AA83D03"/>
    <w:rsid w:val="3AB577B2"/>
    <w:rsid w:val="3AB900AC"/>
    <w:rsid w:val="3ABB2076"/>
    <w:rsid w:val="3ABB3E24"/>
    <w:rsid w:val="3AC151B3"/>
    <w:rsid w:val="3AC3717D"/>
    <w:rsid w:val="3AC54CA3"/>
    <w:rsid w:val="3AD60C5E"/>
    <w:rsid w:val="3ADD6E62"/>
    <w:rsid w:val="3AE22668"/>
    <w:rsid w:val="3AE5322D"/>
    <w:rsid w:val="3AE570F3"/>
    <w:rsid w:val="3AE96BE3"/>
    <w:rsid w:val="3AEA4709"/>
    <w:rsid w:val="3AEB7108"/>
    <w:rsid w:val="3AF10756"/>
    <w:rsid w:val="3AF47336"/>
    <w:rsid w:val="3AF84CC0"/>
    <w:rsid w:val="3AFE1F63"/>
    <w:rsid w:val="3B027CA5"/>
    <w:rsid w:val="3B037579"/>
    <w:rsid w:val="3B0449E1"/>
    <w:rsid w:val="3B051B7D"/>
    <w:rsid w:val="3B084B8F"/>
    <w:rsid w:val="3B091033"/>
    <w:rsid w:val="3B1663F2"/>
    <w:rsid w:val="3B166E68"/>
    <w:rsid w:val="3B190B4B"/>
    <w:rsid w:val="3B220A43"/>
    <w:rsid w:val="3B27171D"/>
    <w:rsid w:val="3B273268"/>
    <w:rsid w:val="3B293484"/>
    <w:rsid w:val="3B2A2D58"/>
    <w:rsid w:val="3B2C087E"/>
    <w:rsid w:val="3B362B15"/>
    <w:rsid w:val="3B3763D1"/>
    <w:rsid w:val="3B3812C8"/>
    <w:rsid w:val="3B3A078A"/>
    <w:rsid w:val="3B3F32BB"/>
    <w:rsid w:val="3B3F4A55"/>
    <w:rsid w:val="3B4200A1"/>
    <w:rsid w:val="3B4756B8"/>
    <w:rsid w:val="3B4958D4"/>
    <w:rsid w:val="3B4F19D5"/>
    <w:rsid w:val="3B57144D"/>
    <w:rsid w:val="3B573045"/>
    <w:rsid w:val="3B633E12"/>
    <w:rsid w:val="3B716BD9"/>
    <w:rsid w:val="3B7B4F7B"/>
    <w:rsid w:val="3B893F22"/>
    <w:rsid w:val="3B8E32E7"/>
    <w:rsid w:val="3B936ECA"/>
    <w:rsid w:val="3B954675"/>
    <w:rsid w:val="3B9652DE"/>
    <w:rsid w:val="3B98214E"/>
    <w:rsid w:val="3B9B6A03"/>
    <w:rsid w:val="3B9D79CE"/>
    <w:rsid w:val="3B9F54F4"/>
    <w:rsid w:val="3BA23236"/>
    <w:rsid w:val="3BA6165B"/>
    <w:rsid w:val="3BA64AD4"/>
    <w:rsid w:val="3BAC5E63"/>
    <w:rsid w:val="3BB0325D"/>
    <w:rsid w:val="3BB07701"/>
    <w:rsid w:val="3BB07762"/>
    <w:rsid w:val="3BB52F69"/>
    <w:rsid w:val="3BB54A60"/>
    <w:rsid w:val="3BB96A86"/>
    <w:rsid w:val="3BBC42F8"/>
    <w:rsid w:val="3BBC60A6"/>
    <w:rsid w:val="3BC66F24"/>
    <w:rsid w:val="3BC75D9D"/>
    <w:rsid w:val="3BC9680D"/>
    <w:rsid w:val="3BD94C62"/>
    <w:rsid w:val="3BDB619B"/>
    <w:rsid w:val="3BE15B0C"/>
    <w:rsid w:val="3BE23632"/>
    <w:rsid w:val="3BE56A31"/>
    <w:rsid w:val="3BE62D0E"/>
    <w:rsid w:val="3BE76F29"/>
    <w:rsid w:val="3BF21AC7"/>
    <w:rsid w:val="3BF221EF"/>
    <w:rsid w:val="3BF377E9"/>
    <w:rsid w:val="3BFC46F4"/>
    <w:rsid w:val="3BFD046C"/>
    <w:rsid w:val="3C0B0DDB"/>
    <w:rsid w:val="3C0B59C6"/>
    <w:rsid w:val="3C1321A5"/>
    <w:rsid w:val="3C1E5153"/>
    <w:rsid w:val="3C202B7C"/>
    <w:rsid w:val="3C2123AD"/>
    <w:rsid w:val="3C257806"/>
    <w:rsid w:val="3C293F6F"/>
    <w:rsid w:val="3C2F6E1E"/>
    <w:rsid w:val="3C300842"/>
    <w:rsid w:val="3C3420E0"/>
    <w:rsid w:val="3C366A87"/>
    <w:rsid w:val="3C370A88"/>
    <w:rsid w:val="3C413397"/>
    <w:rsid w:val="3C4542ED"/>
    <w:rsid w:val="3C4937DA"/>
    <w:rsid w:val="3C4B7F1D"/>
    <w:rsid w:val="3C4F10AF"/>
    <w:rsid w:val="3C4F64BA"/>
    <w:rsid w:val="3C526F10"/>
    <w:rsid w:val="3C5344AD"/>
    <w:rsid w:val="3C5526D7"/>
    <w:rsid w:val="3C5C1637"/>
    <w:rsid w:val="3C5E715D"/>
    <w:rsid w:val="3C6F4AD6"/>
    <w:rsid w:val="3C706E90"/>
    <w:rsid w:val="3C771D3C"/>
    <w:rsid w:val="3C7B5B5E"/>
    <w:rsid w:val="3C7C5835"/>
    <w:rsid w:val="3C7D4FFA"/>
    <w:rsid w:val="3C7E77FF"/>
    <w:rsid w:val="3C832524"/>
    <w:rsid w:val="3C8B3CCA"/>
    <w:rsid w:val="3C8E79DF"/>
    <w:rsid w:val="3C925059"/>
    <w:rsid w:val="3C93000D"/>
    <w:rsid w:val="3C9943C8"/>
    <w:rsid w:val="3CA803D8"/>
    <w:rsid w:val="3CAA23A2"/>
    <w:rsid w:val="3CB17EE6"/>
    <w:rsid w:val="3CB44FCF"/>
    <w:rsid w:val="3CBA2232"/>
    <w:rsid w:val="3CBB45AF"/>
    <w:rsid w:val="3CBE016E"/>
    <w:rsid w:val="3CC1149A"/>
    <w:rsid w:val="3CC35212"/>
    <w:rsid w:val="3CC855A0"/>
    <w:rsid w:val="3CD029E3"/>
    <w:rsid w:val="3CD76F0F"/>
    <w:rsid w:val="3CDA245A"/>
    <w:rsid w:val="3CE31410"/>
    <w:rsid w:val="3CF0088C"/>
    <w:rsid w:val="3CF278A5"/>
    <w:rsid w:val="3CF81052"/>
    <w:rsid w:val="3CF962AB"/>
    <w:rsid w:val="3CFC3141"/>
    <w:rsid w:val="3D011E26"/>
    <w:rsid w:val="3D0137C6"/>
    <w:rsid w:val="3D031AB2"/>
    <w:rsid w:val="3D0A1093"/>
    <w:rsid w:val="3D0E59F4"/>
    <w:rsid w:val="3D0F737F"/>
    <w:rsid w:val="3D121CF5"/>
    <w:rsid w:val="3D123BCB"/>
    <w:rsid w:val="3D191E32"/>
    <w:rsid w:val="3D1E06B7"/>
    <w:rsid w:val="3D1E257B"/>
    <w:rsid w:val="3D1E68EC"/>
    <w:rsid w:val="3D1F7CE1"/>
    <w:rsid w:val="3D203927"/>
    <w:rsid w:val="3D204412"/>
    <w:rsid w:val="3D225E7D"/>
    <w:rsid w:val="3D25186F"/>
    <w:rsid w:val="3D271C45"/>
    <w:rsid w:val="3D286406"/>
    <w:rsid w:val="3D2C2DB7"/>
    <w:rsid w:val="3D2E3046"/>
    <w:rsid w:val="3D2E3DBF"/>
    <w:rsid w:val="3D3478E0"/>
    <w:rsid w:val="3D3507B9"/>
    <w:rsid w:val="3D3879AE"/>
    <w:rsid w:val="3D3B749E"/>
    <w:rsid w:val="3D3C1B2E"/>
    <w:rsid w:val="3D415C93"/>
    <w:rsid w:val="3D427D5D"/>
    <w:rsid w:val="3D452ED7"/>
    <w:rsid w:val="3D4C4A76"/>
    <w:rsid w:val="3D4D5B5D"/>
    <w:rsid w:val="3D4E5423"/>
    <w:rsid w:val="3D4E79D0"/>
    <w:rsid w:val="3D574181"/>
    <w:rsid w:val="3D5C3985"/>
    <w:rsid w:val="3D605AF2"/>
    <w:rsid w:val="3D695DB9"/>
    <w:rsid w:val="3D6E33D0"/>
    <w:rsid w:val="3D74650C"/>
    <w:rsid w:val="3D7606D4"/>
    <w:rsid w:val="3D7B4A66"/>
    <w:rsid w:val="3D8D1617"/>
    <w:rsid w:val="3D8D609A"/>
    <w:rsid w:val="3D9372DA"/>
    <w:rsid w:val="3D9425AC"/>
    <w:rsid w:val="3D974EEA"/>
    <w:rsid w:val="3D9A2417"/>
    <w:rsid w:val="3D9A7546"/>
    <w:rsid w:val="3D9C11F7"/>
    <w:rsid w:val="3D9D1F07"/>
    <w:rsid w:val="3DA037A5"/>
    <w:rsid w:val="3DA07301"/>
    <w:rsid w:val="3DAB63D2"/>
    <w:rsid w:val="3DB039E8"/>
    <w:rsid w:val="3DB159B2"/>
    <w:rsid w:val="3DB9425A"/>
    <w:rsid w:val="3DBB238D"/>
    <w:rsid w:val="3DBB771F"/>
    <w:rsid w:val="3DBF1E7D"/>
    <w:rsid w:val="3DBF668A"/>
    <w:rsid w:val="3DCD3FB6"/>
    <w:rsid w:val="3DCD678F"/>
    <w:rsid w:val="3DCE3E6E"/>
    <w:rsid w:val="3DD516A1"/>
    <w:rsid w:val="3DDE0603"/>
    <w:rsid w:val="3DE546C0"/>
    <w:rsid w:val="3DE6740A"/>
    <w:rsid w:val="3DE95753"/>
    <w:rsid w:val="3DE95C9F"/>
    <w:rsid w:val="3DEB6956"/>
    <w:rsid w:val="3DEC2EB6"/>
    <w:rsid w:val="3DEC562A"/>
    <w:rsid w:val="3DF25DB9"/>
    <w:rsid w:val="3DF820F2"/>
    <w:rsid w:val="3DF93DE0"/>
    <w:rsid w:val="3DF96E3A"/>
    <w:rsid w:val="3DFE25E4"/>
    <w:rsid w:val="3DFF102B"/>
    <w:rsid w:val="3E01686C"/>
    <w:rsid w:val="3E0344B3"/>
    <w:rsid w:val="3E0556A4"/>
    <w:rsid w:val="3E104487"/>
    <w:rsid w:val="3E121833"/>
    <w:rsid w:val="3E1321C9"/>
    <w:rsid w:val="3E156429"/>
    <w:rsid w:val="3E157254"/>
    <w:rsid w:val="3E157CEF"/>
    <w:rsid w:val="3E18333B"/>
    <w:rsid w:val="3E1A70B4"/>
    <w:rsid w:val="3E1C107E"/>
    <w:rsid w:val="3E26540F"/>
    <w:rsid w:val="3E285C74"/>
    <w:rsid w:val="3E292D54"/>
    <w:rsid w:val="3E29379B"/>
    <w:rsid w:val="3E2C2EB4"/>
    <w:rsid w:val="3E3068D7"/>
    <w:rsid w:val="3E321294"/>
    <w:rsid w:val="3E330175"/>
    <w:rsid w:val="3E35213F"/>
    <w:rsid w:val="3E3839DE"/>
    <w:rsid w:val="3E3A1504"/>
    <w:rsid w:val="3E3C050B"/>
    <w:rsid w:val="3E432C35"/>
    <w:rsid w:val="3E4660FB"/>
    <w:rsid w:val="3E4800C5"/>
    <w:rsid w:val="3E4B1963"/>
    <w:rsid w:val="3E566CAD"/>
    <w:rsid w:val="3E57744F"/>
    <w:rsid w:val="3E596C01"/>
    <w:rsid w:val="3E5973BD"/>
    <w:rsid w:val="3E5B104F"/>
    <w:rsid w:val="3E5D51F2"/>
    <w:rsid w:val="3E5F093C"/>
    <w:rsid w:val="3E6C59E0"/>
    <w:rsid w:val="3E707F93"/>
    <w:rsid w:val="3E74081F"/>
    <w:rsid w:val="3E776588"/>
    <w:rsid w:val="3E80785E"/>
    <w:rsid w:val="3E8611F6"/>
    <w:rsid w:val="3E8D4B08"/>
    <w:rsid w:val="3E990920"/>
    <w:rsid w:val="3E9E5F37"/>
    <w:rsid w:val="3EA37367"/>
    <w:rsid w:val="3EA6303D"/>
    <w:rsid w:val="3EA64DEB"/>
    <w:rsid w:val="3EAF1EF2"/>
    <w:rsid w:val="3EB62B11"/>
    <w:rsid w:val="3EB92D70"/>
    <w:rsid w:val="3EB94B1E"/>
    <w:rsid w:val="3EC731D4"/>
    <w:rsid w:val="3ECF128B"/>
    <w:rsid w:val="3ED075D4"/>
    <w:rsid w:val="3ED5122D"/>
    <w:rsid w:val="3ED65299"/>
    <w:rsid w:val="3EDA0523"/>
    <w:rsid w:val="3EE17BD1"/>
    <w:rsid w:val="3EE576C2"/>
    <w:rsid w:val="3EEA664C"/>
    <w:rsid w:val="3EEC4EF4"/>
    <w:rsid w:val="3EEC6CA2"/>
    <w:rsid w:val="3EEE3144"/>
    <w:rsid w:val="3EF21DDE"/>
    <w:rsid w:val="3EF47905"/>
    <w:rsid w:val="3EF66EFD"/>
    <w:rsid w:val="3EFC2C5D"/>
    <w:rsid w:val="3EFD0EAF"/>
    <w:rsid w:val="3EFF5D23"/>
    <w:rsid w:val="3F0264C5"/>
    <w:rsid w:val="3F034D2F"/>
    <w:rsid w:val="3F051B12"/>
    <w:rsid w:val="3F052E6A"/>
    <w:rsid w:val="3F125FDD"/>
    <w:rsid w:val="3F1862FB"/>
    <w:rsid w:val="3F1C079E"/>
    <w:rsid w:val="3F1C5311"/>
    <w:rsid w:val="3F204B9E"/>
    <w:rsid w:val="3F217C2E"/>
    <w:rsid w:val="3F233CB4"/>
    <w:rsid w:val="3F2C3542"/>
    <w:rsid w:val="3F2C64D9"/>
    <w:rsid w:val="3F2F3033"/>
    <w:rsid w:val="3F334164"/>
    <w:rsid w:val="3F3B19D7"/>
    <w:rsid w:val="3F3D222A"/>
    <w:rsid w:val="3F402B4A"/>
    <w:rsid w:val="3F406FEE"/>
    <w:rsid w:val="3F43263A"/>
    <w:rsid w:val="3F4737E3"/>
    <w:rsid w:val="3F4A39C9"/>
    <w:rsid w:val="3F5201EC"/>
    <w:rsid w:val="3F5406C8"/>
    <w:rsid w:val="3F5C0AB7"/>
    <w:rsid w:val="3F5D7C9F"/>
    <w:rsid w:val="3F636838"/>
    <w:rsid w:val="3F6B34B2"/>
    <w:rsid w:val="3F7171A7"/>
    <w:rsid w:val="3F7667DD"/>
    <w:rsid w:val="3F781B55"/>
    <w:rsid w:val="3F7B1DD4"/>
    <w:rsid w:val="3F827B6A"/>
    <w:rsid w:val="3F8539F8"/>
    <w:rsid w:val="3F8C2AC6"/>
    <w:rsid w:val="3F8E13F7"/>
    <w:rsid w:val="3F9115F7"/>
    <w:rsid w:val="3F917849"/>
    <w:rsid w:val="3F932A3E"/>
    <w:rsid w:val="3F9B06C8"/>
    <w:rsid w:val="3F9C31D5"/>
    <w:rsid w:val="3F9D61EE"/>
    <w:rsid w:val="3FA01B56"/>
    <w:rsid w:val="3FA04B59"/>
    <w:rsid w:val="3FA060B2"/>
    <w:rsid w:val="3FA22B90"/>
    <w:rsid w:val="3FA23805"/>
    <w:rsid w:val="3FA431BC"/>
    <w:rsid w:val="3FB12A0C"/>
    <w:rsid w:val="3FB157F6"/>
    <w:rsid w:val="3FB322F2"/>
    <w:rsid w:val="3FB377C0"/>
    <w:rsid w:val="3FB6105E"/>
    <w:rsid w:val="3FB77239"/>
    <w:rsid w:val="3FC4377B"/>
    <w:rsid w:val="3FC50A7D"/>
    <w:rsid w:val="3FCE0156"/>
    <w:rsid w:val="3FCF509C"/>
    <w:rsid w:val="3FD17EB9"/>
    <w:rsid w:val="3FDB69E9"/>
    <w:rsid w:val="3FE47979"/>
    <w:rsid w:val="3FE81FE4"/>
    <w:rsid w:val="3FEA6678"/>
    <w:rsid w:val="3FEB6F5A"/>
    <w:rsid w:val="3FED06D0"/>
    <w:rsid w:val="3FEE6A4A"/>
    <w:rsid w:val="3FF04570"/>
    <w:rsid w:val="3FFB4CC3"/>
    <w:rsid w:val="3FFC33CA"/>
    <w:rsid w:val="3FFC6AA9"/>
    <w:rsid w:val="4000567F"/>
    <w:rsid w:val="40074D52"/>
    <w:rsid w:val="400778EE"/>
    <w:rsid w:val="40077B0C"/>
    <w:rsid w:val="400A0B15"/>
    <w:rsid w:val="400C0C7E"/>
    <w:rsid w:val="4012492F"/>
    <w:rsid w:val="401631E4"/>
    <w:rsid w:val="401A15ED"/>
    <w:rsid w:val="401C2B1D"/>
    <w:rsid w:val="402045AD"/>
    <w:rsid w:val="402B1A4C"/>
    <w:rsid w:val="402E32EA"/>
    <w:rsid w:val="40324B88"/>
    <w:rsid w:val="40377318"/>
    <w:rsid w:val="40381597"/>
    <w:rsid w:val="40384243"/>
    <w:rsid w:val="404034E5"/>
    <w:rsid w:val="40407284"/>
    <w:rsid w:val="40416B7A"/>
    <w:rsid w:val="40420B44"/>
    <w:rsid w:val="404448BC"/>
    <w:rsid w:val="40452963"/>
    <w:rsid w:val="40460BE0"/>
    <w:rsid w:val="404B102A"/>
    <w:rsid w:val="404C569E"/>
    <w:rsid w:val="40575D69"/>
    <w:rsid w:val="405A5E8D"/>
    <w:rsid w:val="40604C5C"/>
    <w:rsid w:val="40644F5E"/>
    <w:rsid w:val="406805AA"/>
    <w:rsid w:val="406E7B8B"/>
    <w:rsid w:val="40754A75"/>
    <w:rsid w:val="4079782F"/>
    <w:rsid w:val="407A535C"/>
    <w:rsid w:val="407A6407"/>
    <w:rsid w:val="407C5E04"/>
    <w:rsid w:val="407E5835"/>
    <w:rsid w:val="407F58F4"/>
    <w:rsid w:val="407F76A2"/>
    <w:rsid w:val="408171DD"/>
    <w:rsid w:val="408B7F60"/>
    <w:rsid w:val="40907B01"/>
    <w:rsid w:val="409D1DE9"/>
    <w:rsid w:val="40A23744"/>
    <w:rsid w:val="40A37834"/>
    <w:rsid w:val="40A40C06"/>
    <w:rsid w:val="40A92F82"/>
    <w:rsid w:val="40AA20F5"/>
    <w:rsid w:val="40AF61D9"/>
    <w:rsid w:val="40BF0A0C"/>
    <w:rsid w:val="40BF6053"/>
    <w:rsid w:val="40C96B6F"/>
    <w:rsid w:val="40CA3013"/>
    <w:rsid w:val="40CD0775"/>
    <w:rsid w:val="40CD3EC6"/>
    <w:rsid w:val="40D73D29"/>
    <w:rsid w:val="40D91077"/>
    <w:rsid w:val="40DA0D7C"/>
    <w:rsid w:val="40DB5E0B"/>
    <w:rsid w:val="40DD183E"/>
    <w:rsid w:val="40DE6ABE"/>
    <w:rsid w:val="40E37C31"/>
    <w:rsid w:val="40E4515D"/>
    <w:rsid w:val="40E816EB"/>
    <w:rsid w:val="40ED7D5D"/>
    <w:rsid w:val="40F91D6E"/>
    <w:rsid w:val="40F94291"/>
    <w:rsid w:val="40FE2CBD"/>
    <w:rsid w:val="410236AA"/>
    <w:rsid w:val="41032081"/>
    <w:rsid w:val="411249BA"/>
    <w:rsid w:val="411307DB"/>
    <w:rsid w:val="41195D48"/>
    <w:rsid w:val="411C0819"/>
    <w:rsid w:val="41292928"/>
    <w:rsid w:val="41293E29"/>
    <w:rsid w:val="412D35A2"/>
    <w:rsid w:val="412F2E76"/>
    <w:rsid w:val="412F731A"/>
    <w:rsid w:val="41367318"/>
    <w:rsid w:val="41417FFF"/>
    <w:rsid w:val="41441235"/>
    <w:rsid w:val="41450AB0"/>
    <w:rsid w:val="41457A05"/>
    <w:rsid w:val="41472271"/>
    <w:rsid w:val="414A5F02"/>
    <w:rsid w:val="414B3D42"/>
    <w:rsid w:val="414C345E"/>
    <w:rsid w:val="414C3B4A"/>
    <w:rsid w:val="41596145"/>
    <w:rsid w:val="415C79E3"/>
    <w:rsid w:val="415D5C35"/>
    <w:rsid w:val="415E6EB8"/>
    <w:rsid w:val="41631EBB"/>
    <w:rsid w:val="4169340E"/>
    <w:rsid w:val="416A65A4"/>
    <w:rsid w:val="416A7B46"/>
    <w:rsid w:val="416B0A29"/>
    <w:rsid w:val="41727207"/>
    <w:rsid w:val="41780CC1"/>
    <w:rsid w:val="418307EA"/>
    <w:rsid w:val="41886A2A"/>
    <w:rsid w:val="41A33677"/>
    <w:rsid w:val="41A55B96"/>
    <w:rsid w:val="41B1305B"/>
    <w:rsid w:val="41B51804"/>
    <w:rsid w:val="41BE02D2"/>
    <w:rsid w:val="41C0099D"/>
    <w:rsid w:val="41C23074"/>
    <w:rsid w:val="41CA69ED"/>
    <w:rsid w:val="41CE08E1"/>
    <w:rsid w:val="41CF0D50"/>
    <w:rsid w:val="41E35DF5"/>
    <w:rsid w:val="41E579D9"/>
    <w:rsid w:val="41E842F0"/>
    <w:rsid w:val="41F67E38"/>
    <w:rsid w:val="41FA1ECF"/>
    <w:rsid w:val="41FC1FB4"/>
    <w:rsid w:val="41FD51B5"/>
    <w:rsid w:val="41FF4F3E"/>
    <w:rsid w:val="4200449D"/>
    <w:rsid w:val="42024A2E"/>
    <w:rsid w:val="42054C8C"/>
    <w:rsid w:val="42075BA1"/>
    <w:rsid w:val="42083FDA"/>
    <w:rsid w:val="42113E21"/>
    <w:rsid w:val="4211578B"/>
    <w:rsid w:val="42140FEB"/>
    <w:rsid w:val="42167A81"/>
    <w:rsid w:val="42214167"/>
    <w:rsid w:val="42295B17"/>
    <w:rsid w:val="422B7AE1"/>
    <w:rsid w:val="422F6EA6"/>
    <w:rsid w:val="4232248C"/>
    <w:rsid w:val="42366486"/>
    <w:rsid w:val="423A3BCC"/>
    <w:rsid w:val="423A41C8"/>
    <w:rsid w:val="424262B6"/>
    <w:rsid w:val="424741EF"/>
    <w:rsid w:val="424E57D2"/>
    <w:rsid w:val="4251718A"/>
    <w:rsid w:val="425828A0"/>
    <w:rsid w:val="425A03C6"/>
    <w:rsid w:val="425C413F"/>
    <w:rsid w:val="425F2679"/>
    <w:rsid w:val="425F2F04"/>
    <w:rsid w:val="42611755"/>
    <w:rsid w:val="42642FF3"/>
    <w:rsid w:val="426A131F"/>
    <w:rsid w:val="42701998"/>
    <w:rsid w:val="42757563"/>
    <w:rsid w:val="428216CB"/>
    <w:rsid w:val="4288188D"/>
    <w:rsid w:val="428A301F"/>
    <w:rsid w:val="42903DE8"/>
    <w:rsid w:val="42925DB2"/>
    <w:rsid w:val="42935686"/>
    <w:rsid w:val="429531AD"/>
    <w:rsid w:val="429815E1"/>
    <w:rsid w:val="429827B8"/>
    <w:rsid w:val="42996501"/>
    <w:rsid w:val="42AC04F6"/>
    <w:rsid w:val="42AC54A2"/>
    <w:rsid w:val="42B26C49"/>
    <w:rsid w:val="42B45D29"/>
    <w:rsid w:val="42B52012"/>
    <w:rsid w:val="42BB0811"/>
    <w:rsid w:val="42C03047"/>
    <w:rsid w:val="42CE36A7"/>
    <w:rsid w:val="42D107B5"/>
    <w:rsid w:val="42D77201"/>
    <w:rsid w:val="42DA1507"/>
    <w:rsid w:val="42DE0CD7"/>
    <w:rsid w:val="42DE16E9"/>
    <w:rsid w:val="42E102FD"/>
    <w:rsid w:val="42E12404"/>
    <w:rsid w:val="42E15A85"/>
    <w:rsid w:val="42EB32CE"/>
    <w:rsid w:val="42EB54C2"/>
    <w:rsid w:val="42EF4FB3"/>
    <w:rsid w:val="42F500EF"/>
    <w:rsid w:val="42FF5749"/>
    <w:rsid w:val="4303099F"/>
    <w:rsid w:val="430A1DED"/>
    <w:rsid w:val="430D78DE"/>
    <w:rsid w:val="430E71C5"/>
    <w:rsid w:val="43165E98"/>
    <w:rsid w:val="431F43AB"/>
    <w:rsid w:val="432056A2"/>
    <w:rsid w:val="43212B41"/>
    <w:rsid w:val="43272395"/>
    <w:rsid w:val="43287AED"/>
    <w:rsid w:val="432945B7"/>
    <w:rsid w:val="432B1D63"/>
    <w:rsid w:val="432E715D"/>
    <w:rsid w:val="433131AA"/>
    <w:rsid w:val="43362BE2"/>
    <w:rsid w:val="43370708"/>
    <w:rsid w:val="4339622E"/>
    <w:rsid w:val="433A6FE6"/>
    <w:rsid w:val="433C2D74"/>
    <w:rsid w:val="433D3357"/>
    <w:rsid w:val="4344348C"/>
    <w:rsid w:val="43457534"/>
    <w:rsid w:val="434626F9"/>
    <w:rsid w:val="43480868"/>
    <w:rsid w:val="43490FBF"/>
    <w:rsid w:val="43493C8E"/>
    <w:rsid w:val="434951B8"/>
    <w:rsid w:val="43500374"/>
    <w:rsid w:val="4350713C"/>
    <w:rsid w:val="43595962"/>
    <w:rsid w:val="4365093B"/>
    <w:rsid w:val="436653E0"/>
    <w:rsid w:val="436F39FE"/>
    <w:rsid w:val="437012C7"/>
    <w:rsid w:val="43762FDE"/>
    <w:rsid w:val="4377078F"/>
    <w:rsid w:val="437B54F6"/>
    <w:rsid w:val="437D25BE"/>
    <w:rsid w:val="43851C29"/>
    <w:rsid w:val="43862537"/>
    <w:rsid w:val="43935C63"/>
    <w:rsid w:val="439B0BA5"/>
    <w:rsid w:val="439C056B"/>
    <w:rsid w:val="439D2DFF"/>
    <w:rsid w:val="439E791E"/>
    <w:rsid w:val="43A318F9"/>
    <w:rsid w:val="43AA712C"/>
    <w:rsid w:val="43AC3866"/>
    <w:rsid w:val="43B54465"/>
    <w:rsid w:val="43B6162D"/>
    <w:rsid w:val="43B81849"/>
    <w:rsid w:val="43B835F7"/>
    <w:rsid w:val="43C02452"/>
    <w:rsid w:val="43C060B4"/>
    <w:rsid w:val="43C4431A"/>
    <w:rsid w:val="43CA332A"/>
    <w:rsid w:val="43CC0E50"/>
    <w:rsid w:val="43CC52F4"/>
    <w:rsid w:val="43D321DE"/>
    <w:rsid w:val="43D538CD"/>
    <w:rsid w:val="43DB04B6"/>
    <w:rsid w:val="43DD12AF"/>
    <w:rsid w:val="43DE21E6"/>
    <w:rsid w:val="43E4263E"/>
    <w:rsid w:val="43EE526A"/>
    <w:rsid w:val="43F263DD"/>
    <w:rsid w:val="43FB34E3"/>
    <w:rsid w:val="43FF6F09"/>
    <w:rsid w:val="44044A8E"/>
    <w:rsid w:val="44092ED5"/>
    <w:rsid w:val="440A2717"/>
    <w:rsid w:val="440B4568"/>
    <w:rsid w:val="440D3860"/>
    <w:rsid w:val="440E0C53"/>
    <w:rsid w:val="44150E0F"/>
    <w:rsid w:val="441E11B4"/>
    <w:rsid w:val="442361AF"/>
    <w:rsid w:val="44240C8C"/>
    <w:rsid w:val="442472A6"/>
    <w:rsid w:val="442713A6"/>
    <w:rsid w:val="44276F7A"/>
    <w:rsid w:val="442944F4"/>
    <w:rsid w:val="44296A60"/>
    <w:rsid w:val="442A0C98"/>
    <w:rsid w:val="44306E23"/>
    <w:rsid w:val="44357A2E"/>
    <w:rsid w:val="443B0AC0"/>
    <w:rsid w:val="44432F4C"/>
    <w:rsid w:val="444404EC"/>
    <w:rsid w:val="44507EC5"/>
    <w:rsid w:val="4452415D"/>
    <w:rsid w:val="4453331F"/>
    <w:rsid w:val="44557097"/>
    <w:rsid w:val="445950D3"/>
    <w:rsid w:val="445A2900"/>
    <w:rsid w:val="445F3A72"/>
    <w:rsid w:val="44615A3C"/>
    <w:rsid w:val="446217B4"/>
    <w:rsid w:val="446D2A1D"/>
    <w:rsid w:val="446E419E"/>
    <w:rsid w:val="4470786A"/>
    <w:rsid w:val="44773DC7"/>
    <w:rsid w:val="44794362"/>
    <w:rsid w:val="448F1469"/>
    <w:rsid w:val="44906321"/>
    <w:rsid w:val="44935E12"/>
    <w:rsid w:val="449B6F13"/>
    <w:rsid w:val="449F47B6"/>
    <w:rsid w:val="44A0089A"/>
    <w:rsid w:val="44A037CE"/>
    <w:rsid w:val="44AB543F"/>
    <w:rsid w:val="44AE0556"/>
    <w:rsid w:val="44AE0E14"/>
    <w:rsid w:val="44B060EA"/>
    <w:rsid w:val="44B33DBE"/>
    <w:rsid w:val="44B81283"/>
    <w:rsid w:val="44B951CC"/>
    <w:rsid w:val="44B95661"/>
    <w:rsid w:val="44BA6EFA"/>
    <w:rsid w:val="44C04D73"/>
    <w:rsid w:val="44C36FED"/>
    <w:rsid w:val="44C42B6A"/>
    <w:rsid w:val="44C47D79"/>
    <w:rsid w:val="44C90381"/>
    <w:rsid w:val="44CD14E0"/>
    <w:rsid w:val="44D83825"/>
    <w:rsid w:val="44D83E07"/>
    <w:rsid w:val="44E126D9"/>
    <w:rsid w:val="44E565A1"/>
    <w:rsid w:val="44E65F41"/>
    <w:rsid w:val="44E96119"/>
    <w:rsid w:val="44F04F4B"/>
    <w:rsid w:val="44F20B0B"/>
    <w:rsid w:val="44F63EA4"/>
    <w:rsid w:val="44F71A43"/>
    <w:rsid w:val="44F92119"/>
    <w:rsid w:val="44FE772F"/>
    <w:rsid w:val="4509658E"/>
    <w:rsid w:val="45097E82"/>
    <w:rsid w:val="450B6A36"/>
    <w:rsid w:val="450D1347"/>
    <w:rsid w:val="450E38CC"/>
    <w:rsid w:val="45153463"/>
    <w:rsid w:val="451A10CB"/>
    <w:rsid w:val="451E4D0E"/>
    <w:rsid w:val="45244CBC"/>
    <w:rsid w:val="45274794"/>
    <w:rsid w:val="452E5F4C"/>
    <w:rsid w:val="45321187"/>
    <w:rsid w:val="453273D9"/>
    <w:rsid w:val="45356EC9"/>
    <w:rsid w:val="453663E9"/>
    <w:rsid w:val="4537652B"/>
    <w:rsid w:val="453C3DB3"/>
    <w:rsid w:val="453F26E9"/>
    <w:rsid w:val="454366FA"/>
    <w:rsid w:val="454D26FF"/>
    <w:rsid w:val="45505F06"/>
    <w:rsid w:val="4555317F"/>
    <w:rsid w:val="45557BBB"/>
    <w:rsid w:val="455A2E42"/>
    <w:rsid w:val="455B4933"/>
    <w:rsid w:val="455F51E8"/>
    <w:rsid w:val="45603F46"/>
    <w:rsid w:val="45612018"/>
    <w:rsid w:val="45660E30"/>
    <w:rsid w:val="457903DE"/>
    <w:rsid w:val="45804F31"/>
    <w:rsid w:val="45835E86"/>
    <w:rsid w:val="458946E9"/>
    <w:rsid w:val="458D056E"/>
    <w:rsid w:val="458D0DE9"/>
    <w:rsid w:val="45925536"/>
    <w:rsid w:val="45934AF7"/>
    <w:rsid w:val="459E4A6E"/>
    <w:rsid w:val="45A26510"/>
    <w:rsid w:val="45A47C0E"/>
    <w:rsid w:val="45A51959"/>
    <w:rsid w:val="45A86E84"/>
    <w:rsid w:val="45AD70E0"/>
    <w:rsid w:val="45B1409B"/>
    <w:rsid w:val="45B918A8"/>
    <w:rsid w:val="45BD2F79"/>
    <w:rsid w:val="45C5024D"/>
    <w:rsid w:val="45D466E2"/>
    <w:rsid w:val="45DB7BF3"/>
    <w:rsid w:val="45E20144"/>
    <w:rsid w:val="45E948B1"/>
    <w:rsid w:val="45EB6494"/>
    <w:rsid w:val="45F97EF6"/>
    <w:rsid w:val="45FA05BD"/>
    <w:rsid w:val="46070113"/>
    <w:rsid w:val="46082702"/>
    <w:rsid w:val="460E1FB1"/>
    <w:rsid w:val="460F3276"/>
    <w:rsid w:val="461525E2"/>
    <w:rsid w:val="46177F8F"/>
    <w:rsid w:val="46184820"/>
    <w:rsid w:val="462250EE"/>
    <w:rsid w:val="462A3742"/>
    <w:rsid w:val="462B41E2"/>
    <w:rsid w:val="462B6B5F"/>
    <w:rsid w:val="46320AF8"/>
    <w:rsid w:val="46323946"/>
    <w:rsid w:val="46390CCA"/>
    <w:rsid w:val="463A326F"/>
    <w:rsid w:val="46410F44"/>
    <w:rsid w:val="464C1083"/>
    <w:rsid w:val="46530654"/>
    <w:rsid w:val="465515D1"/>
    <w:rsid w:val="465731F4"/>
    <w:rsid w:val="46577FD6"/>
    <w:rsid w:val="46584C1D"/>
    <w:rsid w:val="465B318B"/>
    <w:rsid w:val="465E69B3"/>
    <w:rsid w:val="465F62BF"/>
    <w:rsid w:val="46641814"/>
    <w:rsid w:val="466510E8"/>
    <w:rsid w:val="466E1DD9"/>
    <w:rsid w:val="4674629A"/>
    <w:rsid w:val="467C75E4"/>
    <w:rsid w:val="467E1892"/>
    <w:rsid w:val="467F21AA"/>
    <w:rsid w:val="468365B4"/>
    <w:rsid w:val="46845A12"/>
    <w:rsid w:val="4685178A"/>
    <w:rsid w:val="46875502"/>
    <w:rsid w:val="46937228"/>
    <w:rsid w:val="4695545A"/>
    <w:rsid w:val="4697266F"/>
    <w:rsid w:val="46A458E3"/>
    <w:rsid w:val="46A936CA"/>
    <w:rsid w:val="46AB08C9"/>
    <w:rsid w:val="46B05C97"/>
    <w:rsid w:val="46B67B95"/>
    <w:rsid w:val="46C16C66"/>
    <w:rsid w:val="46C276CE"/>
    <w:rsid w:val="46C934D7"/>
    <w:rsid w:val="46CB755E"/>
    <w:rsid w:val="46CC1FB3"/>
    <w:rsid w:val="46CE4EDF"/>
    <w:rsid w:val="46D4544D"/>
    <w:rsid w:val="46D76D9C"/>
    <w:rsid w:val="46D83FB0"/>
    <w:rsid w:val="46D841BD"/>
    <w:rsid w:val="46D955A7"/>
    <w:rsid w:val="46E66013"/>
    <w:rsid w:val="46E722AE"/>
    <w:rsid w:val="46F2715E"/>
    <w:rsid w:val="46F30DEA"/>
    <w:rsid w:val="46F414DE"/>
    <w:rsid w:val="46F5246C"/>
    <w:rsid w:val="46FA1788"/>
    <w:rsid w:val="46FC5594"/>
    <w:rsid w:val="46FD4400"/>
    <w:rsid w:val="46FD6EB4"/>
    <w:rsid w:val="46FE3577"/>
    <w:rsid w:val="47003815"/>
    <w:rsid w:val="470657DD"/>
    <w:rsid w:val="470B4B04"/>
    <w:rsid w:val="470E79D1"/>
    <w:rsid w:val="47133957"/>
    <w:rsid w:val="4717258D"/>
    <w:rsid w:val="471A0124"/>
    <w:rsid w:val="471C616E"/>
    <w:rsid w:val="471F1BB5"/>
    <w:rsid w:val="472461ED"/>
    <w:rsid w:val="472B0583"/>
    <w:rsid w:val="472E2D47"/>
    <w:rsid w:val="4739367F"/>
    <w:rsid w:val="4739549D"/>
    <w:rsid w:val="473D3E13"/>
    <w:rsid w:val="474214B7"/>
    <w:rsid w:val="474433F3"/>
    <w:rsid w:val="47455236"/>
    <w:rsid w:val="474B29D4"/>
    <w:rsid w:val="4757001C"/>
    <w:rsid w:val="475C24EB"/>
    <w:rsid w:val="475F5F7C"/>
    <w:rsid w:val="476067BD"/>
    <w:rsid w:val="47611807"/>
    <w:rsid w:val="4767462D"/>
    <w:rsid w:val="477A1772"/>
    <w:rsid w:val="477B4A45"/>
    <w:rsid w:val="478302A1"/>
    <w:rsid w:val="47840D6F"/>
    <w:rsid w:val="47881934"/>
    <w:rsid w:val="478A7058"/>
    <w:rsid w:val="478C7274"/>
    <w:rsid w:val="479000C6"/>
    <w:rsid w:val="479223B1"/>
    <w:rsid w:val="479B1265"/>
    <w:rsid w:val="47A07E0C"/>
    <w:rsid w:val="47A24FAA"/>
    <w:rsid w:val="47A311C0"/>
    <w:rsid w:val="47B10C28"/>
    <w:rsid w:val="47B5004D"/>
    <w:rsid w:val="47B651CB"/>
    <w:rsid w:val="47B95B8F"/>
    <w:rsid w:val="47D25DFF"/>
    <w:rsid w:val="47D26E0C"/>
    <w:rsid w:val="47D64431"/>
    <w:rsid w:val="47D875B4"/>
    <w:rsid w:val="47D909D6"/>
    <w:rsid w:val="47E0311C"/>
    <w:rsid w:val="47E3640F"/>
    <w:rsid w:val="47EB15FB"/>
    <w:rsid w:val="47ED3A8B"/>
    <w:rsid w:val="47F93485"/>
    <w:rsid w:val="47FA426E"/>
    <w:rsid w:val="47FB4CF8"/>
    <w:rsid w:val="47FB7F56"/>
    <w:rsid w:val="48055B08"/>
    <w:rsid w:val="480C5CBF"/>
    <w:rsid w:val="480E14BE"/>
    <w:rsid w:val="48142DC6"/>
    <w:rsid w:val="481B11CD"/>
    <w:rsid w:val="4822140C"/>
    <w:rsid w:val="48240658"/>
    <w:rsid w:val="4824230B"/>
    <w:rsid w:val="482569A2"/>
    <w:rsid w:val="48313978"/>
    <w:rsid w:val="483403BD"/>
    <w:rsid w:val="48343954"/>
    <w:rsid w:val="483901D6"/>
    <w:rsid w:val="483B5DF0"/>
    <w:rsid w:val="48425B85"/>
    <w:rsid w:val="484C255F"/>
    <w:rsid w:val="484F69EF"/>
    <w:rsid w:val="48531B40"/>
    <w:rsid w:val="48547155"/>
    <w:rsid w:val="48547666"/>
    <w:rsid w:val="485674E5"/>
    <w:rsid w:val="485730A2"/>
    <w:rsid w:val="48584752"/>
    <w:rsid w:val="485D29BF"/>
    <w:rsid w:val="485F17DF"/>
    <w:rsid w:val="485F6737"/>
    <w:rsid w:val="48643D4D"/>
    <w:rsid w:val="486A0C38"/>
    <w:rsid w:val="486F3400"/>
    <w:rsid w:val="4870272E"/>
    <w:rsid w:val="48806453"/>
    <w:rsid w:val="48885E0A"/>
    <w:rsid w:val="488A3ABB"/>
    <w:rsid w:val="488F1EE9"/>
    <w:rsid w:val="489108BA"/>
    <w:rsid w:val="48926F12"/>
    <w:rsid w:val="4893018E"/>
    <w:rsid w:val="48934632"/>
    <w:rsid w:val="48946DE5"/>
    <w:rsid w:val="489E7916"/>
    <w:rsid w:val="48AD7568"/>
    <w:rsid w:val="48B10A89"/>
    <w:rsid w:val="48B50B74"/>
    <w:rsid w:val="48BF0F83"/>
    <w:rsid w:val="48C464DC"/>
    <w:rsid w:val="48D47A82"/>
    <w:rsid w:val="48D6451F"/>
    <w:rsid w:val="48D8725E"/>
    <w:rsid w:val="48DD765B"/>
    <w:rsid w:val="48DF1625"/>
    <w:rsid w:val="48E91EBC"/>
    <w:rsid w:val="48E924A4"/>
    <w:rsid w:val="48E97BAB"/>
    <w:rsid w:val="48EA3157"/>
    <w:rsid w:val="48EB1D78"/>
    <w:rsid w:val="48EE5521"/>
    <w:rsid w:val="48F45F58"/>
    <w:rsid w:val="48F826E7"/>
    <w:rsid w:val="48FD385A"/>
    <w:rsid w:val="49042E3A"/>
    <w:rsid w:val="490966A2"/>
    <w:rsid w:val="490E1F0B"/>
    <w:rsid w:val="490E5DC7"/>
    <w:rsid w:val="49145FD1"/>
    <w:rsid w:val="491C0184"/>
    <w:rsid w:val="4925660E"/>
    <w:rsid w:val="49285078"/>
    <w:rsid w:val="49295ED6"/>
    <w:rsid w:val="49326638"/>
    <w:rsid w:val="49364AC1"/>
    <w:rsid w:val="49366D6C"/>
    <w:rsid w:val="493A35E1"/>
    <w:rsid w:val="493D6C54"/>
    <w:rsid w:val="493F3E72"/>
    <w:rsid w:val="494219FE"/>
    <w:rsid w:val="494476DB"/>
    <w:rsid w:val="494B0A69"/>
    <w:rsid w:val="494B3BCB"/>
    <w:rsid w:val="494C03A8"/>
    <w:rsid w:val="49507E2D"/>
    <w:rsid w:val="495518E8"/>
    <w:rsid w:val="49556190"/>
    <w:rsid w:val="49577C74"/>
    <w:rsid w:val="495913D8"/>
    <w:rsid w:val="49614A25"/>
    <w:rsid w:val="49630A38"/>
    <w:rsid w:val="496911ED"/>
    <w:rsid w:val="49695393"/>
    <w:rsid w:val="496F7DF4"/>
    <w:rsid w:val="49796F4A"/>
    <w:rsid w:val="49843F7B"/>
    <w:rsid w:val="49883415"/>
    <w:rsid w:val="498A77E3"/>
    <w:rsid w:val="49914BE6"/>
    <w:rsid w:val="49956188"/>
    <w:rsid w:val="49967F1D"/>
    <w:rsid w:val="49975A5C"/>
    <w:rsid w:val="499A197B"/>
    <w:rsid w:val="499A554C"/>
    <w:rsid w:val="49A95790"/>
    <w:rsid w:val="49AE2DA6"/>
    <w:rsid w:val="49B11E26"/>
    <w:rsid w:val="49BC1967"/>
    <w:rsid w:val="49C01457"/>
    <w:rsid w:val="49C16F7D"/>
    <w:rsid w:val="49CB410E"/>
    <w:rsid w:val="49D22F38"/>
    <w:rsid w:val="49D7054F"/>
    <w:rsid w:val="49DA0653"/>
    <w:rsid w:val="49DA2C21"/>
    <w:rsid w:val="49DC1DE3"/>
    <w:rsid w:val="49DC7715"/>
    <w:rsid w:val="49DE01D4"/>
    <w:rsid w:val="49DF2CFA"/>
    <w:rsid w:val="49E82C88"/>
    <w:rsid w:val="49EA0282"/>
    <w:rsid w:val="49EA2030"/>
    <w:rsid w:val="49EB7487"/>
    <w:rsid w:val="49F337A2"/>
    <w:rsid w:val="49FC5C1D"/>
    <w:rsid w:val="49FD10A7"/>
    <w:rsid w:val="4A017DD0"/>
    <w:rsid w:val="4A02055D"/>
    <w:rsid w:val="4A023139"/>
    <w:rsid w:val="4A034605"/>
    <w:rsid w:val="4A044293"/>
    <w:rsid w:val="4A047074"/>
    <w:rsid w:val="4A050C18"/>
    <w:rsid w:val="4A061ED2"/>
    <w:rsid w:val="4A111CB3"/>
    <w:rsid w:val="4A113A61"/>
    <w:rsid w:val="4A123335"/>
    <w:rsid w:val="4A17094B"/>
    <w:rsid w:val="4A181CD1"/>
    <w:rsid w:val="4A184976"/>
    <w:rsid w:val="4A1A56BC"/>
    <w:rsid w:val="4A1E617D"/>
    <w:rsid w:val="4A210E8F"/>
    <w:rsid w:val="4A227A1C"/>
    <w:rsid w:val="4A230EA0"/>
    <w:rsid w:val="4A2319E6"/>
    <w:rsid w:val="4A253068"/>
    <w:rsid w:val="4A2A68D0"/>
    <w:rsid w:val="4A2F3EE7"/>
    <w:rsid w:val="4A314103"/>
    <w:rsid w:val="4A3572D7"/>
    <w:rsid w:val="4A385328"/>
    <w:rsid w:val="4A3D0A1C"/>
    <w:rsid w:val="4A461E3D"/>
    <w:rsid w:val="4A4831FA"/>
    <w:rsid w:val="4A4A1D57"/>
    <w:rsid w:val="4A4C6847"/>
    <w:rsid w:val="4A50597B"/>
    <w:rsid w:val="4A5120AF"/>
    <w:rsid w:val="4A530A8D"/>
    <w:rsid w:val="4A595E27"/>
    <w:rsid w:val="4A5B4CDC"/>
    <w:rsid w:val="4A6515E6"/>
    <w:rsid w:val="4A653DAC"/>
    <w:rsid w:val="4A674244"/>
    <w:rsid w:val="4A6B226D"/>
    <w:rsid w:val="4A6C194E"/>
    <w:rsid w:val="4A6F1947"/>
    <w:rsid w:val="4A707442"/>
    <w:rsid w:val="4A710AA3"/>
    <w:rsid w:val="4A71143E"/>
    <w:rsid w:val="4A740312"/>
    <w:rsid w:val="4A767D68"/>
    <w:rsid w:val="4A7B576F"/>
    <w:rsid w:val="4A7B712C"/>
    <w:rsid w:val="4A7D2EA4"/>
    <w:rsid w:val="4A7E06C0"/>
    <w:rsid w:val="4A895CED"/>
    <w:rsid w:val="4A897999"/>
    <w:rsid w:val="4A8A6E3A"/>
    <w:rsid w:val="4A8D0910"/>
    <w:rsid w:val="4A8F4E20"/>
    <w:rsid w:val="4A9106FD"/>
    <w:rsid w:val="4A9224F4"/>
    <w:rsid w:val="4A9C3A16"/>
    <w:rsid w:val="4A9D3546"/>
    <w:rsid w:val="4AA9419A"/>
    <w:rsid w:val="4AAC3789"/>
    <w:rsid w:val="4AAE7501"/>
    <w:rsid w:val="4ABE06BB"/>
    <w:rsid w:val="4AC00FE3"/>
    <w:rsid w:val="4AC163C2"/>
    <w:rsid w:val="4AC46D25"/>
    <w:rsid w:val="4ACB3D7C"/>
    <w:rsid w:val="4ACB7475"/>
    <w:rsid w:val="4ACE1952"/>
    <w:rsid w:val="4ACF1226"/>
    <w:rsid w:val="4AD0601C"/>
    <w:rsid w:val="4AD2721F"/>
    <w:rsid w:val="4AD54880"/>
    <w:rsid w:val="4AE66C9B"/>
    <w:rsid w:val="4AEA2F72"/>
    <w:rsid w:val="4AF34F14"/>
    <w:rsid w:val="4AF561A9"/>
    <w:rsid w:val="4AFD386D"/>
    <w:rsid w:val="4B02784D"/>
    <w:rsid w:val="4B0521F5"/>
    <w:rsid w:val="4B0E61F2"/>
    <w:rsid w:val="4B195AFD"/>
    <w:rsid w:val="4B1A1EC0"/>
    <w:rsid w:val="4B1A561A"/>
    <w:rsid w:val="4B1C04F1"/>
    <w:rsid w:val="4B241572"/>
    <w:rsid w:val="4B2477C4"/>
    <w:rsid w:val="4B2A4224"/>
    <w:rsid w:val="4B2C05D3"/>
    <w:rsid w:val="4B2D169E"/>
    <w:rsid w:val="4B300EE9"/>
    <w:rsid w:val="4B3043BA"/>
    <w:rsid w:val="4B3612A5"/>
    <w:rsid w:val="4B367C72"/>
    <w:rsid w:val="4B3C4B1F"/>
    <w:rsid w:val="4B410375"/>
    <w:rsid w:val="4B413ED2"/>
    <w:rsid w:val="4B484598"/>
    <w:rsid w:val="4B4E0392"/>
    <w:rsid w:val="4B4E2A92"/>
    <w:rsid w:val="4B50680B"/>
    <w:rsid w:val="4B510C36"/>
    <w:rsid w:val="4B5138BB"/>
    <w:rsid w:val="4B5736F5"/>
    <w:rsid w:val="4B5B0D5A"/>
    <w:rsid w:val="4B5D16B0"/>
    <w:rsid w:val="4B624F0F"/>
    <w:rsid w:val="4B663938"/>
    <w:rsid w:val="4B69167A"/>
    <w:rsid w:val="4B693428"/>
    <w:rsid w:val="4B6B0A45"/>
    <w:rsid w:val="4B6D116B"/>
    <w:rsid w:val="4B6E5086"/>
    <w:rsid w:val="4B772F07"/>
    <w:rsid w:val="4B7901ED"/>
    <w:rsid w:val="4B7A3887"/>
    <w:rsid w:val="4B7C576C"/>
    <w:rsid w:val="4B801973"/>
    <w:rsid w:val="4B8957F1"/>
    <w:rsid w:val="4B8A0D3C"/>
    <w:rsid w:val="4B8F3CDB"/>
    <w:rsid w:val="4B92472D"/>
    <w:rsid w:val="4B9762C0"/>
    <w:rsid w:val="4B991F60"/>
    <w:rsid w:val="4B9B1698"/>
    <w:rsid w:val="4BA076B7"/>
    <w:rsid w:val="4BA83F51"/>
    <w:rsid w:val="4BAB3A41"/>
    <w:rsid w:val="4BAD47E4"/>
    <w:rsid w:val="4BB85F8B"/>
    <w:rsid w:val="4BBC3ECC"/>
    <w:rsid w:val="4BC220E1"/>
    <w:rsid w:val="4BC32EDC"/>
    <w:rsid w:val="4BC67321"/>
    <w:rsid w:val="4BD21234"/>
    <w:rsid w:val="4BD21F77"/>
    <w:rsid w:val="4BF123A7"/>
    <w:rsid w:val="4BF34FB9"/>
    <w:rsid w:val="4BF86145"/>
    <w:rsid w:val="4C001FDF"/>
    <w:rsid w:val="4C0513A3"/>
    <w:rsid w:val="4C0C1D79"/>
    <w:rsid w:val="4C0F7AEF"/>
    <w:rsid w:val="4C194E4E"/>
    <w:rsid w:val="4C1D5FF9"/>
    <w:rsid w:val="4C25357F"/>
    <w:rsid w:val="4C2C208C"/>
    <w:rsid w:val="4C2C652A"/>
    <w:rsid w:val="4C2E7C1C"/>
    <w:rsid w:val="4C39729F"/>
    <w:rsid w:val="4C3C1AD4"/>
    <w:rsid w:val="4C3E2B07"/>
    <w:rsid w:val="4C403D10"/>
    <w:rsid w:val="4C417685"/>
    <w:rsid w:val="4C436F46"/>
    <w:rsid w:val="4C4634D7"/>
    <w:rsid w:val="4C4675FE"/>
    <w:rsid w:val="4C4A0649"/>
    <w:rsid w:val="4C4B4FE8"/>
    <w:rsid w:val="4C520360"/>
    <w:rsid w:val="4C545E87"/>
    <w:rsid w:val="4C5479B0"/>
    <w:rsid w:val="4C5C1239"/>
    <w:rsid w:val="4C5D11DF"/>
    <w:rsid w:val="4C6571B8"/>
    <w:rsid w:val="4C6E5C70"/>
    <w:rsid w:val="4C7179D7"/>
    <w:rsid w:val="4C7C718B"/>
    <w:rsid w:val="4C7D53DD"/>
    <w:rsid w:val="4C7E5ECA"/>
    <w:rsid w:val="4C7F49C9"/>
    <w:rsid w:val="4C8526AF"/>
    <w:rsid w:val="4C854292"/>
    <w:rsid w:val="4C876AA5"/>
    <w:rsid w:val="4C8D3147"/>
    <w:rsid w:val="4C975D73"/>
    <w:rsid w:val="4C993E74"/>
    <w:rsid w:val="4C9B3A49"/>
    <w:rsid w:val="4C9B5863"/>
    <w:rsid w:val="4CA30BBC"/>
    <w:rsid w:val="4CAA1F4A"/>
    <w:rsid w:val="4CAB32E3"/>
    <w:rsid w:val="4CB62B2D"/>
    <w:rsid w:val="4CB66B41"/>
    <w:rsid w:val="4CB85EE9"/>
    <w:rsid w:val="4CC23686"/>
    <w:rsid w:val="4CC254E6"/>
    <w:rsid w:val="4CC92607"/>
    <w:rsid w:val="4CCB737A"/>
    <w:rsid w:val="4CCF19B1"/>
    <w:rsid w:val="4CCF58EA"/>
    <w:rsid w:val="4CD17B99"/>
    <w:rsid w:val="4CD7651E"/>
    <w:rsid w:val="4CDC5ED5"/>
    <w:rsid w:val="4CE21E44"/>
    <w:rsid w:val="4CE44DB6"/>
    <w:rsid w:val="4CEA4ADF"/>
    <w:rsid w:val="4CEC7770"/>
    <w:rsid w:val="4CED3B14"/>
    <w:rsid w:val="4CF136D5"/>
    <w:rsid w:val="4CF938F5"/>
    <w:rsid w:val="4CFC657A"/>
    <w:rsid w:val="4D006D97"/>
    <w:rsid w:val="4D027E1D"/>
    <w:rsid w:val="4D072EF9"/>
    <w:rsid w:val="4D073FAA"/>
    <w:rsid w:val="4D0B0C3B"/>
    <w:rsid w:val="4D0C5369"/>
    <w:rsid w:val="4D0E00FB"/>
    <w:rsid w:val="4D0E6A52"/>
    <w:rsid w:val="4D101778"/>
    <w:rsid w:val="4D176606"/>
    <w:rsid w:val="4D1846D0"/>
    <w:rsid w:val="4D221AE1"/>
    <w:rsid w:val="4D2717ED"/>
    <w:rsid w:val="4D2939AA"/>
    <w:rsid w:val="4D2D1641"/>
    <w:rsid w:val="4D326766"/>
    <w:rsid w:val="4D341814"/>
    <w:rsid w:val="4D355CB8"/>
    <w:rsid w:val="4D384E95"/>
    <w:rsid w:val="4D3B3F70"/>
    <w:rsid w:val="4D3D10E9"/>
    <w:rsid w:val="4D4375FC"/>
    <w:rsid w:val="4D4555F6"/>
    <w:rsid w:val="4D4E0723"/>
    <w:rsid w:val="4D5C3245"/>
    <w:rsid w:val="4D5E064B"/>
    <w:rsid w:val="4D622825"/>
    <w:rsid w:val="4D643CDE"/>
    <w:rsid w:val="4D6A0A55"/>
    <w:rsid w:val="4D6E11CA"/>
    <w:rsid w:val="4D6E4D26"/>
    <w:rsid w:val="4D6F454C"/>
    <w:rsid w:val="4D7465DE"/>
    <w:rsid w:val="4D7C0195"/>
    <w:rsid w:val="4D7E2637"/>
    <w:rsid w:val="4D8131B7"/>
    <w:rsid w:val="4D846871"/>
    <w:rsid w:val="4D870D8D"/>
    <w:rsid w:val="4D870E9B"/>
    <w:rsid w:val="4D8B4139"/>
    <w:rsid w:val="4D8F743A"/>
    <w:rsid w:val="4D977BC7"/>
    <w:rsid w:val="4D993218"/>
    <w:rsid w:val="4D9F18C1"/>
    <w:rsid w:val="4DA0163A"/>
    <w:rsid w:val="4DAC584E"/>
    <w:rsid w:val="4DAE7818"/>
    <w:rsid w:val="4DB03590"/>
    <w:rsid w:val="4DB55A2C"/>
    <w:rsid w:val="4DC1579E"/>
    <w:rsid w:val="4DC1754C"/>
    <w:rsid w:val="4DD612B3"/>
    <w:rsid w:val="4DDB0D98"/>
    <w:rsid w:val="4DDB4BBC"/>
    <w:rsid w:val="4DDE00FE"/>
    <w:rsid w:val="4DDF54F9"/>
    <w:rsid w:val="4DE44086"/>
    <w:rsid w:val="4DE52D23"/>
    <w:rsid w:val="4DEB6377"/>
    <w:rsid w:val="4DEC4FB0"/>
    <w:rsid w:val="4DED0138"/>
    <w:rsid w:val="4DEF53A0"/>
    <w:rsid w:val="4DF12BD9"/>
    <w:rsid w:val="4DF27705"/>
    <w:rsid w:val="4DF33B05"/>
    <w:rsid w:val="4DF83498"/>
    <w:rsid w:val="4DFF1E8B"/>
    <w:rsid w:val="4E02343A"/>
    <w:rsid w:val="4E075D8A"/>
    <w:rsid w:val="4E08517B"/>
    <w:rsid w:val="4E131240"/>
    <w:rsid w:val="4E21078A"/>
    <w:rsid w:val="4E217FEA"/>
    <w:rsid w:val="4E234B23"/>
    <w:rsid w:val="4E261AA5"/>
    <w:rsid w:val="4E2B1EB6"/>
    <w:rsid w:val="4E2D46F7"/>
    <w:rsid w:val="4E2D6F34"/>
    <w:rsid w:val="4E2F5F0F"/>
    <w:rsid w:val="4E3046D1"/>
    <w:rsid w:val="4E382BE8"/>
    <w:rsid w:val="4E395334"/>
    <w:rsid w:val="4E3A621D"/>
    <w:rsid w:val="4E3B6791"/>
    <w:rsid w:val="4E3C3076"/>
    <w:rsid w:val="4E3C4E24"/>
    <w:rsid w:val="4E4B5067"/>
    <w:rsid w:val="4E4C150B"/>
    <w:rsid w:val="4E4D2773"/>
    <w:rsid w:val="4E524648"/>
    <w:rsid w:val="4E586B64"/>
    <w:rsid w:val="4E593C28"/>
    <w:rsid w:val="4E5D650F"/>
    <w:rsid w:val="4E612ADD"/>
    <w:rsid w:val="4E637DE8"/>
    <w:rsid w:val="4E680C1E"/>
    <w:rsid w:val="4E6A527E"/>
    <w:rsid w:val="4E6C5482"/>
    <w:rsid w:val="4E6F7F33"/>
    <w:rsid w:val="4E760168"/>
    <w:rsid w:val="4E772300"/>
    <w:rsid w:val="4E7F6E5E"/>
    <w:rsid w:val="4E824F2D"/>
    <w:rsid w:val="4E8A5B90"/>
    <w:rsid w:val="4E905954"/>
    <w:rsid w:val="4E9A5E2F"/>
    <w:rsid w:val="4E9B3F1C"/>
    <w:rsid w:val="4EAD187E"/>
    <w:rsid w:val="4EB26E94"/>
    <w:rsid w:val="4EB32F14"/>
    <w:rsid w:val="4EB52124"/>
    <w:rsid w:val="4EC00FAD"/>
    <w:rsid w:val="4EC12B2C"/>
    <w:rsid w:val="4EC13C9E"/>
    <w:rsid w:val="4EC41DC4"/>
    <w:rsid w:val="4EC61D60"/>
    <w:rsid w:val="4EC80E89"/>
    <w:rsid w:val="4EC866B8"/>
    <w:rsid w:val="4ECC6D94"/>
    <w:rsid w:val="4ED22589"/>
    <w:rsid w:val="4ED35661"/>
    <w:rsid w:val="4EE94FAC"/>
    <w:rsid w:val="4EEA4174"/>
    <w:rsid w:val="4EEA4880"/>
    <w:rsid w:val="4EED611E"/>
    <w:rsid w:val="4EF16274"/>
    <w:rsid w:val="4EF86F9D"/>
    <w:rsid w:val="4EFE3C60"/>
    <w:rsid w:val="4F0079E0"/>
    <w:rsid w:val="4F086393"/>
    <w:rsid w:val="4F0C2B5C"/>
    <w:rsid w:val="4F0C42E9"/>
    <w:rsid w:val="4F0D1B7B"/>
    <w:rsid w:val="4F15559D"/>
    <w:rsid w:val="4F165675"/>
    <w:rsid w:val="4F1A33B7"/>
    <w:rsid w:val="4F235F46"/>
    <w:rsid w:val="4F290873"/>
    <w:rsid w:val="4F2A01EE"/>
    <w:rsid w:val="4F2B2B76"/>
    <w:rsid w:val="4F310701"/>
    <w:rsid w:val="4F372CC3"/>
    <w:rsid w:val="4F3854C4"/>
    <w:rsid w:val="4F391364"/>
    <w:rsid w:val="4F3B7C8E"/>
    <w:rsid w:val="4F3D0E54"/>
    <w:rsid w:val="4F3E697A"/>
    <w:rsid w:val="4F400944"/>
    <w:rsid w:val="4F42646A"/>
    <w:rsid w:val="4F586DEA"/>
    <w:rsid w:val="4F5950E5"/>
    <w:rsid w:val="4F5D4C99"/>
    <w:rsid w:val="4F651160"/>
    <w:rsid w:val="4F701D2A"/>
    <w:rsid w:val="4F710AFD"/>
    <w:rsid w:val="4F734E61"/>
    <w:rsid w:val="4F756840"/>
    <w:rsid w:val="4F7A5DF1"/>
    <w:rsid w:val="4F7E0975"/>
    <w:rsid w:val="4F86410B"/>
    <w:rsid w:val="4F871DE5"/>
    <w:rsid w:val="4F8C3B89"/>
    <w:rsid w:val="4F8E5B53"/>
    <w:rsid w:val="4F953265"/>
    <w:rsid w:val="4F9843DC"/>
    <w:rsid w:val="4F9D0C0C"/>
    <w:rsid w:val="4FA03191"/>
    <w:rsid w:val="4FA71BCA"/>
    <w:rsid w:val="4FAA3277"/>
    <w:rsid w:val="4FAA51A5"/>
    <w:rsid w:val="4FAA530F"/>
    <w:rsid w:val="4FAB7475"/>
    <w:rsid w:val="4FAD5FDA"/>
    <w:rsid w:val="4FB258BC"/>
    <w:rsid w:val="4FB8672C"/>
    <w:rsid w:val="4FBA20F2"/>
    <w:rsid w:val="4FBC621D"/>
    <w:rsid w:val="4FBD3D43"/>
    <w:rsid w:val="4FC220E3"/>
    <w:rsid w:val="4FC43323"/>
    <w:rsid w:val="4FC62A8C"/>
    <w:rsid w:val="4FC772AC"/>
    <w:rsid w:val="4FC926E8"/>
    <w:rsid w:val="4FCA3829"/>
    <w:rsid w:val="4FCF4503"/>
    <w:rsid w:val="4FD5400F"/>
    <w:rsid w:val="4FE1650A"/>
    <w:rsid w:val="4FE20F0D"/>
    <w:rsid w:val="4FE51552"/>
    <w:rsid w:val="4FE575A3"/>
    <w:rsid w:val="4FED6FA2"/>
    <w:rsid w:val="4FF17F6E"/>
    <w:rsid w:val="4FF534DD"/>
    <w:rsid w:val="4FF712F5"/>
    <w:rsid w:val="4FFA4F97"/>
    <w:rsid w:val="4FFC486B"/>
    <w:rsid w:val="4FFD305E"/>
    <w:rsid w:val="4FFE4A87"/>
    <w:rsid w:val="50085545"/>
    <w:rsid w:val="5012408F"/>
    <w:rsid w:val="50132425"/>
    <w:rsid w:val="50151DD1"/>
    <w:rsid w:val="501A5E6C"/>
    <w:rsid w:val="501E3E9C"/>
    <w:rsid w:val="501E5494"/>
    <w:rsid w:val="502618E8"/>
    <w:rsid w:val="50295500"/>
    <w:rsid w:val="502C0397"/>
    <w:rsid w:val="5032028D"/>
    <w:rsid w:val="50373AF5"/>
    <w:rsid w:val="50377F99"/>
    <w:rsid w:val="50402532"/>
    <w:rsid w:val="50493828"/>
    <w:rsid w:val="504A1A7A"/>
    <w:rsid w:val="504D307D"/>
    <w:rsid w:val="504F7091"/>
    <w:rsid w:val="50500441"/>
    <w:rsid w:val="50504C4B"/>
    <w:rsid w:val="50593A6B"/>
    <w:rsid w:val="50597678"/>
    <w:rsid w:val="505E37B1"/>
    <w:rsid w:val="50696E2E"/>
    <w:rsid w:val="507B4F96"/>
    <w:rsid w:val="507C3BFE"/>
    <w:rsid w:val="507C775A"/>
    <w:rsid w:val="508036EE"/>
    <w:rsid w:val="50850D04"/>
    <w:rsid w:val="5086130F"/>
    <w:rsid w:val="508B0EE7"/>
    <w:rsid w:val="508B5BEF"/>
    <w:rsid w:val="508E2890"/>
    <w:rsid w:val="508E3509"/>
    <w:rsid w:val="50926F7D"/>
    <w:rsid w:val="509C6E7C"/>
    <w:rsid w:val="509E1DC6"/>
    <w:rsid w:val="50A15412"/>
    <w:rsid w:val="50B33A15"/>
    <w:rsid w:val="50C9527D"/>
    <w:rsid w:val="50D106E5"/>
    <w:rsid w:val="50D37CC2"/>
    <w:rsid w:val="50D54727"/>
    <w:rsid w:val="50D650BC"/>
    <w:rsid w:val="50D77086"/>
    <w:rsid w:val="50DA1089"/>
    <w:rsid w:val="50DB6B76"/>
    <w:rsid w:val="50E33C7D"/>
    <w:rsid w:val="50E377D9"/>
    <w:rsid w:val="50E7551B"/>
    <w:rsid w:val="50E772C9"/>
    <w:rsid w:val="50F30636"/>
    <w:rsid w:val="50F44A9D"/>
    <w:rsid w:val="50F6575E"/>
    <w:rsid w:val="50FE5D3D"/>
    <w:rsid w:val="510A6DE4"/>
    <w:rsid w:val="510C6A50"/>
    <w:rsid w:val="510F4A72"/>
    <w:rsid w:val="510F6820"/>
    <w:rsid w:val="51152F96"/>
    <w:rsid w:val="511610B5"/>
    <w:rsid w:val="5119398D"/>
    <w:rsid w:val="511D718F"/>
    <w:rsid w:val="512027DB"/>
    <w:rsid w:val="512322CB"/>
    <w:rsid w:val="512353A3"/>
    <w:rsid w:val="512646CD"/>
    <w:rsid w:val="512D4760"/>
    <w:rsid w:val="512D4762"/>
    <w:rsid w:val="51304D2D"/>
    <w:rsid w:val="51346287"/>
    <w:rsid w:val="514143E2"/>
    <w:rsid w:val="51432280"/>
    <w:rsid w:val="51457355"/>
    <w:rsid w:val="51517C3A"/>
    <w:rsid w:val="51532795"/>
    <w:rsid w:val="51563C65"/>
    <w:rsid w:val="515661FD"/>
    <w:rsid w:val="515C49C2"/>
    <w:rsid w:val="515E2011"/>
    <w:rsid w:val="5162104E"/>
    <w:rsid w:val="516613C8"/>
    <w:rsid w:val="51736DAF"/>
    <w:rsid w:val="517C75D2"/>
    <w:rsid w:val="517D5E7F"/>
    <w:rsid w:val="51840FBC"/>
    <w:rsid w:val="51844B18"/>
    <w:rsid w:val="51860D3F"/>
    <w:rsid w:val="5187285A"/>
    <w:rsid w:val="518C1C1F"/>
    <w:rsid w:val="518C5779"/>
    <w:rsid w:val="51960CEF"/>
    <w:rsid w:val="51975088"/>
    <w:rsid w:val="519A258E"/>
    <w:rsid w:val="51A61F98"/>
    <w:rsid w:val="51B010A1"/>
    <w:rsid w:val="51B27247"/>
    <w:rsid w:val="51B35558"/>
    <w:rsid w:val="51B50CE4"/>
    <w:rsid w:val="51B578E7"/>
    <w:rsid w:val="51B7313F"/>
    <w:rsid w:val="51B940F4"/>
    <w:rsid w:val="51BF3DA2"/>
    <w:rsid w:val="51C04E17"/>
    <w:rsid w:val="51C27D36"/>
    <w:rsid w:val="51C554AF"/>
    <w:rsid w:val="51C710A1"/>
    <w:rsid w:val="51C732EE"/>
    <w:rsid w:val="51D13AD5"/>
    <w:rsid w:val="51DD06CC"/>
    <w:rsid w:val="51DD214D"/>
    <w:rsid w:val="51E001DA"/>
    <w:rsid w:val="51E11F6A"/>
    <w:rsid w:val="51EC4E24"/>
    <w:rsid w:val="51F60A51"/>
    <w:rsid w:val="51F6353C"/>
    <w:rsid w:val="51F872B4"/>
    <w:rsid w:val="51FA5EEB"/>
    <w:rsid w:val="51FC6DA4"/>
    <w:rsid w:val="51FE0D6E"/>
    <w:rsid w:val="51FE786D"/>
    <w:rsid w:val="51FF0643"/>
    <w:rsid w:val="51FF7084"/>
    <w:rsid w:val="52045688"/>
    <w:rsid w:val="5212175A"/>
    <w:rsid w:val="521656D1"/>
    <w:rsid w:val="521A0616"/>
    <w:rsid w:val="521C7446"/>
    <w:rsid w:val="521D6E27"/>
    <w:rsid w:val="521F2376"/>
    <w:rsid w:val="521F2A93"/>
    <w:rsid w:val="52253BD5"/>
    <w:rsid w:val="52265350"/>
    <w:rsid w:val="52267AA3"/>
    <w:rsid w:val="52304CA0"/>
    <w:rsid w:val="523A78CD"/>
    <w:rsid w:val="523C1897"/>
    <w:rsid w:val="523F1387"/>
    <w:rsid w:val="52444D2C"/>
    <w:rsid w:val="524E02C5"/>
    <w:rsid w:val="52500E9E"/>
    <w:rsid w:val="525151DD"/>
    <w:rsid w:val="525C2209"/>
    <w:rsid w:val="52610D67"/>
    <w:rsid w:val="5263737E"/>
    <w:rsid w:val="52640B80"/>
    <w:rsid w:val="5264494A"/>
    <w:rsid w:val="526A7CDF"/>
    <w:rsid w:val="526B217C"/>
    <w:rsid w:val="526D37FE"/>
    <w:rsid w:val="527208FC"/>
    <w:rsid w:val="527805D2"/>
    <w:rsid w:val="527C5B30"/>
    <w:rsid w:val="527F0D08"/>
    <w:rsid w:val="52872F5F"/>
    <w:rsid w:val="528A1A8A"/>
    <w:rsid w:val="528B5F65"/>
    <w:rsid w:val="528C06A5"/>
    <w:rsid w:val="528C45CC"/>
    <w:rsid w:val="529214B7"/>
    <w:rsid w:val="52950FA7"/>
    <w:rsid w:val="5295500F"/>
    <w:rsid w:val="52981582"/>
    <w:rsid w:val="52A5743C"/>
    <w:rsid w:val="52A642BD"/>
    <w:rsid w:val="52AB48FB"/>
    <w:rsid w:val="52AE4AE4"/>
    <w:rsid w:val="52B21B59"/>
    <w:rsid w:val="52B534C8"/>
    <w:rsid w:val="52BA27BB"/>
    <w:rsid w:val="52BD36EC"/>
    <w:rsid w:val="52C535BF"/>
    <w:rsid w:val="52CB2EA1"/>
    <w:rsid w:val="52CB3281"/>
    <w:rsid w:val="52D424A3"/>
    <w:rsid w:val="52D7511B"/>
    <w:rsid w:val="52D764AD"/>
    <w:rsid w:val="52DA4A7E"/>
    <w:rsid w:val="52E91706"/>
    <w:rsid w:val="52EF6909"/>
    <w:rsid w:val="52F32B1B"/>
    <w:rsid w:val="52F43F1F"/>
    <w:rsid w:val="52F775D7"/>
    <w:rsid w:val="52F932E4"/>
    <w:rsid w:val="52FE08FA"/>
    <w:rsid w:val="53001CBD"/>
    <w:rsid w:val="530524D1"/>
    <w:rsid w:val="530B7849"/>
    <w:rsid w:val="530C1887"/>
    <w:rsid w:val="530F6FAB"/>
    <w:rsid w:val="53165ACD"/>
    <w:rsid w:val="5323375D"/>
    <w:rsid w:val="532365B3"/>
    <w:rsid w:val="5326046A"/>
    <w:rsid w:val="53290398"/>
    <w:rsid w:val="53291D44"/>
    <w:rsid w:val="532A03F7"/>
    <w:rsid w:val="53345D64"/>
    <w:rsid w:val="53367966"/>
    <w:rsid w:val="53385ED7"/>
    <w:rsid w:val="533B7DA0"/>
    <w:rsid w:val="53513120"/>
    <w:rsid w:val="53536C33"/>
    <w:rsid w:val="53536E98"/>
    <w:rsid w:val="535449BE"/>
    <w:rsid w:val="53590226"/>
    <w:rsid w:val="535A6478"/>
    <w:rsid w:val="535B2858"/>
    <w:rsid w:val="535D3873"/>
    <w:rsid w:val="535E75EB"/>
    <w:rsid w:val="53603363"/>
    <w:rsid w:val="53672943"/>
    <w:rsid w:val="53746F88"/>
    <w:rsid w:val="53755688"/>
    <w:rsid w:val="53760DD8"/>
    <w:rsid w:val="537868DB"/>
    <w:rsid w:val="537B678C"/>
    <w:rsid w:val="53832456"/>
    <w:rsid w:val="53867734"/>
    <w:rsid w:val="538B008B"/>
    <w:rsid w:val="538F0EB4"/>
    <w:rsid w:val="53906AF0"/>
    <w:rsid w:val="5391176E"/>
    <w:rsid w:val="53924AD9"/>
    <w:rsid w:val="539354E6"/>
    <w:rsid w:val="5394222F"/>
    <w:rsid w:val="53963229"/>
    <w:rsid w:val="539E0C5C"/>
    <w:rsid w:val="53A039CC"/>
    <w:rsid w:val="53A1505A"/>
    <w:rsid w:val="53A176F2"/>
    <w:rsid w:val="53A33245"/>
    <w:rsid w:val="53AA20F6"/>
    <w:rsid w:val="53AA69BC"/>
    <w:rsid w:val="53AC65A8"/>
    <w:rsid w:val="53AE40CE"/>
    <w:rsid w:val="53B2032E"/>
    <w:rsid w:val="53B74085"/>
    <w:rsid w:val="53BC0303"/>
    <w:rsid w:val="53BC2C8F"/>
    <w:rsid w:val="53C03D13"/>
    <w:rsid w:val="53C3156D"/>
    <w:rsid w:val="53CE6E32"/>
    <w:rsid w:val="53D42E9C"/>
    <w:rsid w:val="53D722CD"/>
    <w:rsid w:val="53DA6B55"/>
    <w:rsid w:val="53E13EF1"/>
    <w:rsid w:val="53F73CC7"/>
    <w:rsid w:val="53F81F38"/>
    <w:rsid w:val="53FE377E"/>
    <w:rsid w:val="540177F1"/>
    <w:rsid w:val="5403095E"/>
    <w:rsid w:val="54063E08"/>
    <w:rsid w:val="540722D6"/>
    <w:rsid w:val="540C5299"/>
    <w:rsid w:val="54115E18"/>
    <w:rsid w:val="541224FD"/>
    <w:rsid w:val="541B1C18"/>
    <w:rsid w:val="541B7982"/>
    <w:rsid w:val="54212E7B"/>
    <w:rsid w:val="54224ABC"/>
    <w:rsid w:val="5426587E"/>
    <w:rsid w:val="54297BF9"/>
    <w:rsid w:val="542C43EF"/>
    <w:rsid w:val="542C65D7"/>
    <w:rsid w:val="54300F87"/>
    <w:rsid w:val="54311940"/>
    <w:rsid w:val="543437E8"/>
    <w:rsid w:val="54343E0A"/>
    <w:rsid w:val="54361761"/>
    <w:rsid w:val="54367A9B"/>
    <w:rsid w:val="543D1818"/>
    <w:rsid w:val="54402158"/>
    <w:rsid w:val="54442658"/>
    <w:rsid w:val="54461839"/>
    <w:rsid w:val="54464BBC"/>
    <w:rsid w:val="54495C05"/>
    <w:rsid w:val="544A35EC"/>
    <w:rsid w:val="544D2410"/>
    <w:rsid w:val="54531554"/>
    <w:rsid w:val="5454733B"/>
    <w:rsid w:val="54571DEF"/>
    <w:rsid w:val="545C0DEF"/>
    <w:rsid w:val="546267E5"/>
    <w:rsid w:val="5464633E"/>
    <w:rsid w:val="546724CF"/>
    <w:rsid w:val="54761616"/>
    <w:rsid w:val="547D3F6F"/>
    <w:rsid w:val="547F222C"/>
    <w:rsid w:val="548070A5"/>
    <w:rsid w:val="548331D0"/>
    <w:rsid w:val="54882AE2"/>
    <w:rsid w:val="548B7A74"/>
    <w:rsid w:val="549E2395"/>
    <w:rsid w:val="54A66005"/>
    <w:rsid w:val="54AA5156"/>
    <w:rsid w:val="54B02B7F"/>
    <w:rsid w:val="54B139D4"/>
    <w:rsid w:val="54B9075C"/>
    <w:rsid w:val="54B95421"/>
    <w:rsid w:val="54BA2F6A"/>
    <w:rsid w:val="54BE2761"/>
    <w:rsid w:val="54BF230B"/>
    <w:rsid w:val="54C25410"/>
    <w:rsid w:val="54C31DFB"/>
    <w:rsid w:val="54C41444"/>
    <w:rsid w:val="54C4542D"/>
    <w:rsid w:val="54C625D1"/>
    <w:rsid w:val="54C94F38"/>
    <w:rsid w:val="54CF69F2"/>
    <w:rsid w:val="54DC0F5A"/>
    <w:rsid w:val="54DF070E"/>
    <w:rsid w:val="54E0475B"/>
    <w:rsid w:val="54E2628C"/>
    <w:rsid w:val="54F16968"/>
    <w:rsid w:val="54F73313"/>
    <w:rsid w:val="54F80955"/>
    <w:rsid w:val="5502690E"/>
    <w:rsid w:val="550565D4"/>
    <w:rsid w:val="55081F04"/>
    <w:rsid w:val="55083CB2"/>
    <w:rsid w:val="55102B67"/>
    <w:rsid w:val="55126BCE"/>
    <w:rsid w:val="55191A1B"/>
    <w:rsid w:val="551D6150"/>
    <w:rsid w:val="551E34D6"/>
    <w:rsid w:val="55230AEC"/>
    <w:rsid w:val="55264138"/>
    <w:rsid w:val="552A00CC"/>
    <w:rsid w:val="552A3C28"/>
    <w:rsid w:val="552B79A7"/>
    <w:rsid w:val="552C3FC0"/>
    <w:rsid w:val="552D3719"/>
    <w:rsid w:val="553108D0"/>
    <w:rsid w:val="55342CF9"/>
    <w:rsid w:val="55344AA7"/>
    <w:rsid w:val="553625CD"/>
    <w:rsid w:val="553E0825"/>
    <w:rsid w:val="553E6AE1"/>
    <w:rsid w:val="554271C4"/>
    <w:rsid w:val="554525D7"/>
    <w:rsid w:val="55452810"/>
    <w:rsid w:val="554A22E8"/>
    <w:rsid w:val="554A42CB"/>
    <w:rsid w:val="554E679D"/>
    <w:rsid w:val="555170A7"/>
    <w:rsid w:val="555313D1"/>
    <w:rsid w:val="555B1898"/>
    <w:rsid w:val="556F3D31"/>
    <w:rsid w:val="55713605"/>
    <w:rsid w:val="55747BA2"/>
    <w:rsid w:val="5576721A"/>
    <w:rsid w:val="557E6A07"/>
    <w:rsid w:val="55801A9A"/>
    <w:rsid w:val="55842EA5"/>
    <w:rsid w:val="5587536D"/>
    <w:rsid w:val="558B3AB9"/>
    <w:rsid w:val="558E406F"/>
    <w:rsid w:val="558F2CFC"/>
    <w:rsid w:val="55965FBE"/>
    <w:rsid w:val="559B174B"/>
    <w:rsid w:val="559D264C"/>
    <w:rsid w:val="55A0038E"/>
    <w:rsid w:val="55A559A5"/>
    <w:rsid w:val="55A863DE"/>
    <w:rsid w:val="55AA2FBB"/>
    <w:rsid w:val="55AD03B6"/>
    <w:rsid w:val="55AF2380"/>
    <w:rsid w:val="55AF412E"/>
    <w:rsid w:val="55B53A58"/>
    <w:rsid w:val="55B77F4B"/>
    <w:rsid w:val="55BB22CC"/>
    <w:rsid w:val="55BB5265"/>
    <w:rsid w:val="55BD5D60"/>
    <w:rsid w:val="55C0534A"/>
    <w:rsid w:val="55C45E2B"/>
    <w:rsid w:val="55C66E05"/>
    <w:rsid w:val="55CA2593"/>
    <w:rsid w:val="55CA55F7"/>
    <w:rsid w:val="55CD1223"/>
    <w:rsid w:val="55CE0CF4"/>
    <w:rsid w:val="55CE6CAA"/>
    <w:rsid w:val="55CF4C1F"/>
    <w:rsid w:val="55D04FA7"/>
    <w:rsid w:val="55E41916"/>
    <w:rsid w:val="55E7347A"/>
    <w:rsid w:val="55E860FF"/>
    <w:rsid w:val="55EA2C6D"/>
    <w:rsid w:val="55F14DEF"/>
    <w:rsid w:val="55F72C7F"/>
    <w:rsid w:val="55F935FB"/>
    <w:rsid w:val="55FB55C5"/>
    <w:rsid w:val="55FD133D"/>
    <w:rsid w:val="55FF100C"/>
    <w:rsid w:val="56020701"/>
    <w:rsid w:val="56045FCA"/>
    <w:rsid w:val="56073F6A"/>
    <w:rsid w:val="56097CE2"/>
    <w:rsid w:val="560C5966"/>
    <w:rsid w:val="560E6A1A"/>
    <w:rsid w:val="5611195D"/>
    <w:rsid w:val="56161C92"/>
    <w:rsid w:val="56193438"/>
    <w:rsid w:val="561C7481"/>
    <w:rsid w:val="561F5757"/>
    <w:rsid w:val="56242D6E"/>
    <w:rsid w:val="562468CA"/>
    <w:rsid w:val="56251B57"/>
    <w:rsid w:val="56316AFA"/>
    <w:rsid w:val="56352885"/>
    <w:rsid w:val="56356D29"/>
    <w:rsid w:val="563A2710"/>
    <w:rsid w:val="56494582"/>
    <w:rsid w:val="565151E5"/>
    <w:rsid w:val="56575846"/>
    <w:rsid w:val="56575CED"/>
    <w:rsid w:val="5659026C"/>
    <w:rsid w:val="565C2507"/>
    <w:rsid w:val="565D1DDC"/>
    <w:rsid w:val="56672A0E"/>
    <w:rsid w:val="566A4EFD"/>
    <w:rsid w:val="567158A4"/>
    <w:rsid w:val="567333AD"/>
    <w:rsid w:val="567B1C1A"/>
    <w:rsid w:val="567C04B4"/>
    <w:rsid w:val="567C094D"/>
    <w:rsid w:val="568140A3"/>
    <w:rsid w:val="56835CE6"/>
    <w:rsid w:val="56867584"/>
    <w:rsid w:val="56890E23"/>
    <w:rsid w:val="56921A85"/>
    <w:rsid w:val="56956DCB"/>
    <w:rsid w:val="56982E14"/>
    <w:rsid w:val="569956F7"/>
    <w:rsid w:val="569C1432"/>
    <w:rsid w:val="569C36DF"/>
    <w:rsid w:val="569D6990"/>
    <w:rsid w:val="569F1F43"/>
    <w:rsid w:val="56A3487D"/>
    <w:rsid w:val="56A74DC4"/>
    <w:rsid w:val="56AC0382"/>
    <w:rsid w:val="56AC3CDF"/>
    <w:rsid w:val="56B22A9C"/>
    <w:rsid w:val="56B52866"/>
    <w:rsid w:val="56B67742"/>
    <w:rsid w:val="56BC6B02"/>
    <w:rsid w:val="56C60329"/>
    <w:rsid w:val="56C835DF"/>
    <w:rsid w:val="56CA56C3"/>
    <w:rsid w:val="56CE1E94"/>
    <w:rsid w:val="56D05411"/>
    <w:rsid w:val="56DF3F35"/>
    <w:rsid w:val="56E46059"/>
    <w:rsid w:val="56EC5303"/>
    <w:rsid w:val="56EE10A3"/>
    <w:rsid w:val="56EE6C55"/>
    <w:rsid w:val="56EF512A"/>
    <w:rsid w:val="56FB2053"/>
    <w:rsid w:val="570105FA"/>
    <w:rsid w:val="570A502D"/>
    <w:rsid w:val="570B1838"/>
    <w:rsid w:val="570B2A97"/>
    <w:rsid w:val="57160908"/>
    <w:rsid w:val="5717642E"/>
    <w:rsid w:val="571F3872"/>
    <w:rsid w:val="571F75A1"/>
    <w:rsid w:val="57212E09"/>
    <w:rsid w:val="572161FB"/>
    <w:rsid w:val="57250B4B"/>
    <w:rsid w:val="57285B2E"/>
    <w:rsid w:val="57367FFF"/>
    <w:rsid w:val="573C5AC9"/>
    <w:rsid w:val="573F27EE"/>
    <w:rsid w:val="57496D0D"/>
    <w:rsid w:val="574C257C"/>
    <w:rsid w:val="57550131"/>
    <w:rsid w:val="57645C46"/>
    <w:rsid w:val="57664CC0"/>
    <w:rsid w:val="57672F12"/>
    <w:rsid w:val="576D604E"/>
    <w:rsid w:val="57711FE2"/>
    <w:rsid w:val="57737563"/>
    <w:rsid w:val="57767D76"/>
    <w:rsid w:val="57776ECD"/>
    <w:rsid w:val="57780CFE"/>
    <w:rsid w:val="57832CCF"/>
    <w:rsid w:val="57834D3C"/>
    <w:rsid w:val="578404A0"/>
    <w:rsid w:val="578C7B66"/>
    <w:rsid w:val="578E4942"/>
    <w:rsid w:val="5792131B"/>
    <w:rsid w:val="579730CB"/>
    <w:rsid w:val="57A5242C"/>
    <w:rsid w:val="57AE1152"/>
    <w:rsid w:val="57AE732C"/>
    <w:rsid w:val="57AF2B0B"/>
    <w:rsid w:val="57AF7361"/>
    <w:rsid w:val="57B72A76"/>
    <w:rsid w:val="57BF6098"/>
    <w:rsid w:val="57C3426C"/>
    <w:rsid w:val="57C53D6A"/>
    <w:rsid w:val="57C71C02"/>
    <w:rsid w:val="57C71CB3"/>
    <w:rsid w:val="57CE1F93"/>
    <w:rsid w:val="57D63138"/>
    <w:rsid w:val="57D63150"/>
    <w:rsid w:val="57DB2C59"/>
    <w:rsid w:val="57E24C8E"/>
    <w:rsid w:val="57E336E2"/>
    <w:rsid w:val="57E52089"/>
    <w:rsid w:val="57E834F2"/>
    <w:rsid w:val="57E83927"/>
    <w:rsid w:val="57E952BD"/>
    <w:rsid w:val="57EA58F1"/>
    <w:rsid w:val="57F25858"/>
    <w:rsid w:val="57F61771"/>
    <w:rsid w:val="57F945DA"/>
    <w:rsid w:val="57FC74D7"/>
    <w:rsid w:val="58044C05"/>
    <w:rsid w:val="58082A96"/>
    <w:rsid w:val="580A07AE"/>
    <w:rsid w:val="580C5867"/>
    <w:rsid w:val="58100309"/>
    <w:rsid w:val="58134E48"/>
    <w:rsid w:val="581D38D8"/>
    <w:rsid w:val="581D7C2B"/>
    <w:rsid w:val="58235A2F"/>
    <w:rsid w:val="582D6EF7"/>
    <w:rsid w:val="58354DBE"/>
    <w:rsid w:val="583733E0"/>
    <w:rsid w:val="583A40A4"/>
    <w:rsid w:val="58457402"/>
    <w:rsid w:val="58470B61"/>
    <w:rsid w:val="5848477E"/>
    <w:rsid w:val="584A2FE9"/>
    <w:rsid w:val="584E630F"/>
    <w:rsid w:val="58546B0D"/>
    <w:rsid w:val="58580AAD"/>
    <w:rsid w:val="58586CFE"/>
    <w:rsid w:val="585A61E3"/>
    <w:rsid w:val="585E52F5"/>
    <w:rsid w:val="585F2561"/>
    <w:rsid w:val="5866766D"/>
    <w:rsid w:val="58732438"/>
    <w:rsid w:val="587B2367"/>
    <w:rsid w:val="587E56A8"/>
    <w:rsid w:val="588040E3"/>
    <w:rsid w:val="5882405C"/>
    <w:rsid w:val="588418A2"/>
    <w:rsid w:val="588743D1"/>
    <w:rsid w:val="5887701A"/>
    <w:rsid w:val="58902C7A"/>
    <w:rsid w:val="58907086"/>
    <w:rsid w:val="58A55427"/>
    <w:rsid w:val="58A75590"/>
    <w:rsid w:val="58AB6E2E"/>
    <w:rsid w:val="58AF08B9"/>
    <w:rsid w:val="58B303D9"/>
    <w:rsid w:val="58B46E42"/>
    <w:rsid w:val="58B66C14"/>
    <w:rsid w:val="58B71C77"/>
    <w:rsid w:val="58B93701"/>
    <w:rsid w:val="58BA1767"/>
    <w:rsid w:val="58BA34E5"/>
    <w:rsid w:val="58BC728D"/>
    <w:rsid w:val="58BF6D7E"/>
    <w:rsid w:val="58C1067D"/>
    <w:rsid w:val="58C6010C"/>
    <w:rsid w:val="58CC0C6F"/>
    <w:rsid w:val="58CE59D8"/>
    <w:rsid w:val="58D17379"/>
    <w:rsid w:val="58D36323"/>
    <w:rsid w:val="58D64704"/>
    <w:rsid w:val="58D80F93"/>
    <w:rsid w:val="58D95C71"/>
    <w:rsid w:val="58DF54BF"/>
    <w:rsid w:val="58E275DE"/>
    <w:rsid w:val="58E47841"/>
    <w:rsid w:val="58E53B80"/>
    <w:rsid w:val="58EA21E6"/>
    <w:rsid w:val="58EB36CF"/>
    <w:rsid w:val="58EC457C"/>
    <w:rsid w:val="58F534DF"/>
    <w:rsid w:val="58FC29EF"/>
    <w:rsid w:val="58FD15E8"/>
    <w:rsid w:val="58FE4A19"/>
    <w:rsid w:val="59026058"/>
    <w:rsid w:val="59080725"/>
    <w:rsid w:val="5909243F"/>
    <w:rsid w:val="590B5B1F"/>
    <w:rsid w:val="590C4F59"/>
    <w:rsid w:val="591744C4"/>
    <w:rsid w:val="591C0D62"/>
    <w:rsid w:val="591D4E77"/>
    <w:rsid w:val="59254E33"/>
    <w:rsid w:val="59260BAB"/>
    <w:rsid w:val="592B4413"/>
    <w:rsid w:val="592D018B"/>
    <w:rsid w:val="592E0C4E"/>
    <w:rsid w:val="592F3EA4"/>
    <w:rsid w:val="59332F66"/>
    <w:rsid w:val="593B35D7"/>
    <w:rsid w:val="59417793"/>
    <w:rsid w:val="59425A14"/>
    <w:rsid w:val="59441031"/>
    <w:rsid w:val="59444C41"/>
    <w:rsid w:val="59492413"/>
    <w:rsid w:val="5952151D"/>
    <w:rsid w:val="59557213"/>
    <w:rsid w:val="59570D64"/>
    <w:rsid w:val="595B6AA6"/>
    <w:rsid w:val="595D004C"/>
    <w:rsid w:val="595E20F3"/>
    <w:rsid w:val="59601E20"/>
    <w:rsid w:val="59617E35"/>
    <w:rsid w:val="596209A6"/>
    <w:rsid w:val="596266FC"/>
    <w:rsid w:val="59647D01"/>
    <w:rsid w:val="596544AE"/>
    <w:rsid w:val="596671F9"/>
    <w:rsid w:val="597653C7"/>
    <w:rsid w:val="597A6C86"/>
    <w:rsid w:val="5980222F"/>
    <w:rsid w:val="598B6C60"/>
    <w:rsid w:val="598C74CC"/>
    <w:rsid w:val="598D50F3"/>
    <w:rsid w:val="599716A2"/>
    <w:rsid w:val="59975605"/>
    <w:rsid w:val="5999291B"/>
    <w:rsid w:val="59A33FA9"/>
    <w:rsid w:val="59A53CE1"/>
    <w:rsid w:val="59A73A9A"/>
    <w:rsid w:val="59AA25E2"/>
    <w:rsid w:val="59AC62AE"/>
    <w:rsid w:val="59AD3C12"/>
    <w:rsid w:val="59B30690"/>
    <w:rsid w:val="59B44408"/>
    <w:rsid w:val="59B45AF6"/>
    <w:rsid w:val="59B63CDD"/>
    <w:rsid w:val="59B83EF9"/>
    <w:rsid w:val="59C0439F"/>
    <w:rsid w:val="59C7413C"/>
    <w:rsid w:val="59D40607"/>
    <w:rsid w:val="59D453B7"/>
    <w:rsid w:val="59D625D1"/>
    <w:rsid w:val="59D975AF"/>
    <w:rsid w:val="59E06223"/>
    <w:rsid w:val="59E24AD2"/>
    <w:rsid w:val="59E469F1"/>
    <w:rsid w:val="59E720E8"/>
    <w:rsid w:val="59E806C7"/>
    <w:rsid w:val="59E92304"/>
    <w:rsid w:val="59EA607C"/>
    <w:rsid w:val="59EA6202"/>
    <w:rsid w:val="59EC5950"/>
    <w:rsid w:val="59EC76FE"/>
    <w:rsid w:val="59EE791A"/>
    <w:rsid w:val="59F52A3C"/>
    <w:rsid w:val="59F60CF8"/>
    <w:rsid w:val="59F667CF"/>
    <w:rsid w:val="59FC75C2"/>
    <w:rsid w:val="5A012C99"/>
    <w:rsid w:val="5A02695A"/>
    <w:rsid w:val="5A032C9A"/>
    <w:rsid w:val="5A0C4199"/>
    <w:rsid w:val="5A0D37E5"/>
    <w:rsid w:val="5A0F1829"/>
    <w:rsid w:val="5A204604"/>
    <w:rsid w:val="5A2359F1"/>
    <w:rsid w:val="5A2F1CE1"/>
    <w:rsid w:val="5A307D4C"/>
    <w:rsid w:val="5A33532D"/>
    <w:rsid w:val="5A335D71"/>
    <w:rsid w:val="5A367015"/>
    <w:rsid w:val="5A3A1ABA"/>
    <w:rsid w:val="5A3C31EA"/>
    <w:rsid w:val="5A3D07F3"/>
    <w:rsid w:val="5A403A28"/>
    <w:rsid w:val="5A432D36"/>
    <w:rsid w:val="5A596479"/>
    <w:rsid w:val="5A5B4884"/>
    <w:rsid w:val="5A5C55A1"/>
    <w:rsid w:val="5A5D05FC"/>
    <w:rsid w:val="5A5D684E"/>
    <w:rsid w:val="5A627044"/>
    <w:rsid w:val="5A663955"/>
    <w:rsid w:val="5A731BCE"/>
    <w:rsid w:val="5A795B68"/>
    <w:rsid w:val="5A7D2CE7"/>
    <w:rsid w:val="5A8262B5"/>
    <w:rsid w:val="5A847860"/>
    <w:rsid w:val="5A851901"/>
    <w:rsid w:val="5A8913F1"/>
    <w:rsid w:val="5A8A0299"/>
    <w:rsid w:val="5A8B5169"/>
    <w:rsid w:val="5A8D5F7D"/>
    <w:rsid w:val="5A8F3BA2"/>
    <w:rsid w:val="5A9349DC"/>
    <w:rsid w:val="5A9F0C15"/>
    <w:rsid w:val="5AA52BC1"/>
    <w:rsid w:val="5AA56D82"/>
    <w:rsid w:val="5AA85B39"/>
    <w:rsid w:val="5AA91A93"/>
    <w:rsid w:val="5AB346C0"/>
    <w:rsid w:val="5AB84E76"/>
    <w:rsid w:val="5ABB4D72"/>
    <w:rsid w:val="5ABE2233"/>
    <w:rsid w:val="5AC226A1"/>
    <w:rsid w:val="5AC462A3"/>
    <w:rsid w:val="5AC938EB"/>
    <w:rsid w:val="5AC97A40"/>
    <w:rsid w:val="5ACE2473"/>
    <w:rsid w:val="5AD54636"/>
    <w:rsid w:val="5AD563E4"/>
    <w:rsid w:val="5AD96BC3"/>
    <w:rsid w:val="5ADA39FB"/>
    <w:rsid w:val="5ADC3C17"/>
    <w:rsid w:val="5ADD4AE8"/>
    <w:rsid w:val="5ADD7DC6"/>
    <w:rsid w:val="5ADF6F3A"/>
    <w:rsid w:val="5ADF7263"/>
    <w:rsid w:val="5AE27234"/>
    <w:rsid w:val="5AE34FA5"/>
    <w:rsid w:val="5AE63D07"/>
    <w:rsid w:val="5AE87C8F"/>
    <w:rsid w:val="5AEA47A1"/>
    <w:rsid w:val="5AEB3E5A"/>
    <w:rsid w:val="5AED0425"/>
    <w:rsid w:val="5AF93724"/>
    <w:rsid w:val="5AFC62B9"/>
    <w:rsid w:val="5AFF3461"/>
    <w:rsid w:val="5AFF4DB0"/>
    <w:rsid w:val="5B0C743C"/>
    <w:rsid w:val="5B0D75A3"/>
    <w:rsid w:val="5B144CB3"/>
    <w:rsid w:val="5B1A64ED"/>
    <w:rsid w:val="5B1C04B7"/>
    <w:rsid w:val="5B1F58B2"/>
    <w:rsid w:val="5B215D77"/>
    <w:rsid w:val="5B21787C"/>
    <w:rsid w:val="5B234BF3"/>
    <w:rsid w:val="5B2358BC"/>
    <w:rsid w:val="5B275B22"/>
    <w:rsid w:val="5B2D6220"/>
    <w:rsid w:val="5B2F1F99"/>
    <w:rsid w:val="5B332A87"/>
    <w:rsid w:val="5B3C2A37"/>
    <w:rsid w:val="5B3E455E"/>
    <w:rsid w:val="5B440E4E"/>
    <w:rsid w:val="5B463948"/>
    <w:rsid w:val="5B541A2E"/>
    <w:rsid w:val="5B5E462C"/>
    <w:rsid w:val="5B624BBB"/>
    <w:rsid w:val="5B627E52"/>
    <w:rsid w:val="5B630E90"/>
    <w:rsid w:val="5B66495E"/>
    <w:rsid w:val="5B6D0D13"/>
    <w:rsid w:val="5B6F4A8B"/>
    <w:rsid w:val="5B74506C"/>
    <w:rsid w:val="5B773003"/>
    <w:rsid w:val="5B7A4083"/>
    <w:rsid w:val="5B7C2BC9"/>
    <w:rsid w:val="5B7C7CA2"/>
    <w:rsid w:val="5B8027F4"/>
    <w:rsid w:val="5B804E56"/>
    <w:rsid w:val="5B811B57"/>
    <w:rsid w:val="5B8C4407"/>
    <w:rsid w:val="5B907F2B"/>
    <w:rsid w:val="5B953DC6"/>
    <w:rsid w:val="5B96763D"/>
    <w:rsid w:val="5B9B5880"/>
    <w:rsid w:val="5BA04C44"/>
    <w:rsid w:val="5BA62408"/>
    <w:rsid w:val="5BA97648"/>
    <w:rsid w:val="5BB95D06"/>
    <w:rsid w:val="5BBA5D5A"/>
    <w:rsid w:val="5BBB382C"/>
    <w:rsid w:val="5BBB7CD0"/>
    <w:rsid w:val="5BBE6D09"/>
    <w:rsid w:val="5BBE7621"/>
    <w:rsid w:val="5BBE7690"/>
    <w:rsid w:val="5BC00810"/>
    <w:rsid w:val="5BC528FD"/>
    <w:rsid w:val="5BC71E54"/>
    <w:rsid w:val="5BCA7F13"/>
    <w:rsid w:val="5BD237B0"/>
    <w:rsid w:val="5BD243D6"/>
    <w:rsid w:val="5BD74251"/>
    <w:rsid w:val="5BD806E6"/>
    <w:rsid w:val="5BD95648"/>
    <w:rsid w:val="5BDD1924"/>
    <w:rsid w:val="5BDF5D95"/>
    <w:rsid w:val="5BE20302"/>
    <w:rsid w:val="5BE72873"/>
    <w:rsid w:val="5BF14C2E"/>
    <w:rsid w:val="5BFE7528"/>
    <w:rsid w:val="5C001082"/>
    <w:rsid w:val="5C0A0D6D"/>
    <w:rsid w:val="5C0A6FBD"/>
    <w:rsid w:val="5C0C4088"/>
    <w:rsid w:val="5C1328D2"/>
    <w:rsid w:val="5C174686"/>
    <w:rsid w:val="5C1816B2"/>
    <w:rsid w:val="5C193E44"/>
    <w:rsid w:val="5C1D6295"/>
    <w:rsid w:val="5C1F025F"/>
    <w:rsid w:val="5C205BBF"/>
    <w:rsid w:val="5C242E11"/>
    <w:rsid w:val="5C2C1351"/>
    <w:rsid w:val="5C321615"/>
    <w:rsid w:val="5C390BF5"/>
    <w:rsid w:val="5C3F05AC"/>
    <w:rsid w:val="5C45176F"/>
    <w:rsid w:val="5C471339"/>
    <w:rsid w:val="5C5A7650"/>
    <w:rsid w:val="5C68451B"/>
    <w:rsid w:val="5C693F03"/>
    <w:rsid w:val="5C6D1040"/>
    <w:rsid w:val="5C7560D1"/>
    <w:rsid w:val="5C831C5C"/>
    <w:rsid w:val="5C86060B"/>
    <w:rsid w:val="5C88709C"/>
    <w:rsid w:val="5C8B5A45"/>
    <w:rsid w:val="5C901F0C"/>
    <w:rsid w:val="5C902F0B"/>
    <w:rsid w:val="5C9522CF"/>
    <w:rsid w:val="5C981DBF"/>
    <w:rsid w:val="5C9F70ED"/>
    <w:rsid w:val="5CA70254"/>
    <w:rsid w:val="5CA97B29"/>
    <w:rsid w:val="5CAE15E3"/>
    <w:rsid w:val="5CB169DD"/>
    <w:rsid w:val="5CB36BF9"/>
    <w:rsid w:val="5CB817EE"/>
    <w:rsid w:val="5CBA2C4C"/>
    <w:rsid w:val="5CBA7D0C"/>
    <w:rsid w:val="5CC06FCC"/>
    <w:rsid w:val="5CC11316"/>
    <w:rsid w:val="5CC3098C"/>
    <w:rsid w:val="5CCE2189"/>
    <w:rsid w:val="5CD379A9"/>
    <w:rsid w:val="5CDA23D8"/>
    <w:rsid w:val="5CDE61E5"/>
    <w:rsid w:val="5CE46DB3"/>
    <w:rsid w:val="5CEC3A93"/>
    <w:rsid w:val="5CEC747F"/>
    <w:rsid w:val="5CF54B1C"/>
    <w:rsid w:val="5CFD5DA4"/>
    <w:rsid w:val="5D002B6A"/>
    <w:rsid w:val="5D0204D6"/>
    <w:rsid w:val="5D094A6B"/>
    <w:rsid w:val="5D0A2889"/>
    <w:rsid w:val="5D0B04AC"/>
    <w:rsid w:val="5D0C1C08"/>
    <w:rsid w:val="5D0E2082"/>
    <w:rsid w:val="5D101956"/>
    <w:rsid w:val="5D107BA8"/>
    <w:rsid w:val="5D1256CE"/>
    <w:rsid w:val="5D131446"/>
    <w:rsid w:val="5D1717AF"/>
    <w:rsid w:val="5D1A4582"/>
    <w:rsid w:val="5D1C5CC2"/>
    <w:rsid w:val="5D1C7811"/>
    <w:rsid w:val="5D1F7DEB"/>
    <w:rsid w:val="5D2116BF"/>
    <w:rsid w:val="5D250E31"/>
    <w:rsid w:val="5D2740BB"/>
    <w:rsid w:val="5D2746F8"/>
    <w:rsid w:val="5D293816"/>
    <w:rsid w:val="5D323FC2"/>
    <w:rsid w:val="5D372F58"/>
    <w:rsid w:val="5D373386"/>
    <w:rsid w:val="5D375134"/>
    <w:rsid w:val="5D3B07BB"/>
    <w:rsid w:val="5D3B0F8C"/>
    <w:rsid w:val="5D3C099D"/>
    <w:rsid w:val="5D3C6BEF"/>
    <w:rsid w:val="5D3D29AA"/>
    <w:rsid w:val="5D3E4715"/>
    <w:rsid w:val="5D3E7A82"/>
    <w:rsid w:val="5D470B36"/>
    <w:rsid w:val="5D526250"/>
    <w:rsid w:val="5D535CE6"/>
    <w:rsid w:val="5D567CEE"/>
    <w:rsid w:val="5D57778A"/>
    <w:rsid w:val="5D6241BC"/>
    <w:rsid w:val="5D627360"/>
    <w:rsid w:val="5D6E48CE"/>
    <w:rsid w:val="5D74760D"/>
    <w:rsid w:val="5D7A7717"/>
    <w:rsid w:val="5D7B7E30"/>
    <w:rsid w:val="5D7C0182"/>
    <w:rsid w:val="5D7E7207"/>
    <w:rsid w:val="5D942D30"/>
    <w:rsid w:val="5D9B1B67"/>
    <w:rsid w:val="5DA36273"/>
    <w:rsid w:val="5DAC246E"/>
    <w:rsid w:val="5DB42C29"/>
    <w:rsid w:val="5DB449D7"/>
    <w:rsid w:val="5DBB1E62"/>
    <w:rsid w:val="5DC11BD4"/>
    <w:rsid w:val="5DC32E6C"/>
    <w:rsid w:val="5DC42740"/>
    <w:rsid w:val="5DC759B6"/>
    <w:rsid w:val="5DC961C2"/>
    <w:rsid w:val="5DCD5A99"/>
    <w:rsid w:val="5DD337FE"/>
    <w:rsid w:val="5DDB29D0"/>
    <w:rsid w:val="5DDC3F2E"/>
    <w:rsid w:val="5DE401C7"/>
    <w:rsid w:val="5DEA0758"/>
    <w:rsid w:val="5DEE4B0E"/>
    <w:rsid w:val="5DEF78BB"/>
    <w:rsid w:val="5DF3340F"/>
    <w:rsid w:val="5DF96318"/>
    <w:rsid w:val="5E001ACF"/>
    <w:rsid w:val="5E077FA7"/>
    <w:rsid w:val="5E08087F"/>
    <w:rsid w:val="5E0D034B"/>
    <w:rsid w:val="5E1436C8"/>
    <w:rsid w:val="5E195986"/>
    <w:rsid w:val="5E1B7EF2"/>
    <w:rsid w:val="5E1C257C"/>
    <w:rsid w:val="5E1E4DF0"/>
    <w:rsid w:val="5E1F60A7"/>
    <w:rsid w:val="5E2356B9"/>
    <w:rsid w:val="5E2467F1"/>
    <w:rsid w:val="5E2A4C99"/>
    <w:rsid w:val="5E352B67"/>
    <w:rsid w:val="5E370582"/>
    <w:rsid w:val="5E381A9C"/>
    <w:rsid w:val="5E3B6AAD"/>
    <w:rsid w:val="5E4A70E9"/>
    <w:rsid w:val="5E4F4700"/>
    <w:rsid w:val="5E565A8E"/>
    <w:rsid w:val="5E577F63"/>
    <w:rsid w:val="5E631F59"/>
    <w:rsid w:val="5E635D82"/>
    <w:rsid w:val="5E6957C1"/>
    <w:rsid w:val="5E730575"/>
    <w:rsid w:val="5E761C8C"/>
    <w:rsid w:val="5E7674DE"/>
    <w:rsid w:val="5E79083D"/>
    <w:rsid w:val="5E800D5D"/>
    <w:rsid w:val="5E89726E"/>
    <w:rsid w:val="5E8A5738"/>
    <w:rsid w:val="5E987791"/>
    <w:rsid w:val="5E9F464C"/>
    <w:rsid w:val="5E9F7435"/>
    <w:rsid w:val="5EA66A16"/>
    <w:rsid w:val="5EA902B4"/>
    <w:rsid w:val="5EAF155F"/>
    <w:rsid w:val="5EB033F0"/>
    <w:rsid w:val="5EB036B2"/>
    <w:rsid w:val="5EBD78BB"/>
    <w:rsid w:val="5EC62C14"/>
    <w:rsid w:val="5EC7073A"/>
    <w:rsid w:val="5EC944B2"/>
    <w:rsid w:val="5ECB647C"/>
    <w:rsid w:val="5ECC7AFE"/>
    <w:rsid w:val="5ED30271"/>
    <w:rsid w:val="5ED370DF"/>
    <w:rsid w:val="5EDE0D40"/>
    <w:rsid w:val="5EE027E7"/>
    <w:rsid w:val="5EE22D04"/>
    <w:rsid w:val="5EE475E4"/>
    <w:rsid w:val="5EE55333"/>
    <w:rsid w:val="5EEC6D75"/>
    <w:rsid w:val="5EF07C91"/>
    <w:rsid w:val="5EF37781"/>
    <w:rsid w:val="5EF37937"/>
    <w:rsid w:val="5EFC134A"/>
    <w:rsid w:val="5EFE5DC1"/>
    <w:rsid w:val="5EFF5A75"/>
    <w:rsid w:val="5F014E9D"/>
    <w:rsid w:val="5F071428"/>
    <w:rsid w:val="5F0965A4"/>
    <w:rsid w:val="5F0B0D18"/>
    <w:rsid w:val="5F1A2B43"/>
    <w:rsid w:val="5F1F1FF6"/>
    <w:rsid w:val="5F2218B2"/>
    <w:rsid w:val="5F2B6F1B"/>
    <w:rsid w:val="5F2D2C93"/>
    <w:rsid w:val="5F311D58"/>
    <w:rsid w:val="5F3B05DC"/>
    <w:rsid w:val="5F3E3C5B"/>
    <w:rsid w:val="5F401D9B"/>
    <w:rsid w:val="5F41214C"/>
    <w:rsid w:val="5F431FA1"/>
    <w:rsid w:val="5F461238"/>
    <w:rsid w:val="5F462387"/>
    <w:rsid w:val="5F4A106A"/>
    <w:rsid w:val="5F4B022D"/>
    <w:rsid w:val="5F4B4919"/>
    <w:rsid w:val="5F506981"/>
    <w:rsid w:val="5F530220"/>
    <w:rsid w:val="5F5650DC"/>
    <w:rsid w:val="5F5875E4"/>
    <w:rsid w:val="5F592D36"/>
    <w:rsid w:val="5F595ACD"/>
    <w:rsid w:val="5F5C6189"/>
    <w:rsid w:val="5F5F1038"/>
    <w:rsid w:val="5F6B4CCF"/>
    <w:rsid w:val="5F7A2EE8"/>
    <w:rsid w:val="5F7E529D"/>
    <w:rsid w:val="5F864151"/>
    <w:rsid w:val="5F8A052F"/>
    <w:rsid w:val="5F8F1018"/>
    <w:rsid w:val="5F9525E6"/>
    <w:rsid w:val="5F9862CA"/>
    <w:rsid w:val="5FA32F55"/>
    <w:rsid w:val="5FB7255D"/>
    <w:rsid w:val="5FB837BB"/>
    <w:rsid w:val="5FBF31B3"/>
    <w:rsid w:val="5FC222E6"/>
    <w:rsid w:val="5FC259CE"/>
    <w:rsid w:val="5FC4308B"/>
    <w:rsid w:val="5FCF3D4A"/>
    <w:rsid w:val="5FD01870"/>
    <w:rsid w:val="5FD0361E"/>
    <w:rsid w:val="5FD255E8"/>
    <w:rsid w:val="5FD46A15"/>
    <w:rsid w:val="5FD924D3"/>
    <w:rsid w:val="5FE532A2"/>
    <w:rsid w:val="5FF21651"/>
    <w:rsid w:val="5FF67529"/>
    <w:rsid w:val="5FFC4413"/>
    <w:rsid w:val="5FFD5996"/>
    <w:rsid w:val="6008100A"/>
    <w:rsid w:val="60103799"/>
    <w:rsid w:val="6017749F"/>
    <w:rsid w:val="60177B46"/>
    <w:rsid w:val="60180706"/>
    <w:rsid w:val="601B6F8F"/>
    <w:rsid w:val="601C3E3D"/>
    <w:rsid w:val="601E25DC"/>
    <w:rsid w:val="60200102"/>
    <w:rsid w:val="60234096"/>
    <w:rsid w:val="602A28EC"/>
    <w:rsid w:val="602C11A0"/>
    <w:rsid w:val="60365B77"/>
    <w:rsid w:val="603C3B9C"/>
    <w:rsid w:val="604069F6"/>
    <w:rsid w:val="604638E0"/>
    <w:rsid w:val="60473184"/>
    <w:rsid w:val="60483AFC"/>
    <w:rsid w:val="604A517F"/>
    <w:rsid w:val="604F4E8B"/>
    <w:rsid w:val="60522285"/>
    <w:rsid w:val="60593614"/>
    <w:rsid w:val="60620269"/>
    <w:rsid w:val="6065020A"/>
    <w:rsid w:val="60656AB9"/>
    <w:rsid w:val="60673F83"/>
    <w:rsid w:val="60681AA9"/>
    <w:rsid w:val="60695F4D"/>
    <w:rsid w:val="606A5D6B"/>
    <w:rsid w:val="6072639B"/>
    <w:rsid w:val="60757447"/>
    <w:rsid w:val="607937C9"/>
    <w:rsid w:val="60793CB6"/>
    <w:rsid w:val="607E12CC"/>
    <w:rsid w:val="60803296"/>
    <w:rsid w:val="60891CF4"/>
    <w:rsid w:val="608A127E"/>
    <w:rsid w:val="608F19AC"/>
    <w:rsid w:val="60910267"/>
    <w:rsid w:val="60967917"/>
    <w:rsid w:val="609D307B"/>
    <w:rsid w:val="60A356C4"/>
    <w:rsid w:val="60A95C2E"/>
    <w:rsid w:val="60A978E8"/>
    <w:rsid w:val="60B50F97"/>
    <w:rsid w:val="60B8658C"/>
    <w:rsid w:val="60BC7E74"/>
    <w:rsid w:val="60BD1060"/>
    <w:rsid w:val="60BE2043"/>
    <w:rsid w:val="60BE791B"/>
    <w:rsid w:val="60C04175"/>
    <w:rsid w:val="60C82547"/>
    <w:rsid w:val="60CC405A"/>
    <w:rsid w:val="60CD3C52"/>
    <w:rsid w:val="60CE5484"/>
    <w:rsid w:val="60D63372"/>
    <w:rsid w:val="60DB1612"/>
    <w:rsid w:val="60DC7029"/>
    <w:rsid w:val="60DD4245"/>
    <w:rsid w:val="60DE1591"/>
    <w:rsid w:val="60E44846"/>
    <w:rsid w:val="60E44EAB"/>
    <w:rsid w:val="60F35816"/>
    <w:rsid w:val="60F94C01"/>
    <w:rsid w:val="60FD75AC"/>
    <w:rsid w:val="61006F0C"/>
    <w:rsid w:val="611052AA"/>
    <w:rsid w:val="611759A9"/>
    <w:rsid w:val="61197766"/>
    <w:rsid w:val="61202383"/>
    <w:rsid w:val="61232F88"/>
    <w:rsid w:val="612956DC"/>
    <w:rsid w:val="612D2848"/>
    <w:rsid w:val="612E4AA0"/>
    <w:rsid w:val="612F0A64"/>
    <w:rsid w:val="61357BDD"/>
    <w:rsid w:val="613B0F6B"/>
    <w:rsid w:val="614442C4"/>
    <w:rsid w:val="614C27B6"/>
    <w:rsid w:val="614E4127"/>
    <w:rsid w:val="61544139"/>
    <w:rsid w:val="615A5895"/>
    <w:rsid w:val="615A6E64"/>
    <w:rsid w:val="615E1FB9"/>
    <w:rsid w:val="61616C24"/>
    <w:rsid w:val="616404C2"/>
    <w:rsid w:val="61646714"/>
    <w:rsid w:val="616473E7"/>
    <w:rsid w:val="61676CFF"/>
    <w:rsid w:val="616B1851"/>
    <w:rsid w:val="616B68A3"/>
    <w:rsid w:val="616C0976"/>
    <w:rsid w:val="616F4356"/>
    <w:rsid w:val="617240E5"/>
    <w:rsid w:val="617C404C"/>
    <w:rsid w:val="61811074"/>
    <w:rsid w:val="61832254"/>
    <w:rsid w:val="618531C6"/>
    <w:rsid w:val="618A197E"/>
    <w:rsid w:val="61926DDD"/>
    <w:rsid w:val="61930DA7"/>
    <w:rsid w:val="61932B55"/>
    <w:rsid w:val="619472BB"/>
    <w:rsid w:val="61955C36"/>
    <w:rsid w:val="619A4975"/>
    <w:rsid w:val="619B3FD0"/>
    <w:rsid w:val="619C7C5C"/>
    <w:rsid w:val="61A30D8A"/>
    <w:rsid w:val="61A30FEA"/>
    <w:rsid w:val="61A46B11"/>
    <w:rsid w:val="61A56C12"/>
    <w:rsid w:val="61AB4343"/>
    <w:rsid w:val="61AE5BF4"/>
    <w:rsid w:val="61AF3E33"/>
    <w:rsid w:val="61B551C2"/>
    <w:rsid w:val="61B62A43"/>
    <w:rsid w:val="61BC02FE"/>
    <w:rsid w:val="61BD1D0E"/>
    <w:rsid w:val="61C176C2"/>
    <w:rsid w:val="61C53F19"/>
    <w:rsid w:val="61C6117D"/>
    <w:rsid w:val="61C83B57"/>
    <w:rsid w:val="61CC33D5"/>
    <w:rsid w:val="61CD11EB"/>
    <w:rsid w:val="61CD42B9"/>
    <w:rsid w:val="61CF1677"/>
    <w:rsid w:val="61CF1FFF"/>
    <w:rsid w:val="61D17319"/>
    <w:rsid w:val="61D75E21"/>
    <w:rsid w:val="61D85AC9"/>
    <w:rsid w:val="61DE1F28"/>
    <w:rsid w:val="61E215D8"/>
    <w:rsid w:val="61E76A46"/>
    <w:rsid w:val="61E83787"/>
    <w:rsid w:val="61FB7C8E"/>
    <w:rsid w:val="61FC06FB"/>
    <w:rsid w:val="62064265"/>
    <w:rsid w:val="620677CB"/>
    <w:rsid w:val="620815C8"/>
    <w:rsid w:val="620A72BB"/>
    <w:rsid w:val="620D6DAC"/>
    <w:rsid w:val="620F40B1"/>
    <w:rsid w:val="6213047A"/>
    <w:rsid w:val="62181EE6"/>
    <w:rsid w:val="62183792"/>
    <w:rsid w:val="621A6DD3"/>
    <w:rsid w:val="621B3775"/>
    <w:rsid w:val="622540F5"/>
    <w:rsid w:val="622B0FE0"/>
    <w:rsid w:val="622C6B78"/>
    <w:rsid w:val="62362CF4"/>
    <w:rsid w:val="62364782"/>
    <w:rsid w:val="623720B9"/>
    <w:rsid w:val="62404A8B"/>
    <w:rsid w:val="62414596"/>
    <w:rsid w:val="62415380"/>
    <w:rsid w:val="62481B92"/>
    <w:rsid w:val="624C4E55"/>
    <w:rsid w:val="624E0893"/>
    <w:rsid w:val="624E70B1"/>
    <w:rsid w:val="624F1172"/>
    <w:rsid w:val="625209B9"/>
    <w:rsid w:val="6252656D"/>
    <w:rsid w:val="62614A02"/>
    <w:rsid w:val="62634C1E"/>
    <w:rsid w:val="626369CC"/>
    <w:rsid w:val="626A1B08"/>
    <w:rsid w:val="626D2023"/>
    <w:rsid w:val="627209BD"/>
    <w:rsid w:val="62771F43"/>
    <w:rsid w:val="627838A0"/>
    <w:rsid w:val="62797F9D"/>
    <w:rsid w:val="627D7A8D"/>
    <w:rsid w:val="627E51DA"/>
    <w:rsid w:val="628030DA"/>
    <w:rsid w:val="62850A57"/>
    <w:rsid w:val="62862181"/>
    <w:rsid w:val="628816D8"/>
    <w:rsid w:val="628E1C9B"/>
    <w:rsid w:val="629C4DF2"/>
    <w:rsid w:val="629D3E15"/>
    <w:rsid w:val="62A0552A"/>
    <w:rsid w:val="62AA1DB0"/>
    <w:rsid w:val="62AC4080"/>
    <w:rsid w:val="62AF7E63"/>
    <w:rsid w:val="62B2525D"/>
    <w:rsid w:val="62B52802"/>
    <w:rsid w:val="62B611F1"/>
    <w:rsid w:val="62B936C9"/>
    <w:rsid w:val="62B965EC"/>
    <w:rsid w:val="62C31A76"/>
    <w:rsid w:val="62C70274"/>
    <w:rsid w:val="62C92CD3"/>
    <w:rsid w:val="62CD2097"/>
    <w:rsid w:val="62CF6AAF"/>
    <w:rsid w:val="62D11B87"/>
    <w:rsid w:val="62D13935"/>
    <w:rsid w:val="62D152C3"/>
    <w:rsid w:val="62D172D1"/>
    <w:rsid w:val="62D33B51"/>
    <w:rsid w:val="62D358FF"/>
    <w:rsid w:val="62E0001C"/>
    <w:rsid w:val="62E12624"/>
    <w:rsid w:val="62E775FD"/>
    <w:rsid w:val="62E8203F"/>
    <w:rsid w:val="62F31AFE"/>
    <w:rsid w:val="62F53AC8"/>
    <w:rsid w:val="62F615EE"/>
    <w:rsid w:val="62FA7330"/>
    <w:rsid w:val="62FB09B2"/>
    <w:rsid w:val="62FD2D46"/>
    <w:rsid w:val="62FD5FB9"/>
    <w:rsid w:val="63043D0B"/>
    <w:rsid w:val="6306709B"/>
    <w:rsid w:val="630A3E66"/>
    <w:rsid w:val="630E06E5"/>
    <w:rsid w:val="63165FA7"/>
    <w:rsid w:val="632074AD"/>
    <w:rsid w:val="63212267"/>
    <w:rsid w:val="63215906"/>
    <w:rsid w:val="632225B3"/>
    <w:rsid w:val="63293771"/>
    <w:rsid w:val="632B4E06"/>
    <w:rsid w:val="632B64E7"/>
    <w:rsid w:val="632E0D88"/>
    <w:rsid w:val="6330580C"/>
    <w:rsid w:val="63340929"/>
    <w:rsid w:val="633649C0"/>
    <w:rsid w:val="63387A26"/>
    <w:rsid w:val="633914DA"/>
    <w:rsid w:val="633C08FC"/>
    <w:rsid w:val="633E1A60"/>
    <w:rsid w:val="63416D0D"/>
    <w:rsid w:val="634217E8"/>
    <w:rsid w:val="634265E1"/>
    <w:rsid w:val="634B7B8C"/>
    <w:rsid w:val="634E64FC"/>
    <w:rsid w:val="63544194"/>
    <w:rsid w:val="63590869"/>
    <w:rsid w:val="635F3637"/>
    <w:rsid w:val="63647883"/>
    <w:rsid w:val="6367429A"/>
    <w:rsid w:val="63683A4C"/>
    <w:rsid w:val="636B3D8A"/>
    <w:rsid w:val="636F233B"/>
    <w:rsid w:val="637013A0"/>
    <w:rsid w:val="637A7682"/>
    <w:rsid w:val="638552A0"/>
    <w:rsid w:val="638769CE"/>
    <w:rsid w:val="638E55D2"/>
    <w:rsid w:val="6394356A"/>
    <w:rsid w:val="63944097"/>
    <w:rsid w:val="6397692D"/>
    <w:rsid w:val="63983766"/>
    <w:rsid w:val="639A01CB"/>
    <w:rsid w:val="639D1DD4"/>
    <w:rsid w:val="63A33228"/>
    <w:rsid w:val="63A64DC2"/>
    <w:rsid w:val="63A70B3A"/>
    <w:rsid w:val="63A977B9"/>
    <w:rsid w:val="63B02335"/>
    <w:rsid w:val="63B279CD"/>
    <w:rsid w:val="63B51154"/>
    <w:rsid w:val="63B82D47"/>
    <w:rsid w:val="63B91E59"/>
    <w:rsid w:val="63BC45E5"/>
    <w:rsid w:val="63BD210C"/>
    <w:rsid w:val="63C4067C"/>
    <w:rsid w:val="63C61B2C"/>
    <w:rsid w:val="63C65464"/>
    <w:rsid w:val="63CC234F"/>
    <w:rsid w:val="63D00091"/>
    <w:rsid w:val="63D40BE9"/>
    <w:rsid w:val="63D95197"/>
    <w:rsid w:val="63DD4B50"/>
    <w:rsid w:val="63DD630A"/>
    <w:rsid w:val="63E678B4"/>
    <w:rsid w:val="63EA2D09"/>
    <w:rsid w:val="63EB3B94"/>
    <w:rsid w:val="63EB4ECB"/>
    <w:rsid w:val="63F05DFF"/>
    <w:rsid w:val="63F10BEA"/>
    <w:rsid w:val="63F23BEA"/>
    <w:rsid w:val="63F975E8"/>
    <w:rsid w:val="63FF2724"/>
    <w:rsid w:val="64007E18"/>
    <w:rsid w:val="640146EE"/>
    <w:rsid w:val="64074BCA"/>
    <w:rsid w:val="640B49E2"/>
    <w:rsid w:val="640D4E41"/>
    <w:rsid w:val="640E2967"/>
    <w:rsid w:val="64102431"/>
    <w:rsid w:val="641066DF"/>
    <w:rsid w:val="64173EFA"/>
    <w:rsid w:val="641C5084"/>
    <w:rsid w:val="64242A33"/>
    <w:rsid w:val="64265F03"/>
    <w:rsid w:val="64267CB1"/>
    <w:rsid w:val="64285135"/>
    <w:rsid w:val="642E5A0B"/>
    <w:rsid w:val="642F125B"/>
    <w:rsid w:val="642F3009"/>
    <w:rsid w:val="642F7E17"/>
    <w:rsid w:val="643322BC"/>
    <w:rsid w:val="643A375C"/>
    <w:rsid w:val="643E39FE"/>
    <w:rsid w:val="644279E6"/>
    <w:rsid w:val="64446389"/>
    <w:rsid w:val="64452F49"/>
    <w:rsid w:val="64456942"/>
    <w:rsid w:val="64493D8F"/>
    <w:rsid w:val="644D47F0"/>
    <w:rsid w:val="644F3738"/>
    <w:rsid w:val="64520AA6"/>
    <w:rsid w:val="64671BB7"/>
    <w:rsid w:val="647A41C3"/>
    <w:rsid w:val="64840F16"/>
    <w:rsid w:val="64851E32"/>
    <w:rsid w:val="64882719"/>
    <w:rsid w:val="648A46E4"/>
    <w:rsid w:val="64902B9E"/>
    <w:rsid w:val="649C61C5"/>
    <w:rsid w:val="64A31301"/>
    <w:rsid w:val="64A42741"/>
    <w:rsid w:val="64A5243A"/>
    <w:rsid w:val="64AD03D2"/>
    <w:rsid w:val="64AD2180"/>
    <w:rsid w:val="64B654D9"/>
    <w:rsid w:val="64B81251"/>
    <w:rsid w:val="64BD0615"/>
    <w:rsid w:val="64C574CA"/>
    <w:rsid w:val="64C9520C"/>
    <w:rsid w:val="64CC6AAA"/>
    <w:rsid w:val="64CF02FD"/>
    <w:rsid w:val="64D040DE"/>
    <w:rsid w:val="64D12312"/>
    <w:rsid w:val="64D21BE7"/>
    <w:rsid w:val="64D74D2B"/>
    <w:rsid w:val="64DD2A65"/>
    <w:rsid w:val="64E14E42"/>
    <w:rsid w:val="64F46001"/>
    <w:rsid w:val="64F47195"/>
    <w:rsid w:val="64F531DE"/>
    <w:rsid w:val="64FE29DC"/>
    <w:rsid w:val="65011063"/>
    <w:rsid w:val="650457AB"/>
    <w:rsid w:val="650758DA"/>
    <w:rsid w:val="65167D25"/>
    <w:rsid w:val="65172C25"/>
    <w:rsid w:val="651C71CE"/>
    <w:rsid w:val="651E1886"/>
    <w:rsid w:val="65247DB9"/>
    <w:rsid w:val="65273CE0"/>
    <w:rsid w:val="652E506F"/>
    <w:rsid w:val="65310A80"/>
    <w:rsid w:val="6531690D"/>
    <w:rsid w:val="65317D45"/>
    <w:rsid w:val="65335EBC"/>
    <w:rsid w:val="65373578"/>
    <w:rsid w:val="6538351C"/>
    <w:rsid w:val="65462432"/>
    <w:rsid w:val="65462486"/>
    <w:rsid w:val="654B3ABF"/>
    <w:rsid w:val="654F3237"/>
    <w:rsid w:val="65517B28"/>
    <w:rsid w:val="655814EA"/>
    <w:rsid w:val="65604E14"/>
    <w:rsid w:val="65644F35"/>
    <w:rsid w:val="65660CAD"/>
    <w:rsid w:val="656B46CF"/>
    <w:rsid w:val="6578453C"/>
    <w:rsid w:val="657E40B7"/>
    <w:rsid w:val="657F77F3"/>
    <w:rsid w:val="658C6239"/>
    <w:rsid w:val="65944F19"/>
    <w:rsid w:val="65962C14"/>
    <w:rsid w:val="659A6BA8"/>
    <w:rsid w:val="65A272E6"/>
    <w:rsid w:val="65A92947"/>
    <w:rsid w:val="65AA7839"/>
    <w:rsid w:val="65AF18EF"/>
    <w:rsid w:val="65AF24FC"/>
    <w:rsid w:val="65B16484"/>
    <w:rsid w:val="65B242C1"/>
    <w:rsid w:val="65B337C6"/>
    <w:rsid w:val="65B41636"/>
    <w:rsid w:val="65B904AF"/>
    <w:rsid w:val="65BF28C0"/>
    <w:rsid w:val="65C14135"/>
    <w:rsid w:val="65C31EBF"/>
    <w:rsid w:val="65CB0B10"/>
    <w:rsid w:val="65D329DC"/>
    <w:rsid w:val="65D9563C"/>
    <w:rsid w:val="65DB3657"/>
    <w:rsid w:val="65DB6AE0"/>
    <w:rsid w:val="65DC6B33"/>
    <w:rsid w:val="65E12D89"/>
    <w:rsid w:val="65E816C2"/>
    <w:rsid w:val="65E971E8"/>
    <w:rsid w:val="65EC0A86"/>
    <w:rsid w:val="65EF0514"/>
    <w:rsid w:val="65FF6A0B"/>
    <w:rsid w:val="66063F8F"/>
    <w:rsid w:val="6607107C"/>
    <w:rsid w:val="660D2ED6"/>
    <w:rsid w:val="66112C08"/>
    <w:rsid w:val="66184BA2"/>
    <w:rsid w:val="661C5916"/>
    <w:rsid w:val="661F70AE"/>
    <w:rsid w:val="661F7830"/>
    <w:rsid w:val="66240220"/>
    <w:rsid w:val="66264306"/>
    <w:rsid w:val="66320B8F"/>
    <w:rsid w:val="66391F1D"/>
    <w:rsid w:val="663A7A43"/>
    <w:rsid w:val="66483D36"/>
    <w:rsid w:val="66503996"/>
    <w:rsid w:val="66575337"/>
    <w:rsid w:val="66596BBD"/>
    <w:rsid w:val="665C20B0"/>
    <w:rsid w:val="665C3D4F"/>
    <w:rsid w:val="666A0292"/>
    <w:rsid w:val="666B10DF"/>
    <w:rsid w:val="666E38DB"/>
    <w:rsid w:val="66714F40"/>
    <w:rsid w:val="66763171"/>
    <w:rsid w:val="667B0788"/>
    <w:rsid w:val="66810A05"/>
    <w:rsid w:val="66833198"/>
    <w:rsid w:val="66855E09"/>
    <w:rsid w:val="668607FC"/>
    <w:rsid w:val="66860EDB"/>
    <w:rsid w:val="668641F4"/>
    <w:rsid w:val="668A09CB"/>
    <w:rsid w:val="668F5FE1"/>
    <w:rsid w:val="6695111E"/>
    <w:rsid w:val="669D40AB"/>
    <w:rsid w:val="66A370CE"/>
    <w:rsid w:val="66A718E0"/>
    <w:rsid w:val="66A80E51"/>
    <w:rsid w:val="66AA4BC9"/>
    <w:rsid w:val="66AE3BEE"/>
    <w:rsid w:val="66C33EDD"/>
    <w:rsid w:val="66C36B8F"/>
    <w:rsid w:val="66C51AAB"/>
    <w:rsid w:val="66C9098F"/>
    <w:rsid w:val="66CD4D5B"/>
    <w:rsid w:val="66CD74EB"/>
    <w:rsid w:val="66D41C46"/>
    <w:rsid w:val="66DA706A"/>
    <w:rsid w:val="66DF6717"/>
    <w:rsid w:val="66E414EA"/>
    <w:rsid w:val="66E873CE"/>
    <w:rsid w:val="66F300FB"/>
    <w:rsid w:val="66F5632C"/>
    <w:rsid w:val="6703152B"/>
    <w:rsid w:val="670503E1"/>
    <w:rsid w:val="67073DC9"/>
    <w:rsid w:val="670752CC"/>
    <w:rsid w:val="670F7122"/>
    <w:rsid w:val="67141D0B"/>
    <w:rsid w:val="671708C5"/>
    <w:rsid w:val="67185FD7"/>
    <w:rsid w:val="67191D4F"/>
    <w:rsid w:val="671F124A"/>
    <w:rsid w:val="67206C39"/>
    <w:rsid w:val="6722070B"/>
    <w:rsid w:val="672524A2"/>
    <w:rsid w:val="67266558"/>
    <w:rsid w:val="67283D40"/>
    <w:rsid w:val="672D1356"/>
    <w:rsid w:val="67392CCC"/>
    <w:rsid w:val="67397CFB"/>
    <w:rsid w:val="673C2122"/>
    <w:rsid w:val="674067A8"/>
    <w:rsid w:val="67452246"/>
    <w:rsid w:val="6746005A"/>
    <w:rsid w:val="67467072"/>
    <w:rsid w:val="674D150B"/>
    <w:rsid w:val="674D2CD2"/>
    <w:rsid w:val="67554EF5"/>
    <w:rsid w:val="67586027"/>
    <w:rsid w:val="67590DCC"/>
    <w:rsid w:val="675A3185"/>
    <w:rsid w:val="675D091D"/>
    <w:rsid w:val="675E7762"/>
    <w:rsid w:val="67626C3F"/>
    <w:rsid w:val="67627252"/>
    <w:rsid w:val="67696832"/>
    <w:rsid w:val="67696CD9"/>
    <w:rsid w:val="67704709"/>
    <w:rsid w:val="67715E8D"/>
    <w:rsid w:val="67750BD7"/>
    <w:rsid w:val="6778132C"/>
    <w:rsid w:val="677A33C6"/>
    <w:rsid w:val="67890C82"/>
    <w:rsid w:val="678C42CF"/>
    <w:rsid w:val="67900263"/>
    <w:rsid w:val="67922539"/>
    <w:rsid w:val="679B09B6"/>
    <w:rsid w:val="679B2764"/>
    <w:rsid w:val="679C2E98"/>
    <w:rsid w:val="679D028A"/>
    <w:rsid w:val="679D5376"/>
    <w:rsid w:val="679F0344"/>
    <w:rsid w:val="679F4002"/>
    <w:rsid w:val="67A23AF2"/>
    <w:rsid w:val="67A41618"/>
    <w:rsid w:val="67A4786A"/>
    <w:rsid w:val="67AC671F"/>
    <w:rsid w:val="67AE343A"/>
    <w:rsid w:val="67BD43F3"/>
    <w:rsid w:val="67C0431C"/>
    <w:rsid w:val="67C32A17"/>
    <w:rsid w:val="67CA4DF7"/>
    <w:rsid w:val="67D03B42"/>
    <w:rsid w:val="67D124CC"/>
    <w:rsid w:val="67D55C76"/>
    <w:rsid w:val="67D619EE"/>
    <w:rsid w:val="67D63D90"/>
    <w:rsid w:val="67DF6AF4"/>
    <w:rsid w:val="67E20393"/>
    <w:rsid w:val="67E61E8E"/>
    <w:rsid w:val="67E73BFB"/>
    <w:rsid w:val="67E91721"/>
    <w:rsid w:val="67EC20DF"/>
    <w:rsid w:val="67F818B5"/>
    <w:rsid w:val="67FF0F45"/>
    <w:rsid w:val="680102C6"/>
    <w:rsid w:val="68040309"/>
    <w:rsid w:val="68071393"/>
    <w:rsid w:val="680C5410"/>
    <w:rsid w:val="680D18B3"/>
    <w:rsid w:val="681744E0"/>
    <w:rsid w:val="681F6961"/>
    <w:rsid w:val="6828049B"/>
    <w:rsid w:val="68282344"/>
    <w:rsid w:val="683055A2"/>
    <w:rsid w:val="68306927"/>
    <w:rsid w:val="68354966"/>
    <w:rsid w:val="683573B6"/>
    <w:rsid w:val="6837248C"/>
    <w:rsid w:val="683E1412"/>
    <w:rsid w:val="68403510"/>
    <w:rsid w:val="6844104D"/>
    <w:rsid w:val="684A5B95"/>
    <w:rsid w:val="684B5F38"/>
    <w:rsid w:val="684D33EC"/>
    <w:rsid w:val="68540C60"/>
    <w:rsid w:val="6856731C"/>
    <w:rsid w:val="685814FE"/>
    <w:rsid w:val="68594E4C"/>
    <w:rsid w:val="68596203"/>
    <w:rsid w:val="685B394F"/>
    <w:rsid w:val="68610A2F"/>
    <w:rsid w:val="68641968"/>
    <w:rsid w:val="68646FFA"/>
    <w:rsid w:val="68671EE0"/>
    <w:rsid w:val="686D4DEE"/>
    <w:rsid w:val="686F13BE"/>
    <w:rsid w:val="686F5A57"/>
    <w:rsid w:val="686F7E78"/>
    <w:rsid w:val="68705C18"/>
    <w:rsid w:val="687436E1"/>
    <w:rsid w:val="687950AD"/>
    <w:rsid w:val="687C5E39"/>
    <w:rsid w:val="687E455F"/>
    <w:rsid w:val="68805514"/>
    <w:rsid w:val="68815DFE"/>
    <w:rsid w:val="688356D2"/>
    <w:rsid w:val="688651C2"/>
    <w:rsid w:val="68880F3A"/>
    <w:rsid w:val="688F20D7"/>
    <w:rsid w:val="688F37FD"/>
    <w:rsid w:val="68956452"/>
    <w:rsid w:val="689859A9"/>
    <w:rsid w:val="689E42BA"/>
    <w:rsid w:val="68A85138"/>
    <w:rsid w:val="68AA0F63"/>
    <w:rsid w:val="68AA7102"/>
    <w:rsid w:val="68AB2848"/>
    <w:rsid w:val="68B41D2F"/>
    <w:rsid w:val="68B453BE"/>
    <w:rsid w:val="68B94F26"/>
    <w:rsid w:val="68BF05A2"/>
    <w:rsid w:val="68D26659"/>
    <w:rsid w:val="68D42C30"/>
    <w:rsid w:val="68D75A1D"/>
    <w:rsid w:val="68DA22C3"/>
    <w:rsid w:val="68DC0F20"/>
    <w:rsid w:val="68E56022"/>
    <w:rsid w:val="68E57CC1"/>
    <w:rsid w:val="68E73D10"/>
    <w:rsid w:val="68F30B57"/>
    <w:rsid w:val="68F465CF"/>
    <w:rsid w:val="68FC7CF6"/>
    <w:rsid w:val="690744A3"/>
    <w:rsid w:val="690B1079"/>
    <w:rsid w:val="69126547"/>
    <w:rsid w:val="691714D9"/>
    <w:rsid w:val="691A3DDD"/>
    <w:rsid w:val="691B3B5C"/>
    <w:rsid w:val="691F66E4"/>
    <w:rsid w:val="692236F6"/>
    <w:rsid w:val="692755F0"/>
    <w:rsid w:val="692844CB"/>
    <w:rsid w:val="692A3144"/>
    <w:rsid w:val="692F4203"/>
    <w:rsid w:val="692F4396"/>
    <w:rsid w:val="69316E2F"/>
    <w:rsid w:val="69407A67"/>
    <w:rsid w:val="69485A1A"/>
    <w:rsid w:val="69485C04"/>
    <w:rsid w:val="694E2071"/>
    <w:rsid w:val="69505C13"/>
    <w:rsid w:val="695312C2"/>
    <w:rsid w:val="695706BC"/>
    <w:rsid w:val="695B03FD"/>
    <w:rsid w:val="695B6F1E"/>
    <w:rsid w:val="6962178B"/>
    <w:rsid w:val="6965127B"/>
    <w:rsid w:val="696F20FA"/>
    <w:rsid w:val="69766163"/>
    <w:rsid w:val="697935EC"/>
    <w:rsid w:val="69796AD5"/>
    <w:rsid w:val="697A3B33"/>
    <w:rsid w:val="697B284D"/>
    <w:rsid w:val="697E3764"/>
    <w:rsid w:val="69825989"/>
    <w:rsid w:val="69841649"/>
    <w:rsid w:val="69876A11"/>
    <w:rsid w:val="698C2047"/>
    <w:rsid w:val="698C6808"/>
    <w:rsid w:val="698E317B"/>
    <w:rsid w:val="698E6A48"/>
    <w:rsid w:val="69935DE8"/>
    <w:rsid w:val="699B47B0"/>
    <w:rsid w:val="69A00505"/>
    <w:rsid w:val="69AA5E2F"/>
    <w:rsid w:val="69AD1ECC"/>
    <w:rsid w:val="69AE33EB"/>
    <w:rsid w:val="69B1626F"/>
    <w:rsid w:val="69B60CCC"/>
    <w:rsid w:val="69B73F18"/>
    <w:rsid w:val="69B93291"/>
    <w:rsid w:val="69C2047C"/>
    <w:rsid w:val="69C53AC8"/>
    <w:rsid w:val="69C8232E"/>
    <w:rsid w:val="69CB37D4"/>
    <w:rsid w:val="69CB51EC"/>
    <w:rsid w:val="69D17924"/>
    <w:rsid w:val="69D44760"/>
    <w:rsid w:val="69DC0762"/>
    <w:rsid w:val="69DC778F"/>
    <w:rsid w:val="69E11605"/>
    <w:rsid w:val="69E8794F"/>
    <w:rsid w:val="69EA2BD4"/>
    <w:rsid w:val="69EE7718"/>
    <w:rsid w:val="69F14A8C"/>
    <w:rsid w:val="69F3202B"/>
    <w:rsid w:val="69F8149D"/>
    <w:rsid w:val="69FF2A4C"/>
    <w:rsid w:val="6A095D5D"/>
    <w:rsid w:val="6A0F07A6"/>
    <w:rsid w:val="6A136F29"/>
    <w:rsid w:val="6A1A15F6"/>
    <w:rsid w:val="6A211646"/>
    <w:rsid w:val="6A243C24"/>
    <w:rsid w:val="6A281DDE"/>
    <w:rsid w:val="6A2C6AE5"/>
    <w:rsid w:val="6A2E28DA"/>
    <w:rsid w:val="6A346104"/>
    <w:rsid w:val="6A3550F2"/>
    <w:rsid w:val="6A3D3FA6"/>
    <w:rsid w:val="6A3F1ACC"/>
    <w:rsid w:val="6A46714C"/>
    <w:rsid w:val="6A475A9B"/>
    <w:rsid w:val="6A4D7232"/>
    <w:rsid w:val="6A4E2025"/>
    <w:rsid w:val="6A520EC7"/>
    <w:rsid w:val="6A537326"/>
    <w:rsid w:val="6A563A62"/>
    <w:rsid w:val="6A57356D"/>
    <w:rsid w:val="6A58046F"/>
    <w:rsid w:val="6A58493C"/>
    <w:rsid w:val="6A64789D"/>
    <w:rsid w:val="6A6652AB"/>
    <w:rsid w:val="6A687B43"/>
    <w:rsid w:val="6A697D3C"/>
    <w:rsid w:val="6A6C5840"/>
    <w:rsid w:val="6A721EA2"/>
    <w:rsid w:val="6A7379C8"/>
    <w:rsid w:val="6A757BBE"/>
    <w:rsid w:val="6A7960E5"/>
    <w:rsid w:val="6A815C41"/>
    <w:rsid w:val="6A9364EA"/>
    <w:rsid w:val="6A9A4F55"/>
    <w:rsid w:val="6A9C0897"/>
    <w:rsid w:val="6AA81420"/>
    <w:rsid w:val="6AAD2EDA"/>
    <w:rsid w:val="6AAD4C88"/>
    <w:rsid w:val="6AAE4347"/>
    <w:rsid w:val="6AB46016"/>
    <w:rsid w:val="6AB51D8E"/>
    <w:rsid w:val="6ABA55F7"/>
    <w:rsid w:val="6ABC61BB"/>
    <w:rsid w:val="6AC43927"/>
    <w:rsid w:val="6AC47324"/>
    <w:rsid w:val="6AC527E9"/>
    <w:rsid w:val="6ACB3360"/>
    <w:rsid w:val="6AD12253"/>
    <w:rsid w:val="6AD27DC4"/>
    <w:rsid w:val="6AD67A27"/>
    <w:rsid w:val="6AD77F57"/>
    <w:rsid w:val="6ADC7038"/>
    <w:rsid w:val="6ADF06DE"/>
    <w:rsid w:val="6AE04D82"/>
    <w:rsid w:val="6AE47CB9"/>
    <w:rsid w:val="6AE85D4F"/>
    <w:rsid w:val="6AEA5F00"/>
    <w:rsid w:val="6AEB755E"/>
    <w:rsid w:val="6AED32D6"/>
    <w:rsid w:val="6AF87E20"/>
    <w:rsid w:val="6AFA3F1E"/>
    <w:rsid w:val="6AFB4456"/>
    <w:rsid w:val="6AFC0403"/>
    <w:rsid w:val="6B030D4C"/>
    <w:rsid w:val="6B0638BC"/>
    <w:rsid w:val="6B0D1BCA"/>
    <w:rsid w:val="6B106FC5"/>
    <w:rsid w:val="6B151AB7"/>
    <w:rsid w:val="6B1C5EE7"/>
    <w:rsid w:val="6B1E16E2"/>
    <w:rsid w:val="6B21527D"/>
    <w:rsid w:val="6B227A82"/>
    <w:rsid w:val="6B233926"/>
    <w:rsid w:val="6B250CC2"/>
    <w:rsid w:val="6B264A3A"/>
    <w:rsid w:val="6B2C2051"/>
    <w:rsid w:val="6B322639"/>
    <w:rsid w:val="6B332CDE"/>
    <w:rsid w:val="6B3F1BC1"/>
    <w:rsid w:val="6B4078AA"/>
    <w:rsid w:val="6B4B22CA"/>
    <w:rsid w:val="6B4B4D56"/>
    <w:rsid w:val="6B4D0B82"/>
    <w:rsid w:val="6B546DA9"/>
    <w:rsid w:val="6B657A90"/>
    <w:rsid w:val="6B693C73"/>
    <w:rsid w:val="6B6D7F88"/>
    <w:rsid w:val="6B723553"/>
    <w:rsid w:val="6B7C16E9"/>
    <w:rsid w:val="6B8222FA"/>
    <w:rsid w:val="6B8474C6"/>
    <w:rsid w:val="6B8B1B3D"/>
    <w:rsid w:val="6B8E4D79"/>
    <w:rsid w:val="6B8E7D54"/>
    <w:rsid w:val="6B953331"/>
    <w:rsid w:val="6B9B0F84"/>
    <w:rsid w:val="6B9C01C8"/>
    <w:rsid w:val="6B9C0CC3"/>
    <w:rsid w:val="6B9E1CDF"/>
    <w:rsid w:val="6B9F653B"/>
    <w:rsid w:val="6BA047ED"/>
    <w:rsid w:val="6BA240C1"/>
    <w:rsid w:val="6BB0083E"/>
    <w:rsid w:val="6BB10A4A"/>
    <w:rsid w:val="6BB8040C"/>
    <w:rsid w:val="6BBB5A1F"/>
    <w:rsid w:val="6BBD0EFB"/>
    <w:rsid w:val="6BC02799"/>
    <w:rsid w:val="6BC1683A"/>
    <w:rsid w:val="6BC54708"/>
    <w:rsid w:val="6BCB05F1"/>
    <w:rsid w:val="6BCD120B"/>
    <w:rsid w:val="6BD050D2"/>
    <w:rsid w:val="6BD10A6B"/>
    <w:rsid w:val="6BD140C6"/>
    <w:rsid w:val="6BDC1388"/>
    <w:rsid w:val="6BE0108D"/>
    <w:rsid w:val="6BE16873"/>
    <w:rsid w:val="6BE4292B"/>
    <w:rsid w:val="6BE57FCF"/>
    <w:rsid w:val="6BEB1F0C"/>
    <w:rsid w:val="6BEC17E0"/>
    <w:rsid w:val="6BED5AC6"/>
    <w:rsid w:val="6BF426B9"/>
    <w:rsid w:val="6BF572A8"/>
    <w:rsid w:val="6BF6440D"/>
    <w:rsid w:val="6BF7178C"/>
    <w:rsid w:val="6BF74882"/>
    <w:rsid w:val="6BF87D40"/>
    <w:rsid w:val="6C021E4C"/>
    <w:rsid w:val="6C0307C0"/>
    <w:rsid w:val="6C053A5D"/>
    <w:rsid w:val="6C083AA7"/>
    <w:rsid w:val="6C0B605F"/>
    <w:rsid w:val="6C0B664D"/>
    <w:rsid w:val="6C0F5C50"/>
    <w:rsid w:val="6C11698D"/>
    <w:rsid w:val="6C1B56FB"/>
    <w:rsid w:val="6C20148A"/>
    <w:rsid w:val="6C225202"/>
    <w:rsid w:val="6C264CF2"/>
    <w:rsid w:val="6C2840CC"/>
    <w:rsid w:val="6C2947E2"/>
    <w:rsid w:val="6C332C64"/>
    <w:rsid w:val="6C3917ED"/>
    <w:rsid w:val="6C3C0ACD"/>
    <w:rsid w:val="6C420F8A"/>
    <w:rsid w:val="6C423AF6"/>
    <w:rsid w:val="6C425506"/>
    <w:rsid w:val="6C4674C2"/>
    <w:rsid w:val="6C47110C"/>
    <w:rsid w:val="6C494258"/>
    <w:rsid w:val="6C4C54AA"/>
    <w:rsid w:val="6C4C64C1"/>
    <w:rsid w:val="6C4F379E"/>
    <w:rsid w:val="6C507FC1"/>
    <w:rsid w:val="6C527544"/>
    <w:rsid w:val="6C564EB1"/>
    <w:rsid w:val="6C587073"/>
    <w:rsid w:val="6C5B6EDA"/>
    <w:rsid w:val="6C5F0204"/>
    <w:rsid w:val="6C630EC1"/>
    <w:rsid w:val="6C636C38"/>
    <w:rsid w:val="6C67530A"/>
    <w:rsid w:val="6C6E0447"/>
    <w:rsid w:val="6C730E20"/>
    <w:rsid w:val="6C7468CE"/>
    <w:rsid w:val="6C747658"/>
    <w:rsid w:val="6C747B66"/>
    <w:rsid w:val="6C7B0E38"/>
    <w:rsid w:val="6C7E2CAC"/>
    <w:rsid w:val="6C7F2654"/>
    <w:rsid w:val="6C832144"/>
    <w:rsid w:val="6C884B18"/>
    <w:rsid w:val="6C88775B"/>
    <w:rsid w:val="6C907761"/>
    <w:rsid w:val="6C9327EC"/>
    <w:rsid w:val="6C97174C"/>
    <w:rsid w:val="6C9A748E"/>
    <w:rsid w:val="6CA35327"/>
    <w:rsid w:val="6CA74554"/>
    <w:rsid w:val="6CA9147F"/>
    <w:rsid w:val="6CAC2DE0"/>
    <w:rsid w:val="6CAF118B"/>
    <w:rsid w:val="6CB30550"/>
    <w:rsid w:val="6CBA0AE5"/>
    <w:rsid w:val="6CBC56D8"/>
    <w:rsid w:val="6CBE3029"/>
    <w:rsid w:val="6CBE5C36"/>
    <w:rsid w:val="6CBF4040"/>
    <w:rsid w:val="6CC12C6C"/>
    <w:rsid w:val="6CC31F64"/>
    <w:rsid w:val="6CCF37A9"/>
    <w:rsid w:val="6CD1113C"/>
    <w:rsid w:val="6CD208AF"/>
    <w:rsid w:val="6CDE737B"/>
    <w:rsid w:val="6CE34991"/>
    <w:rsid w:val="6CE84D5A"/>
    <w:rsid w:val="6CEB48D8"/>
    <w:rsid w:val="6CFC3B75"/>
    <w:rsid w:val="6CFC710B"/>
    <w:rsid w:val="6CFF5543"/>
    <w:rsid w:val="6D06067F"/>
    <w:rsid w:val="6D064B23"/>
    <w:rsid w:val="6D0936FF"/>
    <w:rsid w:val="6D0B3EE8"/>
    <w:rsid w:val="6D0C7A1B"/>
    <w:rsid w:val="6D185B70"/>
    <w:rsid w:val="6D190260"/>
    <w:rsid w:val="6D195F0B"/>
    <w:rsid w:val="6D2A3396"/>
    <w:rsid w:val="6D2E6300"/>
    <w:rsid w:val="6D355868"/>
    <w:rsid w:val="6D371181"/>
    <w:rsid w:val="6D396CA7"/>
    <w:rsid w:val="6D3A3386"/>
    <w:rsid w:val="6D411C47"/>
    <w:rsid w:val="6D426A89"/>
    <w:rsid w:val="6D467BCA"/>
    <w:rsid w:val="6D480C98"/>
    <w:rsid w:val="6D484EBB"/>
    <w:rsid w:val="6D4D4500"/>
    <w:rsid w:val="6D4E3E17"/>
    <w:rsid w:val="6D4F30B5"/>
    <w:rsid w:val="6D521B17"/>
    <w:rsid w:val="6D5B4E6F"/>
    <w:rsid w:val="6D5E1042"/>
    <w:rsid w:val="6D605470"/>
    <w:rsid w:val="6D610E81"/>
    <w:rsid w:val="6D64426C"/>
    <w:rsid w:val="6D686AB5"/>
    <w:rsid w:val="6D6F226E"/>
    <w:rsid w:val="6D710D5E"/>
    <w:rsid w:val="6D742357"/>
    <w:rsid w:val="6D7777CF"/>
    <w:rsid w:val="6D7C6D55"/>
    <w:rsid w:val="6D8343C6"/>
    <w:rsid w:val="6D8445D4"/>
    <w:rsid w:val="6D944304"/>
    <w:rsid w:val="6D956B6F"/>
    <w:rsid w:val="6D9640F9"/>
    <w:rsid w:val="6DA32372"/>
    <w:rsid w:val="6DA42E20"/>
    <w:rsid w:val="6DA67457"/>
    <w:rsid w:val="6DB34098"/>
    <w:rsid w:val="6DB545B6"/>
    <w:rsid w:val="6DB85411"/>
    <w:rsid w:val="6DB92C24"/>
    <w:rsid w:val="6DBE0F5A"/>
    <w:rsid w:val="6DBE53FE"/>
    <w:rsid w:val="6DC45291"/>
    <w:rsid w:val="6DCA5B51"/>
    <w:rsid w:val="6DCD0545"/>
    <w:rsid w:val="6DCE3893"/>
    <w:rsid w:val="6DD4077E"/>
    <w:rsid w:val="6DD61F24"/>
    <w:rsid w:val="6DD62748"/>
    <w:rsid w:val="6DD671D0"/>
    <w:rsid w:val="6DD8201C"/>
    <w:rsid w:val="6DD96F04"/>
    <w:rsid w:val="6DDE33AA"/>
    <w:rsid w:val="6DDF784E"/>
    <w:rsid w:val="6DE02FB4"/>
    <w:rsid w:val="6DE05374"/>
    <w:rsid w:val="6DE23187"/>
    <w:rsid w:val="6DF04A43"/>
    <w:rsid w:val="6DF42BCE"/>
    <w:rsid w:val="6DFF1C9E"/>
    <w:rsid w:val="6E032E11"/>
    <w:rsid w:val="6E040C1C"/>
    <w:rsid w:val="6E0A0B02"/>
    <w:rsid w:val="6E0D7A5D"/>
    <w:rsid w:val="6E10538A"/>
    <w:rsid w:val="6E134A97"/>
    <w:rsid w:val="6E14501E"/>
    <w:rsid w:val="6E146AD4"/>
    <w:rsid w:val="6E193A72"/>
    <w:rsid w:val="6E1B45FE"/>
    <w:rsid w:val="6E1B63AC"/>
    <w:rsid w:val="6E2434B3"/>
    <w:rsid w:val="6E26547D"/>
    <w:rsid w:val="6E313045"/>
    <w:rsid w:val="6E350903"/>
    <w:rsid w:val="6E364F94"/>
    <w:rsid w:val="6E396833"/>
    <w:rsid w:val="6E3B6A4F"/>
    <w:rsid w:val="6E3C0915"/>
    <w:rsid w:val="6E3D732E"/>
    <w:rsid w:val="6E405E13"/>
    <w:rsid w:val="6E414065"/>
    <w:rsid w:val="6E4476B1"/>
    <w:rsid w:val="6E5033BD"/>
    <w:rsid w:val="6E514CED"/>
    <w:rsid w:val="6E5242A4"/>
    <w:rsid w:val="6E536DC3"/>
    <w:rsid w:val="6E5B57C7"/>
    <w:rsid w:val="6E627D5C"/>
    <w:rsid w:val="6E657628"/>
    <w:rsid w:val="6E675DDE"/>
    <w:rsid w:val="6E70494A"/>
    <w:rsid w:val="6E737F96"/>
    <w:rsid w:val="6E794BE2"/>
    <w:rsid w:val="6E7F4B8D"/>
    <w:rsid w:val="6E812DDF"/>
    <w:rsid w:val="6E847E6D"/>
    <w:rsid w:val="6E8A79E7"/>
    <w:rsid w:val="6E930639"/>
    <w:rsid w:val="6E9C37BB"/>
    <w:rsid w:val="6E9D3265"/>
    <w:rsid w:val="6E9D68A1"/>
    <w:rsid w:val="6E9F5CC8"/>
    <w:rsid w:val="6EA2087C"/>
    <w:rsid w:val="6EA51021"/>
    <w:rsid w:val="6EA55B53"/>
    <w:rsid w:val="6EA97E5C"/>
    <w:rsid w:val="6EAE2C78"/>
    <w:rsid w:val="6EB011EB"/>
    <w:rsid w:val="6EB07C51"/>
    <w:rsid w:val="6EB563D5"/>
    <w:rsid w:val="6EB760D5"/>
    <w:rsid w:val="6EB84B2A"/>
    <w:rsid w:val="6EC16F54"/>
    <w:rsid w:val="6EC24A7A"/>
    <w:rsid w:val="6ECB392F"/>
    <w:rsid w:val="6ECD2CC0"/>
    <w:rsid w:val="6ED30E58"/>
    <w:rsid w:val="6ED44ED9"/>
    <w:rsid w:val="6ED8429D"/>
    <w:rsid w:val="6ED92677"/>
    <w:rsid w:val="6EDB59B8"/>
    <w:rsid w:val="6EE3000B"/>
    <w:rsid w:val="6EEB3FD1"/>
    <w:rsid w:val="6EEC4B1B"/>
    <w:rsid w:val="6EED435F"/>
    <w:rsid w:val="6EF83C44"/>
    <w:rsid w:val="6EFC61DE"/>
    <w:rsid w:val="6EFE2DFA"/>
    <w:rsid w:val="6F011A46"/>
    <w:rsid w:val="6F0137F4"/>
    <w:rsid w:val="6F042205"/>
    <w:rsid w:val="6F045092"/>
    <w:rsid w:val="6F0B4673"/>
    <w:rsid w:val="6F147FEC"/>
    <w:rsid w:val="6F1A6664"/>
    <w:rsid w:val="6F1B6B22"/>
    <w:rsid w:val="6F1E6154"/>
    <w:rsid w:val="6F225983"/>
    <w:rsid w:val="6F265009"/>
    <w:rsid w:val="6F2B6AC3"/>
    <w:rsid w:val="6F2C7A72"/>
    <w:rsid w:val="6F2D1032"/>
    <w:rsid w:val="6F2F7846"/>
    <w:rsid w:val="6F321C00"/>
    <w:rsid w:val="6F327E52"/>
    <w:rsid w:val="6F40683E"/>
    <w:rsid w:val="6F445933"/>
    <w:rsid w:val="6F4E60E8"/>
    <w:rsid w:val="6F5112B1"/>
    <w:rsid w:val="6F524050"/>
    <w:rsid w:val="6F570744"/>
    <w:rsid w:val="6F5B73A8"/>
    <w:rsid w:val="6F5D1B11"/>
    <w:rsid w:val="6F5D1B9D"/>
    <w:rsid w:val="6F5D3D19"/>
    <w:rsid w:val="6F616DF1"/>
    <w:rsid w:val="6F667AFB"/>
    <w:rsid w:val="6F6B4515"/>
    <w:rsid w:val="6F6D7514"/>
    <w:rsid w:val="6F723E97"/>
    <w:rsid w:val="6F745D74"/>
    <w:rsid w:val="6F7B4147"/>
    <w:rsid w:val="6F7B65A5"/>
    <w:rsid w:val="6F854425"/>
    <w:rsid w:val="6F8700E6"/>
    <w:rsid w:val="6F941206"/>
    <w:rsid w:val="6F9F0ABE"/>
    <w:rsid w:val="6FA26D85"/>
    <w:rsid w:val="6FA50565"/>
    <w:rsid w:val="6FA819D5"/>
    <w:rsid w:val="6FAC19B2"/>
    <w:rsid w:val="6FAF14A2"/>
    <w:rsid w:val="6FAF4FFE"/>
    <w:rsid w:val="6FB17D13"/>
    <w:rsid w:val="6FB72105"/>
    <w:rsid w:val="6FBD3BBF"/>
    <w:rsid w:val="6FC01963"/>
    <w:rsid w:val="6FC62348"/>
    <w:rsid w:val="6FCA1E38"/>
    <w:rsid w:val="6FCA62DC"/>
    <w:rsid w:val="6FD15114"/>
    <w:rsid w:val="6FD26359"/>
    <w:rsid w:val="6FD74CF9"/>
    <w:rsid w:val="6FD9651F"/>
    <w:rsid w:val="6FDD0EAC"/>
    <w:rsid w:val="6FE0340A"/>
    <w:rsid w:val="6FEA4288"/>
    <w:rsid w:val="6FEC7DD1"/>
    <w:rsid w:val="6FEF6EA6"/>
    <w:rsid w:val="6FF033C7"/>
    <w:rsid w:val="6FF135A7"/>
    <w:rsid w:val="6FF535A2"/>
    <w:rsid w:val="6FF60E7F"/>
    <w:rsid w:val="6FF670D1"/>
    <w:rsid w:val="6FFC4540"/>
    <w:rsid w:val="6FFC5590"/>
    <w:rsid w:val="70001E65"/>
    <w:rsid w:val="7004359C"/>
    <w:rsid w:val="700510C2"/>
    <w:rsid w:val="70052FBB"/>
    <w:rsid w:val="700C2451"/>
    <w:rsid w:val="700E61C9"/>
    <w:rsid w:val="7016666F"/>
    <w:rsid w:val="701745A0"/>
    <w:rsid w:val="701A2DBF"/>
    <w:rsid w:val="701A42C0"/>
    <w:rsid w:val="7024431E"/>
    <w:rsid w:val="7024575A"/>
    <w:rsid w:val="702B14E6"/>
    <w:rsid w:val="70327D62"/>
    <w:rsid w:val="70333E81"/>
    <w:rsid w:val="7047080D"/>
    <w:rsid w:val="70473A56"/>
    <w:rsid w:val="704A2F79"/>
    <w:rsid w:val="704A4B4A"/>
    <w:rsid w:val="704B29AE"/>
    <w:rsid w:val="705D2420"/>
    <w:rsid w:val="70604239"/>
    <w:rsid w:val="70611A79"/>
    <w:rsid w:val="70622B6A"/>
    <w:rsid w:val="7064403B"/>
    <w:rsid w:val="706B26F6"/>
    <w:rsid w:val="706B471C"/>
    <w:rsid w:val="706D1DD0"/>
    <w:rsid w:val="707161D5"/>
    <w:rsid w:val="707634ED"/>
    <w:rsid w:val="707A1ADB"/>
    <w:rsid w:val="707B75D6"/>
    <w:rsid w:val="708259FC"/>
    <w:rsid w:val="7084750E"/>
    <w:rsid w:val="70856B87"/>
    <w:rsid w:val="7086485C"/>
    <w:rsid w:val="70871AD7"/>
    <w:rsid w:val="7088272A"/>
    <w:rsid w:val="708855C3"/>
    <w:rsid w:val="708C37BF"/>
    <w:rsid w:val="709064CB"/>
    <w:rsid w:val="709443EB"/>
    <w:rsid w:val="70952446"/>
    <w:rsid w:val="7095411B"/>
    <w:rsid w:val="709D1624"/>
    <w:rsid w:val="70A258B7"/>
    <w:rsid w:val="70AE130D"/>
    <w:rsid w:val="70AE2C6B"/>
    <w:rsid w:val="70B14535"/>
    <w:rsid w:val="70B758D6"/>
    <w:rsid w:val="70BC3F26"/>
    <w:rsid w:val="70BC5C25"/>
    <w:rsid w:val="70BC660F"/>
    <w:rsid w:val="70BF4F56"/>
    <w:rsid w:val="70C07FE0"/>
    <w:rsid w:val="70C8281B"/>
    <w:rsid w:val="70C920F0"/>
    <w:rsid w:val="70C956B0"/>
    <w:rsid w:val="70CB38B7"/>
    <w:rsid w:val="70CD6C36"/>
    <w:rsid w:val="70CF0326"/>
    <w:rsid w:val="70D016D0"/>
    <w:rsid w:val="70D34F79"/>
    <w:rsid w:val="70D527EE"/>
    <w:rsid w:val="70D6602F"/>
    <w:rsid w:val="70D70CB1"/>
    <w:rsid w:val="70E17439"/>
    <w:rsid w:val="70EF250C"/>
    <w:rsid w:val="70F116B0"/>
    <w:rsid w:val="70F70BFC"/>
    <w:rsid w:val="70FD580E"/>
    <w:rsid w:val="70FE165F"/>
    <w:rsid w:val="7100498F"/>
    <w:rsid w:val="71020599"/>
    <w:rsid w:val="71025602"/>
    <w:rsid w:val="710540F1"/>
    <w:rsid w:val="71107D1F"/>
    <w:rsid w:val="71147849"/>
    <w:rsid w:val="711F4406"/>
    <w:rsid w:val="71237A52"/>
    <w:rsid w:val="71242AF6"/>
    <w:rsid w:val="712612F0"/>
    <w:rsid w:val="71295B87"/>
    <w:rsid w:val="712D0A98"/>
    <w:rsid w:val="71357E6F"/>
    <w:rsid w:val="713A4BC5"/>
    <w:rsid w:val="7140061E"/>
    <w:rsid w:val="714A1482"/>
    <w:rsid w:val="714A76D4"/>
    <w:rsid w:val="714B6AB1"/>
    <w:rsid w:val="714F1A78"/>
    <w:rsid w:val="71507188"/>
    <w:rsid w:val="71523E71"/>
    <w:rsid w:val="715440AF"/>
    <w:rsid w:val="715B5300"/>
    <w:rsid w:val="715C7408"/>
    <w:rsid w:val="71711ECE"/>
    <w:rsid w:val="717E737E"/>
    <w:rsid w:val="71860688"/>
    <w:rsid w:val="718D7451"/>
    <w:rsid w:val="7199712F"/>
    <w:rsid w:val="719A3A8C"/>
    <w:rsid w:val="719A4F45"/>
    <w:rsid w:val="71A10C5A"/>
    <w:rsid w:val="71A62431"/>
    <w:rsid w:val="71A87F57"/>
    <w:rsid w:val="71AD37BF"/>
    <w:rsid w:val="71AE309E"/>
    <w:rsid w:val="71B03679"/>
    <w:rsid w:val="71B21B83"/>
    <w:rsid w:val="71B3226A"/>
    <w:rsid w:val="71B7463E"/>
    <w:rsid w:val="71BB3875"/>
    <w:rsid w:val="71C00396"/>
    <w:rsid w:val="71C01745"/>
    <w:rsid w:val="71C22860"/>
    <w:rsid w:val="71D222BD"/>
    <w:rsid w:val="71D27F8A"/>
    <w:rsid w:val="71D77D60"/>
    <w:rsid w:val="71D95ABC"/>
    <w:rsid w:val="71D97213"/>
    <w:rsid w:val="71DD7AC1"/>
    <w:rsid w:val="71E53AF6"/>
    <w:rsid w:val="71E54A92"/>
    <w:rsid w:val="71E7296F"/>
    <w:rsid w:val="71EA4432"/>
    <w:rsid w:val="71EF132F"/>
    <w:rsid w:val="71F118FE"/>
    <w:rsid w:val="71F30E81"/>
    <w:rsid w:val="71F32978"/>
    <w:rsid w:val="71F633B8"/>
    <w:rsid w:val="71F92EA9"/>
    <w:rsid w:val="7206680A"/>
    <w:rsid w:val="7207153E"/>
    <w:rsid w:val="72075BBE"/>
    <w:rsid w:val="720C2BDC"/>
    <w:rsid w:val="720D425E"/>
    <w:rsid w:val="720F7FD6"/>
    <w:rsid w:val="7227551A"/>
    <w:rsid w:val="72285514"/>
    <w:rsid w:val="722C34ED"/>
    <w:rsid w:val="722D66AE"/>
    <w:rsid w:val="722D72D6"/>
    <w:rsid w:val="722F1A94"/>
    <w:rsid w:val="72307D49"/>
    <w:rsid w:val="72343EE1"/>
    <w:rsid w:val="7235622E"/>
    <w:rsid w:val="723C018B"/>
    <w:rsid w:val="723E07D8"/>
    <w:rsid w:val="723E08BB"/>
    <w:rsid w:val="724539F8"/>
    <w:rsid w:val="724578BC"/>
    <w:rsid w:val="724E6D50"/>
    <w:rsid w:val="724F0F55"/>
    <w:rsid w:val="72553024"/>
    <w:rsid w:val="725560EA"/>
    <w:rsid w:val="725A07B6"/>
    <w:rsid w:val="725D0E4E"/>
    <w:rsid w:val="725E2516"/>
    <w:rsid w:val="72620A4E"/>
    <w:rsid w:val="726A7902"/>
    <w:rsid w:val="726C71D7"/>
    <w:rsid w:val="726E73F3"/>
    <w:rsid w:val="7270316B"/>
    <w:rsid w:val="727350C6"/>
    <w:rsid w:val="727506AD"/>
    <w:rsid w:val="72797301"/>
    <w:rsid w:val="727B2178"/>
    <w:rsid w:val="727C14DD"/>
    <w:rsid w:val="727C3800"/>
    <w:rsid w:val="727E6F0A"/>
    <w:rsid w:val="72810D31"/>
    <w:rsid w:val="728468F7"/>
    <w:rsid w:val="72897D89"/>
    <w:rsid w:val="728A58AF"/>
    <w:rsid w:val="728B1D53"/>
    <w:rsid w:val="728C5898"/>
    <w:rsid w:val="728D0BCE"/>
    <w:rsid w:val="728F1117"/>
    <w:rsid w:val="7298446F"/>
    <w:rsid w:val="72987FCC"/>
    <w:rsid w:val="7299722C"/>
    <w:rsid w:val="729B64BC"/>
    <w:rsid w:val="72A10155"/>
    <w:rsid w:val="72A11576"/>
    <w:rsid w:val="72A20E4A"/>
    <w:rsid w:val="72A252EE"/>
    <w:rsid w:val="72A66B8C"/>
    <w:rsid w:val="72AA50AE"/>
    <w:rsid w:val="72AE0E98"/>
    <w:rsid w:val="72B1108D"/>
    <w:rsid w:val="72B172DF"/>
    <w:rsid w:val="72BA30C7"/>
    <w:rsid w:val="72BD38CB"/>
    <w:rsid w:val="72C7744F"/>
    <w:rsid w:val="72C9287B"/>
    <w:rsid w:val="72CB0EC5"/>
    <w:rsid w:val="72CC4119"/>
    <w:rsid w:val="72D27981"/>
    <w:rsid w:val="72D31915"/>
    <w:rsid w:val="72D609D7"/>
    <w:rsid w:val="72D74F98"/>
    <w:rsid w:val="72EF4A6F"/>
    <w:rsid w:val="73021314"/>
    <w:rsid w:val="73045661"/>
    <w:rsid w:val="73063468"/>
    <w:rsid w:val="73093C85"/>
    <w:rsid w:val="730E59D8"/>
    <w:rsid w:val="73122968"/>
    <w:rsid w:val="731B43AB"/>
    <w:rsid w:val="731F5D5E"/>
    <w:rsid w:val="7320405D"/>
    <w:rsid w:val="73214465"/>
    <w:rsid w:val="73216977"/>
    <w:rsid w:val="73251266"/>
    <w:rsid w:val="73263829"/>
    <w:rsid w:val="73292630"/>
    <w:rsid w:val="732B7092"/>
    <w:rsid w:val="73337CF4"/>
    <w:rsid w:val="73361E3A"/>
    <w:rsid w:val="733777E5"/>
    <w:rsid w:val="733C4E98"/>
    <w:rsid w:val="733E5017"/>
    <w:rsid w:val="734105D0"/>
    <w:rsid w:val="7342107F"/>
    <w:rsid w:val="7343581A"/>
    <w:rsid w:val="73463ECB"/>
    <w:rsid w:val="7349294A"/>
    <w:rsid w:val="73494758"/>
    <w:rsid w:val="734B14E2"/>
    <w:rsid w:val="734D5DB1"/>
    <w:rsid w:val="73551CF6"/>
    <w:rsid w:val="7357396F"/>
    <w:rsid w:val="735E01CF"/>
    <w:rsid w:val="7360798C"/>
    <w:rsid w:val="73683E42"/>
    <w:rsid w:val="736E51D0"/>
    <w:rsid w:val="736F3422"/>
    <w:rsid w:val="7370719A"/>
    <w:rsid w:val="73722F12"/>
    <w:rsid w:val="73724CC1"/>
    <w:rsid w:val="737B1503"/>
    <w:rsid w:val="73880040"/>
    <w:rsid w:val="738E5E29"/>
    <w:rsid w:val="73903399"/>
    <w:rsid w:val="73903C8D"/>
    <w:rsid w:val="7393089D"/>
    <w:rsid w:val="73942E89"/>
    <w:rsid w:val="73983C24"/>
    <w:rsid w:val="73A65E31"/>
    <w:rsid w:val="73A94CE3"/>
    <w:rsid w:val="73B06CF5"/>
    <w:rsid w:val="73BC1BA6"/>
    <w:rsid w:val="73C3376E"/>
    <w:rsid w:val="73C51AD5"/>
    <w:rsid w:val="73C5522F"/>
    <w:rsid w:val="73C7469B"/>
    <w:rsid w:val="73C8056E"/>
    <w:rsid w:val="73C80B76"/>
    <w:rsid w:val="73CF5C6F"/>
    <w:rsid w:val="73D24856"/>
    <w:rsid w:val="73D61646"/>
    <w:rsid w:val="73E120A3"/>
    <w:rsid w:val="73E81FA9"/>
    <w:rsid w:val="73E9464B"/>
    <w:rsid w:val="73EB4C4F"/>
    <w:rsid w:val="73ED2A0E"/>
    <w:rsid w:val="73EE0034"/>
    <w:rsid w:val="73EF3D7E"/>
    <w:rsid w:val="73F213AB"/>
    <w:rsid w:val="73F6488E"/>
    <w:rsid w:val="73FB4CB6"/>
    <w:rsid w:val="7407365B"/>
    <w:rsid w:val="740873D3"/>
    <w:rsid w:val="7416389E"/>
    <w:rsid w:val="741E2752"/>
    <w:rsid w:val="741E793C"/>
    <w:rsid w:val="74222528"/>
    <w:rsid w:val="742F670E"/>
    <w:rsid w:val="743326A2"/>
    <w:rsid w:val="743C0E2B"/>
    <w:rsid w:val="743C5F09"/>
    <w:rsid w:val="743D6C43"/>
    <w:rsid w:val="74412611"/>
    <w:rsid w:val="74420371"/>
    <w:rsid w:val="74463A57"/>
    <w:rsid w:val="74542E8B"/>
    <w:rsid w:val="745439F0"/>
    <w:rsid w:val="74560447"/>
    <w:rsid w:val="745A07ED"/>
    <w:rsid w:val="745C1741"/>
    <w:rsid w:val="745D14CD"/>
    <w:rsid w:val="745E3944"/>
    <w:rsid w:val="745F5355"/>
    <w:rsid w:val="74640AAD"/>
    <w:rsid w:val="746B5893"/>
    <w:rsid w:val="746E3096"/>
    <w:rsid w:val="74793E2D"/>
    <w:rsid w:val="747B7BA5"/>
    <w:rsid w:val="747D6759"/>
    <w:rsid w:val="7487479C"/>
    <w:rsid w:val="748C1DB2"/>
    <w:rsid w:val="748C3B60"/>
    <w:rsid w:val="748F0CA1"/>
    <w:rsid w:val="74922CC2"/>
    <w:rsid w:val="749D16C4"/>
    <w:rsid w:val="74A74054"/>
    <w:rsid w:val="74AE7F7A"/>
    <w:rsid w:val="74B26CA0"/>
    <w:rsid w:val="74B3476A"/>
    <w:rsid w:val="74B60BDD"/>
    <w:rsid w:val="74B82BA7"/>
    <w:rsid w:val="74B86703"/>
    <w:rsid w:val="74B937A2"/>
    <w:rsid w:val="74BD01BD"/>
    <w:rsid w:val="74C002E8"/>
    <w:rsid w:val="74C0720A"/>
    <w:rsid w:val="74C65252"/>
    <w:rsid w:val="74DB7B36"/>
    <w:rsid w:val="74E0311C"/>
    <w:rsid w:val="74E05C5A"/>
    <w:rsid w:val="74E2144F"/>
    <w:rsid w:val="74E602A5"/>
    <w:rsid w:val="74E73AF3"/>
    <w:rsid w:val="74E85F78"/>
    <w:rsid w:val="74FE790A"/>
    <w:rsid w:val="75023E22"/>
    <w:rsid w:val="75093403"/>
    <w:rsid w:val="75114065"/>
    <w:rsid w:val="75155F2F"/>
    <w:rsid w:val="75173422"/>
    <w:rsid w:val="75187F68"/>
    <w:rsid w:val="75261896"/>
    <w:rsid w:val="75271ADB"/>
    <w:rsid w:val="752E2E69"/>
    <w:rsid w:val="752F7239"/>
    <w:rsid w:val="753C5586"/>
    <w:rsid w:val="753C7334"/>
    <w:rsid w:val="753F0363"/>
    <w:rsid w:val="75432889"/>
    <w:rsid w:val="7547624C"/>
    <w:rsid w:val="7553467E"/>
    <w:rsid w:val="75556648"/>
    <w:rsid w:val="75563DE9"/>
    <w:rsid w:val="7557416E"/>
    <w:rsid w:val="755C3532"/>
    <w:rsid w:val="755D56CA"/>
    <w:rsid w:val="7561323F"/>
    <w:rsid w:val="75616D9B"/>
    <w:rsid w:val="75630BE3"/>
    <w:rsid w:val="75630D65"/>
    <w:rsid w:val="756845CD"/>
    <w:rsid w:val="756939EE"/>
    <w:rsid w:val="756B7C19"/>
    <w:rsid w:val="757765BE"/>
    <w:rsid w:val="75792336"/>
    <w:rsid w:val="7579698A"/>
    <w:rsid w:val="757F0471"/>
    <w:rsid w:val="75823A34"/>
    <w:rsid w:val="758525CD"/>
    <w:rsid w:val="75991DD3"/>
    <w:rsid w:val="759E3B7B"/>
    <w:rsid w:val="75A4312B"/>
    <w:rsid w:val="75A768DA"/>
    <w:rsid w:val="75AB270C"/>
    <w:rsid w:val="75B02F5C"/>
    <w:rsid w:val="75B0387E"/>
    <w:rsid w:val="75B23A9A"/>
    <w:rsid w:val="75BA1B6E"/>
    <w:rsid w:val="75BC2223"/>
    <w:rsid w:val="75BC7564"/>
    <w:rsid w:val="75BE243F"/>
    <w:rsid w:val="75BE5F9B"/>
    <w:rsid w:val="75C06DDC"/>
    <w:rsid w:val="75C14B91"/>
    <w:rsid w:val="75C314B9"/>
    <w:rsid w:val="75C75614"/>
    <w:rsid w:val="75C94940"/>
    <w:rsid w:val="75D77BEA"/>
    <w:rsid w:val="75DB08AC"/>
    <w:rsid w:val="75DB165A"/>
    <w:rsid w:val="75E15FAD"/>
    <w:rsid w:val="75E5499B"/>
    <w:rsid w:val="75E7638A"/>
    <w:rsid w:val="75E7791A"/>
    <w:rsid w:val="75EC7227"/>
    <w:rsid w:val="75EF084A"/>
    <w:rsid w:val="75F145C2"/>
    <w:rsid w:val="75F63F3A"/>
    <w:rsid w:val="75FB2AD6"/>
    <w:rsid w:val="75FB71EF"/>
    <w:rsid w:val="75FC4D15"/>
    <w:rsid w:val="75FD4D73"/>
    <w:rsid w:val="76004806"/>
    <w:rsid w:val="76045C08"/>
    <w:rsid w:val="76053BCA"/>
    <w:rsid w:val="760836BA"/>
    <w:rsid w:val="76096858"/>
    <w:rsid w:val="760F59F0"/>
    <w:rsid w:val="76196862"/>
    <w:rsid w:val="761B5E70"/>
    <w:rsid w:val="761C14AF"/>
    <w:rsid w:val="761F3F13"/>
    <w:rsid w:val="76226F35"/>
    <w:rsid w:val="76227814"/>
    <w:rsid w:val="7635099D"/>
    <w:rsid w:val="76372875"/>
    <w:rsid w:val="76391AC6"/>
    <w:rsid w:val="763D7808"/>
    <w:rsid w:val="763E0E8A"/>
    <w:rsid w:val="7641561A"/>
    <w:rsid w:val="764B552E"/>
    <w:rsid w:val="764E6AD3"/>
    <w:rsid w:val="764F753B"/>
    <w:rsid w:val="76500C84"/>
    <w:rsid w:val="76503571"/>
    <w:rsid w:val="76516E0F"/>
    <w:rsid w:val="76532D99"/>
    <w:rsid w:val="76555F5A"/>
    <w:rsid w:val="765863F0"/>
    <w:rsid w:val="76595CC4"/>
    <w:rsid w:val="765B1A3C"/>
    <w:rsid w:val="765E4736"/>
    <w:rsid w:val="76654669"/>
    <w:rsid w:val="76666712"/>
    <w:rsid w:val="766D6E76"/>
    <w:rsid w:val="76726D86"/>
    <w:rsid w:val="767717AF"/>
    <w:rsid w:val="767825EE"/>
    <w:rsid w:val="767D7C04"/>
    <w:rsid w:val="76854EC0"/>
    <w:rsid w:val="76880357"/>
    <w:rsid w:val="768B609B"/>
    <w:rsid w:val="769211D6"/>
    <w:rsid w:val="76936B2F"/>
    <w:rsid w:val="769907B6"/>
    <w:rsid w:val="769A5E93"/>
    <w:rsid w:val="76A62091"/>
    <w:rsid w:val="76A90E52"/>
    <w:rsid w:val="76AC04E9"/>
    <w:rsid w:val="76AC62C1"/>
    <w:rsid w:val="76B01037"/>
    <w:rsid w:val="76BC72B4"/>
    <w:rsid w:val="76BF646F"/>
    <w:rsid w:val="76C570F0"/>
    <w:rsid w:val="76C67745"/>
    <w:rsid w:val="76C802F8"/>
    <w:rsid w:val="76CD24B2"/>
    <w:rsid w:val="76CF41D8"/>
    <w:rsid w:val="76D0242A"/>
    <w:rsid w:val="76D57A40"/>
    <w:rsid w:val="76DF7DC1"/>
    <w:rsid w:val="76E74CCF"/>
    <w:rsid w:val="76E85717"/>
    <w:rsid w:val="76E97048"/>
    <w:rsid w:val="76F00FF8"/>
    <w:rsid w:val="76F55000"/>
    <w:rsid w:val="76F824BC"/>
    <w:rsid w:val="76F854DD"/>
    <w:rsid w:val="76F9750B"/>
    <w:rsid w:val="76FA1DA2"/>
    <w:rsid w:val="76FC1C39"/>
    <w:rsid w:val="77006DD1"/>
    <w:rsid w:val="77072987"/>
    <w:rsid w:val="77073C31"/>
    <w:rsid w:val="77091498"/>
    <w:rsid w:val="770E2F52"/>
    <w:rsid w:val="771F2A69"/>
    <w:rsid w:val="77250B48"/>
    <w:rsid w:val="77271598"/>
    <w:rsid w:val="772B58B2"/>
    <w:rsid w:val="77305033"/>
    <w:rsid w:val="77334C37"/>
    <w:rsid w:val="773804C7"/>
    <w:rsid w:val="773F4EBA"/>
    <w:rsid w:val="77414717"/>
    <w:rsid w:val="774150D6"/>
    <w:rsid w:val="77422BFC"/>
    <w:rsid w:val="77493394"/>
    <w:rsid w:val="774E2C56"/>
    <w:rsid w:val="774F52A3"/>
    <w:rsid w:val="77514BED"/>
    <w:rsid w:val="77517FDB"/>
    <w:rsid w:val="775546DD"/>
    <w:rsid w:val="775D7DE6"/>
    <w:rsid w:val="77664B3C"/>
    <w:rsid w:val="77731007"/>
    <w:rsid w:val="77732816"/>
    <w:rsid w:val="77756B2D"/>
    <w:rsid w:val="77762421"/>
    <w:rsid w:val="778063F1"/>
    <w:rsid w:val="7782124A"/>
    <w:rsid w:val="77847601"/>
    <w:rsid w:val="778F3FED"/>
    <w:rsid w:val="778F7D5F"/>
    <w:rsid w:val="779807BE"/>
    <w:rsid w:val="779F1915"/>
    <w:rsid w:val="779F1DFC"/>
    <w:rsid w:val="77A0511A"/>
    <w:rsid w:val="77A0522A"/>
    <w:rsid w:val="77B04009"/>
    <w:rsid w:val="77B56B1F"/>
    <w:rsid w:val="77BF5FFA"/>
    <w:rsid w:val="77C57C02"/>
    <w:rsid w:val="77C61018"/>
    <w:rsid w:val="77CB2BF1"/>
    <w:rsid w:val="77CD4BBB"/>
    <w:rsid w:val="77D41B61"/>
    <w:rsid w:val="77DC4BB9"/>
    <w:rsid w:val="77DE2A7C"/>
    <w:rsid w:val="77DE6580"/>
    <w:rsid w:val="77F4039A"/>
    <w:rsid w:val="77F43800"/>
    <w:rsid w:val="780103C1"/>
    <w:rsid w:val="78054355"/>
    <w:rsid w:val="780B56E4"/>
    <w:rsid w:val="780C6C3C"/>
    <w:rsid w:val="780F09F4"/>
    <w:rsid w:val="780F62B6"/>
    <w:rsid w:val="781118D9"/>
    <w:rsid w:val="781547E3"/>
    <w:rsid w:val="78174144"/>
    <w:rsid w:val="781817D7"/>
    <w:rsid w:val="78202F3D"/>
    <w:rsid w:val="78212811"/>
    <w:rsid w:val="7822288A"/>
    <w:rsid w:val="782335FF"/>
    <w:rsid w:val="78270D8E"/>
    <w:rsid w:val="78280044"/>
    <w:rsid w:val="782F3180"/>
    <w:rsid w:val="78343ACE"/>
    <w:rsid w:val="783469E8"/>
    <w:rsid w:val="783E7867"/>
    <w:rsid w:val="7840016A"/>
    <w:rsid w:val="784A66BD"/>
    <w:rsid w:val="784F3822"/>
    <w:rsid w:val="784F55D0"/>
    <w:rsid w:val="78520C1D"/>
    <w:rsid w:val="78540E39"/>
    <w:rsid w:val="78564BB1"/>
    <w:rsid w:val="785B21C7"/>
    <w:rsid w:val="785B5D23"/>
    <w:rsid w:val="785D3378"/>
    <w:rsid w:val="7860158C"/>
    <w:rsid w:val="786719A8"/>
    <w:rsid w:val="78680440"/>
    <w:rsid w:val="78736DE3"/>
    <w:rsid w:val="787768D5"/>
    <w:rsid w:val="78780C5B"/>
    <w:rsid w:val="7879089F"/>
    <w:rsid w:val="78834720"/>
    <w:rsid w:val="78857244"/>
    <w:rsid w:val="788A2AAC"/>
    <w:rsid w:val="78917997"/>
    <w:rsid w:val="78956095"/>
    <w:rsid w:val="789C1FE2"/>
    <w:rsid w:val="78A13AE1"/>
    <w:rsid w:val="78A46A79"/>
    <w:rsid w:val="78A51694"/>
    <w:rsid w:val="78A70F68"/>
    <w:rsid w:val="78A90480"/>
    <w:rsid w:val="78AA2807"/>
    <w:rsid w:val="78AA52E1"/>
    <w:rsid w:val="78B11DBB"/>
    <w:rsid w:val="78B13B17"/>
    <w:rsid w:val="78B24758"/>
    <w:rsid w:val="78B2790D"/>
    <w:rsid w:val="78B33DB1"/>
    <w:rsid w:val="78B6564F"/>
    <w:rsid w:val="78BC253A"/>
    <w:rsid w:val="78BF076D"/>
    <w:rsid w:val="78BF1C53"/>
    <w:rsid w:val="78C45911"/>
    <w:rsid w:val="78C6353E"/>
    <w:rsid w:val="78CC6C21"/>
    <w:rsid w:val="78CD4747"/>
    <w:rsid w:val="78CF4B42"/>
    <w:rsid w:val="78D238C9"/>
    <w:rsid w:val="78E0091E"/>
    <w:rsid w:val="78E201F2"/>
    <w:rsid w:val="78E30DC9"/>
    <w:rsid w:val="78E7188D"/>
    <w:rsid w:val="78E73A5B"/>
    <w:rsid w:val="78F16688"/>
    <w:rsid w:val="78F37B6E"/>
    <w:rsid w:val="78FB7506"/>
    <w:rsid w:val="78FD3C99"/>
    <w:rsid w:val="79013CB3"/>
    <w:rsid w:val="79032BF7"/>
    <w:rsid w:val="79035E58"/>
    <w:rsid w:val="790408DA"/>
    <w:rsid w:val="79053EE1"/>
    <w:rsid w:val="7908577F"/>
    <w:rsid w:val="790F4586"/>
    <w:rsid w:val="79102FB2"/>
    <w:rsid w:val="7916110B"/>
    <w:rsid w:val="791709EF"/>
    <w:rsid w:val="79175AE9"/>
    <w:rsid w:val="7924651E"/>
    <w:rsid w:val="792516D5"/>
    <w:rsid w:val="79254583"/>
    <w:rsid w:val="79292468"/>
    <w:rsid w:val="79312F28"/>
    <w:rsid w:val="79314097"/>
    <w:rsid w:val="79330A4E"/>
    <w:rsid w:val="7935614D"/>
    <w:rsid w:val="79366790"/>
    <w:rsid w:val="79377700"/>
    <w:rsid w:val="793A1DDD"/>
    <w:rsid w:val="793D367B"/>
    <w:rsid w:val="7941371E"/>
    <w:rsid w:val="7947052B"/>
    <w:rsid w:val="794A141B"/>
    <w:rsid w:val="794C13E9"/>
    <w:rsid w:val="794C5FB4"/>
    <w:rsid w:val="79501641"/>
    <w:rsid w:val="79502E50"/>
    <w:rsid w:val="79507852"/>
    <w:rsid w:val="795310F0"/>
    <w:rsid w:val="79537342"/>
    <w:rsid w:val="796706F8"/>
    <w:rsid w:val="7967694A"/>
    <w:rsid w:val="79690914"/>
    <w:rsid w:val="796C21B2"/>
    <w:rsid w:val="796D486C"/>
    <w:rsid w:val="79725F8B"/>
    <w:rsid w:val="7980657F"/>
    <w:rsid w:val="79892D64"/>
    <w:rsid w:val="798E3ED6"/>
    <w:rsid w:val="79954CA1"/>
    <w:rsid w:val="79974F22"/>
    <w:rsid w:val="7997722F"/>
    <w:rsid w:val="799A287B"/>
    <w:rsid w:val="799F3C44"/>
    <w:rsid w:val="79A12DC0"/>
    <w:rsid w:val="79A22246"/>
    <w:rsid w:val="79A90F38"/>
    <w:rsid w:val="79AB2CDA"/>
    <w:rsid w:val="79AD1EA7"/>
    <w:rsid w:val="79B31B8F"/>
    <w:rsid w:val="79B86715"/>
    <w:rsid w:val="79BC4EE7"/>
    <w:rsid w:val="79BC6C95"/>
    <w:rsid w:val="79BD2A0E"/>
    <w:rsid w:val="79BE7E2E"/>
    <w:rsid w:val="79C542E2"/>
    <w:rsid w:val="79C773E8"/>
    <w:rsid w:val="79CB2FD9"/>
    <w:rsid w:val="79D614B5"/>
    <w:rsid w:val="79D73ACF"/>
    <w:rsid w:val="79DE4AF9"/>
    <w:rsid w:val="79DF2984"/>
    <w:rsid w:val="79E32474"/>
    <w:rsid w:val="79E35352"/>
    <w:rsid w:val="79E61318"/>
    <w:rsid w:val="79EB1329"/>
    <w:rsid w:val="79EE471E"/>
    <w:rsid w:val="79F01792"/>
    <w:rsid w:val="79F77C3D"/>
    <w:rsid w:val="79F9126F"/>
    <w:rsid w:val="79F91C98"/>
    <w:rsid w:val="79FA4A90"/>
    <w:rsid w:val="79FA77BE"/>
    <w:rsid w:val="79FC3536"/>
    <w:rsid w:val="79FF0771"/>
    <w:rsid w:val="79FF6B82"/>
    <w:rsid w:val="79FF71A2"/>
    <w:rsid w:val="7A0A7A6A"/>
    <w:rsid w:val="7A0C2CC5"/>
    <w:rsid w:val="7A1169E4"/>
    <w:rsid w:val="7A123E69"/>
    <w:rsid w:val="7A124B07"/>
    <w:rsid w:val="7A141EC2"/>
    <w:rsid w:val="7A1C773B"/>
    <w:rsid w:val="7A28432B"/>
    <w:rsid w:val="7A324B89"/>
    <w:rsid w:val="7A3507F6"/>
    <w:rsid w:val="7A356A48"/>
    <w:rsid w:val="7A364017"/>
    <w:rsid w:val="7A37543D"/>
    <w:rsid w:val="7A3905A1"/>
    <w:rsid w:val="7A3E3B4E"/>
    <w:rsid w:val="7A3E50D3"/>
    <w:rsid w:val="7A41363F"/>
    <w:rsid w:val="7A415B80"/>
    <w:rsid w:val="7A450BEA"/>
    <w:rsid w:val="7A4B1DC7"/>
    <w:rsid w:val="7A4F3F08"/>
    <w:rsid w:val="7A523156"/>
    <w:rsid w:val="7A590988"/>
    <w:rsid w:val="7A5A200A"/>
    <w:rsid w:val="7A6645E3"/>
    <w:rsid w:val="7A6A40CD"/>
    <w:rsid w:val="7A73373A"/>
    <w:rsid w:val="7A772BBC"/>
    <w:rsid w:val="7A777060"/>
    <w:rsid w:val="7A7C01D3"/>
    <w:rsid w:val="7A7E4E00"/>
    <w:rsid w:val="7A7E7E6C"/>
    <w:rsid w:val="7A8265E1"/>
    <w:rsid w:val="7A903C7E"/>
    <w:rsid w:val="7A9B68AB"/>
    <w:rsid w:val="7AA317C2"/>
    <w:rsid w:val="7AA717C2"/>
    <w:rsid w:val="7AAC160F"/>
    <w:rsid w:val="7AAC4F5C"/>
    <w:rsid w:val="7AAD2A82"/>
    <w:rsid w:val="7AAF67FA"/>
    <w:rsid w:val="7AB27FAA"/>
    <w:rsid w:val="7AB40EEF"/>
    <w:rsid w:val="7AB51971"/>
    <w:rsid w:val="7AB67B89"/>
    <w:rsid w:val="7ABD0F17"/>
    <w:rsid w:val="7AC06311"/>
    <w:rsid w:val="7AC2483D"/>
    <w:rsid w:val="7AC81DE4"/>
    <w:rsid w:val="7ACC13AD"/>
    <w:rsid w:val="7ACF29F8"/>
    <w:rsid w:val="7ACF6BB6"/>
    <w:rsid w:val="7AD4203F"/>
    <w:rsid w:val="7AD95625"/>
    <w:rsid w:val="7ADB139D"/>
    <w:rsid w:val="7ADD5115"/>
    <w:rsid w:val="7AE71284"/>
    <w:rsid w:val="7AE849D9"/>
    <w:rsid w:val="7AE909AA"/>
    <w:rsid w:val="7AE973D5"/>
    <w:rsid w:val="7AEA5977"/>
    <w:rsid w:val="7AEA5A84"/>
    <w:rsid w:val="7AED2E7F"/>
    <w:rsid w:val="7AF46CD4"/>
    <w:rsid w:val="7AF67F85"/>
    <w:rsid w:val="7AF7341E"/>
    <w:rsid w:val="7AFD63C8"/>
    <w:rsid w:val="7B055DF4"/>
    <w:rsid w:val="7B087367"/>
    <w:rsid w:val="7B09420D"/>
    <w:rsid w:val="7B1B798E"/>
    <w:rsid w:val="7B2C7682"/>
    <w:rsid w:val="7B337B8D"/>
    <w:rsid w:val="7B406C9B"/>
    <w:rsid w:val="7B446F42"/>
    <w:rsid w:val="7B4C229B"/>
    <w:rsid w:val="7B4C4049"/>
    <w:rsid w:val="7B4C5DF7"/>
    <w:rsid w:val="7B5B24DE"/>
    <w:rsid w:val="7B5F7149"/>
    <w:rsid w:val="7B615D46"/>
    <w:rsid w:val="7B686D42"/>
    <w:rsid w:val="7B782467"/>
    <w:rsid w:val="7B7A081D"/>
    <w:rsid w:val="7B7A2964"/>
    <w:rsid w:val="7B841746"/>
    <w:rsid w:val="7B8869E6"/>
    <w:rsid w:val="7B8A5F60"/>
    <w:rsid w:val="7B9E726C"/>
    <w:rsid w:val="7BA07EF1"/>
    <w:rsid w:val="7BA1502A"/>
    <w:rsid w:val="7BA30F4E"/>
    <w:rsid w:val="7BA31081"/>
    <w:rsid w:val="7BA37D65"/>
    <w:rsid w:val="7BA44CC3"/>
    <w:rsid w:val="7BA80414"/>
    <w:rsid w:val="7BAA07FA"/>
    <w:rsid w:val="7BB24622"/>
    <w:rsid w:val="7BBA00F8"/>
    <w:rsid w:val="7BBA7205"/>
    <w:rsid w:val="7BBE352C"/>
    <w:rsid w:val="7BBF1AC8"/>
    <w:rsid w:val="7BC41E31"/>
    <w:rsid w:val="7BC63DFB"/>
    <w:rsid w:val="7BCF0129"/>
    <w:rsid w:val="7BD0720C"/>
    <w:rsid w:val="7BD30100"/>
    <w:rsid w:val="7BD32074"/>
    <w:rsid w:val="7BDB1C4D"/>
    <w:rsid w:val="7BDD2EF3"/>
    <w:rsid w:val="7BDF6C6B"/>
    <w:rsid w:val="7BDF7FCA"/>
    <w:rsid w:val="7BE326F8"/>
    <w:rsid w:val="7BE349AD"/>
    <w:rsid w:val="7BE55CEF"/>
    <w:rsid w:val="7BE75540"/>
    <w:rsid w:val="7BEB5610"/>
    <w:rsid w:val="7BEF48E5"/>
    <w:rsid w:val="7BF5274F"/>
    <w:rsid w:val="7BF70CB5"/>
    <w:rsid w:val="7BF8465F"/>
    <w:rsid w:val="7BFE17E7"/>
    <w:rsid w:val="7C012278"/>
    <w:rsid w:val="7C013085"/>
    <w:rsid w:val="7C047936"/>
    <w:rsid w:val="7C073B61"/>
    <w:rsid w:val="7C0C4936"/>
    <w:rsid w:val="7C0E0B16"/>
    <w:rsid w:val="7C1657F4"/>
    <w:rsid w:val="7C1A5BAA"/>
    <w:rsid w:val="7C1B6D71"/>
    <w:rsid w:val="7C2157BA"/>
    <w:rsid w:val="7C2428D0"/>
    <w:rsid w:val="7C260E9D"/>
    <w:rsid w:val="7C2C66D7"/>
    <w:rsid w:val="7C2E0B52"/>
    <w:rsid w:val="7C2E460D"/>
    <w:rsid w:val="7C3175AE"/>
    <w:rsid w:val="7C330D65"/>
    <w:rsid w:val="7C372603"/>
    <w:rsid w:val="7C3821BC"/>
    <w:rsid w:val="7C396E77"/>
    <w:rsid w:val="7C3D3207"/>
    <w:rsid w:val="7C3F6017"/>
    <w:rsid w:val="7C4371FA"/>
    <w:rsid w:val="7C464B65"/>
    <w:rsid w:val="7C47503C"/>
    <w:rsid w:val="7C5A2796"/>
    <w:rsid w:val="7C5C4760"/>
    <w:rsid w:val="7C5E2286"/>
    <w:rsid w:val="7C60214C"/>
    <w:rsid w:val="7C607043"/>
    <w:rsid w:val="7C640BA7"/>
    <w:rsid w:val="7C6813C3"/>
    <w:rsid w:val="7C6A0C2B"/>
    <w:rsid w:val="7C6C5AC7"/>
    <w:rsid w:val="7C783B35"/>
    <w:rsid w:val="7C7970C0"/>
    <w:rsid w:val="7C7D22D7"/>
    <w:rsid w:val="7C815F74"/>
    <w:rsid w:val="7C863B69"/>
    <w:rsid w:val="7C8D66C7"/>
    <w:rsid w:val="7C8E6168"/>
    <w:rsid w:val="7C9537CE"/>
    <w:rsid w:val="7C9D5C0E"/>
    <w:rsid w:val="7C9E2682"/>
    <w:rsid w:val="7C9E6B26"/>
    <w:rsid w:val="7CA24237"/>
    <w:rsid w:val="7CA2788D"/>
    <w:rsid w:val="7CA659DB"/>
    <w:rsid w:val="7CA852AF"/>
    <w:rsid w:val="7CB079A3"/>
    <w:rsid w:val="7CB55689"/>
    <w:rsid w:val="7CB75F27"/>
    <w:rsid w:val="7CB93960"/>
    <w:rsid w:val="7CBD19F6"/>
    <w:rsid w:val="7CC16371"/>
    <w:rsid w:val="7CC3033B"/>
    <w:rsid w:val="7CC6544B"/>
    <w:rsid w:val="7CD87B19"/>
    <w:rsid w:val="7CD97B5E"/>
    <w:rsid w:val="7CDC31A1"/>
    <w:rsid w:val="7CDC31AB"/>
    <w:rsid w:val="7CE147EB"/>
    <w:rsid w:val="7CE2717A"/>
    <w:rsid w:val="7CE32B26"/>
    <w:rsid w:val="7CEA1D6C"/>
    <w:rsid w:val="7CED0323"/>
    <w:rsid w:val="7CF23C24"/>
    <w:rsid w:val="7CF76237"/>
    <w:rsid w:val="7CF77FE5"/>
    <w:rsid w:val="7CF82511"/>
    <w:rsid w:val="7CF91FAF"/>
    <w:rsid w:val="7CF95B0B"/>
    <w:rsid w:val="7CFB5AA5"/>
    <w:rsid w:val="7D00333D"/>
    <w:rsid w:val="7D012C11"/>
    <w:rsid w:val="7D0163F4"/>
    <w:rsid w:val="7D0239FF"/>
    <w:rsid w:val="7D0B14FB"/>
    <w:rsid w:val="7D0C7EE6"/>
    <w:rsid w:val="7D0F63A0"/>
    <w:rsid w:val="7D1110A6"/>
    <w:rsid w:val="7D11554A"/>
    <w:rsid w:val="7D133070"/>
    <w:rsid w:val="7D157FB6"/>
    <w:rsid w:val="7D18560A"/>
    <w:rsid w:val="7D1D3EEF"/>
    <w:rsid w:val="7D21425A"/>
    <w:rsid w:val="7D215236"/>
    <w:rsid w:val="7D252DA4"/>
    <w:rsid w:val="7D253473"/>
    <w:rsid w:val="7D2B2488"/>
    <w:rsid w:val="7D325284"/>
    <w:rsid w:val="7D3354C1"/>
    <w:rsid w:val="7D342A41"/>
    <w:rsid w:val="7D3D0E71"/>
    <w:rsid w:val="7D3E3E65"/>
    <w:rsid w:val="7D40198C"/>
    <w:rsid w:val="7D455C6D"/>
    <w:rsid w:val="7D457FAA"/>
    <w:rsid w:val="7D47589E"/>
    <w:rsid w:val="7D502AF4"/>
    <w:rsid w:val="7D513B99"/>
    <w:rsid w:val="7D587A0A"/>
    <w:rsid w:val="7D5B0573"/>
    <w:rsid w:val="7D5B394E"/>
    <w:rsid w:val="7D5E40CD"/>
    <w:rsid w:val="7D625DA6"/>
    <w:rsid w:val="7D6A4EF9"/>
    <w:rsid w:val="7D742DD1"/>
    <w:rsid w:val="7D7635FF"/>
    <w:rsid w:val="7D7713AE"/>
    <w:rsid w:val="7D791035"/>
    <w:rsid w:val="7D7C5D4D"/>
    <w:rsid w:val="7D847ACA"/>
    <w:rsid w:val="7D8E26F7"/>
    <w:rsid w:val="7D8E57CF"/>
    <w:rsid w:val="7D91703D"/>
    <w:rsid w:val="7DB36601"/>
    <w:rsid w:val="7DB67EA0"/>
    <w:rsid w:val="7DBC6FF3"/>
    <w:rsid w:val="7DBE1B3B"/>
    <w:rsid w:val="7DC73E5B"/>
    <w:rsid w:val="7DC8310F"/>
    <w:rsid w:val="7DCA74A7"/>
    <w:rsid w:val="7DCC3AD8"/>
    <w:rsid w:val="7DCD56F2"/>
    <w:rsid w:val="7DD138CC"/>
    <w:rsid w:val="7DD36A7D"/>
    <w:rsid w:val="7DE16EE5"/>
    <w:rsid w:val="7DE451F8"/>
    <w:rsid w:val="7DE85257"/>
    <w:rsid w:val="7DEC20D2"/>
    <w:rsid w:val="7DEC709C"/>
    <w:rsid w:val="7DF033B2"/>
    <w:rsid w:val="7DF10ED8"/>
    <w:rsid w:val="7DF63F66"/>
    <w:rsid w:val="7DFA4415"/>
    <w:rsid w:val="7DFD5ACF"/>
    <w:rsid w:val="7E01111B"/>
    <w:rsid w:val="7E0D1B9F"/>
    <w:rsid w:val="7E0D3F64"/>
    <w:rsid w:val="7E17093E"/>
    <w:rsid w:val="7E2B43EA"/>
    <w:rsid w:val="7E2E3EDA"/>
    <w:rsid w:val="7E372D8F"/>
    <w:rsid w:val="7E3824B7"/>
    <w:rsid w:val="7E3E0F87"/>
    <w:rsid w:val="7E417769"/>
    <w:rsid w:val="7E447259"/>
    <w:rsid w:val="7E470AF8"/>
    <w:rsid w:val="7E4920F0"/>
    <w:rsid w:val="7E4E1E86"/>
    <w:rsid w:val="7E5036DA"/>
    <w:rsid w:val="7E543906"/>
    <w:rsid w:val="7E54763A"/>
    <w:rsid w:val="7E5B4207"/>
    <w:rsid w:val="7E657E8A"/>
    <w:rsid w:val="7E6B71E3"/>
    <w:rsid w:val="7E6D4A02"/>
    <w:rsid w:val="7E71280E"/>
    <w:rsid w:val="7E727045"/>
    <w:rsid w:val="7E730245"/>
    <w:rsid w:val="7E775881"/>
    <w:rsid w:val="7E7A5BE3"/>
    <w:rsid w:val="7E7A711F"/>
    <w:rsid w:val="7E7E09BD"/>
    <w:rsid w:val="7E7E4059"/>
    <w:rsid w:val="7E7F4735"/>
    <w:rsid w:val="7E800E52"/>
    <w:rsid w:val="7E856B85"/>
    <w:rsid w:val="7E861620"/>
    <w:rsid w:val="7E8B4E88"/>
    <w:rsid w:val="7E994615"/>
    <w:rsid w:val="7E9C52E7"/>
    <w:rsid w:val="7EAC2C32"/>
    <w:rsid w:val="7EB1094C"/>
    <w:rsid w:val="7EBE1F99"/>
    <w:rsid w:val="7EBE688F"/>
    <w:rsid w:val="7EC05876"/>
    <w:rsid w:val="7ECA271F"/>
    <w:rsid w:val="7ECC585B"/>
    <w:rsid w:val="7ED93E46"/>
    <w:rsid w:val="7EE03426"/>
    <w:rsid w:val="7EE051D4"/>
    <w:rsid w:val="7EE66A56"/>
    <w:rsid w:val="7EE9101C"/>
    <w:rsid w:val="7EEF3951"/>
    <w:rsid w:val="7EEF4D6E"/>
    <w:rsid w:val="7EEF71C5"/>
    <w:rsid w:val="7EF35A49"/>
    <w:rsid w:val="7EF51DF4"/>
    <w:rsid w:val="7EF5291F"/>
    <w:rsid w:val="7EFC5D86"/>
    <w:rsid w:val="7F001CE7"/>
    <w:rsid w:val="7F026BC0"/>
    <w:rsid w:val="7F0F1615"/>
    <w:rsid w:val="7F10538E"/>
    <w:rsid w:val="7F137755"/>
    <w:rsid w:val="7F1B4EB8"/>
    <w:rsid w:val="7F1F7D58"/>
    <w:rsid w:val="7F210E94"/>
    <w:rsid w:val="7F233313"/>
    <w:rsid w:val="7F233E95"/>
    <w:rsid w:val="7F250E39"/>
    <w:rsid w:val="7F2552DD"/>
    <w:rsid w:val="7F2F7F0A"/>
    <w:rsid w:val="7F313C82"/>
    <w:rsid w:val="7F316AC2"/>
    <w:rsid w:val="7F355E5B"/>
    <w:rsid w:val="7F36260E"/>
    <w:rsid w:val="7F3D4789"/>
    <w:rsid w:val="7F414D3C"/>
    <w:rsid w:val="7F416D20"/>
    <w:rsid w:val="7F42716B"/>
    <w:rsid w:val="7F4339B5"/>
    <w:rsid w:val="7F443DFC"/>
    <w:rsid w:val="7F527438"/>
    <w:rsid w:val="7F533FA1"/>
    <w:rsid w:val="7F5977EB"/>
    <w:rsid w:val="7F606315"/>
    <w:rsid w:val="7F6317BF"/>
    <w:rsid w:val="7F661BEE"/>
    <w:rsid w:val="7F676E48"/>
    <w:rsid w:val="7F7A1ED6"/>
    <w:rsid w:val="7F7B4EFD"/>
    <w:rsid w:val="7F80048F"/>
    <w:rsid w:val="7F811A2C"/>
    <w:rsid w:val="7F824B73"/>
    <w:rsid w:val="7F960830"/>
    <w:rsid w:val="7F9E12D9"/>
    <w:rsid w:val="7FA04963"/>
    <w:rsid w:val="7FA309A1"/>
    <w:rsid w:val="7FA33A73"/>
    <w:rsid w:val="7FA50238"/>
    <w:rsid w:val="7FB13432"/>
    <w:rsid w:val="7FB3182A"/>
    <w:rsid w:val="7FBD3767"/>
    <w:rsid w:val="7FC20D7E"/>
    <w:rsid w:val="7FCB1B74"/>
    <w:rsid w:val="7FCE5462"/>
    <w:rsid w:val="7FD1668B"/>
    <w:rsid w:val="7FD745AF"/>
    <w:rsid w:val="7FD92360"/>
    <w:rsid w:val="7FDA60C7"/>
    <w:rsid w:val="7FDB21E3"/>
    <w:rsid w:val="7FDD1166"/>
    <w:rsid w:val="7FE47E50"/>
    <w:rsid w:val="7FF54CAF"/>
    <w:rsid w:val="7FF8479F"/>
    <w:rsid w:val="7FFD1DB6"/>
    <w:rsid w:val="7FFD59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9"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iPriority="0" w:semiHidden="0" w:name="heading 6" w:locked="1"/>
    <w:lsdException w:qFormat="1" w:uiPriority="0" w:semiHidden="0" w:name="heading 7" w:locked="1"/>
    <w:lsdException w:qFormat="1" w:uiPriority="0" w:semiHidden="0" w:name="heading 8" w:locked="1"/>
    <w:lsdException w:qFormat="1" w:uiPriority="0" w:semiHidden="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sdException w:qFormat="1" w:unhideWhenUsed="0" w:uiPriority="0" w:semiHidden="0" w:name="toc 2" w:locked="1"/>
    <w:lsdException w:qFormat="1" w:unhideWhenUsed="0" w:uiPriority="0" w:semiHidden="0" w:name="toc 3" w:locked="1"/>
    <w:lsdException w:qFormat="1" w:unhideWhenUsed="0" w:uiPriority="0" w:semiHidden="0" w:name="toc 4" w:locked="1"/>
    <w:lsdException w:qFormat="1" w:unhideWhenUsed="0" w:uiPriority="0" w:semiHidden="0" w:name="toc 5" w:locked="1"/>
    <w:lsdException w:unhideWhenUsed="0" w:uiPriority="0" w:semiHidden="0" w:name="toc 6" w:locked="1"/>
    <w:lsdException w:qFormat="1" w:unhideWhenUsed="0" w:uiPriority="39"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99" w:semiHidden="0" w:name="List"/>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iPriority="99" w:semiHidden="0" w:name="Salutation" w:locked="1"/>
    <w:lsdException w:unhideWhenUsed="0"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sdException w:unhideWhenUsed="0" w:uiPriority="0" w:semiHidden="0" w:name="Document Map" w:locked="1"/>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1"/>
    <w:qFormat/>
    <w:locked/>
    <w:uiPriority w:val="99"/>
    <w:pPr>
      <w:keepNext/>
      <w:numPr>
        <w:ilvl w:val="0"/>
        <w:numId w:val="1"/>
      </w:numPr>
      <w:tabs>
        <w:tab w:val="left" w:pos="420"/>
        <w:tab w:val="clear" w:pos="0"/>
      </w:tabs>
      <w:overflowPunct w:val="0"/>
      <w:snapToGrid w:val="0"/>
      <w:spacing w:line="360" w:lineRule="auto"/>
      <w:ind w:left="432" w:hanging="432"/>
      <w:jc w:val="center"/>
      <w:outlineLvl w:val="0"/>
    </w:pPr>
    <w:rPr>
      <w:rFonts w:ascii="Times New Roman" w:hAnsi="Times New Roman" w:eastAsia="宋体"/>
      <w:b/>
      <w:bCs/>
      <w:color w:val="000000"/>
      <w:kern w:val="44"/>
      <w:sz w:val="30"/>
      <w:szCs w:val="30"/>
    </w:rPr>
  </w:style>
  <w:style w:type="paragraph" w:styleId="3">
    <w:name w:val="heading 2"/>
    <w:basedOn w:val="1"/>
    <w:next w:val="1"/>
    <w:link w:val="40"/>
    <w:qFormat/>
    <w:locked/>
    <w:uiPriority w:val="9"/>
    <w:pPr>
      <w:keepNext/>
      <w:keepLines/>
      <w:numPr>
        <w:ilvl w:val="1"/>
        <w:numId w:val="1"/>
      </w:numPr>
      <w:spacing w:before="120" w:after="120" w:line="360" w:lineRule="auto"/>
      <w:ind w:left="0"/>
      <w:outlineLvl w:val="1"/>
    </w:pPr>
    <w:rPr>
      <w:rFonts w:ascii="Times New Roman" w:hAnsi="Times New Roman" w:eastAsia="宋体"/>
      <w:b/>
      <w:bCs/>
      <w:sz w:val="28"/>
      <w:szCs w:val="32"/>
    </w:rPr>
  </w:style>
  <w:style w:type="paragraph" w:styleId="4">
    <w:name w:val="heading 3"/>
    <w:basedOn w:val="1"/>
    <w:next w:val="1"/>
    <w:link w:val="48"/>
    <w:qFormat/>
    <w:locked/>
    <w:uiPriority w:val="0"/>
    <w:pPr>
      <w:keepNext/>
      <w:keepLines/>
      <w:numPr>
        <w:ilvl w:val="2"/>
        <w:numId w:val="1"/>
      </w:numPr>
      <w:tabs>
        <w:tab w:val="left" w:pos="420"/>
        <w:tab w:val="clear" w:pos="0"/>
      </w:tabs>
      <w:spacing w:before="120" w:after="120" w:line="360" w:lineRule="auto"/>
      <w:ind w:left="720" w:hanging="720"/>
      <w:outlineLvl w:val="2"/>
    </w:pPr>
    <w:rPr>
      <w:rFonts w:ascii="Times New Roman" w:hAnsi="Times New Roman" w:eastAsia="宋体"/>
      <w:b/>
      <w:bCs/>
      <w:sz w:val="24"/>
      <w:szCs w:val="32"/>
    </w:rPr>
  </w:style>
  <w:style w:type="paragraph" w:styleId="5">
    <w:name w:val="heading 4"/>
    <w:basedOn w:val="1"/>
    <w:next w:val="1"/>
    <w:link w:val="50"/>
    <w:qFormat/>
    <w:locked/>
    <w:uiPriority w:val="0"/>
    <w:pPr>
      <w:keepNext/>
      <w:keepLines/>
      <w:numPr>
        <w:ilvl w:val="3"/>
        <w:numId w:val="1"/>
      </w:numPr>
      <w:tabs>
        <w:tab w:val="left" w:pos="420"/>
        <w:tab w:val="clear" w:pos="0"/>
      </w:tabs>
      <w:spacing w:line="360" w:lineRule="auto"/>
      <w:ind w:left="864" w:hanging="864"/>
      <w:jc w:val="left"/>
      <w:outlineLvl w:val="3"/>
    </w:pPr>
    <w:rPr>
      <w:rFonts w:ascii="Times New Roman" w:hAnsi="Times New Roman" w:eastAsia="宋体"/>
      <w:b/>
      <w:bCs/>
      <w:sz w:val="24"/>
      <w:szCs w:val="28"/>
    </w:rPr>
  </w:style>
  <w:style w:type="paragraph" w:styleId="6">
    <w:name w:val="heading 5"/>
    <w:basedOn w:val="1"/>
    <w:next w:val="1"/>
    <w:link w:val="61"/>
    <w:qFormat/>
    <w:locked/>
    <w:uiPriority w:val="0"/>
    <w:pPr>
      <w:keepNext/>
      <w:keepLines/>
      <w:numPr>
        <w:ilvl w:val="4"/>
        <w:numId w:val="2"/>
      </w:numPr>
      <w:spacing w:before="280" w:after="290" w:line="376" w:lineRule="auto"/>
      <w:ind w:left="1366"/>
      <w:outlineLvl w:val="4"/>
    </w:pPr>
    <w:rPr>
      <w:b/>
      <w:bCs/>
      <w:sz w:val="28"/>
      <w:szCs w:val="28"/>
    </w:rPr>
  </w:style>
  <w:style w:type="paragraph" w:styleId="7">
    <w:name w:val="heading 6"/>
    <w:basedOn w:val="1"/>
    <w:next w:val="1"/>
    <w:unhideWhenUsed/>
    <w:qFormat/>
    <w:locked/>
    <w:uiPriority w:val="0"/>
    <w:pPr>
      <w:keepNext/>
      <w:keepLines/>
      <w:numPr>
        <w:ilvl w:val="5"/>
        <w:numId w:val="2"/>
      </w:numPr>
      <w:spacing w:before="240" w:after="64" w:line="317" w:lineRule="auto"/>
      <w:ind w:left="1509"/>
      <w:outlineLvl w:val="5"/>
    </w:pPr>
    <w:rPr>
      <w:rFonts w:ascii="Arial" w:hAnsi="Arial" w:eastAsia="黑体"/>
      <w:b/>
      <w:sz w:val="24"/>
    </w:rPr>
  </w:style>
  <w:style w:type="paragraph" w:styleId="8">
    <w:name w:val="heading 7"/>
    <w:basedOn w:val="1"/>
    <w:next w:val="1"/>
    <w:unhideWhenUsed/>
    <w:qFormat/>
    <w:locked/>
    <w:uiPriority w:val="0"/>
    <w:pPr>
      <w:keepNext/>
      <w:keepLines/>
      <w:numPr>
        <w:ilvl w:val="6"/>
        <w:numId w:val="2"/>
      </w:numPr>
      <w:spacing w:before="240" w:after="64" w:line="317" w:lineRule="auto"/>
      <w:ind w:left="1654"/>
      <w:outlineLvl w:val="6"/>
    </w:pPr>
    <w:rPr>
      <w:b/>
      <w:sz w:val="24"/>
    </w:rPr>
  </w:style>
  <w:style w:type="paragraph" w:styleId="9">
    <w:name w:val="heading 8"/>
    <w:basedOn w:val="1"/>
    <w:next w:val="1"/>
    <w:unhideWhenUsed/>
    <w:qFormat/>
    <w:locked/>
    <w:uiPriority w:val="0"/>
    <w:pPr>
      <w:keepNext/>
      <w:keepLines/>
      <w:numPr>
        <w:ilvl w:val="7"/>
        <w:numId w:val="3"/>
      </w:numPr>
      <w:spacing w:before="240" w:after="64" w:line="317" w:lineRule="auto"/>
      <w:ind w:left="1440"/>
      <w:outlineLvl w:val="7"/>
    </w:pPr>
    <w:rPr>
      <w:rFonts w:ascii="Arial" w:hAnsi="Arial" w:eastAsia="黑体"/>
      <w:sz w:val="24"/>
    </w:rPr>
  </w:style>
  <w:style w:type="paragraph" w:styleId="10">
    <w:name w:val="heading 9"/>
    <w:basedOn w:val="1"/>
    <w:next w:val="1"/>
    <w:unhideWhenUsed/>
    <w:qFormat/>
    <w:locked/>
    <w:uiPriority w:val="0"/>
    <w:pPr>
      <w:keepNext/>
      <w:keepLines/>
      <w:numPr>
        <w:ilvl w:val="8"/>
        <w:numId w:val="4"/>
      </w:numPr>
      <w:spacing w:before="240" w:after="64" w:line="317" w:lineRule="auto"/>
      <w:ind w:left="1941"/>
      <w:outlineLvl w:val="8"/>
    </w:pPr>
    <w:rPr>
      <w:rFonts w:ascii="Arial" w:hAnsi="Arial" w:eastAsia="黑体"/>
    </w:rPr>
  </w:style>
  <w:style w:type="character" w:default="1" w:styleId="35">
    <w:name w:val="Default Paragraph Font"/>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locked/>
    <w:uiPriority w:val="39"/>
    <w:pPr>
      <w:ind w:left="2520" w:leftChars="1200"/>
    </w:pPr>
  </w:style>
  <w:style w:type="paragraph" w:styleId="12">
    <w:name w:val="Note Heading"/>
    <w:basedOn w:val="1"/>
    <w:next w:val="1"/>
    <w:qFormat/>
    <w:uiPriority w:val="0"/>
    <w:pPr>
      <w:jc w:val="center"/>
    </w:pPr>
  </w:style>
  <w:style w:type="paragraph" w:styleId="13">
    <w:name w:val="Normal Indent"/>
    <w:basedOn w:val="1"/>
    <w:link w:val="135"/>
    <w:qFormat/>
    <w:uiPriority w:val="0"/>
    <w:pPr>
      <w:spacing w:before="50" w:beforeLines="50" w:line="360" w:lineRule="auto"/>
      <w:ind w:firstLine="560" w:firstLineChars="200"/>
    </w:pPr>
    <w:rPr>
      <w:rFonts w:ascii="Calibri" w:hAnsi="Calibri"/>
      <w:sz w:val="28"/>
    </w:rPr>
  </w:style>
  <w:style w:type="paragraph" w:styleId="14">
    <w:name w:val="annotation text"/>
    <w:basedOn w:val="1"/>
    <w:qFormat/>
    <w:uiPriority w:val="0"/>
    <w:pPr>
      <w:jc w:val="left"/>
    </w:pPr>
  </w:style>
  <w:style w:type="paragraph" w:styleId="15">
    <w:name w:val="Salutation"/>
    <w:next w:val="1"/>
    <w:unhideWhenUsed/>
    <w:qFormat/>
    <w:locked/>
    <w:uiPriority w:val="99"/>
    <w:pPr>
      <w:widowControl w:val="0"/>
      <w:spacing w:line="307" w:lineRule="auto"/>
      <w:jc w:val="both"/>
    </w:pPr>
    <w:rPr>
      <w:rFonts w:ascii="Times New Roman" w:hAnsi="Times New Roman" w:eastAsia="宋体" w:cs="Times New Roman"/>
      <w:kern w:val="2"/>
      <w:sz w:val="21"/>
      <w:szCs w:val="24"/>
      <w:lang w:val="en-US" w:eastAsia="zh-CN" w:bidi="ar-SA"/>
    </w:rPr>
  </w:style>
  <w:style w:type="paragraph" w:styleId="16">
    <w:name w:val="Body Text"/>
    <w:basedOn w:val="1"/>
    <w:next w:val="17"/>
    <w:qFormat/>
    <w:uiPriority w:val="0"/>
    <w:pPr>
      <w:widowControl/>
      <w:snapToGrid w:val="0"/>
      <w:spacing w:before="60" w:after="160" w:line="259" w:lineRule="auto"/>
      <w:ind w:right="113"/>
    </w:pPr>
    <w:rPr>
      <w:rFonts w:ascii="Times New Roman" w:hAnsi="Times New Roman" w:eastAsia="宋体"/>
      <w:kern w:val="0"/>
      <w:sz w:val="18"/>
      <w:szCs w:val="20"/>
    </w:rPr>
  </w:style>
  <w:style w:type="paragraph" w:styleId="17">
    <w:name w:val="Plain Text"/>
    <w:basedOn w:val="1"/>
    <w:qFormat/>
    <w:uiPriority w:val="0"/>
    <w:rPr>
      <w:rFonts w:ascii="宋体" w:hAnsi="Courier New"/>
      <w:szCs w:val="20"/>
    </w:rPr>
  </w:style>
  <w:style w:type="paragraph" w:styleId="18">
    <w:name w:val="Body Text Indent"/>
    <w:basedOn w:val="1"/>
    <w:next w:val="19"/>
    <w:qFormat/>
    <w:uiPriority w:val="0"/>
    <w:pPr>
      <w:ind w:firstLine="560" w:firstLineChars="200"/>
    </w:pPr>
    <w:rPr>
      <w:sz w:val="28"/>
    </w:rPr>
  </w:style>
  <w:style w:type="paragraph" w:styleId="19">
    <w:name w:val="Body Text First Indent 2"/>
    <w:basedOn w:val="18"/>
    <w:next w:val="20"/>
    <w:unhideWhenUsed/>
    <w:qFormat/>
    <w:uiPriority w:val="0"/>
    <w:pPr>
      <w:spacing w:after="120"/>
      <w:ind w:left="420" w:leftChars="200" w:firstLine="420"/>
    </w:pPr>
    <w:rPr>
      <w:sz w:val="21"/>
    </w:rPr>
  </w:style>
  <w:style w:type="paragraph" w:styleId="20">
    <w:name w:val="Body Text First Indent"/>
    <w:basedOn w:val="16"/>
    <w:next w:val="1"/>
    <w:qFormat/>
    <w:uiPriority w:val="0"/>
    <w:pPr>
      <w:ind w:firstLine="420" w:firstLineChars="100"/>
    </w:pPr>
  </w:style>
  <w:style w:type="paragraph" w:styleId="21">
    <w:name w:val="toc 5"/>
    <w:basedOn w:val="1"/>
    <w:next w:val="1"/>
    <w:qFormat/>
    <w:locked/>
    <w:uiPriority w:val="0"/>
    <w:pPr>
      <w:ind w:left="1680" w:leftChars="800"/>
    </w:pPr>
  </w:style>
  <w:style w:type="paragraph" w:styleId="22">
    <w:name w:val="toc 3"/>
    <w:basedOn w:val="1"/>
    <w:next w:val="1"/>
    <w:qFormat/>
    <w:locked/>
    <w:uiPriority w:val="0"/>
    <w:pPr>
      <w:ind w:left="840" w:leftChars="400"/>
    </w:pPr>
  </w:style>
  <w:style w:type="paragraph" w:styleId="23">
    <w:name w:val="Body Text Indent 2"/>
    <w:basedOn w:val="1"/>
    <w:next w:val="1"/>
    <w:qFormat/>
    <w:locked/>
    <w:uiPriority w:val="0"/>
    <w:pPr>
      <w:spacing w:after="120" w:afterLines="0" w:line="480" w:lineRule="auto"/>
      <w:ind w:left="420" w:leftChars="200"/>
    </w:pPr>
  </w:style>
  <w:style w:type="paragraph" w:styleId="24">
    <w:name w:val="Balloon Text"/>
    <w:basedOn w:val="1"/>
    <w:semiHidden/>
    <w:qFormat/>
    <w:uiPriority w:val="0"/>
    <w:rPr>
      <w:kern w:val="0"/>
      <w:sz w:val="18"/>
      <w:szCs w:val="20"/>
    </w:rPr>
  </w:style>
  <w:style w:type="paragraph" w:styleId="25">
    <w:name w:val="footer"/>
    <w:basedOn w:val="1"/>
    <w:qFormat/>
    <w:uiPriority w:val="0"/>
    <w:pPr>
      <w:tabs>
        <w:tab w:val="center" w:pos="4153"/>
        <w:tab w:val="right" w:pos="8306"/>
      </w:tabs>
      <w:snapToGrid w:val="0"/>
    </w:pPr>
    <w:rPr>
      <w:sz w:val="18"/>
    </w:rPr>
  </w:style>
  <w:style w:type="paragraph" w:styleId="2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pPr>
    <w:rPr>
      <w:sz w:val="18"/>
    </w:rPr>
  </w:style>
  <w:style w:type="paragraph" w:styleId="27">
    <w:name w:val="toc 1"/>
    <w:basedOn w:val="1"/>
    <w:next w:val="1"/>
    <w:qFormat/>
    <w:uiPriority w:val="0"/>
    <w:pPr>
      <w:spacing w:line="312" w:lineRule="auto"/>
    </w:pPr>
    <w:rPr>
      <w:rFonts w:ascii="Times New Roman" w:hAnsi="Times New Roman" w:eastAsia="宋体"/>
      <w:sz w:val="24"/>
    </w:rPr>
  </w:style>
  <w:style w:type="paragraph" w:styleId="28">
    <w:name w:val="toc 4"/>
    <w:basedOn w:val="1"/>
    <w:next w:val="1"/>
    <w:qFormat/>
    <w:locked/>
    <w:uiPriority w:val="0"/>
    <w:pPr>
      <w:ind w:left="1260" w:leftChars="600"/>
    </w:pPr>
  </w:style>
  <w:style w:type="paragraph" w:styleId="29">
    <w:name w:val="List"/>
    <w:basedOn w:val="1"/>
    <w:unhideWhenUsed/>
    <w:qFormat/>
    <w:uiPriority w:val="99"/>
    <w:pPr>
      <w:ind w:left="200" w:hanging="200" w:hangingChars="200"/>
      <w:contextualSpacing/>
    </w:pPr>
  </w:style>
  <w:style w:type="paragraph" w:styleId="30">
    <w:name w:val="toc 2"/>
    <w:basedOn w:val="1"/>
    <w:next w:val="1"/>
    <w:qFormat/>
    <w:locked/>
    <w:uiPriority w:val="0"/>
    <w:pPr>
      <w:ind w:left="420" w:leftChars="200"/>
    </w:pPr>
  </w:style>
  <w:style w:type="paragraph" w:styleId="31">
    <w:name w:val="Normal (Web)"/>
    <w:basedOn w:val="1"/>
    <w:qFormat/>
    <w:uiPriority w:val="0"/>
    <w:pPr>
      <w:spacing w:before="0" w:beforeAutospacing="1" w:after="0" w:afterAutospacing="1"/>
      <w:ind w:left="0" w:right="0"/>
      <w:jc w:val="left"/>
    </w:pPr>
    <w:rPr>
      <w:kern w:val="0"/>
      <w:sz w:val="24"/>
      <w:lang w:val="en-US" w:eastAsia="zh-CN" w:bidi="ar"/>
    </w:rPr>
  </w:style>
  <w:style w:type="paragraph" w:styleId="32">
    <w:name w:val="Title"/>
    <w:basedOn w:val="1"/>
    <w:next w:val="1"/>
    <w:link w:val="62"/>
    <w:qFormat/>
    <w:locked/>
    <w:uiPriority w:val="0"/>
    <w:pPr>
      <w:spacing w:before="240" w:after="60"/>
      <w:jc w:val="center"/>
      <w:outlineLvl w:val="0"/>
    </w:pPr>
    <w:rPr>
      <w:rFonts w:ascii="Cambria" w:hAnsi="Cambria"/>
      <w:b/>
      <w:bCs/>
      <w:sz w:val="32"/>
      <w:szCs w:val="32"/>
    </w:rPr>
  </w:style>
  <w:style w:type="table" w:styleId="34">
    <w:name w:val="Table Grid"/>
    <w:basedOn w:val="3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6">
    <w:name w:val="Strong"/>
    <w:basedOn w:val="35"/>
    <w:qFormat/>
    <w:locked/>
    <w:uiPriority w:val="0"/>
    <w:rPr>
      <w:b/>
    </w:rPr>
  </w:style>
  <w:style w:type="character" w:styleId="37">
    <w:name w:val="FollowedHyperlink"/>
    <w:basedOn w:val="35"/>
    <w:qFormat/>
    <w:uiPriority w:val="0"/>
    <w:rPr>
      <w:color w:val="800080"/>
      <w:u w:val="none"/>
    </w:rPr>
  </w:style>
  <w:style w:type="character" w:styleId="38">
    <w:name w:val="Emphasis"/>
    <w:basedOn w:val="35"/>
    <w:qFormat/>
    <w:uiPriority w:val="0"/>
  </w:style>
  <w:style w:type="character" w:styleId="39">
    <w:name w:val="Hyperlink"/>
    <w:basedOn w:val="35"/>
    <w:qFormat/>
    <w:uiPriority w:val="0"/>
    <w:rPr>
      <w:color w:val="0000FF"/>
      <w:u w:val="none"/>
    </w:rPr>
  </w:style>
  <w:style w:type="character" w:customStyle="1" w:styleId="40">
    <w:name w:val="标题 2 Char"/>
    <w:link w:val="3"/>
    <w:qFormat/>
    <w:uiPriority w:val="9"/>
    <w:rPr>
      <w:rFonts w:ascii="Times New Roman" w:hAnsi="Times New Roman" w:eastAsia="宋体" w:cs="Times New Roman"/>
      <w:b/>
      <w:bCs/>
      <w:kern w:val="2"/>
      <w:sz w:val="28"/>
      <w:szCs w:val="32"/>
    </w:rPr>
  </w:style>
  <w:style w:type="character" w:customStyle="1" w:styleId="41">
    <w:name w:val="标题 1 Char"/>
    <w:link w:val="2"/>
    <w:qFormat/>
    <w:uiPriority w:val="99"/>
    <w:rPr>
      <w:rFonts w:ascii="Times New Roman" w:hAnsi="Times New Roman" w:eastAsia="宋体"/>
      <w:b/>
      <w:bCs/>
      <w:color w:val="000000"/>
      <w:kern w:val="44"/>
      <w:sz w:val="30"/>
      <w:szCs w:val="30"/>
    </w:rPr>
  </w:style>
  <w:style w:type="paragraph" w:customStyle="1" w:styleId="42">
    <w:name w:val="表格标题"/>
    <w:basedOn w:val="43"/>
    <w:next w:val="1"/>
    <w:qFormat/>
    <w:uiPriority w:val="0"/>
    <w:pPr>
      <w:numPr>
        <w:ilvl w:val="7"/>
        <w:numId w:val="1"/>
      </w:numPr>
      <w:tabs>
        <w:tab w:val="left" w:pos="420"/>
        <w:tab w:val="clear" w:pos="0"/>
      </w:tabs>
      <w:spacing w:line="240" w:lineRule="auto"/>
      <w:ind w:left="0" w:firstLine="0" w:firstLineChars="0"/>
      <w:jc w:val="center"/>
    </w:pPr>
    <w:rPr>
      <w:rFonts w:ascii="Times New Roman" w:hAnsi="Times New Roman" w:eastAsia="宋体"/>
      <w:b/>
      <w:bCs/>
      <w:color w:val="auto"/>
      <w:szCs w:val="21"/>
    </w:rPr>
  </w:style>
  <w:style w:type="paragraph" w:customStyle="1" w:styleId="43">
    <w:name w:val="正文内容"/>
    <w:basedOn w:val="1"/>
    <w:qFormat/>
    <w:uiPriority w:val="0"/>
    <w:pPr>
      <w:adjustRightInd w:val="0"/>
      <w:spacing w:line="360" w:lineRule="auto"/>
    </w:pPr>
    <w:rPr>
      <w:color w:val="000000"/>
      <w:sz w:val="24"/>
    </w:rPr>
  </w:style>
  <w:style w:type="paragraph" w:customStyle="1" w:styleId="44">
    <w:name w:val="闽创报告正文"/>
    <w:basedOn w:val="45"/>
    <w:link w:val="98"/>
    <w:qFormat/>
    <w:uiPriority w:val="0"/>
    <w:pPr>
      <w:widowControl w:val="0"/>
      <w:tabs>
        <w:tab w:val="left" w:pos="0"/>
      </w:tabs>
      <w:autoSpaceDE w:val="0"/>
      <w:autoSpaceDN w:val="0"/>
      <w:spacing w:line="360" w:lineRule="auto"/>
      <w:ind w:firstLine="200" w:firstLineChars="200"/>
      <w:jc w:val="both"/>
    </w:pPr>
    <w:rPr>
      <w:rFonts w:ascii="Times New Roman" w:hAnsi="Times New Roman" w:eastAsia="宋体" w:cs="宋体"/>
      <w:color w:val="000000" w:themeColor="text1"/>
      <w:kern w:val="0"/>
      <w:szCs w:val="20"/>
      <w:lang w:val="zh-CN"/>
      <w14:textFill>
        <w14:solidFill>
          <w14:schemeClr w14:val="tx1"/>
        </w14:solidFill>
      </w14:textFill>
    </w:rPr>
  </w:style>
  <w:style w:type="paragraph" w:customStyle="1" w:styleId="45">
    <w:name w:val="0正文"/>
    <w:basedOn w:val="18"/>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46">
    <w:name w:val="表格内容"/>
    <w:basedOn w:val="29"/>
    <w:next w:val="1"/>
    <w:link w:val="56"/>
    <w:qFormat/>
    <w:uiPriority w:val="0"/>
    <w:pPr>
      <w:numPr>
        <w:ilvl w:val="0"/>
        <w:numId w:val="0"/>
      </w:numPr>
      <w:spacing w:line="240" w:lineRule="auto"/>
      <w:ind w:left="0" w:firstLine="0" w:firstLineChars="0"/>
      <w:jc w:val="center"/>
    </w:pPr>
    <w:rPr>
      <w:rFonts w:ascii="Times New Roman" w:hAnsi="Times New Roman" w:eastAsia="宋体" w:cs="Times New Roman"/>
      <w:sz w:val="21"/>
    </w:rPr>
  </w:style>
  <w:style w:type="paragraph" w:customStyle="1" w:styleId="47">
    <w:name w:val="图文标题"/>
    <w:basedOn w:val="1"/>
    <w:next w:val="1"/>
    <w:link w:val="64"/>
    <w:qFormat/>
    <w:uiPriority w:val="0"/>
    <w:pPr>
      <w:numPr>
        <w:ilvl w:val="8"/>
        <w:numId w:val="1"/>
      </w:numPr>
      <w:spacing w:line="360" w:lineRule="auto"/>
      <w:ind w:left="1583" w:hanging="1583" w:firstLineChars="0"/>
      <w:jc w:val="center"/>
    </w:pPr>
    <w:rPr>
      <w:rFonts w:ascii="Times New Roman" w:hAnsi="Times New Roman" w:eastAsia="宋体"/>
      <w:b/>
      <w:bCs/>
      <w:color w:val="auto"/>
      <w:sz w:val="24"/>
      <w:szCs w:val="21"/>
    </w:rPr>
  </w:style>
  <w:style w:type="character" w:customStyle="1" w:styleId="48">
    <w:name w:val="标题 3 Char"/>
    <w:link w:val="4"/>
    <w:semiHidden/>
    <w:qFormat/>
    <w:uiPriority w:val="0"/>
    <w:rPr>
      <w:rFonts w:ascii="Times New Roman" w:hAnsi="Times New Roman" w:eastAsia="宋体"/>
      <w:b/>
      <w:bCs/>
      <w:kern w:val="2"/>
      <w:sz w:val="24"/>
      <w:szCs w:val="32"/>
    </w:rPr>
  </w:style>
  <w:style w:type="paragraph" w:customStyle="1" w:styleId="49">
    <w:name w:val="表格"/>
    <w:basedOn w:val="1"/>
    <w:next w:val="1"/>
    <w:qFormat/>
    <w:uiPriority w:val="0"/>
    <w:pPr>
      <w:adjustRightInd w:val="0"/>
      <w:snapToGrid w:val="0"/>
      <w:spacing w:beforeLines="10" w:afterLines="10" w:line="259" w:lineRule="auto"/>
      <w:jc w:val="center"/>
    </w:pPr>
    <w:rPr>
      <w:rFonts w:ascii="宋体"/>
      <w:kern w:val="0"/>
      <w:szCs w:val="20"/>
    </w:rPr>
  </w:style>
  <w:style w:type="character" w:customStyle="1" w:styleId="50">
    <w:name w:val="标题 4 Char"/>
    <w:link w:val="5"/>
    <w:semiHidden/>
    <w:qFormat/>
    <w:uiPriority w:val="0"/>
    <w:rPr>
      <w:rFonts w:ascii="Times New Roman" w:hAnsi="Times New Roman" w:eastAsia="宋体" w:cs="Times New Roman"/>
      <w:b/>
      <w:bCs/>
      <w:kern w:val="2"/>
      <w:sz w:val="24"/>
      <w:szCs w:val="28"/>
    </w:rPr>
  </w:style>
  <w:style w:type="paragraph" w:customStyle="1" w:styleId="51">
    <w:name w:val="Default"/>
    <w:basedOn w:val="52"/>
    <w:next w:val="53"/>
    <w:qFormat/>
    <w:uiPriority w:val="0"/>
    <w:pPr>
      <w:widowControl w:val="0"/>
      <w:autoSpaceDE w:val="0"/>
      <w:autoSpaceDN w:val="0"/>
      <w:adjustRightInd w:val="0"/>
    </w:pPr>
    <w:rPr>
      <w:color w:val="000000"/>
      <w:sz w:val="24"/>
      <w:szCs w:val="24"/>
      <w:lang w:val="en-US" w:eastAsia="zh-CN" w:bidi="ar-SA"/>
    </w:rPr>
  </w:style>
  <w:style w:type="paragraph" w:customStyle="1" w:styleId="52">
    <w:name w:val="纯文本1"/>
    <w:basedOn w:val="1"/>
    <w:next w:val="17"/>
    <w:qFormat/>
    <w:uiPriority w:val="0"/>
    <w:pPr>
      <w:textAlignment w:val="baseline"/>
    </w:pPr>
    <w:rPr>
      <w:rFonts w:ascii="宋体" w:hAnsi="Courier New"/>
    </w:rPr>
  </w:style>
  <w:style w:type="paragraph" w:customStyle="1" w:styleId="53">
    <w:name w:val="样式35"/>
    <w:next w:val="54"/>
    <w:qFormat/>
    <w:uiPriority w:val="99"/>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54">
    <w:name w:val="font6"/>
    <w:basedOn w:val="1"/>
    <w:next w:val="30"/>
    <w:qFormat/>
    <w:uiPriority w:val="99"/>
    <w:pPr>
      <w:widowControl/>
      <w:spacing w:before="100" w:beforeAutospacing="1" w:after="100" w:afterAutospacing="1"/>
      <w:jc w:val="left"/>
    </w:pPr>
    <w:rPr>
      <w:rFonts w:ascii="宋体" w:hAnsi="宋体"/>
      <w:sz w:val="20"/>
      <w:szCs w:val="20"/>
    </w:rPr>
  </w:style>
  <w:style w:type="paragraph" w:customStyle="1" w:styleId="55">
    <w:name w:val="xl27"/>
    <w:basedOn w:val="1"/>
    <w:next w:val="23"/>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character" w:customStyle="1" w:styleId="56">
    <w:name w:val="表格内容 Char1"/>
    <w:link w:val="46"/>
    <w:qFormat/>
    <w:uiPriority w:val="0"/>
    <w:rPr>
      <w:rFonts w:ascii="Times New Roman" w:hAnsi="Times New Roman" w:eastAsia="宋体" w:cs="Times New Roman"/>
      <w:sz w:val="21"/>
    </w:rPr>
  </w:style>
  <w:style w:type="paragraph" w:customStyle="1" w:styleId="57">
    <w:name w:val="表格标题无编号"/>
    <w:basedOn w:val="42"/>
    <w:qFormat/>
    <w:uiPriority w:val="0"/>
    <w:pPr>
      <w:widowControl w:val="0"/>
      <w:numPr>
        <w:ilvl w:val="7"/>
        <w:numId w:val="0"/>
      </w:numPr>
      <w:autoSpaceDE w:val="0"/>
      <w:autoSpaceDN w:val="0"/>
      <w:spacing w:line="360" w:lineRule="auto"/>
      <w:ind w:left="1440" w:hanging="1440" w:firstLineChars="0"/>
      <w:jc w:val="center"/>
      <w:outlineLvl w:val="9"/>
    </w:pPr>
    <w:rPr>
      <w:rFonts w:ascii="Times New Roman" w:hAnsi="Times New Roman" w:eastAsia="宋体" w:cs="宋体"/>
      <w:kern w:val="0"/>
      <w:sz w:val="24"/>
      <w:szCs w:val="22"/>
      <w:lang w:val="zh-CN" w:eastAsia="zh-CN" w:bidi="ar-SA"/>
    </w:rPr>
  </w:style>
  <w:style w:type="table" w:customStyle="1" w:styleId="58">
    <w:name w:val="网格型1"/>
    <w:basedOn w:val="33"/>
    <w:qFormat/>
    <w:uiPriority w:val="0"/>
    <w:pPr>
      <w:widowControl w:val="0"/>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9">
    <w:name w:val="6表格（锐）"/>
    <w:basedOn w:val="34"/>
    <w:qFormat/>
    <w:locked/>
    <w:uiPriority w:val="99"/>
    <w:pPr>
      <w:jc w:val="center"/>
    </w:pPr>
    <w:rPr>
      <w:sz w:val="21"/>
    </w:rPr>
    <w:tblPr>
      <w:tblBorders>
        <w:top w:val="single" w:color="auto" w:sz="12" w:space="0"/>
        <w:bottom w:val="single" w:color="auto" w:sz="12" w:space="0"/>
      </w:tblBorders>
      <w:tblCellMar>
        <w:top w:w="0" w:type="dxa"/>
        <w:left w:w="108" w:type="dxa"/>
        <w:bottom w:w="0" w:type="dxa"/>
        <w:right w:w="108" w:type="dxa"/>
      </w:tblCellMar>
    </w:tblPr>
    <w:trPr>
      <w:tblHeader/>
    </w:trPr>
    <w:tcPr>
      <w:vAlign w:val="center"/>
    </w:tcPr>
  </w:style>
  <w:style w:type="paragraph" w:customStyle="1" w:styleId="60">
    <w:name w:val="表格表头"/>
    <w:basedOn w:val="1"/>
    <w:unhideWhenUsed/>
    <w:qFormat/>
    <w:uiPriority w:val="0"/>
    <w:pPr>
      <w:adjustRightInd w:val="0"/>
      <w:snapToGrid w:val="0"/>
      <w:spacing w:beforeLines="0" w:afterLines="0" w:line="240" w:lineRule="auto"/>
      <w:ind w:firstLine="0" w:firstLineChars="0"/>
      <w:jc w:val="center"/>
    </w:pPr>
    <w:rPr>
      <w:rFonts w:hint="eastAsia" w:ascii="Times New Roman" w:hAnsi="Times New Roman"/>
      <w:b/>
      <w:sz w:val="21"/>
    </w:rPr>
  </w:style>
  <w:style w:type="character" w:customStyle="1" w:styleId="61">
    <w:name w:val="标题 5 Char"/>
    <w:link w:val="6"/>
    <w:semiHidden/>
    <w:qFormat/>
    <w:uiPriority w:val="0"/>
    <w:rPr>
      <w:b/>
      <w:bCs/>
      <w:kern w:val="2"/>
      <w:sz w:val="28"/>
      <w:szCs w:val="28"/>
    </w:rPr>
  </w:style>
  <w:style w:type="character" w:customStyle="1" w:styleId="62">
    <w:name w:val="标题 Char"/>
    <w:link w:val="32"/>
    <w:qFormat/>
    <w:uiPriority w:val="0"/>
    <w:rPr>
      <w:rFonts w:ascii="Cambria" w:hAnsi="Cambria" w:cs="Times New Roman"/>
      <w:b/>
      <w:bCs/>
      <w:kern w:val="2"/>
      <w:sz w:val="32"/>
      <w:szCs w:val="32"/>
    </w:rPr>
  </w:style>
  <w:style w:type="character" w:customStyle="1" w:styleId="63">
    <w:name w:val="闽创报告正文 Char"/>
    <w:link w:val="44"/>
    <w:qFormat/>
    <w:uiPriority w:val="0"/>
    <w:rPr>
      <w:rFonts w:ascii="Times New Roman" w:hAnsi="Times New Roman" w:eastAsia="宋体" w:cs="宋体"/>
      <w:color w:val="FF0000"/>
      <w:kern w:val="0"/>
      <w:sz w:val="24"/>
      <w:szCs w:val="20"/>
      <w:lang w:val="zh-CN" w:eastAsia="zh-CN" w:bidi="ar-SA"/>
    </w:rPr>
  </w:style>
  <w:style w:type="character" w:customStyle="1" w:styleId="64">
    <w:name w:val="图文标题 Char1"/>
    <w:link w:val="47"/>
    <w:qFormat/>
    <w:uiPriority w:val="0"/>
    <w:rPr>
      <w:rFonts w:ascii="Times New Roman" w:hAnsi="Times New Roman" w:eastAsia="宋体"/>
      <w:b/>
      <w:bCs/>
      <w:color w:val="auto"/>
      <w:sz w:val="24"/>
      <w:szCs w:val="21"/>
    </w:rPr>
  </w:style>
  <w:style w:type="paragraph" w:customStyle="1" w:styleId="65">
    <w:name w:val="表字体"/>
    <w:next w:val="1"/>
    <w:unhideWhenUsed/>
    <w:qFormat/>
    <w:uiPriority w:val="0"/>
    <w:pPr>
      <w:jc w:val="center"/>
    </w:pPr>
    <w:rPr>
      <w:rFonts w:hint="eastAsia" w:ascii="Times New Roman" w:hAnsi="Times New Roman" w:eastAsia="宋体" w:cs="Times New Roman"/>
      <w:sz w:val="21"/>
      <w:lang w:val="en-US" w:eastAsia="zh-CN" w:bidi="ar-SA"/>
    </w:rPr>
  </w:style>
  <w:style w:type="character" w:customStyle="1" w:styleId="66">
    <w:name w:val="font21"/>
    <w:basedOn w:val="35"/>
    <w:qFormat/>
    <w:uiPriority w:val="0"/>
    <w:rPr>
      <w:rFonts w:hint="eastAsia" w:ascii="宋体" w:hAnsi="宋体" w:eastAsia="宋体" w:cs="宋体"/>
      <w:color w:val="000000"/>
      <w:sz w:val="21"/>
      <w:szCs w:val="21"/>
      <w:u w:val="none"/>
    </w:rPr>
  </w:style>
  <w:style w:type="character" w:customStyle="1" w:styleId="67">
    <w:name w:val="font11"/>
    <w:basedOn w:val="35"/>
    <w:qFormat/>
    <w:uiPriority w:val="0"/>
    <w:rPr>
      <w:rFonts w:hint="default" w:ascii="Times New Roman" w:hAnsi="Times New Roman" w:cs="Times New Roman"/>
      <w:color w:val="000000"/>
      <w:sz w:val="21"/>
      <w:szCs w:val="21"/>
      <w:u w:val="none"/>
    </w:rPr>
  </w:style>
  <w:style w:type="character" w:customStyle="1" w:styleId="68">
    <w:name w:val="font31"/>
    <w:basedOn w:val="35"/>
    <w:qFormat/>
    <w:uiPriority w:val="0"/>
    <w:rPr>
      <w:rFonts w:hint="default" w:ascii="Times New Roman" w:hAnsi="Times New Roman" w:cs="Times New Roman"/>
      <w:color w:val="000000"/>
      <w:sz w:val="21"/>
      <w:szCs w:val="21"/>
      <w:u w:val="none"/>
      <w:vertAlign w:val="superscript"/>
    </w:rPr>
  </w:style>
  <w:style w:type="character" w:customStyle="1" w:styleId="69">
    <w:name w:val="font41"/>
    <w:basedOn w:val="35"/>
    <w:qFormat/>
    <w:uiPriority w:val="0"/>
    <w:rPr>
      <w:rFonts w:hint="default" w:ascii="Times New Roman" w:hAnsi="Times New Roman" w:cs="Times New Roman"/>
      <w:color w:val="000000"/>
      <w:sz w:val="21"/>
      <w:szCs w:val="21"/>
      <w:u w:val="none"/>
    </w:rPr>
  </w:style>
  <w:style w:type="paragraph" w:customStyle="1" w:styleId="70">
    <w:name w:val=" Char Char Char Char Char Char Char Char Char Char Char"/>
    <w:basedOn w:val="1"/>
    <w:qFormat/>
    <w:uiPriority w:val="0"/>
    <w:rPr>
      <w:sz w:val="24"/>
    </w:rPr>
  </w:style>
  <w:style w:type="paragraph" w:customStyle="1" w:styleId="71">
    <w:name w:val="6表文（锐）"/>
    <w:basedOn w:val="72"/>
    <w:qFormat/>
    <w:uiPriority w:val="0"/>
    <w:pPr>
      <w:topLinePunct/>
      <w:spacing w:line="240" w:lineRule="auto"/>
      <w:ind w:firstLine="0" w:firstLineChars="0"/>
      <w:jc w:val="center"/>
    </w:pPr>
    <w:rPr>
      <w:rFonts w:ascii="Times New Roman" w:hAnsi="Times New Roman" w:eastAsia="宋体" w:cs="Times New Roman"/>
      <w:color w:val="FF0000"/>
      <w:sz w:val="21"/>
      <w:szCs w:val="21"/>
    </w:rPr>
  </w:style>
  <w:style w:type="paragraph" w:customStyle="1" w:styleId="72">
    <w:name w:val="7正文（锐）"/>
    <w:basedOn w:val="1"/>
    <w:qFormat/>
    <w:uiPriority w:val="0"/>
    <w:pPr>
      <w:topLinePunct/>
      <w:spacing w:line="360" w:lineRule="auto"/>
      <w:ind w:firstLine="480" w:firstLineChars="200"/>
    </w:pPr>
    <w:rPr>
      <w:rFonts w:ascii="Times New Roman" w:hAnsi="Times New Roman" w:eastAsia="宋体" w:cs="Times New Roman"/>
      <w:sz w:val="24"/>
      <w:szCs w:val="24"/>
    </w:rPr>
  </w:style>
  <w:style w:type="paragraph" w:customStyle="1" w:styleId="73">
    <w:name w:val="表标题"/>
    <w:qFormat/>
    <w:uiPriority w:val="0"/>
    <w:pPr>
      <w:jc w:val="center"/>
    </w:pPr>
    <w:rPr>
      <w:rFonts w:ascii="Times New Roman" w:hAnsi="Times New Roman" w:eastAsia="宋体" w:cs="Times New Roman"/>
      <w:b/>
      <w:sz w:val="21"/>
      <w:lang w:val="en-US" w:eastAsia="zh-CN" w:bidi="ar-SA"/>
    </w:rPr>
  </w:style>
  <w:style w:type="paragraph" w:customStyle="1" w:styleId="74">
    <w:name w:val="表头1"/>
    <w:basedOn w:val="1"/>
    <w:next w:val="1"/>
    <w:qFormat/>
    <w:uiPriority w:val="0"/>
    <w:pPr>
      <w:numPr>
        <w:ilvl w:val="4"/>
        <w:numId w:val="5"/>
      </w:numPr>
      <w:tabs>
        <w:tab w:val="left" w:pos="0"/>
        <w:tab w:val="clear" w:pos="420"/>
      </w:tabs>
      <w:adjustRightInd/>
      <w:snapToGrid/>
      <w:spacing w:line="360" w:lineRule="auto"/>
      <w:ind w:left="0" w:firstLine="0" w:firstLineChars="0"/>
      <w:jc w:val="center"/>
      <w:outlineLvl w:val="7"/>
    </w:pPr>
    <w:rPr>
      <w:rFonts w:ascii="Times New Roman" w:hAnsi="Times New Roman" w:eastAsia="宋体"/>
      <w:b/>
    </w:rPr>
  </w:style>
  <w:style w:type="character" w:customStyle="1" w:styleId="75">
    <w:name w:val="font71"/>
    <w:basedOn w:val="35"/>
    <w:qFormat/>
    <w:uiPriority w:val="0"/>
    <w:rPr>
      <w:rFonts w:hint="default" w:ascii="Times New Roman" w:hAnsi="Times New Roman" w:cs="Times New Roman"/>
      <w:color w:val="FF0000"/>
      <w:sz w:val="21"/>
      <w:szCs w:val="21"/>
      <w:u w:val="none"/>
    </w:rPr>
  </w:style>
  <w:style w:type="character" w:customStyle="1" w:styleId="76">
    <w:name w:val="font101"/>
    <w:basedOn w:val="35"/>
    <w:qFormat/>
    <w:uiPriority w:val="0"/>
    <w:rPr>
      <w:rFonts w:hint="default" w:ascii="Times New Roman" w:hAnsi="Times New Roman" w:cs="Times New Roman"/>
      <w:color w:val="FF0000"/>
      <w:sz w:val="21"/>
      <w:szCs w:val="21"/>
      <w:u w:val="none"/>
      <w:vertAlign w:val="superscript"/>
    </w:rPr>
  </w:style>
  <w:style w:type="character" w:customStyle="1" w:styleId="77">
    <w:name w:val="font51"/>
    <w:basedOn w:val="35"/>
    <w:qFormat/>
    <w:uiPriority w:val="0"/>
    <w:rPr>
      <w:rFonts w:hint="default" w:ascii="Times New Roman" w:hAnsi="Times New Roman" w:cs="Times New Roman"/>
      <w:color w:val="0000FF"/>
      <w:sz w:val="21"/>
      <w:szCs w:val="21"/>
      <w:u w:val="none"/>
    </w:rPr>
  </w:style>
  <w:style w:type="character" w:customStyle="1" w:styleId="78">
    <w:name w:val="font112"/>
    <w:basedOn w:val="35"/>
    <w:qFormat/>
    <w:uiPriority w:val="0"/>
    <w:rPr>
      <w:rFonts w:hint="default" w:ascii="Times New Roman" w:hAnsi="Times New Roman" w:cs="Times New Roman"/>
      <w:color w:val="0000FF"/>
      <w:sz w:val="21"/>
      <w:szCs w:val="21"/>
      <w:u w:val="none"/>
      <w:vertAlign w:val="superscript"/>
    </w:rPr>
  </w:style>
  <w:style w:type="character" w:customStyle="1" w:styleId="79">
    <w:name w:val="font91"/>
    <w:basedOn w:val="35"/>
    <w:qFormat/>
    <w:uiPriority w:val="0"/>
    <w:rPr>
      <w:rFonts w:hint="default" w:ascii="Times New Roman" w:hAnsi="Times New Roman" w:cs="Times New Roman"/>
      <w:color w:val="7030A0"/>
      <w:sz w:val="21"/>
      <w:szCs w:val="21"/>
      <w:u w:val="none"/>
    </w:rPr>
  </w:style>
  <w:style w:type="character" w:customStyle="1" w:styleId="80">
    <w:name w:val="font121"/>
    <w:basedOn w:val="35"/>
    <w:qFormat/>
    <w:uiPriority w:val="0"/>
    <w:rPr>
      <w:rFonts w:hint="default" w:ascii="Times New Roman" w:hAnsi="Times New Roman" w:cs="Times New Roman"/>
      <w:color w:val="7030A0"/>
      <w:sz w:val="21"/>
      <w:szCs w:val="21"/>
      <w:u w:val="none"/>
      <w:vertAlign w:val="superscript"/>
    </w:rPr>
  </w:style>
  <w:style w:type="character" w:customStyle="1" w:styleId="81">
    <w:name w:val="font61"/>
    <w:basedOn w:val="35"/>
    <w:qFormat/>
    <w:uiPriority w:val="0"/>
    <w:rPr>
      <w:rFonts w:hint="eastAsia" w:ascii="宋体" w:hAnsi="宋体" w:eastAsia="宋体" w:cs="宋体"/>
      <w:color w:val="FF0000"/>
      <w:sz w:val="20"/>
      <w:szCs w:val="20"/>
      <w:u w:val="none"/>
    </w:rPr>
  </w:style>
  <w:style w:type="character" w:customStyle="1" w:styleId="82">
    <w:name w:val="font01"/>
    <w:basedOn w:val="35"/>
    <w:qFormat/>
    <w:uiPriority w:val="0"/>
    <w:rPr>
      <w:rFonts w:hint="default" w:ascii="Times New Roman" w:hAnsi="Times New Roman" w:cs="Times New Roman"/>
      <w:color w:val="FF0000"/>
      <w:sz w:val="20"/>
      <w:szCs w:val="20"/>
      <w:u w:val="none"/>
    </w:rPr>
  </w:style>
  <w:style w:type="character" w:customStyle="1" w:styleId="83">
    <w:name w:val="font81"/>
    <w:basedOn w:val="35"/>
    <w:qFormat/>
    <w:uiPriority w:val="0"/>
    <w:rPr>
      <w:rFonts w:hint="default" w:ascii="Times New Roman" w:hAnsi="Times New Roman" w:cs="Times New Roman"/>
      <w:color w:val="FF0000"/>
      <w:sz w:val="20"/>
      <w:szCs w:val="20"/>
      <w:u w:val="none"/>
      <w:vertAlign w:val="superscript"/>
    </w:rPr>
  </w:style>
  <w:style w:type="table" w:customStyle="1" w:styleId="84">
    <w:name w:val="Table Normal"/>
    <w:unhideWhenUsed/>
    <w:qFormat/>
    <w:uiPriority w:val="0"/>
    <w:tblPr>
      <w:tblCellMar>
        <w:top w:w="0" w:type="dxa"/>
        <w:left w:w="0" w:type="dxa"/>
        <w:bottom w:w="0" w:type="dxa"/>
        <w:right w:w="0" w:type="dxa"/>
      </w:tblCellMar>
    </w:tblPr>
  </w:style>
  <w:style w:type="paragraph" w:customStyle="1" w:styleId="85">
    <w:name w:val="表格内容bg"/>
    <w:basedOn w:val="1"/>
    <w:qFormat/>
    <w:uiPriority w:val="0"/>
    <w:pPr>
      <w:spacing w:line="240" w:lineRule="auto"/>
      <w:ind w:firstLine="0" w:firstLineChars="0"/>
      <w:jc w:val="center"/>
    </w:pPr>
    <w:rPr>
      <w:rFonts w:ascii="Times New Roman" w:hAnsi="Times New Roman" w:eastAsia="宋体"/>
      <w:sz w:val="21"/>
    </w:rPr>
  </w:style>
  <w:style w:type="paragraph" w:customStyle="1" w:styleId="86">
    <w:name w:val="16正文"/>
    <w:basedOn w:val="1"/>
    <w:qFormat/>
    <w:uiPriority w:val="0"/>
    <w:pPr>
      <w:widowControl/>
      <w:shd w:val="clear" w:color="auto" w:fill="FFFFFF"/>
      <w:spacing w:after="50" w:afterLines="50" w:line="360" w:lineRule="auto"/>
      <w:ind w:firstLine="880" w:firstLineChars="200"/>
      <w:jc w:val="left"/>
    </w:pPr>
    <w:rPr>
      <w:rFonts w:hint="eastAsia" w:ascii="Times New Roman" w:hAnsi="Times New Roman" w:eastAsia="宋体" w:cs="黑体"/>
      <w:bCs/>
      <w:color w:val="000000" w:themeColor="text1"/>
      <w:kern w:val="0"/>
      <w:sz w:val="24"/>
      <w:szCs w:val="24"/>
      <w14:textFill>
        <w14:solidFill>
          <w14:schemeClr w14:val="tx1"/>
        </w14:solidFill>
      </w14:textFill>
    </w:rPr>
  </w:style>
  <w:style w:type="paragraph" w:customStyle="1" w:styleId="87">
    <w:name w:val="正文(首行缩进)"/>
    <w:basedOn w:val="1"/>
    <w:qFormat/>
    <w:uiPriority w:val="0"/>
    <w:pPr>
      <w:ind w:firstLine="420"/>
    </w:pPr>
    <w:rPr>
      <w:kern w:val="24"/>
    </w:rPr>
  </w:style>
  <w:style w:type="paragraph" w:customStyle="1" w:styleId="88">
    <w:name w:val="表正文"/>
    <w:basedOn w:val="1"/>
    <w:qFormat/>
    <w:uiPriority w:val="0"/>
    <w:pPr>
      <w:spacing w:line="360" w:lineRule="auto"/>
      <w:ind w:firstLine="200" w:firstLineChars="200"/>
    </w:pPr>
    <w:rPr>
      <w:sz w:val="24"/>
    </w:rPr>
  </w:style>
  <w:style w:type="paragraph" w:customStyle="1" w:styleId="89">
    <w:name w:val="表哥的格式"/>
    <w:qFormat/>
    <w:uiPriority w:val="0"/>
    <w:pPr>
      <w:widowControl w:val="0"/>
      <w:autoSpaceDE w:val="0"/>
      <w:autoSpaceDN w:val="0"/>
      <w:adjustRightInd w:val="0"/>
      <w:snapToGrid w:val="0"/>
      <w:spacing w:line="360" w:lineRule="auto"/>
      <w:jc w:val="center"/>
    </w:pPr>
    <w:rPr>
      <w:rFonts w:ascii="Times New Roman" w:hAnsi="Times New Roman" w:eastAsia="宋体" w:cs="Times New Roman"/>
      <w:sz w:val="24"/>
      <w:szCs w:val="21"/>
      <w:lang w:val="en-US" w:eastAsia="zh-CN" w:bidi="ar-SA"/>
    </w:rPr>
  </w:style>
  <w:style w:type="paragraph" w:customStyle="1" w:styleId="90">
    <w:name w:val="z表格内文字"/>
    <w:basedOn w:val="1"/>
    <w:qFormat/>
    <w:uiPriority w:val="0"/>
    <w:pPr>
      <w:jc w:val="center"/>
    </w:pPr>
    <w:rPr>
      <w:color w:val="000000"/>
      <w:szCs w:val="21"/>
    </w:rPr>
  </w:style>
  <w:style w:type="paragraph" w:customStyle="1" w:styleId="91">
    <w:name w:val="书表文字"/>
    <w:qFormat/>
    <w:uiPriority w:val="0"/>
    <w:pPr>
      <w:widowControl w:val="0"/>
    </w:pPr>
    <w:rPr>
      <w:rFonts w:ascii="Times New Roman" w:hAnsi="Times New Roman" w:eastAsia="宋体" w:cs="Courier New"/>
      <w:kern w:val="2"/>
      <w:sz w:val="21"/>
      <w:szCs w:val="21"/>
      <w:lang w:val="en-US" w:eastAsia="zh-CN" w:bidi="ar-SA"/>
    </w:rPr>
  </w:style>
  <w:style w:type="character" w:customStyle="1" w:styleId="92">
    <w:name w:val="fontstyle01"/>
    <w:basedOn w:val="35"/>
    <w:qFormat/>
    <w:uiPriority w:val="0"/>
    <w:rPr>
      <w:rFonts w:ascii="宋体" w:hAnsi="宋体" w:eastAsia="宋体" w:cs="宋体"/>
      <w:color w:val="000000"/>
      <w:sz w:val="22"/>
      <w:szCs w:val="22"/>
    </w:rPr>
  </w:style>
  <w:style w:type="paragraph" w:customStyle="1" w:styleId="93">
    <w:name w:val="表格内文字"/>
    <w:basedOn w:val="94"/>
    <w:qFormat/>
    <w:uiPriority w:val="0"/>
    <w:pPr>
      <w:widowControl w:val="0"/>
      <w:tabs>
        <w:tab w:val="left" w:pos="3825"/>
        <w:tab w:val="left" w:pos="4680"/>
      </w:tabs>
      <w:adjustRightInd w:val="0"/>
      <w:snapToGrid w:val="0"/>
      <w:spacing w:line="240" w:lineRule="auto"/>
      <w:ind w:firstLine="480" w:firstLineChars="200"/>
    </w:pPr>
    <w:rPr>
      <w:rFonts w:ascii="Calibri" w:hAnsi="Calibri" w:cs="宋体"/>
      <w:b w:val="0"/>
      <w:sz w:val="21"/>
      <w:szCs w:val="24"/>
    </w:rPr>
  </w:style>
  <w:style w:type="paragraph" w:customStyle="1" w:styleId="94">
    <w:name w:val="表格名称"/>
    <w:next w:val="93"/>
    <w:qFormat/>
    <w:uiPriority w:val="0"/>
    <w:pPr>
      <w:tabs>
        <w:tab w:val="left" w:pos="3825"/>
        <w:tab w:val="left" w:pos="4680"/>
      </w:tabs>
      <w:spacing w:line="360" w:lineRule="auto"/>
      <w:jc w:val="center"/>
    </w:pPr>
    <w:rPr>
      <w:rFonts w:ascii="Times New Roman" w:hAnsi="Times New Roman" w:eastAsia="宋体" w:cs="Times New Roman"/>
      <w:b/>
      <w:sz w:val="24"/>
      <w:szCs w:val="21"/>
      <w:lang w:val="en-US" w:eastAsia="zh-CN" w:bidi="ar-SA"/>
    </w:rPr>
  </w:style>
  <w:style w:type="paragraph" w:customStyle="1" w:styleId="95">
    <w:name w:val="Table Paragraph"/>
    <w:basedOn w:val="1"/>
    <w:qFormat/>
    <w:uiPriority w:val="1"/>
    <w:pPr>
      <w:jc w:val="center"/>
    </w:pPr>
    <w:rPr>
      <w:rFonts w:ascii="宋体" w:hAnsi="宋体" w:cs="宋体"/>
      <w:lang w:val="zh-CN" w:bidi="zh-CN"/>
    </w:rPr>
  </w:style>
  <w:style w:type="paragraph" w:customStyle="1" w:styleId="96">
    <w:name w:val="注释"/>
    <w:qFormat/>
    <w:uiPriority w:val="0"/>
    <w:pPr>
      <w:widowControl w:val="0"/>
      <w:adjustRightInd w:val="0"/>
      <w:snapToGrid w:val="0"/>
      <w:spacing w:line="360" w:lineRule="auto"/>
      <w:jc w:val="both"/>
      <w:textAlignment w:val="baseline"/>
    </w:pPr>
    <w:rPr>
      <w:rFonts w:ascii="Calibri" w:hAnsi="Calibri" w:eastAsia="宋体" w:cs="宋体"/>
      <w:snapToGrid w:val="0"/>
      <w:spacing w:val="4"/>
      <w:sz w:val="24"/>
      <w:szCs w:val="21"/>
      <w:lang w:val="en-US" w:eastAsia="zh-CN" w:bidi="ar-SA"/>
    </w:rPr>
  </w:style>
  <w:style w:type="paragraph" w:customStyle="1" w:styleId="97">
    <w:name w:val="表内容"/>
    <w:basedOn w:val="1"/>
    <w:qFormat/>
    <w:uiPriority w:val="0"/>
    <w:pPr>
      <w:widowControl/>
      <w:adjustRightInd w:val="0"/>
      <w:jc w:val="center"/>
    </w:pPr>
    <w:rPr>
      <w:szCs w:val="21"/>
    </w:rPr>
  </w:style>
  <w:style w:type="character" w:customStyle="1" w:styleId="98">
    <w:name w:val="报告正文 Char"/>
    <w:link w:val="44"/>
    <w:qFormat/>
    <w:uiPriority w:val="0"/>
    <w:rPr>
      <w:rFonts w:ascii="Times New Roman" w:hAnsi="Times New Roman" w:eastAsia="宋体"/>
      <w:color w:val="000000" w:themeColor="text1"/>
      <w:sz w:val="24"/>
      <w:szCs w:val="24"/>
      <w14:textFill>
        <w14:solidFill>
          <w14:schemeClr w14:val="tx1"/>
        </w14:solidFill>
      </w14:textFill>
    </w:rPr>
  </w:style>
  <w:style w:type="paragraph" w:customStyle="1" w:styleId="99">
    <w:name w:val="表 内容"/>
    <w:qFormat/>
    <w:uiPriority w:val="0"/>
    <w:pPr>
      <w:widowControl w:val="0"/>
      <w:spacing w:line="360" w:lineRule="auto"/>
      <w:jc w:val="center"/>
    </w:pPr>
    <w:rPr>
      <w:rFonts w:ascii="Calibri" w:hAnsi="宋体" w:eastAsia="宋体" w:cs="Times New Roman"/>
      <w:kern w:val="2"/>
      <w:sz w:val="24"/>
      <w:lang w:val="en-US" w:eastAsia="zh-CN" w:bidi="ar-SA"/>
    </w:rPr>
  </w:style>
  <w:style w:type="paragraph" w:customStyle="1" w:styleId="100">
    <w:name w:val="样式 首行缩进:  2 字符1"/>
    <w:basedOn w:val="1"/>
    <w:qFormat/>
    <w:uiPriority w:val="0"/>
    <w:pPr>
      <w:adjustRightInd w:val="0"/>
      <w:snapToGrid w:val="0"/>
      <w:spacing w:line="360" w:lineRule="auto"/>
      <w:ind w:firstLine="480" w:firstLineChars="200"/>
    </w:pPr>
    <w:rPr>
      <w:rFonts w:hint="eastAsia" w:ascii="宋体" w:hAnsi="宋体"/>
      <w:sz w:val="24"/>
      <w:szCs w:val="20"/>
    </w:rPr>
  </w:style>
  <w:style w:type="paragraph" w:customStyle="1" w:styleId="101">
    <w:name w:val="0报告正文"/>
    <w:basedOn w:val="1"/>
    <w:qFormat/>
    <w:uiPriority w:val="0"/>
    <w:pPr>
      <w:autoSpaceDE w:val="0"/>
      <w:autoSpaceDN w:val="0"/>
      <w:spacing w:line="360" w:lineRule="auto"/>
      <w:ind w:firstLine="482"/>
    </w:pPr>
    <w:rPr>
      <w:rFonts w:eastAsia="Times New Roman"/>
      <w:color w:val="000000"/>
      <w:kern w:val="0"/>
      <w:sz w:val="24"/>
      <w:szCs w:val="20"/>
    </w:rPr>
  </w:style>
  <w:style w:type="paragraph" w:customStyle="1" w:styleId="102">
    <w:name w:val="表格内容b"/>
    <w:basedOn w:val="1"/>
    <w:qFormat/>
    <w:uiPriority w:val="0"/>
    <w:pPr>
      <w:jc w:val="center"/>
    </w:pPr>
  </w:style>
  <w:style w:type="paragraph" w:customStyle="1" w:styleId="103">
    <w:name w:val="文"/>
    <w:basedOn w:val="1"/>
    <w:qFormat/>
    <w:uiPriority w:val="0"/>
    <w:pPr>
      <w:widowControl/>
      <w:spacing w:line="360" w:lineRule="auto"/>
      <w:ind w:firstLine="200" w:firstLineChars="200"/>
    </w:pPr>
    <w:rPr>
      <w:bCs/>
      <w:kern w:val="0"/>
      <w:sz w:val="24"/>
      <w:szCs w:val="28"/>
    </w:rPr>
  </w:style>
  <w:style w:type="paragraph" w:customStyle="1" w:styleId="104">
    <w:name w:val="a表格内文字"/>
    <w:basedOn w:val="1"/>
    <w:qFormat/>
    <w:uiPriority w:val="0"/>
    <w:pPr>
      <w:jc w:val="center"/>
    </w:pPr>
    <w:rPr>
      <w:color w:val="000000"/>
      <w:szCs w:val="21"/>
    </w:rPr>
  </w:style>
  <w:style w:type="paragraph" w:customStyle="1" w:styleId="105">
    <w:name w:val="金皇-正文"/>
    <w:basedOn w:val="1"/>
    <w:qFormat/>
    <w:uiPriority w:val="0"/>
    <w:pPr>
      <w:spacing w:line="360" w:lineRule="auto"/>
      <w:ind w:firstLine="200" w:firstLineChars="200"/>
    </w:pPr>
    <w:rPr>
      <w:sz w:val="24"/>
    </w:rPr>
  </w:style>
  <w:style w:type="paragraph" w:customStyle="1" w:styleId="106">
    <w:name w:val="样式 黑色 行距: 最小值 26 磅"/>
    <w:basedOn w:val="1"/>
    <w:qFormat/>
    <w:uiPriority w:val="0"/>
    <w:pPr>
      <w:ind w:firstLine="200" w:firstLineChars="200"/>
      <w:jc w:val="left"/>
    </w:pPr>
    <w:rPr>
      <w:rFonts w:eastAsia="楷体_GB2312" w:cs="宋体"/>
      <w:color w:val="000000"/>
      <w:spacing w:val="6"/>
      <w:sz w:val="28"/>
      <w:szCs w:val="20"/>
    </w:rPr>
  </w:style>
  <w:style w:type="paragraph" w:customStyle="1" w:styleId="107">
    <w:name w:val="北京表格内容"/>
    <w:basedOn w:val="1"/>
    <w:next w:val="1"/>
    <w:qFormat/>
    <w:uiPriority w:val="0"/>
    <w:pPr>
      <w:widowControl/>
      <w:spacing w:line="280" w:lineRule="exact"/>
      <w:jc w:val="center"/>
    </w:pPr>
    <w:rPr>
      <w:bCs/>
      <w:color w:val="000000"/>
      <w:sz w:val="18"/>
    </w:rPr>
  </w:style>
  <w:style w:type="paragraph" w:customStyle="1" w:styleId="108">
    <w:name w:val="金皇-标题3"/>
    <w:basedOn w:val="4"/>
    <w:qFormat/>
    <w:uiPriority w:val="0"/>
    <w:pPr>
      <w:keepNext w:val="0"/>
      <w:keepLines w:val="0"/>
      <w:numPr>
        <w:numId w:val="6"/>
      </w:numPr>
      <w:tabs>
        <w:tab w:val="left" w:pos="644"/>
        <w:tab w:val="clear" w:pos="420"/>
      </w:tabs>
      <w:adjustRightInd w:val="0"/>
      <w:jc w:val="left"/>
    </w:pPr>
    <w:rPr>
      <w:rFonts w:eastAsia="黑体"/>
      <w:sz w:val="28"/>
      <w:szCs w:val="30"/>
    </w:rPr>
  </w:style>
  <w:style w:type="paragraph" w:customStyle="1" w:styleId="109">
    <w:name w:val="表格内文字（两端对齐）"/>
    <w:basedOn w:val="93"/>
    <w:qFormat/>
    <w:uiPriority w:val="0"/>
    <w:pPr>
      <w:tabs>
        <w:tab w:val="left" w:pos="1980"/>
      </w:tabs>
      <w:jc w:val="both"/>
    </w:pPr>
  </w:style>
  <w:style w:type="paragraph" w:customStyle="1" w:styleId="110">
    <w:name w:val="无编号标题2"/>
    <w:basedOn w:val="3"/>
    <w:next w:val="1"/>
    <w:link w:val="145"/>
    <w:qFormat/>
    <w:uiPriority w:val="0"/>
    <w:pPr>
      <w:numPr>
        <w:ilvl w:val="0"/>
        <w:numId w:val="0"/>
      </w:numPr>
      <w:tabs>
        <w:tab w:val="left" w:pos="0"/>
        <w:tab w:val="clear" w:pos="420"/>
      </w:tabs>
    </w:pPr>
    <w:rPr>
      <w:rFonts w:ascii="Times New Roman" w:hAnsi="Times New Roman" w:eastAsia="宋体"/>
      <w:sz w:val="24"/>
    </w:rPr>
  </w:style>
  <w:style w:type="character" w:customStyle="1" w:styleId="111">
    <w:name w:val="disabled"/>
    <w:basedOn w:val="35"/>
    <w:qFormat/>
    <w:uiPriority w:val="0"/>
    <w:rPr>
      <w:vanish/>
    </w:rPr>
  </w:style>
  <w:style w:type="character" w:customStyle="1" w:styleId="112">
    <w:name w:val="znspantitle"/>
    <w:basedOn w:val="35"/>
    <w:qFormat/>
    <w:uiPriority w:val="0"/>
    <w:rPr>
      <w:b/>
      <w:bCs/>
      <w:color w:val="333333"/>
    </w:rPr>
  </w:style>
  <w:style w:type="paragraph" w:customStyle="1" w:styleId="113">
    <w:name w:val="Table Text"/>
    <w:basedOn w:val="1"/>
    <w:semiHidden/>
    <w:qFormat/>
    <w:uiPriority w:val="0"/>
    <w:rPr>
      <w:rFonts w:ascii="宋体" w:hAnsi="宋体" w:eastAsia="宋体" w:cs="宋体"/>
      <w:sz w:val="24"/>
      <w:szCs w:val="24"/>
      <w:lang w:val="en-US" w:eastAsia="en-US" w:bidi="ar-SA"/>
    </w:rPr>
  </w:style>
  <w:style w:type="paragraph" w:customStyle="1" w:styleId="114">
    <w:name w:val="文本"/>
    <w:basedOn w:val="1"/>
    <w:qFormat/>
    <w:uiPriority w:val="0"/>
    <w:pPr>
      <w:spacing w:line="360" w:lineRule="auto"/>
      <w:ind w:firstLine="200" w:firstLineChars="200"/>
    </w:pPr>
    <w:rPr>
      <w:rFonts w:ascii="Calibri" w:hAnsi="Calibri" w:cs="宋体"/>
      <w:sz w:val="24"/>
    </w:rPr>
  </w:style>
  <w:style w:type="paragraph" w:customStyle="1" w:styleId="115">
    <w:name w:val="报告书表格文（林）"/>
    <w:basedOn w:val="1"/>
    <w:qFormat/>
    <w:uiPriority w:val="0"/>
    <w:pPr>
      <w:spacing w:line="280" w:lineRule="exact"/>
      <w:ind w:firstLine="0" w:firstLineChars="0"/>
      <w:jc w:val="center"/>
    </w:pPr>
    <w:rPr>
      <w:rFonts w:ascii="Times New Roman" w:hAnsi="Times New Roman"/>
      <w:sz w:val="21"/>
    </w:rPr>
  </w:style>
  <w:style w:type="paragraph" w:customStyle="1" w:styleId="116">
    <w:name w:val="正文格式111"/>
    <w:basedOn w:val="1"/>
    <w:qFormat/>
    <w:uiPriority w:val="0"/>
    <w:pPr>
      <w:spacing w:line="420" w:lineRule="auto"/>
      <w:ind w:firstLine="480" w:firstLineChars="200"/>
    </w:pPr>
    <w:rPr>
      <w:bCs/>
      <w:kern w:val="0"/>
      <w:sz w:val="24"/>
    </w:rPr>
  </w:style>
  <w:style w:type="paragraph" w:customStyle="1" w:styleId="117">
    <w:name w:val="正文11111111111"/>
    <w:basedOn w:val="1"/>
    <w:qFormat/>
    <w:uiPriority w:val="0"/>
    <w:pPr>
      <w:spacing w:line="360" w:lineRule="auto"/>
      <w:ind w:firstLine="480" w:firstLineChars="200"/>
    </w:pPr>
    <w:rPr>
      <w:rFonts w:ascii="宋体" w:hAnsi="宋体"/>
      <w:sz w:val="24"/>
    </w:rPr>
  </w:style>
  <w:style w:type="paragraph" w:customStyle="1" w:styleId="118">
    <w:name w:val="111正文的格式"/>
    <w:basedOn w:val="1"/>
    <w:qFormat/>
    <w:uiPriority w:val="0"/>
    <w:pPr>
      <w:adjustRightInd w:val="0"/>
      <w:snapToGrid w:val="0"/>
      <w:spacing w:line="360" w:lineRule="auto"/>
      <w:ind w:firstLine="480" w:firstLineChars="200"/>
    </w:pPr>
    <w:rPr>
      <w:color w:val="0000FF"/>
      <w:sz w:val="24"/>
    </w:rPr>
  </w:style>
  <w:style w:type="paragraph" w:customStyle="1" w:styleId="119">
    <w:name w:val="标题3"/>
    <w:basedOn w:val="1"/>
    <w:qFormat/>
    <w:uiPriority w:val="0"/>
    <w:pPr>
      <w:spacing w:line="360" w:lineRule="auto"/>
      <w:outlineLvl w:val="2"/>
    </w:pPr>
    <w:rPr>
      <w:b/>
      <w:sz w:val="24"/>
    </w:rPr>
  </w:style>
  <w:style w:type="paragraph" w:customStyle="1" w:styleId="120">
    <w:name w:val="Other|1"/>
    <w:basedOn w:val="1"/>
    <w:qFormat/>
    <w:uiPriority w:val="0"/>
    <w:pPr>
      <w:widowControl w:val="0"/>
      <w:spacing w:after="30" w:line="425" w:lineRule="auto"/>
      <w:ind w:firstLine="400"/>
      <w:jc w:val="both"/>
    </w:pPr>
    <w:rPr>
      <w:rFonts w:ascii="宋体" w:hAnsi="宋体" w:cs="宋体"/>
      <w:sz w:val="24"/>
      <w:lang w:val="zh-TW" w:eastAsia="zh-TW" w:bidi="zh-TW"/>
    </w:rPr>
  </w:style>
  <w:style w:type="paragraph" w:customStyle="1" w:styleId="121">
    <w:name w:val="表格内容（）"/>
    <w:basedOn w:val="1"/>
    <w:qFormat/>
    <w:uiPriority w:val="0"/>
    <w:pPr>
      <w:adjustRightInd w:val="0"/>
      <w:snapToGrid w:val="0"/>
      <w:jc w:val="center"/>
    </w:pPr>
    <w:rPr>
      <w:color w:val="00B0F0"/>
      <w:szCs w:val="21"/>
      <w:lang w:val="zh-CN"/>
    </w:rPr>
  </w:style>
  <w:style w:type="paragraph" w:customStyle="1" w:styleId="122">
    <w:name w:val="表表表表"/>
    <w:basedOn w:val="123"/>
    <w:qFormat/>
    <w:uiPriority w:val="0"/>
    <w:pPr>
      <w:jc w:val="center"/>
    </w:pPr>
    <w:rPr>
      <w:rFonts w:eastAsia="仿宋"/>
      <w:szCs w:val="21"/>
    </w:rPr>
  </w:style>
  <w:style w:type="paragraph" w:customStyle="1" w:styleId="123">
    <w:name w:val="表格文字"/>
    <w:basedOn w:val="1"/>
    <w:qFormat/>
    <w:uiPriority w:val="0"/>
    <w:pPr>
      <w:spacing w:line="560" w:lineRule="exact"/>
      <w:ind w:firstLine="0" w:firstLineChars="0"/>
      <w:jc w:val="center"/>
    </w:pPr>
    <w:rPr>
      <w:rFonts w:eastAsia="方正楷体简体"/>
      <w:szCs w:val="24"/>
    </w:rPr>
  </w:style>
  <w:style w:type="character" w:customStyle="1" w:styleId="124">
    <w:name w:val="fontstyle21"/>
    <w:basedOn w:val="35"/>
    <w:qFormat/>
    <w:uiPriority w:val="0"/>
    <w:rPr>
      <w:rFonts w:ascii="TimesNewRomanPSMT" w:hAnsi="TimesNewRomanPSMT" w:eastAsia="TimesNewRomanPSMT" w:cs="TimesNewRomanPSMT"/>
      <w:color w:val="000000"/>
      <w:sz w:val="24"/>
      <w:szCs w:val="24"/>
    </w:rPr>
  </w:style>
  <w:style w:type="paragraph" w:customStyle="1" w:styleId="125">
    <w:name w:val="22标题2"/>
    <w:basedOn w:val="126"/>
    <w:qFormat/>
    <w:uiPriority w:val="99"/>
    <w:pPr>
      <w:adjustRightInd w:val="0"/>
      <w:snapToGrid w:val="0"/>
    </w:pPr>
    <w:rPr>
      <w:color w:val="0000FF"/>
    </w:rPr>
  </w:style>
  <w:style w:type="paragraph" w:customStyle="1" w:styleId="126">
    <w:name w:val="标题2"/>
    <w:basedOn w:val="17"/>
    <w:qFormat/>
    <w:uiPriority w:val="99"/>
    <w:pPr>
      <w:spacing w:line="360" w:lineRule="auto"/>
      <w:outlineLvl w:val="1"/>
    </w:pPr>
    <w:rPr>
      <w:rFonts w:ascii="Times New Roman" w:hAnsi="Times New Roman" w:eastAsia="黑体"/>
      <w:sz w:val="30"/>
      <w:szCs w:val="30"/>
    </w:rPr>
  </w:style>
  <w:style w:type="paragraph" w:customStyle="1" w:styleId="127">
    <w:name w:val="三级标题（）"/>
    <w:basedOn w:val="1"/>
    <w:qFormat/>
    <w:uiPriority w:val="99"/>
    <w:pPr>
      <w:tabs>
        <w:tab w:val="left" w:pos="3840"/>
      </w:tabs>
      <w:spacing w:line="360" w:lineRule="auto"/>
      <w:outlineLvl w:val="2"/>
    </w:pPr>
    <w:rPr>
      <w:rFonts w:eastAsia="黑体"/>
      <w:color w:val="5B9BD5"/>
      <w:sz w:val="28"/>
      <w:szCs w:val="30"/>
    </w:rPr>
  </w:style>
  <w:style w:type="paragraph" w:customStyle="1" w:styleId="128">
    <w:name w:val="111表格"/>
    <w:basedOn w:val="1"/>
    <w:qFormat/>
    <w:uiPriority w:val="99"/>
    <w:pPr>
      <w:autoSpaceDE w:val="0"/>
      <w:autoSpaceDN w:val="0"/>
      <w:adjustRightInd w:val="0"/>
      <w:snapToGrid w:val="0"/>
      <w:spacing w:line="360" w:lineRule="auto"/>
      <w:ind w:firstLine="200" w:firstLineChars="200"/>
    </w:pPr>
    <w:rPr>
      <w:kern w:val="0"/>
      <w:szCs w:val="21"/>
    </w:rPr>
  </w:style>
  <w:style w:type="paragraph" w:customStyle="1" w:styleId="129">
    <w:name w:val="表头"/>
    <w:basedOn w:val="1"/>
    <w:next w:val="1"/>
    <w:qFormat/>
    <w:uiPriority w:val="0"/>
    <w:pPr>
      <w:numPr>
        <w:ilvl w:val="4"/>
        <w:numId w:val="7"/>
      </w:numPr>
      <w:tabs>
        <w:tab w:val="left" w:pos="420"/>
        <w:tab w:val="clear" w:pos="0"/>
      </w:tabs>
      <w:spacing w:line="360" w:lineRule="auto"/>
      <w:ind w:left="0" w:firstLine="0" w:firstLineChars="0"/>
      <w:jc w:val="center"/>
    </w:pPr>
    <w:rPr>
      <w:b/>
      <w:szCs w:val="22"/>
    </w:rPr>
  </w:style>
  <w:style w:type="paragraph" w:customStyle="1" w:styleId="130">
    <w:name w:val="@正文"/>
    <w:basedOn w:val="1"/>
    <w:qFormat/>
    <w:uiPriority w:val="0"/>
    <w:pPr>
      <w:tabs>
        <w:tab w:val="left" w:pos="1980"/>
        <w:tab w:val="left" w:pos="3825"/>
        <w:tab w:val="left" w:pos="4680"/>
      </w:tabs>
      <w:spacing w:line="360" w:lineRule="auto"/>
      <w:ind w:firstLine="200" w:firstLineChars="200"/>
      <w:jc w:val="left"/>
    </w:pPr>
    <w:rPr>
      <w:rFonts w:hAnsi="宋体"/>
      <w:kern w:val="0"/>
      <w:szCs w:val="21"/>
    </w:rPr>
  </w:style>
  <w:style w:type="character" w:customStyle="1" w:styleId="131">
    <w:name w:val="15"/>
    <w:qFormat/>
    <w:uiPriority w:val="0"/>
    <w:rPr>
      <w:rFonts w:hint="default" w:ascii="Times New Roman" w:hAnsi="Times New Roman" w:cs="Times New Roman"/>
    </w:rPr>
  </w:style>
  <w:style w:type="paragraph" w:customStyle="1" w:styleId="132">
    <w:name w:val="金皇-表（图）头"/>
    <w:basedOn w:val="1"/>
    <w:qFormat/>
    <w:uiPriority w:val="0"/>
    <w:pPr>
      <w:adjustRightInd w:val="0"/>
      <w:snapToGrid w:val="0"/>
      <w:jc w:val="center"/>
      <w:outlineLvl w:val="4"/>
    </w:pPr>
    <w:rPr>
      <w:rFonts w:eastAsia="黑体"/>
      <w:b/>
      <w:sz w:val="24"/>
    </w:rPr>
  </w:style>
  <w:style w:type="paragraph" w:customStyle="1" w:styleId="133">
    <w:name w:val="111正文格式111"/>
    <w:basedOn w:val="1"/>
    <w:qFormat/>
    <w:uiPriority w:val="99"/>
    <w:pPr>
      <w:adjustRightInd w:val="0"/>
      <w:snapToGrid w:val="0"/>
      <w:spacing w:line="360" w:lineRule="auto"/>
      <w:ind w:firstLine="200" w:firstLineChars="200"/>
    </w:pPr>
    <w:rPr>
      <w:kern w:val="0"/>
    </w:rPr>
  </w:style>
  <w:style w:type="paragraph" w:customStyle="1" w:styleId="134">
    <w:name w:val="（环评）表格内容"/>
    <w:basedOn w:val="1"/>
    <w:next w:val="16"/>
    <w:qFormat/>
    <w:uiPriority w:val="0"/>
    <w:pPr>
      <w:adjustRightInd w:val="0"/>
      <w:snapToGrid w:val="0"/>
      <w:spacing w:line="240" w:lineRule="auto"/>
      <w:ind w:firstLine="0" w:firstLineChars="0"/>
      <w:jc w:val="center"/>
    </w:pPr>
    <w:rPr>
      <w:rFonts w:ascii="Times New Roman" w:hAnsi="Times New Roman" w:eastAsia="宋体"/>
      <w:iCs/>
      <w:szCs w:val="21"/>
    </w:rPr>
  </w:style>
  <w:style w:type="character" w:customStyle="1" w:styleId="135">
    <w:name w:val="正文缩进 Char"/>
    <w:link w:val="13"/>
    <w:qFormat/>
    <w:uiPriority w:val="0"/>
    <w:rPr>
      <w:rFonts w:ascii="Calibri" w:hAnsi="Calibri"/>
      <w:sz w:val="28"/>
    </w:rPr>
  </w:style>
  <w:style w:type="paragraph" w:customStyle="1" w:styleId="136">
    <w:name w:val="1表格（5宋.）"/>
    <w:basedOn w:val="1"/>
    <w:qFormat/>
    <w:uiPriority w:val="0"/>
    <w:pPr>
      <w:shd w:val="clear" w:color="auto" w:fill="auto"/>
      <w:spacing w:line="240" w:lineRule="auto"/>
      <w:ind w:firstLine="0" w:firstLineChars="0"/>
      <w:jc w:val="center"/>
    </w:pPr>
    <w:rPr>
      <w:rFonts w:ascii="宋体" w:hAnsi="宋体" w:eastAsia="宋体" w:cs="宋体"/>
      <w:color w:val="000000"/>
      <w:sz w:val="21"/>
      <w:szCs w:val="22"/>
      <w:u w:val="none"/>
      <w:shd w:val="clear" w:color="auto" w:fill="auto"/>
      <w:lang w:val="zh-TW" w:eastAsia="zh-TW" w:bidi="zh-TW"/>
    </w:rPr>
  </w:style>
  <w:style w:type="paragraph" w:customStyle="1" w:styleId="137">
    <w:name w:val="11正文"/>
    <w:basedOn w:val="138"/>
    <w:qFormat/>
    <w:uiPriority w:val="99"/>
  </w:style>
  <w:style w:type="paragraph" w:customStyle="1" w:styleId="138">
    <w:name w:val="正文111"/>
    <w:basedOn w:val="139"/>
    <w:qFormat/>
    <w:uiPriority w:val="99"/>
    <w:pPr>
      <w:ind w:firstLine="480"/>
    </w:pPr>
  </w:style>
  <w:style w:type="paragraph" w:customStyle="1" w:styleId="139">
    <w:name w:val="正文的格式52"/>
    <w:basedOn w:val="1"/>
    <w:qFormat/>
    <w:uiPriority w:val="99"/>
    <w:pPr>
      <w:spacing w:line="360" w:lineRule="auto"/>
      <w:ind w:firstLine="200" w:firstLineChars="200"/>
    </w:pPr>
    <w:rPr>
      <w:kern w:val="0"/>
      <w:sz w:val="24"/>
      <w:szCs w:val="20"/>
    </w:rPr>
  </w:style>
  <w:style w:type="paragraph" w:customStyle="1" w:styleId="140">
    <w:name w:val="10、表格内容"/>
    <w:basedOn w:val="16"/>
    <w:qFormat/>
    <w:uiPriority w:val="0"/>
    <w:pPr>
      <w:widowControl w:val="0"/>
      <w:adjustRightInd w:val="0"/>
      <w:spacing w:before="0" w:after="0" w:line="280" w:lineRule="exact"/>
      <w:ind w:right="0"/>
      <w:jc w:val="center"/>
    </w:pPr>
    <w:rPr>
      <w:color w:val="000000"/>
      <w:kern w:val="2"/>
      <w:sz w:val="21"/>
      <w:szCs w:val="24"/>
    </w:rPr>
  </w:style>
  <w:style w:type="paragraph" w:customStyle="1" w:styleId="141">
    <w:name w:val="22表格"/>
    <w:basedOn w:val="122"/>
    <w:qFormat/>
    <w:uiPriority w:val="0"/>
    <w:pPr>
      <w:adjustRightInd w:val="0"/>
      <w:snapToGrid w:val="0"/>
      <w:textAlignment w:val="center"/>
    </w:pPr>
    <w:rPr>
      <w:rFonts w:eastAsia="宋体"/>
      <w:color w:val="000000"/>
    </w:rPr>
  </w:style>
  <w:style w:type="paragraph" w:customStyle="1" w:styleId="142">
    <w:name w:val="111正文"/>
    <w:basedOn w:val="1"/>
    <w:qFormat/>
    <w:uiPriority w:val="99"/>
    <w:pPr>
      <w:widowControl/>
      <w:tabs>
        <w:tab w:val="left" w:pos="7276"/>
      </w:tabs>
      <w:adjustRightInd w:val="0"/>
      <w:snapToGrid w:val="0"/>
      <w:spacing w:line="360" w:lineRule="auto"/>
      <w:ind w:firstLine="480" w:firstLineChars="200"/>
      <w:jc w:val="left"/>
    </w:pPr>
    <w:rPr>
      <w:color w:val="C00000"/>
      <w:kern w:val="0"/>
      <w:sz w:val="24"/>
      <w:szCs w:val="32"/>
    </w:rPr>
  </w:style>
  <w:style w:type="paragraph" w:customStyle="1" w:styleId="143">
    <w:name w:val="WPSOffice手动目录 1"/>
    <w:qFormat/>
    <w:uiPriority w:val="0"/>
    <w:pPr>
      <w:ind w:leftChars="0"/>
    </w:pPr>
    <w:rPr>
      <w:rFonts w:ascii="Times New Roman" w:hAnsi="Times New Roman" w:eastAsia="宋体" w:cs="Times New Roman"/>
      <w:sz w:val="20"/>
      <w:szCs w:val="20"/>
    </w:rPr>
  </w:style>
  <w:style w:type="paragraph" w:styleId="144">
    <w:name w:val="List Paragraph"/>
    <w:basedOn w:val="1"/>
    <w:qFormat/>
    <w:uiPriority w:val="1"/>
    <w:pPr>
      <w:ind w:left="1286" w:hanging="277"/>
    </w:pPr>
    <w:rPr>
      <w:rFonts w:ascii="宋体" w:hAnsi="宋体" w:eastAsia="宋体" w:cs="宋体"/>
      <w:lang w:val="en-US" w:eastAsia="zh-CN" w:bidi="ar-SA"/>
    </w:rPr>
  </w:style>
  <w:style w:type="character" w:customStyle="1" w:styleId="145">
    <w:name w:val="无编号标题2 Char"/>
    <w:link w:val="110"/>
    <w:qFormat/>
    <w:uiPriority w:val="0"/>
    <w:rPr>
      <w:rFonts w:ascii="Times New Roman" w:hAnsi="Times New Roman" w:eastAsia="宋体"/>
      <w:sz w:val="24"/>
    </w:rPr>
  </w:style>
  <w:style w:type="paragraph" w:customStyle="1" w:styleId="146">
    <w:name w:val="7表格(治)"/>
    <w:qFormat/>
    <w:uiPriority w:val="0"/>
    <w:pPr>
      <w:jc w:val="center"/>
    </w:pPr>
    <w:rPr>
      <w:rFonts w:ascii="Times New Roman" w:hAnsi="Times New Roman" w:eastAsia="宋体" w:cs="Times New Roman"/>
      <w:sz w:val="21"/>
      <w:lang w:val="en-US" w:eastAsia="zh-CN" w:bidi="ar-SA"/>
    </w:rPr>
  </w:style>
  <w:style w:type="paragraph" w:customStyle="1" w:styleId="147">
    <w:name w:val="5段落"/>
    <w:basedOn w:val="1"/>
    <w:qFormat/>
    <w:uiPriority w:val="0"/>
    <w:pPr>
      <w:spacing w:line="360" w:lineRule="auto"/>
      <w:ind w:firstLine="200" w:firstLineChars="200"/>
    </w:pPr>
    <w:rPr>
      <w:szCs w:val="28"/>
    </w:rPr>
  </w:style>
  <w:style w:type="paragraph" w:customStyle="1" w:styleId="148">
    <w:name w:val="环评 表格"/>
    <w:basedOn w:val="149"/>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149">
    <w:name w:val="无间隔1"/>
    <w:qFormat/>
    <w:uiPriority w:val="1"/>
    <w:pPr>
      <w:widowControl w:val="0"/>
      <w:ind w:firstLine="200" w:firstLineChars="200"/>
      <w:jc w:val="both"/>
    </w:pPr>
    <w:rPr>
      <w:rFonts w:ascii="Calibri" w:hAnsi="Calibri" w:eastAsia="宋体" w:cs="Calibri"/>
      <w:kern w:val="2"/>
      <w:sz w:val="24"/>
      <w:szCs w:val="24"/>
      <w:lang w:val="en-US" w:eastAsia="zh-CN" w:bidi="ar-SA"/>
    </w:rPr>
  </w:style>
  <w:style w:type="paragraph" w:customStyle="1" w:styleId="150">
    <w:name w:val="屠彪标题"/>
    <w:basedOn w:val="1"/>
    <w:qFormat/>
    <w:uiPriority w:val="0"/>
    <w:pPr>
      <w:adjustRightInd w:val="0"/>
      <w:snapToGrid w:val="0"/>
      <w:spacing w:before="10" w:beforeLines="10" w:after="10" w:afterLines="10"/>
      <w:jc w:val="center"/>
    </w:pPr>
    <w:rPr>
      <w:rFonts w:ascii="Times New Roman" w:hAnsi="Times New Roman" w:eastAsia="宋体"/>
      <w:b/>
      <w:kern w:val="0"/>
      <w:sz w:val="24"/>
      <w:szCs w:val="20"/>
    </w:rPr>
  </w:style>
  <w:style w:type="paragraph" w:customStyle="1" w:styleId="151">
    <w:name w:val="彪哥文本"/>
    <w:basedOn w:val="1"/>
    <w:next w:val="1"/>
    <w:qFormat/>
    <w:uiPriority w:val="0"/>
    <w:pPr>
      <w:adjustRightInd w:val="0"/>
      <w:snapToGrid w:val="0"/>
      <w:spacing w:before="10" w:beforeLines="10" w:after="10" w:afterLines="10" w:line="240" w:lineRule="auto"/>
      <w:jc w:val="center"/>
    </w:pPr>
    <w:rPr>
      <w:rFonts w:ascii="Times New Roman" w:hAnsi="Times New Roman" w:eastAsia="宋体"/>
      <w:kern w:val="0"/>
      <w:szCs w:val="20"/>
    </w:rPr>
  </w:style>
  <w:style w:type="paragraph" w:customStyle="1" w:styleId="152">
    <w:name w:val="表格的字"/>
    <w:basedOn w:val="153"/>
    <w:next w:val="1"/>
    <w:qFormat/>
    <w:uiPriority w:val="0"/>
    <w:pPr>
      <w:jc w:val="center"/>
    </w:pPr>
    <w:rPr>
      <w:szCs w:val="21"/>
      <w:lang w:val="en-US" w:eastAsia="zh-CN" w:bidi="ar-SA"/>
    </w:rPr>
  </w:style>
  <w:style w:type="paragraph" w:customStyle="1" w:styleId="153">
    <w:name w:val="项目基本情况的字"/>
    <w:basedOn w:val="1"/>
    <w:qFormat/>
    <w:uiPriority w:val="0"/>
    <w:pPr>
      <w:jc w:val="center"/>
    </w:pPr>
    <w:rPr>
      <w:rFonts w:cs="宋体"/>
    </w:rPr>
  </w:style>
  <w:style w:type="paragraph" w:customStyle="1" w:styleId="154">
    <w:name w:val="个人表格"/>
    <w:basedOn w:val="1"/>
    <w:next w:val="1"/>
    <w:qFormat/>
    <w:uiPriority w:val="0"/>
    <w:pPr>
      <w:spacing w:before="120" w:beforeLines="0" w:after="120" w:afterLines="0"/>
      <w:jc w:val="center"/>
    </w:pPr>
    <w:rPr>
      <w:rFonts w:ascii="Times New Roman" w:hAnsi="Times New Roman" w:cs="Times New Roman"/>
      <w:szCs w:val="21"/>
    </w:rPr>
  </w:style>
  <w:style w:type="paragraph" w:customStyle="1" w:styleId="155">
    <w:name w:val="zhang正文"/>
    <w:basedOn w:val="18"/>
    <w:next w:val="1"/>
    <w:qFormat/>
    <w:uiPriority w:val="0"/>
    <w:pPr>
      <w:autoSpaceDE w:val="0"/>
      <w:autoSpaceDN w:val="0"/>
      <w:adjustRightInd w:val="0"/>
      <w:snapToGrid w:val="0"/>
      <w:spacing w:line="500" w:lineRule="exact"/>
      <w:ind w:firstLine="539"/>
      <w:textAlignment w:val="baseline"/>
    </w:pPr>
    <w:rPr>
      <w:rFonts w:eastAsia="楷体_GB2312"/>
      <w:kern w:val="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header" Target="header2.xml"/><Relationship Id="rId7" Type="http://schemas.openxmlformats.org/officeDocument/2006/relationships/footer" Target="footer4.xml"/><Relationship Id="rId6" Type="http://schemas.openxmlformats.org/officeDocument/2006/relationships/footer" Target="footer3.xml"/><Relationship Id="rId51" Type="http://schemas.openxmlformats.org/officeDocument/2006/relationships/fontTable" Target="fontTable.xml"/><Relationship Id="rId50" Type="http://schemas.microsoft.com/office/2006/relationships/keyMapCustomizations" Target="customizations.xml"/><Relationship Id="rId5" Type="http://schemas.openxmlformats.org/officeDocument/2006/relationships/footer" Target="footer2.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jpeg"/><Relationship Id="rId42" Type="http://schemas.openxmlformats.org/officeDocument/2006/relationships/image" Target="media/image27.pn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header" Target="header1.xml"/><Relationship Id="rId39" Type="http://schemas.openxmlformats.org/officeDocument/2006/relationships/image" Target="media/image24.wmf"/><Relationship Id="rId38" Type="http://schemas.openxmlformats.org/officeDocument/2006/relationships/oleObject" Target="embeddings/oleObject5.bin"/><Relationship Id="rId37" Type="http://schemas.openxmlformats.org/officeDocument/2006/relationships/image" Target="media/image23.wmf"/><Relationship Id="rId36" Type="http://schemas.openxmlformats.org/officeDocument/2006/relationships/oleObject" Target="embeddings/oleObject4.bin"/><Relationship Id="rId35" Type="http://schemas.openxmlformats.org/officeDocument/2006/relationships/image" Target="media/image22.wmf"/><Relationship Id="rId34" Type="http://schemas.openxmlformats.org/officeDocument/2006/relationships/oleObject" Target="embeddings/oleObject3.bin"/><Relationship Id="rId33" Type="http://schemas.openxmlformats.org/officeDocument/2006/relationships/image" Target="media/image21.wmf"/><Relationship Id="rId32" Type="http://schemas.openxmlformats.org/officeDocument/2006/relationships/oleObject" Target="embeddings/oleObject2.bin"/><Relationship Id="rId31" Type="http://schemas.openxmlformats.org/officeDocument/2006/relationships/image" Target="media/image20.wmf"/><Relationship Id="rId30" Type="http://schemas.openxmlformats.org/officeDocument/2006/relationships/oleObject" Target="embeddings/oleObject1.bin"/><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封面"/>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福建省闽创环保科技有限公司</Company>
  <Pages>97</Pages>
  <Words>49224</Words>
  <Characters>58442</Characters>
  <Lines>273</Lines>
  <Paragraphs>77</Paragraphs>
  <TotalTime>4</TotalTime>
  <ScaleCrop>false</ScaleCrop>
  <LinksUpToDate>false</LinksUpToDate>
  <CharactersWithSpaces>58640</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2021-09-17T07:05:00Z</dcterms:created>
  <dc:creator>龚锐</dc:creator>
  <cp:lastModifiedBy>admin</cp:lastModifiedBy>
  <cp:lastPrinted>2025-07-22T03:47:00Z</cp:lastPrinted>
  <dcterms:modified xsi:type="dcterms:W3CDTF">2025-10-21T08:41:46Z</dcterms:modified>
  <dc:title>年产25万平方米单双面及多层印制电路板项目</dc:title>
  <cp:revision>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2052-12.8.2.19315</vt:lpwstr>
  </property>
  <property fmtid="{D5CDD505-2E9C-101B-9397-08002B2CF9AE}" pid="3" name="ICV">
    <vt:lpwstr>68950517187F4779A9CB820A91388EAC_13</vt:lpwstr>
  </property>
  <property fmtid="{D5CDD505-2E9C-101B-9397-08002B2CF9AE}" pid="4" name="KSOTemplateDocerSaveRecord">
    <vt:lpwstr>eyJoZGlkIjoiODIxOTQwYmRmYmY3YWI0ZmJiMDI1ZTBkNDIyN2Q3YzgiLCJ1c2VySWQiOiIxMDU0MTI4NzM3In0=</vt:lpwstr>
  </property>
</Properties>
</file>